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20549-1004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4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February 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Company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333-160471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1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27-0756180</w:t>
      </w:r>
    </w:p>
    <w:p>
      <w:pPr>
        <w:spacing w:after="0" w:line="55" w:lineRule="exact"/>
        <w:rPr>
          <w:sz w:val="24"/>
          <w:szCs w:val="24"/>
          <w:color w:val="auto"/>
        </w:rPr>
      </w:pPr>
    </w:p>
    <w:p>
      <w:pPr>
        <w:sectPr>
          <w:pgSz w:w="11900" w:h="16838" w:orient="portrait"/>
          <w:cols w:equalWidth="0" w:num="3">
            <w:col w:w="4620" w:space="720"/>
            <w:col w:w="3120" w:space="720"/>
            <w:col w:w="1820"/>
          </w:cols>
          <w:pgMar w:left="240" w:top="230" w:right="659" w:bottom="1440" w:gutter="0" w:footer="0" w:header="0"/>
          <w:type w:val="continuous"/>
        </w:sectPr>
      </w:pPr>
    </w:p>
    <w:p>
      <w:pPr>
        <w:ind w:left="116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660"/>
        <w:spacing w:after="0"/>
        <w:rPr>
          <w:sz w:val="20"/>
          <w:szCs w:val="20"/>
          <w:color w:val="auto"/>
        </w:rPr>
      </w:pPr>
      <w:r>
        <w:rPr>
          <w:rFonts w:ascii="Arial" w:cs="Arial" w:eastAsia="Arial" w:hAnsi="Arial"/>
          <w:sz w:val="12"/>
          <w:szCs w:val="12"/>
          <w:b w:val="1"/>
          <w:bCs w:val="1"/>
          <w:color w:val="auto"/>
        </w:rPr>
        <w:t>(State or other jurisdiction of</w:t>
      </w:r>
    </w:p>
    <w:p>
      <w:pPr>
        <w:spacing w:after="0" w:line="13" w:lineRule="exact"/>
        <w:rPr>
          <w:sz w:val="24"/>
          <w:szCs w:val="24"/>
          <w:color w:val="auto"/>
        </w:rPr>
      </w:pPr>
    </w:p>
    <w:p>
      <w:pPr>
        <w:jc w:val="center"/>
        <w:ind w:right="1660"/>
        <w:spacing w:after="0"/>
        <w:rPr>
          <w:sz w:val="20"/>
          <w:szCs w:val="20"/>
          <w:color w:val="auto"/>
        </w:rPr>
      </w:pPr>
      <w:r>
        <w:rPr>
          <w:rFonts w:ascii="Arial" w:cs="Arial" w:eastAsia="Arial" w:hAnsi="Arial"/>
          <w:sz w:val="14"/>
          <w:szCs w:val="14"/>
          <w:b w:val="1"/>
          <w:bCs w:val="1"/>
          <w:color w:val="auto"/>
        </w:rPr>
        <w:t>incorporation)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280" w:space="720"/>
            <w:col w:w="3340" w:space="720"/>
            <w:col w:w="1940"/>
          </w:cols>
          <w:pgMar w:left="240" w:top="230" w:right="659" w:bottom="1440" w:gutter="0" w:footer="0" w:header="0"/>
          <w:type w:val="continuous"/>
        </w:sectPr>
      </w:pPr>
    </w:p>
    <w:p>
      <w:pPr>
        <w:ind w:left="1280"/>
        <w:spacing w:after="0"/>
        <w:rPr>
          <w:sz w:val="20"/>
          <w:szCs w:val="20"/>
          <w:color w:val="auto"/>
        </w:rPr>
      </w:pPr>
      <w:r>
        <w:rPr>
          <w:rFonts w:ascii="Arial" w:cs="Arial" w:eastAsia="Arial" w:hAnsi="Arial"/>
          <w:sz w:val="15"/>
          <w:szCs w:val="15"/>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48265-3000</w:t>
      </w:r>
    </w:p>
    <w:p>
      <w:pPr>
        <w:spacing w:after="0" w:line="56" w:lineRule="exact"/>
        <w:rPr>
          <w:sz w:val="24"/>
          <w:szCs w:val="24"/>
          <w:color w:val="auto"/>
        </w:rPr>
      </w:pPr>
    </w:p>
    <w:p>
      <w:pPr>
        <w:sectPr>
          <w:pgSz w:w="11900" w:h="16838" w:orient="portrait"/>
          <w:cols w:equalWidth="0" w:num="2">
            <w:col w:w="7540" w:space="720"/>
            <w:col w:w="2740"/>
          </w:cols>
          <w:pgMar w:left="240" w:top="230" w:right="659" w:bottom="1440" w:gutter="0" w:footer="0" w:header="0"/>
          <w:type w:val="continuous"/>
        </w:sectPr>
      </w:pPr>
    </w:p>
    <w:p>
      <w:pPr>
        <w:ind w:left="17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20"/>
          </w:cols>
          <w:pgMar w:left="240" w:top="230" w:right="65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(313) 556-5000</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(Company’s telephone number, including area code)</w:t>
      </w:r>
    </w:p>
    <w:p>
      <w:pPr>
        <w:spacing w:after="0" w:line="13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company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35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8.01 Other Events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Signature</w:t>
        </w:r>
      </w:hyperlink>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Index to Exhibits</w:t>
      </w:r>
    </w:p>
    <w:p>
      <w:pPr>
        <w:spacing w:after="0" w:line="9" w:lineRule="exact"/>
        <w:rPr>
          <w:sz w:val="20"/>
          <w:szCs w:val="20"/>
          <w:color w:val="auto"/>
        </w:rPr>
      </w:pPr>
    </w:p>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Sales Release and Charts Dated February 2, 2010</w:t>
        </w:r>
      </w:hyperlink>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On February 2, 2010, General Motors Company (GM) issued a news release announcing January sales. The release and charts are attached as Exhibit 99.1.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372"/>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Description</w:t>
            </w:r>
          </w:p>
        </w:tc>
        <w:tc>
          <w:tcPr>
            <w:tcW w:w="354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Method of Filing</w:t>
            </w:r>
          </w:p>
        </w:tc>
        <w:tc>
          <w:tcPr>
            <w:tcW w:w="200" w:type="dxa"/>
            <w:vAlign w:val="bottom"/>
          </w:tcPr>
          <w:p>
            <w:pPr>
              <w:spacing w:after="0"/>
              <w:rPr>
                <w:sz w:val="24"/>
                <w:szCs w:val="24"/>
                <w:color w:val="auto"/>
              </w:rPr>
            </w:pPr>
          </w:p>
        </w:tc>
      </w:tr>
      <w:tr>
        <w:trPr>
          <w:trHeight w:val="316"/>
        </w:trPr>
        <w:tc>
          <w:tcPr>
            <w:tcW w:w="100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340" w:type="dxa"/>
            <w:vAlign w:val="bottom"/>
            <w:gridSpan w:val="3"/>
          </w:tcPr>
          <w:p>
            <w:pPr>
              <w:ind w:left="140"/>
              <w:spacing w:after="0"/>
              <w:rPr>
                <w:sz w:val="20"/>
                <w:szCs w:val="20"/>
                <w:color w:val="auto"/>
              </w:rPr>
            </w:pPr>
            <w:r>
              <w:rPr>
                <w:rFonts w:ascii="Arial" w:cs="Arial" w:eastAsia="Arial" w:hAnsi="Arial"/>
                <w:sz w:val="18"/>
                <w:szCs w:val="18"/>
                <w:color w:val="auto"/>
              </w:rPr>
              <w:t>Sales Release and Charts Dated February 2, 2010</w:t>
            </w:r>
          </w:p>
        </w:tc>
        <w:tc>
          <w:tcPr>
            <w:tcW w:w="740" w:type="dxa"/>
            <w:vAlign w:val="bottom"/>
          </w:tcPr>
          <w:p>
            <w:pPr>
              <w:spacing w:after="0"/>
              <w:rPr>
                <w:sz w:val="24"/>
                <w:szCs w:val="24"/>
                <w:color w:val="auto"/>
              </w:rPr>
            </w:pPr>
          </w:p>
        </w:tc>
        <w:tc>
          <w:tcPr>
            <w:tcW w:w="5220" w:type="dxa"/>
            <w:vAlign w:val="bottom"/>
            <w:gridSpan w:val="3"/>
          </w:tcPr>
          <w:p>
            <w:pPr>
              <w:jc w:val="center"/>
              <w:ind w:left="3752"/>
              <w:spacing w:after="0"/>
              <w:rPr>
                <w:sz w:val="20"/>
                <w:szCs w:val="20"/>
                <w:color w:val="auto"/>
              </w:rPr>
            </w:pPr>
            <w:r>
              <w:rPr>
                <w:rFonts w:ascii="Arial" w:cs="Arial" w:eastAsia="Arial" w:hAnsi="Arial"/>
                <w:sz w:val="18"/>
                <w:szCs w:val="18"/>
                <w:color w:val="auto"/>
                <w:w w:val="89"/>
              </w:rPr>
              <w:t>Attached as Exhibit</w:t>
            </w:r>
          </w:p>
        </w:tc>
      </w:tr>
    </w:tbl>
    <w:p>
      <w:pPr>
        <w:sectPr>
          <w:pgSz w:w="11900" w:h="16838" w:orient="portrait"/>
          <w:cols w:equalWidth="0" w:num="1">
            <w:col w:w="11300"/>
          </w:cols>
          <w:pgMar w:left="24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u w:val="single" w:color="auto"/>
          <w:color w:val="auto"/>
        </w:rPr>
        <w:t>GENERAL MOTORS COMPANY</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(Company)</w:t>
      </w:r>
    </w:p>
    <w:p>
      <w:pPr>
        <w:spacing w:after="0" w:line="340" w:lineRule="exact"/>
        <w:rPr>
          <w:sz w:val="20"/>
          <w:szCs w:val="20"/>
          <w:color w:val="auto"/>
        </w:rPr>
      </w:pPr>
    </w:p>
    <w:p>
      <w:pPr>
        <w:spacing w:after="0"/>
        <w:tabs>
          <w:tab w:leader="none" w:pos="5900" w:val="left"/>
          <w:tab w:leader="none" w:pos="7920" w:val="left"/>
          <w:tab w:leader="none" w:pos="8260" w:val="left"/>
        </w:tabs>
        <w:rPr>
          <w:sz w:val="20"/>
          <w:szCs w:val="20"/>
          <w:color w:val="auto"/>
        </w:rPr>
      </w:pPr>
      <w:r>
        <w:rPr>
          <w:rFonts w:ascii="Arial" w:cs="Arial" w:eastAsia="Arial" w:hAnsi="Arial"/>
          <w:sz w:val="18"/>
          <w:szCs w:val="18"/>
          <w:color w:val="auto"/>
        </w:rPr>
        <w:t>Date: February 3,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300"/>
        <w:spacing w:after="0"/>
        <w:rPr>
          <w:sz w:val="20"/>
          <w:szCs w:val="20"/>
          <w:color w:val="auto"/>
        </w:rPr>
      </w:pPr>
      <w:r>
        <w:rPr>
          <w:rFonts w:ascii="Arial" w:cs="Arial" w:eastAsia="Arial" w:hAnsi="Arial"/>
          <w:sz w:val="14"/>
          <w:szCs w:val="14"/>
          <w:b w:val="1"/>
          <w:bCs w:val="1"/>
          <w:color w:val="auto"/>
        </w:rPr>
        <w:t>Nick S. Cyprus</w:t>
      </w:r>
    </w:p>
    <w:p>
      <w:pPr>
        <w:spacing w:after="0" w:line="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Vice President, Controller and Chief Accounting Officer</w:t>
      </w:r>
    </w:p>
    <w:p>
      <w:pPr>
        <w:sectPr>
          <w:pgSz w:w="11900" w:h="16838" w:orient="portrait"/>
          <w:cols w:equalWidth="0" w:num="1">
            <w:col w:w="10960"/>
          </w:cols>
          <w:pgMar w:left="240" w:top="459"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143510</wp:posOffset>
            </wp:positionV>
            <wp:extent cx="3284855" cy="934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8485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Release: 1:45 p.m. 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 2010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Chevrolet, Buick, GMC and Cadillac Retail Sales Up 3 Percent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Total Sales for These Brands Up 30 Percent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GM Total Sales Increase 14 Percent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Fourth Consecutive Month of Retail Sales Gains for GM’s Four Brands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Chevy Equinox, GMC Terrain and Cadillac SRX Retail Sales Up 161 Percent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Fleet Sales Comprise 29 Percent of Total Sales</w:t>
      </w:r>
    </w:p>
    <w:p>
      <w:pPr>
        <w:spacing w:after="0" w:line="159"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DETROIT </w:t>
      </w:r>
      <w:r>
        <w:rPr>
          <w:rFonts w:ascii="Arial" w:cs="Arial" w:eastAsia="Arial" w:hAnsi="Arial"/>
          <w:sz w:val="16"/>
          <w:szCs w:val="16"/>
          <w:color w:val="auto"/>
        </w:rPr>
        <w:t>– U.S. dealers for GM’s brands – Chevrolet, Buick, GMC and Cadillac – reported retail sales of 102,420, up 3 percent compared to January 2009, and</w:t>
      </w:r>
      <w:r>
        <w:rPr>
          <w:rFonts w:ascii="Arial" w:cs="Arial" w:eastAsia="Arial" w:hAnsi="Arial"/>
          <w:sz w:val="16"/>
          <w:szCs w:val="16"/>
          <w:b w:val="1"/>
          <w:bCs w:val="1"/>
          <w:color w:val="auto"/>
        </w:rPr>
        <w:t xml:space="preserve"> </w:t>
      </w:r>
      <w:r>
        <w:rPr>
          <w:rFonts w:ascii="Arial" w:cs="Arial" w:eastAsia="Arial" w:hAnsi="Arial"/>
          <w:sz w:val="16"/>
          <w:szCs w:val="16"/>
          <w:color w:val="auto"/>
        </w:rPr>
        <w:t>145,098 total sales (up 30 percent). These results were driven by the continued strong growth of new GM crossovers and passenger cars. For the month, GM dealers reported 146,825 total sales (including other brands), representing a total sales increase of 14 percent from the previous year.</w:t>
      </w:r>
    </w:p>
    <w:p>
      <w:pPr>
        <w:spacing w:after="0" w:line="10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“This is the fourth month in a row that Chevrolet, Buick, GMC and Cadillac have shown a collective year-over-year retail sales increase,” said Susan Docherty, GM vice president, Sales, Service and Marketing. “Our long-term plan to continue to focus and strengthen our brands is delivering results.”</w:t>
      </w:r>
    </w:p>
    <w:p>
      <w:pPr>
        <w:spacing w:after="0" w:line="8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Chevrolet, Buick, GMC and Cadillac comprised 98 percent of the company’s retail sales in January, compared to 85 percent a year earlier. Retail sales, including other brands, in the U.S. were 104,122 during the month. This represents a 10 percent decline from a year ago, driven by other brand sales – Pontiac, Saturn, Saab and HUMMER – that were 90 percent lower. GM dealers delivered 42,703 fleet vehicles, comprising 29 percent of total deliveries for the month.</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Key Facts:</w:t>
      </w:r>
    </w:p>
    <w:p>
      <w:pPr>
        <w:spacing w:after="0" w:line="21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Chevrolet Equinox retail sales increased 67 percent; estimated retail share of the compact crossover segment is up 5 points (Jan. 2009 vs. Jan. 2010)</w:t>
      </w:r>
    </w:p>
    <w:p>
      <w:pPr>
        <w:spacing w:after="0" w:line="234" w:lineRule="exact"/>
        <w:rPr>
          <w:rFonts w:ascii="Arial" w:cs="Arial" w:eastAsia="Arial" w:hAnsi="Arial"/>
          <w:sz w:val="16"/>
          <w:szCs w:val="16"/>
          <w:i w:val="1"/>
          <w:iCs w:val="1"/>
          <w:color w:val="auto"/>
        </w:rPr>
      </w:pPr>
    </w:p>
    <w:p>
      <w:pPr>
        <w:ind w:left="460" w:right="52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GMC Terrain retail sales were up 162 percent (compared to the vehicle it replaces, Pontiac Torrent); estimated retail share of the compact crossover segment is up more than 3 points (Jan. 2009 vs. Jan. 2010)</w:t>
      </w:r>
    </w:p>
    <w:p>
      <w:pPr>
        <w:spacing w:after="0" w:line="172" w:lineRule="exact"/>
        <w:rPr>
          <w:rFonts w:ascii="Arial" w:cs="Arial" w:eastAsia="Arial" w:hAnsi="Arial"/>
          <w:sz w:val="18"/>
          <w:szCs w:val="18"/>
          <w:i w:val="1"/>
          <w:iCs w:val="1"/>
          <w:color w:val="auto"/>
        </w:rPr>
      </w:pPr>
    </w:p>
    <w:p>
      <w:pPr>
        <w:ind w:left="460" w:right="300" w:hanging="452"/>
        <w:spacing w:after="0" w:line="268"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Cadillac SRX retail sales were up 218 percent vs. last year, the fifth consecutive month it has gained more than 100 percent year-over-year; SRX gained approximately 15 points of retail share in the Mid-lux SUV crossover segment (Jan. 2009 vs. Jan. 2010)</w:t>
      </w:r>
    </w:p>
    <w:p>
      <w:pPr>
        <w:sectPr>
          <w:pgSz w:w="11900" w:h="16838" w:orient="portrait"/>
          <w:cols w:equalWidth="0" w:num="1">
            <w:col w:w="11420"/>
          </w:cols>
          <w:pgMar w:left="240" w:top="125" w:right="239" w:bottom="1440" w:gutter="0" w:footer="0" w:header="0"/>
        </w:sectPr>
      </w:pPr>
    </w:p>
    <w:bookmarkStart w:id="5" w:name="page6"/>
    <w:bookmarkEnd w:id="5"/>
    <w:p>
      <w:pPr>
        <w:ind w:left="460" w:right="58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their first year on sale, GM Compact Crossovers – Chevrolet Equinox and GMC Terrain – have become the second best selling crossovers in the industry</w:t>
      </w:r>
    </w:p>
    <w:p>
      <w:pPr>
        <w:spacing w:after="0" w:line="172"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GM sells more crossovers than any other automaker, representing approximately 20 percent of industry crossovers sold</w:t>
      </w:r>
    </w:p>
    <w:p>
      <w:pPr>
        <w:spacing w:after="0" w:line="211" w:lineRule="exact"/>
        <w:rPr>
          <w:rFonts w:ascii="Arial" w:cs="Arial" w:eastAsia="Arial" w:hAnsi="Arial"/>
          <w:sz w:val="18"/>
          <w:szCs w:val="18"/>
          <w:i w:val="1"/>
          <w:iCs w:val="1"/>
          <w:color w:val="auto"/>
        </w:rPr>
      </w:pPr>
    </w:p>
    <w:p>
      <w:pPr>
        <w:ind w:left="460" w:right="240" w:hanging="452"/>
        <w:spacing w:after="0" w:line="268"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Buick LaCrosse retail sales were up 142 percent, the fourth consecutive month it has gained more than 100 percent year-over-year; LaCrosse gained an estimated 12 points of retail segment share, making it number one in its segment (Jan. 2009 vs. Jan. 2010)</w:t>
      </w:r>
    </w:p>
    <w:p>
      <w:pPr>
        <w:spacing w:after="0" w:line="172" w:lineRule="exact"/>
        <w:rPr>
          <w:rFonts w:ascii="Arial" w:cs="Arial" w:eastAsia="Arial" w:hAnsi="Arial"/>
          <w:sz w:val="18"/>
          <w:szCs w:val="18"/>
          <w:i w:val="1"/>
          <w:iCs w:val="1"/>
          <w:color w:val="auto"/>
        </w:rPr>
      </w:pPr>
    </w:p>
    <w:p>
      <w:pPr>
        <w:ind w:left="460" w:hanging="452"/>
        <w:spacing w:after="0"/>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Chevrolet dealers sold 5,371 Camaros – the eighth straight month it has outsold Mustang</w:t>
      </w:r>
    </w:p>
    <w:p>
      <w:pPr>
        <w:spacing w:after="0" w:line="171"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“Our launch vehicles such as the Chevrolet Equinox and Camaro, Buick LaCrosse, GMC Terrain, and Cadillac SRX continue to attract new customers to our brands,” Docherty said. “In addition to styling and fuel efficiency, customers have told us they want safe, high quality vehicles. They can have peace of mind knowing that our vehicles come standard with our 5-year, 100,000 mile powertrain warranty and OnStar.”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Discussion of January Sales Results</w:t>
      </w:r>
    </w:p>
    <w:p>
      <w:pPr>
        <w:spacing w:after="0" w:line="17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“Global economic recovery is picking up pace,” said Mike DiGiovanni, executive director, global market and industry analysis. “In the U.S., we are seeing a strong rebound in manufacturing and stabilization of consumer confidence, which will support a slow but steady improvement in the vehicle market.”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Economy</w:t>
      </w:r>
    </w:p>
    <w:p>
      <w:pPr>
        <w:spacing w:after="0" w:line="21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Leading economic indicators point to a continuing recovery in 2010, although risks remain</w:t>
      </w:r>
    </w:p>
    <w:p>
      <w:pPr>
        <w:spacing w:after="0" w:line="211"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Job losses continue to decline, but initial claims of unemployment remain high, indicating continuing reduction in the labor force. Unemployment is likely to stay near 10 percent</w:t>
      </w:r>
    </w:p>
    <w:p>
      <w:pPr>
        <w:spacing w:after="0" w:line="172"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Consumer confidence stabilized at the December level. Consumer vehicle buying attitude is improving, but consumers don’t anticipate a strong recovery in jobs and income</w:t>
      </w:r>
    </w:p>
    <w:p>
      <w:pPr>
        <w:spacing w:after="0" w:line="172"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Home prices have stabilized in large parts of the country. Housing starts dropped 4 percent in December, but rising housing permits indicate construction will pick up in coming months</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manufacturing sector continues to expand. Corporate profit reports show the corporate sector is positioned to expand as the economy improves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 S. Auto Industry</w:t>
      </w:r>
    </w:p>
    <w:p>
      <w:pPr>
        <w:spacing w:after="0" w:line="21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U.S. January 2010 SAAR is estimated to be approximately 11.0 to 11.3 million (total industry estimate) – largely on par with Q4 2009 sales</w:t>
      </w:r>
    </w:p>
    <w:p>
      <w:pPr>
        <w:spacing w:after="0" w:line="234"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the strengthening U.S. economy, we are increasing our 2010 CY sales outlook to 11.5 to 12.0 million (total vehicle)</w:t>
      </w:r>
    </w:p>
    <w:p>
      <w:pPr>
        <w:sectPr>
          <w:pgSz w:w="11900" w:h="16838" w:orient="portrait"/>
          <w:cols w:equalWidth="0" w:num="1">
            <w:col w:w="11380"/>
          </w:cols>
          <w:pgMar w:left="240" w:top="280" w:right="279" w:bottom="1440" w:gutter="0" w:footer="0" w:header="0"/>
        </w:sectPr>
      </w:pPr>
    </w:p>
    <w:bookmarkStart w:id="6" w:name="page7"/>
    <w:bookmarkEnd w:id="6"/>
    <w:p>
      <w:pPr>
        <w:ind w:left="1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North America Production</w:t>
      </w:r>
    </w:p>
    <w:p>
      <w:pPr>
        <w:spacing w:after="0" w:line="2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494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9"/>
              </w:rPr>
              <w:t>Units 000s</w:t>
            </w:r>
          </w:p>
        </w:tc>
        <w:tc>
          <w:tcPr>
            <w:tcW w:w="660" w:type="dxa"/>
            <w:vAlign w:val="bottom"/>
            <w:tcBorders>
              <w:right w:val="single" w:sz="8" w:color="auto"/>
            </w:tcBorders>
          </w:tcPr>
          <w:p>
            <w:pPr>
              <w:spacing w:after="0"/>
              <w:rPr>
                <w:sz w:val="17"/>
                <w:szCs w:val="17"/>
                <w:color w:val="auto"/>
              </w:rPr>
            </w:pPr>
          </w:p>
        </w:tc>
        <w:tc>
          <w:tcPr>
            <w:tcW w:w="1660" w:type="dxa"/>
            <w:vAlign w:val="bottom"/>
            <w:tcBorders>
              <w:top w:val="single" w:sz="8" w:color="auto"/>
              <w:bottom w:val="single" w:sz="8" w:color="auto"/>
              <w:right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Car</w:t>
            </w:r>
          </w:p>
        </w:tc>
        <w:tc>
          <w:tcPr>
            <w:tcW w:w="2040" w:type="dxa"/>
            <w:vAlign w:val="bottom"/>
            <w:tcBorders>
              <w:top w:val="single" w:sz="8" w:color="auto"/>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Truck</w:t>
            </w:r>
          </w:p>
        </w:tc>
        <w:tc>
          <w:tcPr>
            <w:tcW w:w="2120" w:type="dxa"/>
            <w:vAlign w:val="bottom"/>
            <w:tcBorders>
              <w:top w:val="single" w:sz="8" w:color="auto"/>
              <w:bottom w:val="single" w:sz="8" w:color="auto"/>
              <w:right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257"/>
        </w:trPr>
        <w:tc>
          <w:tcPr>
            <w:tcW w:w="494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190"/>
        </w:trPr>
        <w:tc>
          <w:tcPr>
            <w:tcW w:w="4940" w:type="dxa"/>
            <w:vAlign w:val="bottom"/>
            <w:tcBorders>
              <w:top w:val="single" w:sz="8" w:color="auto"/>
              <w:left w:val="single" w:sz="8" w:color="auto"/>
              <w:bottom w:val="single" w:sz="8" w:color="CCEEFF"/>
              <w:right w:val="single" w:sz="8" w:color="auto"/>
            </w:tcBorders>
            <w:shd w:val="clear" w:color="auto" w:fill="CCEEFF"/>
          </w:tcPr>
          <w:p>
            <w:pPr>
              <w:jc w:val="center"/>
              <w:ind w:left="32"/>
              <w:spacing w:after="0" w:line="189" w:lineRule="exact"/>
              <w:rPr>
                <w:sz w:val="20"/>
                <w:szCs w:val="20"/>
                <w:color w:val="auto"/>
              </w:rPr>
            </w:pPr>
            <w:r>
              <w:rPr>
                <w:rFonts w:ascii="Arial" w:cs="Arial" w:eastAsia="Arial" w:hAnsi="Arial"/>
                <w:sz w:val="18"/>
                <w:szCs w:val="18"/>
                <w:b w:val="1"/>
                <w:bCs w:val="1"/>
                <w:color w:val="auto"/>
                <w:w w:val="89"/>
              </w:rPr>
              <w:t>2010 January</w:t>
            </w:r>
          </w:p>
        </w:tc>
        <w:tc>
          <w:tcPr>
            <w:tcW w:w="66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66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69</w:t>
            </w:r>
          </w:p>
        </w:tc>
        <w:tc>
          <w:tcPr>
            <w:tcW w:w="204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130</w:t>
            </w:r>
          </w:p>
        </w:tc>
        <w:tc>
          <w:tcPr>
            <w:tcW w:w="2120" w:type="dxa"/>
            <w:vAlign w:val="bottom"/>
            <w:tcBorders>
              <w:top w:val="single" w:sz="8" w:color="CCEEFF"/>
              <w:bottom w:val="single" w:sz="8" w:color="auto"/>
              <w:right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8"/>
                <w:szCs w:val="18"/>
                <w:b w:val="1"/>
                <w:bCs w:val="1"/>
                <w:color w:val="auto"/>
              </w:rPr>
              <w:t>199</w:t>
            </w:r>
          </w:p>
        </w:tc>
      </w:tr>
      <w:tr>
        <w:trPr>
          <w:trHeight w:val="210"/>
        </w:trPr>
        <w:tc>
          <w:tcPr>
            <w:tcW w:w="494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Units O/(U) prior year</w:t>
            </w:r>
          </w:p>
        </w:tc>
        <w:tc>
          <w:tcPr>
            <w:tcW w:w="660" w:type="dxa"/>
            <w:vAlign w:val="bottom"/>
            <w:tcBorders>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63</w:t>
            </w:r>
          </w:p>
        </w:tc>
        <w:tc>
          <w:tcPr>
            <w:tcW w:w="20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71</w:t>
            </w:r>
          </w:p>
        </w:tc>
        <w:tc>
          <w:tcPr>
            <w:tcW w:w="212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134</w:t>
            </w:r>
          </w:p>
        </w:tc>
      </w:tr>
      <w:tr>
        <w:trPr>
          <w:trHeight w:val="210"/>
        </w:trPr>
        <w:tc>
          <w:tcPr>
            <w:tcW w:w="49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 change O/(U) prior year</w:t>
            </w:r>
          </w:p>
        </w:tc>
        <w:tc>
          <w:tcPr>
            <w:tcW w:w="660" w:type="dxa"/>
            <w:vAlign w:val="bottom"/>
            <w:tcBorders>
              <w:bottom w:val="single" w:sz="8" w:color="CCEEFF"/>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1050%</w:t>
            </w:r>
          </w:p>
        </w:tc>
        <w:tc>
          <w:tcPr>
            <w:tcW w:w="20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120%</w:t>
            </w:r>
          </w:p>
        </w:tc>
        <w:tc>
          <w:tcPr>
            <w:tcW w:w="212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206%</w:t>
            </w:r>
          </w:p>
        </w:tc>
      </w:tr>
      <w:tr>
        <w:trPr>
          <w:trHeight w:val="162"/>
        </w:trPr>
        <w:tc>
          <w:tcPr>
            <w:tcW w:w="494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r>
      <w:tr>
        <w:trPr>
          <w:trHeight w:val="190"/>
        </w:trPr>
        <w:tc>
          <w:tcPr>
            <w:tcW w:w="4940" w:type="dxa"/>
            <w:vAlign w:val="bottom"/>
            <w:tcBorders>
              <w:top w:val="single" w:sz="8" w:color="auto"/>
              <w:left w:val="single" w:sz="8" w:color="auto"/>
              <w:bottom w:val="single" w:sz="8" w:color="CCEEFF"/>
              <w:right w:val="single" w:sz="8" w:color="auto"/>
            </w:tcBorders>
            <w:shd w:val="clear" w:color="auto" w:fill="CCEEFF"/>
          </w:tcPr>
          <w:p>
            <w:pPr>
              <w:jc w:val="center"/>
              <w:ind w:left="32"/>
              <w:spacing w:after="0" w:line="189" w:lineRule="exact"/>
              <w:rPr>
                <w:sz w:val="20"/>
                <w:szCs w:val="20"/>
                <w:color w:val="auto"/>
              </w:rPr>
            </w:pPr>
            <w:r>
              <w:rPr>
                <w:rFonts w:ascii="Arial" w:cs="Arial" w:eastAsia="Arial" w:hAnsi="Arial"/>
                <w:sz w:val="18"/>
                <w:szCs w:val="18"/>
                <w:b w:val="1"/>
                <w:bCs w:val="1"/>
                <w:color w:val="auto"/>
                <w:w w:val="89"/>
              </w:rPr>
              <w:t>2010 Q1</w:t>
            </w:r>
          </w:p>
        </w:tc>
        <w:tc>
          <w:tcPr>
            <w:tcW w:w="66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66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237</w:t>
            </w:r>
          </w:p>
        </w:tc>
        <w:tc>
          <w:tcPr>
            <w:tcW w:w="204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413</w:t>
            </w:r>
          </w:p>
        </w:tc>
        <w:tc>
          <w:tcPr>
            <w:tcW w:w="2120" w:type="dxa"/>
            <w:vAlign w:val="bottom"/>
            <w:tcBorders>
              <w:top w:val="single" w:sz="8" w:color="CCEEFF"/>
              <w:bottom w:val="single" w:sz="8" w:color="auto"/>
              <w:right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8"/>
                <w:szCs w:val="18"/>
                <w:b w:val="1"/>
                <w:bCs w:val="1"/>
                <w:color w:val="auto"/>
              </w:rPr>
              <w:t>650</w:t>
            </w:r>
          </w:p>
        </w:tc>
      </w:tr>
      <w:tr>
        <w:trPr>
          <w:trHeight w:val="210"/>
        </w:trPr>
        <w:tc>
          <w:tcPr>
            <w:tcW w:w="494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Units O/(U) prior year</w:t>
            </w:r>
          </w:p>
        </w:tc>
        <w:tc>
          <w:tcPr>
            <w:tcW w:w="660" w:type="dxa"/>
            <w:vAlign w:val="bottom"/>
            <w:tcBorders>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121</w:t>
            </w:r>
          </w:p>
        </w:tc>
        <w:tc>
          <w:tcPr>
            <w:tcW w:w="20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158</w:t>
            </w:r>
          </w:p>
        </w:tc>
        <w:tc>
          <w:tcPr>
            <w:tcW w:w="212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279</w:t>
            </w:r>
          </w:p>
        </w:tc>
      </w:tr>
      <w:tr>
        <w:trPr>
          <w:trHeight w:val="210"/>
        </w:trPr>
        <w:tc>
          <w:tcPr>
            <w:tcW w:w="494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 change O/(U) prior year</w:t>
            </w:r>
          </w:p>
        </w:tc>
        <w:tc>
          <w:tcPr>
            <w:tcW w:w="660" w:type="dxa"/>
            <w:vAlign w:val="bottom"/>
            <w:tcBorders>
              <w:bottom w:val="single" w:sz="8" w:color="CCEEFF"/>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104%</w:t>
            </w:r>
          </w:p>
        </w:tc>
        <w:tc>
          <w:tcPr>
            <w:tcW w:w="20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62%</w:t>
            </w:r>
          </w:p>
        </w:tc>
        <w:tc>
          <w:tcPr>
            <w:tcW w:w="212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75%</w:t>
            </w:r>
          </w:p>
        </w:tc>
      </w:tr>
      <w:tr>
        <w:trPr>
          <w:trHeight w:val="424"/>
        </w:trPr>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2"/>
              </w:rPr>
              <w:t>GM U.S. Dealer Inventory</w:t>
            </w:r>
          </w:p>
        </w:tc>
        <w:tc>
          <w:tcPr>
            <w:tcW w:w="66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198"/>
        </w:trPr>
        <w:tc>
          <w:tcPr>
            <w:tcW w:w="4940" w:type="dxa"/>
            <w:vAlign w:val="bottom"/>
            <w:tcBorders>
              <w:bottom w:val="single" w:sz="8" w:color="auto"/>
            </w:tcBorders>
          </w:tcPr>
          <w:p>
            <w:pPr>
              <w:jc w:val="center"/>
              <w:spacing w:after="0" w:line="198" w:lineRule="exact"/>
              <w:rPr>
                <w:sz w:val="20"/>
                <w:szCs w:val="20"/>
                <w:color w:val="auto"/>
              </w:rPr>
            </w:pPr>
            <w:r>
              <w:rPr>
                <w:rFonts w:ascii="Arial" w:cs="Arial" w:eastAsia="Arial" w:hAnsi="Arial"/>
                <w:sz w:val="18"/>
                <w:szCs w:val="18"/>
                <w:color w:val="auto"/>
                <w:w w:val="89"/>
              </w:rPr>
              <w:t>Units 000s</w:t>
            </w:r>
          </w:p>
        </w:tc>
        <w:tc>
          <w:tcPr>
            <w:tcW w:w="660" w:type="dxa"/>
            <w:vAlign w:val="bottom"/>
            <w:tcBorders>
              <w:right w:val="single" w:sz="8" w:color="auto"/>
            </w:tcBorders>
          </w:tcPr>
          <w:p>
            <w:pPr>
              <w:spacing w:after="0"/>
              <w:rPr>
                <w:sz w:val="17"/>
                <w:szCs w:val="17"/>
                <w:color w:val="auto"/>
              </w:rPr>
            </w:pPr>
          </w:p>
        </w:tc>
        <w:tc>
          <w:tcPr>
            <w:tcW w:w="1660" w:type="dxa"/>
            <w:vAlign w:val="bottom"/>
            <w:tcBorders>
              <w:bottom w:val="single" w:sz="8" w:color="auto"/>
              <w:right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Car</w:t>
            </w:r>
          </w:p>
        </w:tc>
        <w:tc>
          <w:tcPr>
            <w:tcW w:w="20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Truck</w:t>
            </w:r>
          </w:p>
        </w:tc>
        <w:tc>
          <w:tcPr>
            <w:tcW w:w="2120" w:type="dxa"/>
            <w:vAlign w:val="bottom"/>
            <w:tcBorders>
              <w:bottom w:val="single" w:sz="8" w:color="auto"/>
              <w:right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r>
      <w:tr>
        <w:trPr>
          <w:trHeight w:val="257"/>
        </w:trPr>
        <w:tc>
          <w:tcPr>
            <w:tcW w:w="494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spacing w:after="0"/>
              <w:rPr>
                <w:sz w:val="22"/>
                <w:szCs w:val="22"/>
                <w:color w:val="auto"/>
              </w:rPr>
            </w:pPr>
          </w:p>
        </w:tc>
        <w:tc>
          <w:tcPr>
            <w:tcW w:w="2120" w:type="dxa"/>
            <w:vAlign w:val="bottom"/>
            <w:tcBorders>
              <w:bottom w:val="single" w:sz="8" w:color="auto"/>
              <w:right w:val="single" w:sz="8" w:color="auto"/>
            </w:tcBorders>
          </w:tcPr>
          <w:p>
            <w:pPr>
              <w:spacing w:after="0"/>
              <w:rPr>
                <w:sz w:val="22"/>
                <w:szCs w:val="22"/>
                <w:color w:val="auto"/>
              </w:rPr>
            </w:pPr>
          </w:p>
        </w:tc>
      </w:tr>
      <w:tr>
        <w:trPr>
          <w:trHeight w:val="190"/>
        </w:trPr>
        <w:tc>
          <w:tcPr>
            <w:tcW w:w="4940" w:type="dxa"/>
            <w:vAlign w:val="bottom"/>
            <w:tcBorders>
              <w:top w:val="single" w:sz="8" w:color="auto"/>
              <w:left w:val="single" w:sz="8" w:color="auto"/>
              <w:bottom w:val="single" w:sz="8" w:color="CCEEFF"/>
              <w:right w:val="single" w:sz="8" w:color="auto"/>
            </w:tcBorders>
            <w:shd w:val="clear" w:color="auto" w:fill="CCEEFF"/>
          </w:tcPr>
          <w:p>
            <w:pPr>
              <w:jc w:val="center"/>
              <w:ind w:left="32"/>
              <w:spacing w:after="0" w:line="189" w:lineRule="exact"/>
              <w:rPr>
                <w:sz w:val="20"/>
                <w:szCs w:val="20"/>
                <w:color w:val="auto"/>
              </w:rPr>
            </w:pPr>
            <w:r>
              <w:rPr>
                <w:rFonts w:ascii="Arial" w:cs="Arial" w:eastAsia="Arial" w:hAnsi="Arial"/>
                <w:sz w:val="18"/>
                <w:szCs w:val="18"/>
                <w:b w:val="1"/>
                <w:bCs w:val="1"/>
                <w:color w:val="auto"/>
                <w:w w:val="89"/>
              </w:rPr>
              <w:t>2010 January</w:t>
            </w:r>
          </w:p>
        </w:tc>
        <w:tc>
          <w:tcPr>
            <w:tcW w:w="66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66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143</w:t>
            </w:r>
          </w:p>
        </w:tc>
        <w:tc>
          <w:tcPr>
            <w:tcW w:w="204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247</w:t>
            </w:r>
          </w:p>
        </w:tc>
        <w:tc>
          <w:tcPr>
            <w:tcW w:w="2120" w:type="dxa"/>
            <w:vAlign w:val="bottom"/>
            <w:tcBorders>
              <w:top w:val="single" w:sz="8" w:color="CCEEFF"/>
              <w:bottom w:val="single" w:sz="8" w:color="auto"/>
              <w:right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8"/>
                <w:szCs w:val="18"/>
                <w:b w:val="1"/>
                <w:bCs w:val="1"/>
                <w:color w:val="auto"/>
              </w:rPr>
              <w:t>390</w:t>
            </w:r>
          </w:p>
        </w:tc>
      </w:tr>
      <w:tr>
        <w:trPr>
          <w:trHeight w:val="210"/>
        </w:trPr>
        <w:tc>
          <w:tcPr>
            <w:tcW w:w="4940" w:type="dxa"/>
            <w:vAlign w:val="bottom"/>
            <w:tcBorders>
              <w:left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Units O/(U) prior year</w:t>
            </w:r>
          </w:p>
        </w:tc>
        <w:tc>
          <w:tcPr>
            <w:tcW w:w="660" w:type="dxa"/>
            <w:vAlign w:val="bottom"/>
            <w:tcBorders>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(220)</w:t>
            </w:r>
          </w:p>
        </w:tc>
        <w:tc>
          <w:tcPr>
            <w:tcW w:w="204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(192)</w:t>
            </w:r>
          </w:p>
        </w:tc>
        <w:tc>
          <w:tcPr>
            <w:tcW w:w="2120" w:type="dxa"/>
            <w:vAlign w:val="bottom"/>
            <w:tcBorders>
              <w:bottom w:val="single" w:sz="8" w:color="auto"/>
              <w:right w:val="single" w:sz="8" w:color="auto"/>
            </w:tcBorders>
          </w:tcPr>
          <w:p>
            <w:pPr>
              <w:jc w:val="right"/>
              <w:ind w:right="255"/>
              <w:spacing w:after="0"/>
              <w:rPr>
                <w:sz w:val="20"/>
                <w:szCs w:val="20"/>
                <w:color w:val="auto"/>
              </w:rPr>
            </w:pPr>
            <w:r>
              <w:rPr>
                <w:rFonts w:ascii="Arial" w:cs="Arial" w:eastAsia="Arial" w:hAnsi="Arial"/>
                <w:sz w:val="18"/>
                <w:szCs w:val="18"/>
                <w:b w:val="1"/>
                <w:bCs w:val="1"/>
                <w:color w:val="auto"/>
              </w:rPr>
              <w:t>(411)</w:t>
            </w:r>
          </w:p>
        </w:tc>
      </w:tr>
      <w:tr>
        <w:trPr>
          <w:trHeight w:val="210"/>
        </w:trPr>
        <w:tc>
          <w:tcPr>
            <w:tcW w:w="4940" w:type="dxa"/>
            <w:vAlign w:val="bottom"/>
            <w:tcBorders>
              <w:left w:val="single" w:sz="8" w:color="auto"/>
              <w:bottom w:val="single" w:sz="8" w:color="CCEEFF"/>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 change O/(U) prior year</w:t>
            </w:r>
          </w:p>
        </w:tc>
        <w:tc>
          <w:tcPr>
            <w:tcW w:w="660" w:type="dxa"/>
            <w:vAlign w:val="bottom"/>
            <w:tcBorders>
              <w:bottom w:val="single" w:sz="8" w:color="CCEEFF"/>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120" w:type="dxa"/>
            <w:vAlign w:val="bottom"/>
            <w:tcBorders>
              <w:bottom w:val="single" w:sz="8" w:color="auto"/>
              <w:right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(51%)</w:t>
            </w:r>
          </w:p>
        </w:tc>
      </w:tr>
      <w:tr>
        <w:trPr>
          <w:trHeight w:val="210"/>
        </w:trPr>
        <w:tc>
          <w:tcPr>
            <w:tcW w:w="4940" w:type="dxa"/>
            <w:vAlign w:val="bottom"/>
            <w:tcBorders>
              <w:left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Units O/(U) prior month</w:t>
            </w:r>
          </w:p>
        </w:tc>
        <w:tc>
          <w:tcPr>
            <w:tcW w:w="660" w:type="dxa"/>
            <w:vAlign w:val="bottom"/>
            <w:tcBorders>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155"/>
              <w:spacing w:after="0"/>
              <w:rPr>
                <w:sz w:val="20"/>
                <w:szCs w:val="20"/>
                <w:color w:val="auto"/>
              </w:rPr>
            </w:pPr>
            <w:r>
              <w:rPr>
                <w:rFonts w:ascii="Arial" w:cs="Arial" w:eastAsia="Arial" w:hAnsi="Arial"/>
                <w:sz w:val="18"/>
                <w:szCs w:val="18"/>
                <w:b w:val="1"/>
                <w:bCs w:val="1"/>
                <w:color w:val="auto"/>
              </w:rPr>
              <w:t>(6)</w:t>
            </w:r>
          </w:p>
        </w:tc>
        <w:tc>
          <w:tcPr>
            <w:tcW w:w="20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11</w:t>
            </w:r>
          </w:p>
        </w:tc>
        <w:tc>
          <w:tcPr>
            <w:tcW w:w="212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5</w:t>
            </w:r>
          </w:p>
        </w:tc>
      </w:tr>
      <w:tr>
        <w:trPr>
          <w:trHeight w:val="210"/>
        </w:trPr>
        <w:tc>
          <w:tcPr>
            <w:tcW w:w="494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 change O/(U) prior month</w:t>
            </w:r>
          </w:p>
        </w:tc>
        <w:tc>
          <w:tcPr>
            <w:tcW w:w="660" w:type="dxa"/>
            <w:vAlign w:val="bottom"/>
            <w:tcBorders>
              <w:bottom w:val="single" w:sz="8" w:color="CCEEFF"/>
              <w:right w:val="single" w:sz="8" w:color="auto"/>
            </w:tcBorders>
            <w:shd w:val="clear" w:color="auto" w:fill="CCEEFF"/>
          </w:tcPr>
          <w:p>
            <w:pPr>
              <w:spacing w:after="0"/>
              <w:rPr>
                <w:sz w:val="18"/>
                <w:szCs w:val="18"/>
                <w:color w:val="auto"/>
              </w:rPr>
            </w:pPr>
          </w:p>
        </w:tc>
        <w:tc>
          <w:tcPr>
            <w:tcW w:w="16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040" w:type="dxa"/>
            <w:vAlign w:val="bottom"/>
            <w:tcBorders>
              <w:bottom w:val="single" w:sz="8" w:color="auto"/>
              <w:right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w:t>
            </w:r>
          </w:p>
        </w:tc>
        <w:tc>
          <w:tcPr>
            <w:tcW w:w="2120" w:type="dxa"/>
            <w:vAlign w:val="bottom"/>
            <w:tcBorders>
              <w:bottom w:val="single" w:sz="8" w:color="auto"/>
              <w:right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w:t>
            </w:r>
          </w:p>
        </w:tc>
      </w:tr>
      <w:tr>
        <w:trPr>
          <w:trHeight w:val="162"/>
        </w:trPr>
        <w:tc>
          <w:tcPr>
            <w:tcW w:w="494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2120" w:type="dxa"/>
            <w:vAlign w:val="bottom"/>
            <w:tcBorders>
              <w:bottom w:val="single" w:sz="8" w:color="auto"/>
              <w:right w:val="single" w:sz="8" w:color="auto"/>
            </w:tcBorders>
          </w:tcPr>
          <w:p>
            <w:pPr>
              <w:spacing w:after="0"/>
              <w:rPr>
                <w:sz w:val="14"/>
                <w:szCs w:val="14"/>
                <w:color w:val="auto"/>
              </w:rPr>
            </w:pPr>
          </w:p>
        </w:tc>
      </w:tr>
      <w:tr>
        <w:trPr>
          <w:trHeight w:val="190"/>
        </w:trPr>
        <w:tc>
          <w:tcPr>
            <w:tcW w:w="4940" w:type="dxa"/>
            <w:vAlign w:val="bottom"/>
            <w:tcBorders>
              <w:top w:val="single" w:sz="8" w:color="auto"/>
              <w:left w:val="single" w:sz="8" w:color="auto"/>
              <w:bottom w:val="single" w:sz="8" w:color="CCEEFF"/>
              <w:right w:val="single" w:sz="8" w:color="auto"/>
            </w:tcBorders>
            <w:shd w:val="clear" w:color="auto" w:fill="CCEEFF"/>
          </w:tcPr>
          <w:p>
            <w:pPr>
              <w:jc w:val="center"/>
              <w:ind w:left="12"/>
              <w:spacing w:after="0" w:line="189" w:lineRule="exact"/>
              <w:rPr>
                <w:sz w:val="20"/>
                <w:szCs w:val="20"/>
                <w:color w:val="auto"/>
              </w:rPr>
            </w:pPr>
            <w:r>
              <w:rPr>
                <w:rFonts w:ascii="Arial" w:cs="Arial" w:eastAsia="Arial" w:hAnsi="Arial"/>
                <w:sz w:val="18"/>
                <w:szCs w:val="18"/>
                <w:b w:val="1"/>
                <w:bCs w:val="1"/>
                <w:color w:val="auto"/>
                <w:w w:val="87"/>
              </w:rPr>
              <w:t>2009 December</w:t>
            </w:r>
          </w:p>
        </w:tc>
        <w:tc>
          <w:tcPr>
            <w:tcW w:w="660" w:type="dxa"/>
            <w:vAlign w:val="bottom"/>
            <w:tcBorders>
              <w:top w:val="single" w:sz="8" w:color="CCEEFF"/>
              <w:bottom w:val="single" w:sz="8" w:color="CCEEFF"/>
              <w:right w:val="single" w:sz="8" w:color="auto"/>
            </w:tcBorders>
            <w:shd w:val="clear" w:color="auto" w:fill="CCEEFF"/>
          </w:tcPr>
          <w:p>
            <w:pPr>
              <w:spacing w:after="0"/>
              <w:rPr>
                <w:sz w:val="16"/>
                <w:szCs w:val="16"/>
                <w:color w:val="auto"/>
              </w:rPr>
            </w:pPr>
          </w:p>
        </w:tc>
        <w:tc>
          <w:tcPr>
            <w:tcW w:w="166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149</w:t>
            </w:r>
          </w:p>
        </w:tc>
        <w:tc>
          <w:tcPr>
            <w:tcW w:w="2040" w:type="dxa"/>
            <w:vAlign w:val="bottom"/>
            <w:tcBorders>
              <w:top w:val="single" w:sz="8" w:color="CCEEFF"/>
              <w:bottom w:val="single" w:sz="8" w:color="auto"/>
              <w:right w:val="single" w:sz="8" w:color="auto"/>
            </w:tcBorders>
            <w:shd w:val="clear" w:color="auto" w:fill="CCEEFF"/>
          </w:tcPr>
          <w:p>
            <w:pPr>
              <w:jc w:val="right"/>
              <w:ind w:right="215"/>
              <w:spacing w:after="0" w:line="189" w:lineRule="exact"/>
              <w:rPr>
                <w:sz w:val="20"/>
                <w:szCs w:val="20"/>
                <w:color w:val="auto"/>
              </w:rPr>
            </w:pPr>
            <w:r>
              <w:rPr>
                <w:rFonts w:ascii="Arial" w:cs="Arial" w:eastAsia="Arial" w:hAnsi="Arial"/>
                <w:sz w:val="18"/>
                <w:szCs w:val="18"/>
                <w:b w:val="1"/>
                <w:bCs w:val="1"/>
                <w:color w:val="auto"/>
              </w:rPr>
              <w:t>236</w:t>
            </w:r>
          </w:p>
        </w:tc>
        <w:tc>
          <w:tcPr>
            <w:tcW w:w="2120" w:type="dxa"/>
            <w:vAlign w:val="bottom"/>
            <w:tcBorders>
              <w:top w:val="single" w:sz="8" w:color="CCEEFF"/>
              <w:bottom w:val="single" w:sz="8" w:color="auto"/>
              <w:right w:val="single" w:sz="8" w:color="auto"/>
            </w:tcBorders>
            <w:shd w:val="clear" w:color="auto" w:fill="CCEEFF"/>
          </w:tcPr>
          <w:p>
            <w:pPr>
              <w:jc w:val="right"/>
              <w:ind w:right="315"/>
              <w:spacing w:after="0" w:line="189" w:lineRule="exact"/>
              <w:rPr>
                <w:sz w:val="20"/>
                <w:szCs w:val="20"/>
                <w:color w:val="auto"/>
              </w:rPr>
            </w:pPr>
            <w:r>
              <w:rPr>
                <w:rFonts w:ascii="Arial" w:cs="Arial" w:eastAsia="Arial" w:hAnsi="Arial"/>
                <w:sz w:val="18"/>
                <w:szCs w:val="18"/>
                <w:b w:val="1"/>
                <w:bCs w:val="1"/>
                <w:color w:val="auto"/>
              </w:rPr>
              <w:t>385</w:t>
            </w:r>
          </w:p>
        </w:tc>
      </w:tr>
      <w:tr>
        <w:trPr>
          <w:trHeight w:val="210"/>
        </w:trPr>
        <w:tc>
          <w:tcPr>
            <w:tcW w:w="494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89"/>
              </w:rPr>
              <w:t>2009 January</w:t>
            </w:r>
          </w:p>
        </w:tc>
        <w:tc>
          <w:tcPr>
            <w:tcW w:w="660" w:type="dxa"/>
            <w:vAlign w:val="bottom"/>
            <w:tcBorders>
              <w:right w:val="single" w:sz="8" w:color="auto"/>
            </w:tcBorders>
          </w:tcPr>
          <w:p>
            <w:pPr>
              <w:spacing w:after="0"/>
              <w:rPr>
                <w:sz w:val="18"/>
                <w:szCs w:val="18"/>
                <w:color w:val="auto"/>
              </w:rPr>
            </w:pPr>
          </w:p>
        </w:tc>
        <w:tc>
          <w:tcPr>
            <w:tcW w:w="166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363</w:t>
            </w:r>
          </w:p>
        </w:tc>
        <w:tc>
          <w:tcPr>
            <w:tcW w:w="2040" w:type="dxa"/>
            <w:vAlign w:val="bottom"/>
            <w:tcBorders>
              <w:bottom w:val="single" w:sz="8" w:color="auto"/>
              <w:right w:val="single" w:sz="8" w:color="auto"/>
            </w:tcBorders>
          </w:tcPr>
          <w:p>
            <w:pPr>
              <w:jc w:val="right"/>
              <w:ind w:right="215"/>
              <w:spacing w:after="0"/>
              <w:rPr>
                <w:sz w:val="20"/>
                <w:szCs w:val="20"/>
                <w:color w:val="auto"/>
              </w:rPr>
            </w:pPr>
            <w:r>
              <w:rPr>
                <w:rFonts w:ascii="Arial" w:cs="Arial" w:eastAsia="Arial" w:hAnsi="Arial"/>
                <w:sz w:val="18"/>
                <w:szCs w:val="18"/>
                <w:b w:val="1"/>
                <w:bCs w:val="1"/>
                <w:color w:val="auto"/>
              </w:rPr>
              <w:t>439</w:t>
            </w:r>
          </w:p>
        </w:tc>
        <w:tc>
          <w:tcPr>
            <w:tcW w:w="2120" w:type="dxa"/>
            <w:vAlign w:val="bottom"/>
            <w:tcBorders>
              <w:bottom w:val="single" w:sz="8" w:color="auto"/>
              <w:right w:val="single" w:sz="8" w:color="auto"/>
            </w:tcBorders>
          </w:tcPr>
          <w:p>
            <w:pPr>
              <w:jc w:val="right"/>
              <w:ind w:right="315"/>
              <w:spacing w:after="0"/>
              <w:rPr>
                <w:sz w:val="20"/>
                <w:szCs w:val="20"/>
                <w:color w:val="auto"/>
              </w:rPr>
            </w:pPr>
            <w:r>
              <w:rPr>
                <w:rFonts w:ascii="Arial" w:cs="Arial" w:eastAsia="Arial" w:hAnsi="Arial"/>
                <w:sz w:val="18"/>
                <w:szCs w:val="18"/>
                <w:b w:val="1"/>
                <w:bCs w:val="1"/>
                <w:color w:val="auto"/>
              </w:rPr>
              <w:t>801</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Brands Sales Down 90 Percent in January – Represent 1.2 Percent of Sales, 1 Percent of Inventory</w:t>
      </w:r>
    </w:p>
    <w:p>
      <w:pPr>
        <w:spacing w:after="0" w:line="171"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Saturn, Pontiac, Saab and HUMMER combined volumes represented 1.2 percent of total sales in January, compared with 12 percent in May 2009. Inventories for the combined brands totaled 4,212 units at January month-end, representing a 96 percent decrease compared to the end of May 2009 (112,141 units).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Month-End Inventories of Non-Core Brands (May2009 – Jan 2010):</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18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2260" w:type="dxa"/>
            <w:vAlign w:val="bottom"/>
            <w:tcBorders>
              <w:top w:val="single" w:sz="8" w:color="auto"/>
              <w:bottom w:val="single" w:sz="8" w:color="auto"/>
              <w:right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May 2009</w:t>
            </w:r>
          </w:p>
        </w:tc>
        <w:tc>
          <w:tcPr>
            <w:tcW w:w="2240" w:type="dxa"/>
            <w:vAlign w:val="bottom"/>
            <w:tcBorders>
              <w:top w:val="single" w:sz="8" w:color="auto"/>
              <w:bottom w:val="single" w:sz="8" w:color="auto"/>
              <w:right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Jan 2010</w:t>
            </w:r>
          </w:p>
        </w:tc>
        <w:tc>
          <w:tcPr>
            <w:tcW w:w="2740" w:type="dxa"/>
            <w:vAlign w:val="bottom"/>
            <w:tcBorders>
              <w:top w:val="single" w:sz="8" w:color="auto"/>
              <w:bottom w:val="single" w:sz="8" w:color="auto"/>
              <w:right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Reduction</w:t>
            </w:r>
          </w:p>
        </w:tc>
      </w:tr>
      <w:tr>
        <w:trPr>
          <w:trHeight w:val="193"/>
        </w:trPr>
        <w:tc>
          <w:tcPr>
            <w:tcW w:w="4180" w:type="dxa"/>
            <w:vAlign w:val="bottom"/>
            <w:tcBorders>
              <w:top w:val="single" w:sz="8" w:color="auto"/>
              <w:left w:val="single" w:sz="8" w:color="auto"/>
              <w:bottom w:val="single" w:sz="8" w:color="auto"/>
              <w:right w:val="single" w:sz="8" w:color="auto"/>
            </w:tcBorders>
            <w:shd w:val="clear" w:color="auto" w:fill="CCEEFF"/>
          </w:tcPr>
          <w:p>
            <w:pPr>
              <w:jc w:val="center"/>
              <w:ind w:left="12"/>
              <w:spacing w:after="0" w:line="193" w:lineRule="exact"/>
              <w:rPr>
                <w:sz w:val="20"/>
                <w:szCs w:val="20"/>
                <w:color w:val="auto"/>
              </w:rPr>
            </w:pPr>
            <w:r>
              <w:rPr>
                <w:rFonts w:ascii="Arial" w:cs="Arial" w:eastAsia="Arial" w:hAnsi="Arial"/>
                <w:sz w:val="18"/>
                <w:szCs w:val="18"/>
                <w:color w:val="auto"/>
                <w:w w:val="98"/>
              </w:rPr>
              <w:t>HUMMER</w:t>
            </w:r>
          </w:p>
        </w:tc>
        <w:tc>
          <w:tcPr>
            <w:tcW w:w="2260" w:type="dxa"/>
            <w:vAlign w:val="bottom"/>
            <w:tcBorders>
              <w:top w:val="single" w:sz="8" w:color="CCEEFF"/>
              <w:bottom w:val="single" w:sz="8" w:color="auto"/>
              <w:right w:val="single" w:sz="8" w:color="auto"/>
            </w:tcBorders>
            <w:shd w:val="clear" w:color="auto" w:fill="CCEEFF"/>
          </w:tcPr>
          <w:p>
            <w:pPr>
              <w:jc w:val="right"/>
              <w:ind w:right="76"/>
              <w:spacing w:after="0" w:line="193" w:lineRule="exact"/>
              <w:rPr>
                <w:sz w:val="20"/>
                <w:szCs w:val="20"/>
                <w:color w:val="auto"/>
              </w:rPr>
            </w:pPr>
            <w:r>
              <w:rPr>
                <w:rFonts w:ascii="Arial" w:cs="Arial" w:eastAsia="Arial" w:hAnsi="Arial"/>
                <w:sz w:val="18"/>
                <w:szCs w:val="18"/>
                <w:color w:val="auto"/>
              </w:rPr>
              <w:t>4,039</w:t>
            </w:r>
          </w:p>
        </w:tc>
        <w:tc>
          <w:tcPr>
            <w:tcW w:w="2240" w:type="dxa"/>
            <w:vAlign w:val="bottom"/>
            <w:tcBorders>
              <w:top w:val="single" w:sz="8" w:color="CCEEFF"/>
              <w:bottom w:val="single" w:sz="8" w:color="auto"/>
              <w:right w:val="single" w:sz="8" w:color="auto"/>
            </w:tcBorders>
            <w:shd w:val="clear" w:color="auto" w:fill="CCEEFF"/>
          </w:tcPr>
          <w:p>
            <w:pPr>
              <w:jc w:val="right"/>
              <w:ind w:right="76"/>
              <w:spacing w:after="0" w:line="193" w:lineRule="exact"/>
              <w:rPr>
                <w:sz w:val="20"/>
                <w:szCs w:val="20"/>
                <w:color w:val="auto"/>
              </w:rPr>
            </w:pPr>
            <w:r>
              <w:rPr>
                <w:rFonts w:ascii="Arial" w:cs="Arial" w:eastAsia="Arial" w:hAnsi="Arial"/>
                <w:sz w:val="18"/>
                <w:szCs w:val="18"/>
                <w:color w:val="auto"/>
              </w:rPr>
              <w:t>2,493</w:t>
            </w:r>
          </w:p>
        </w:tc>
        <w:tc>
          <w:tcPr>
            <w:tcW w:w="2740" w:type="dxa"/>
            <w:vAlign w:val="bottom"/>
            <w:tcBorders>
              <w:top w:val="single" w:sz="8" w:color="CCEEFF"/>
              <w:bottom w:val="single" w:sz="8" w:color="auto"/>
              <w:right w:val="single" w:sz="8" w:color="auto"/>
            </w:tcBorders>
            <w:shd w:val="clear" w:color="auto" w:fill="CCEEFF"/>
          </w:tcPr>
          <w:p>
            <w:pPr>
              <w:jc w:val="right"/>
              <w:ind w:right="176"/>
              <w:spacing w:after="0" w:line="193" w:lineRule="exact"/>
              <w:rPr>
                <w:sz w:val="20"/>
                <w:szCs w:val="20"/>
                <w:color w:val="auto"/>
              </w:rPr>
            </w:pPr>
            <w:r>
              <w:rPr>
                <w:rFonts w:ascii="Arial" w:cs="Arial" w:eastAsia="Arial" w:hAnsi="Arial"/>
                <w:sz w:val="18"/>
                <w:szCs w:val="18"/>
                <w:color w:val="auto"/>
              </w:rPr>
              <w:t>38%</w:t>
            </w:r>
          </w:p>
        </w:tc>
      </w:tr>
      <w:tr>
        <w:trPr>
          <w:trHeight w:val="210"/>
        </w:trPr>
        <w:tc>
          <w:tcPr>
            <w:tcW w:w="418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6"/>
              </w:rPr>
              <w:t>Pontiac</w:t>
            </w:r>
          </w:p>
        </w:tc>
        <w:tc>
          <w:tcPr>
            <w:tcW w:w="226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8"/>
                <w:szCs w:val="18"/>
                <w:color w:val="auto"/>
              </w:rPr>
              <w:t>70,876</w:t>
            </w:r>
          </w:p>
        </w:tc>
        <w:tc>
          <w:tcPr>
            <w:tcW w:w="224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8"/>
                <w:szCs w:val="18"/>
                <w:color w:val="auto"/>
              </w:rPr>
              <w:t>534</w:t>
            </w:r>
          </w:p>
        </w:tc>
        <w:tc>
          <w:tcPr>
            <w:tcW w:w="274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99%</w:t>
            </w:r>
          </w:p>
        </w:tc>
      </w:tr>
      <w:tr>
        <w:trPr>
          <w:trHeight w:val="210"/>
        </w:trPr>
        <w:tc>
          <w:tcPr>
            <w:tcW w:w="41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0"/>
              </w:rPr>
              <w:t>Saab</w:t>
            </w:r>
          </w:p>
        </w:tc>
        <w:tc>
          <w:tcPr>
            <w:tcW w:w="226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4,579</w:t>
            </w:r>
          </w:p>
        </w:tc>
        <w:tc>
          <w:tcPr>
            <w:tcW w:w="2240" w:type="dxa"/>
            <w:vAlign w:val="bottom"/>
            <w:tcBorders>
              <w:bottom w:val="single" w:sz="8" w:color="auto"/>
              <w:right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780</w:t>
            </w:r>
          </w:p>
        </w:tc>
        <w:tc>
          <w:tcPr>
            <w:tcW w:w="2740" w:type="dxa"/>
            <w:vAlign w:val="bottom"/>
            <w:tcBorders>
              <w:bottom w:val="single" w:sz="8" w:color="auto"/>
              <w:right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rPr>
              <w:t>83%</w:t>
            </w:r>
          </w:p>
        </w:tc>
      </w:tr>
      <w:tr>
        <w:trPr>
          <w:trHeight w:val="21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Saturn</w:t>
            </w:r>
          </w:p>
        </w:tc>
        <w:tc>
          <w:tcPr>
            <w:tcW w:w="226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8"/>
                <w:szCs w:val="18"/>
                <w:color w:val="auto"/>
              </w:rPr>
              <w:t>32,647</w:t>
            </w:r>
          </w:p>
        </w:tc>
        <w:tc>
          <w:tcPr>
            <w:tcW w:w="2240" w:type="dxa"/>
            <w:vAlign w:val="bottom"/>
            <w:tcBorders>
              <w:bottom w:val="single" w:sz="8" w:color="auto"/>
              <w:right w:val="single" w:sz="8" w:color="auto"/>
            </w:tcBorders>
          </w:tcPr>
          <w:p>
            <w:pPr>
              <w:jc w:val="right"/>
              <w:ind w:right="76"/>
              <w:spacing w:after="0"/>
              <w:rPr>
                <w:sz w:val="20"/>
                <w:szCs w:val="20"/>
                <w:color w:val="auto"/>
              </w:rPr>
            </w:pPr>
            <w:r>
              <w:rPr>
                <w:rFonts w:ascii="Arial" w:cs="Arial" w:eastAsia="Arial" w:hAnsi="Arial"/>
                <w:sz w:val="18"/>
                <w:szCs w:val="18"/>
                <w:color w:val="auto"/>
              </w:rPr>
              <w:t>405</w:t>
            </w:r>
          </w:p>
        </w:tc>
        <w:tc>
          <w:tcPr>
            <w:tcW w:w="2740" w:type="dxa"/>
            <w:vAlign w:val="bottom"/>
            <w:tcBorders>
              <w:bottom w:val="single" w:sz="8" w:color="auto"/>
              <w:right w:val="single" w:sz="8" w:color="auto"/>
            </w:tcBorders>
          </w:tcPr>
          <w:p>
            <w:pPr>
              <w:jc w:val="right"/>
              <w:ind w:right="176"/>
              <w:spacing w:after="0"/>
              <w:rPr>
                <w:sz w:val="20"/>
                <w:szCs w:val="20"/>
                <w:color w:val="auto"/>
              </w:rPr>
            </w:pPr>
            <w:r>
              <w:rPr>
                <w:rFonts w:ascii="Arial" w:cs="Arial" w:eastAsia="Arial" w:hAnsi="Arial"/>
                <w:sz w:val="18"/>
                <w:szCs w:val="18"/>
                <w:color w:val="auto"/>
              </w:rPr>
              <w:t>99%</w:t>
            </w: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About General Motors: </w:t>
      </w:r>
      <w:r>
        <w:rPr>
          <w:rFonts w:ascii="Arial" w:cs="Arial" w:eastAsia="Arial" w:hAnsi="Arial"/>
          <w:sz w:val="16"/>
          <w:szCs w:val="16"/>
          <w:color w:val="auto"/>
        </w:rPr>
        <w:t>General Motors, one of the world’s largest automakers, traces its roots back to 1908. With its global headquarters in Detroit, GM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employs 204,000 people in every major region of the world and does business in some 140 countries. GM and its strategic partners produce cars and trucks in 34 countries, and sell and service these vehicles through the following brands: Buick, Cadillac, Chevrolet, GMC, GM Daewoo, Holden, Opel, Vauxhall and Wuling. GM’s largest national market is the United States, followed by China, Brazil, Germany, the United Kingdom, Canada, and Italy. GM’s OnStar subsidiary is the industry leader in vehicle safety, security and information services. General Motors acquired operations from General Motors Corporation on July 10, 2009, and references to prior periods in this and other press materials refer to operations of the old General Motors Corporation. More information on the new General Motors can be found at </w:t>
      </w:r>
      <w:r>
        <w:rPr>
          <w:rFonts w:ascii="Arial" w:cs="Arial" w:eastAsia="Arial" w:hAnsi="Arial"/>
          <w:sz w:val="16"/>
          <w:szCs w:val="16"/>
          <w:u w:val="single" w:color="auto"/>
          <w:color w:val="auto"/>
        </w:rPr>
        <w:t>www.gm.com</w:t>
      </w:r>
      <w:r>
        <w:rPr>
          <w:rFonts w:ascii="Arial" w:cs="Arial" w:eastAsia="Arial" w:hAnsi="Arial"/>
          <w:sz w:val="16"/>
          <w:szCs w:val="16"/>
          <w:color w:val="auto"/>
        </w:rPr>
        <w: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 cell</w:t>
      </w:r>
    </w:p>
    <w:p>
      <w:pPr>
        <w:sectPr>
          <w:pgSz w:w="11900" w:h="16838" w:orient="portrait"/>
          <w:cols w:equalWidth="0" w:num="1">
            <w:col w:w="11340"/>
          </w:cols>
          <w:pgMar w:left="240" w:top="274"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Motors dealers in the United States reported the following deliveries:</w:t>
      </w: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6420" w:type="dxa"/>
            <w:vAlign w:val="bottom"/>
            <w:tcBorders>
              <w:top w:val="single" w:sz="8" w:color="auto"/>
              <w:left w:val="single" w:sz="8" w:color="auto"/>
              <w:right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jc w:val="right"/>
              <w:ind w:right="336"/>
              <w:spacing w:after="0"/>
              <w:rPr>
                <w:sz w:val="20"/>
                <w:szCs w:val="20"/>
                <w:color w:val="auto"/>
              </w:rPr>
            </w:pPr>
            <w:r>
              <w:rPr>
                <w:rFonts w:ascii="Arial" w:cs="Arial" w:eastAsia="Arial" w:hAnsi="Arial"/>
                <w:sz w:val="14"/>
                <w:szCs w:val="14"/>
                <w:color w:val="auto"/>
              </w:rPr>
              <w:t>January</w:t>
            </w:r>
          </w:p>
        </w:tc>
        <w:tc>
          <w:tcPr>
            <w:tcW w:w="740" w:type="dxa"/>
            <w:vAlign w:val="bottom"/>
            <w:tcBorders>
              <w:top w:val="single" w:sz="8" w:color="auto"/>
              <w:right w:val="single" w:sz="8" w:color="auto"/>
            </w:tcBorders>
          </w:tcPr>
          <w:p>
            <w:pPr>
              <w:spacing w:after="0"/>
              <w:rPr>
                <w:sz w:val="13"/>
                <w:szCs w:val="13"/>
                <w:color w:val="auto"/>
              </w:rPr>
            </w:pPr>
          </w:p>
        </w:tc>
        <w:tc>
          <w:tcPr>
            <w:tcW w:w="2200" w:type="dxa"/>
            <w:vAlign w:val="bottom"/>
            <w:tcBorders>
              <w:top w:val="single" w:sz="8" w:color="auto"/>
              <w:right w:val="single" w:sz="8" w:color="auto"/>
            </w:tcBorders>
            <w:gridSpan w:val="3"/>
          </w:tcPr>
          <w:p>
            <w:pPr>
              <w:jc w:val="right"/>
              <w:ind w:right="376"/>
              <w:spacing w:after="0" w:line="155"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91"/>
        </w:trPr>
        <w:tc>
          <w:tcPr>
            <w:tcW w:w="6420" w:type="dxa"/>
            <w:vAlign w:val="bottom"/>
            <w:tcBorders>
              <w:left w:val="single" w:sz="8" w:color="auto"/>
              <w:right w:val="single" w:sz="8" w:color="auto"/>
            </w:tcBorders>
            <w:vMerge w:val="restart"/>
          </w:tcPr>
          <w:p>
            <w:pPr>
              <w:ind w:left="120"/>
              <w:spacing w:after="0" w:line="156" w:lineRule="exact"/>
              <w:rPr>
                <w:sz w:val="20"/>
                <w:szCs w:val="20"/>
                <w:color w:val="auto"/>
              </w:rPr>
            </w:pPr>
            <w:r>
              <w:rPr>
                <w:rFonts w:ascii="Arial" w:cs="Arial" w:eastAsia="Arial" w:hAnsi="Arial"/>
                <w:sz w:val="14"/>
                <w:szCs w:val="14"/>
                <w:color w:val="auto"/>
              </w:rPr>
              <w:t>*S/D Curr: 24</w:t>
            </w:r>
          </w:p>
        </w:tc>
        <w:tc>
          <w:tcPr>
            <w:tcW w:w="78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740" w:type="dxa"/>
            <w:vAlign w:val="bottom"/>
            <w:tcBorders>
              <w:right w:val="single" w:sz="8" w:color="auto"/>
            </w:tcBorders>
          </w:tcPr>
          <w:p>
            <w:pPr>
              <w:spacing w:after="0"/>
              <w:rPr>
                <w:sz w:val="7"/>
                <w:szCs w:val="7"/>
                <w:color w:val="auto"/>
              </w:rPr>
            </w:pPr>
          </w:p>
        </w:tc>
        <w:tc>
          <w:tcPr>
            <w:tcW w:w="1600" w:type="dxa"/>
            <w:vAlign w:val="bottom"/>
            <w:gridSpan w:val="2"/>
            <w:vMerge w:val="restart"/>
          </w:tcPr>
          <w:p>
            <w:pPr>
              <w:jc w:val="right"/>
              <w:spacing w:after="0" w:line="156" w:lineRule="exact"/>
              <w:rPr>
                <w:sz w:val="20"/>
                <w:szCs w:val="20"/>
                <w:color w:val="auto"/>
              </w:rPr>
            </w:pPr>
            <w:r>
              <w:rPr>
                <w:rFonts w:ascii="Arial" w:cs="Arial" w:eastAsia="Arial" w:hAnsi="Arial"/>
                <w:sz w:val="14"/>
                <w:szCs w:val="14"/>
                <w:color w:val="auto"/>
              </w:rPr>
              <w:t>January - January</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642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Borders>
              <w:bottom w:val="single" w:sz="8" w:color="auto"/>
              <w:right w:val="single" w:sz="8" w:color="auto"/>
            </w:tcBorders>
          </w:tcPr>
          <w:p>
            <w:pPr>
              <w:spacing w:after="0"/>
              <w:rPr>
                <w:sz w:val="7"/>
                <w:szCs w:val="7"/>
                <w:color w:val="auto"/>
              </w:rPr>
            </w:pPr>
          </w:p>
        </w:tc>
        <w:tc>
          <w:tcPr>
            <w:tcW w:w="1600" w:type="dxa"/>
            <w:vAlign w:val="bottom"/>
            <w:tcBorders>
              <w:bottom w:val="single" w:sz="8" w:color="auto"/>
            </w:tcBorders>
            <w:gridSpan w:val="2"/>
            <w:vMerge w:val="continue"/>
          </w:tcPr>
          <w:p>
            <w:pPr>
              <w:spacing w:after="0"/>
              <w:rPr>
                <w:sz w:val="7"/>
                <w:szCs w:val="7"/>
                <w:color w:val="auto"/>
              </w:rPr>
            </w:pPr>
          </w:p>
        </w:tc>
        <w:tc>
          <w:tcPr>
            <w:tcW w:w="6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6420" w:type="dxa"/>
            <w:vAlign w:val="bottom"/>
            <w:tcBorders>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4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59"/>
        </w:trPr>
        <w:tc>
          <w:tcPr>
            <w:tcW w:w="6420" w:type="dxa"/>
            <w:vAlign w:val="bottom"/>
            <w:tcBorders>
              <w:bottom w:val="single" w:sz="8" w:color="auto"/>
              <w:right w:val="single" w:sz="8" w:color="auto"/>
            </w:tcBorders>
          </w:tcPr>
          <w:p>
            <w:pPr>
              <w:ind w:left="120"/>
              <w:spacing w:after="0" w:line="159" w:lineRule="exact"/>
              <w:rPr>
                <w:sz w:val="20"/>
                <w:szCs w:val="20"/>
                <w:color w:val="auto"/>
              </w:rPr>
            </w:pPr>
            <w:r>
              <w:rPr>
                <w:rFonts w:ascii="Arial" w:cs="Arial" w:eastAsia="Arial" w:hAnsi="Arial"/>
                <w:sz w:val="14"/>
                <w:szCs w:val="14"/>
                <w:color w:val="auto"/>
              </w:rPr>
              <w:t>*S/D Prev: 26</w:t>
            </w: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96"/>
              </w:rPr>
              <w:t>Volume</w:t>
            </w:r>
          </w:p>
        </w:tc>
        <w:tc>
          <w:tcPr>
            <w:tcW w:w="74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Vehicle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129,227</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146,825</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129,227</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145,098</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111,774</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29.8</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40.6</w:t>
            </w:r>
          </w:p>
        </w:tc>
        <w:tc>
          <w:tcPr>
            <w:tcW w:w="820" w:type="dxa"/>
            <w:vAlign w:val="bottom"/>
          </w:tcPr>
          <w:p>
            <w:pPr>
              <w:jc w:val="right"/>
              <w:spacing w:after="0"/>
              <w:rPr>
                <w:sz w:val="20"/>
                <w:szCs w:val="20"/>
                <w:color w:val="auto"/>
              </w:rPr>
            </w:pPr>
            <w:r>
              <w:rPr>
                <w:rFonts w:ascii="Arial" w:cs="Arial" w:eastAsia="Arial" w:hAnsi="Arial"/>
                <w:sz w:val="18"/>
                <w:szCs w:val="18"/>
                <w:color w:val="auto"/>
              </w:rPr>
              <w:t>145,098</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111,774</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Non-Core 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-90.1</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-89.3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17,453</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Light Vehicle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146,315</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128,198</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14.1</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23.6</w:t>
            </w:r>
          </w:p>
        </w:tc>
        <w:tc>
          <w:tcPr>
            <w:tcW w:w="820" w:type="dxa"/>
            <w:vAlign w:val="bottom"/>
          </w:tcPr>
          <w:p>
            <w:pPr>
              <w:jc w:val="right"/>
              <w:spacing w:after="0"/>
              <w:rPr>
                <w:sz w:val="20"/>
                <w:szCs w:val="20"/>
                <w:color w:val="auto"/>
              </w:rPr>
            </w:pPr>
            <w:r>
              <w:rPr>
                <w:rFonts w:ascii="Arial" w:cs="Arial" w:eastAsia="Arial" w:hAnsi="Arial"/>
                <w:sz w:val="18"/>
                <w:szCs w:val="18"/>
                <w:color w:val="auto"/>
              </w:rPr>
              <w:t>146,315</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w w:val="98"/>
              </w:rPr>
              <w:t>128,198</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Car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43,943</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35.1</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43,943</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Light Truck Total</w:t>
            </w:r>
          </w:p>
        </w:tc>
        <w:tc>
          <w:tcPr>
            <w:tcW w:w="780" w:type="dxa"/>
            <w:vAlign w:val="bottom"/>
          </w:tcPr>
          <w:p>
            <w:pPr>
              <w:jc w:val="right"/>
              <w:spacing w:after="0"/>
              <w:rPr>
                <w:sz w:val="20"/>
                <w:szCs w:val="20"/>
                <w:color w:val="auto"/>
              </w:rPr>
            </w:pPr>
            <w:r>
              <w:rPr>
                <w:rFonts w:ascii="Arial" w:cs="Arial" w:eastAsia="Arial" w:hAnsi="Arial"/>
                <w:sz w:val="18"/>
                <w:szCs w:val="18"/>
                <w:color w:val="auto"/>
              </w:rPr>
              <w:t>49,064</w:t>
            </w:r>
          </w:p>
        </w:tc>
        <w:tc>
          <w:tcPr>
            <w:tcW w:w="720" w:type="dxa"/>
            <w:vAlign w:val="bottom"/>
          </w:tcPr>
          <w:p>
            <w:pPr>
              <w:jc w:val="right"/>
              <w:spacing w:after="0"/>
              <w:rPr>
                <w:sz w:val="20"/>
                <w:szCs w:val="20"/>
                <w:color w:val="auto"/>
              </w:rPr>
            </w:pPr>
            <w:r>
              <w:rPr>
                <w:rFonts w:ascii="Arial" w:cs="Arial" w:eastAsia="Arial" w:hAnsi="Arial"/>
                <w:sz w:val="18"/>
                <w:szCs w:val="18"/>
                <w:color w:val="auto"/>
              </w:rPr>
              <w:t>59,649</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-17.7</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-10.9</w:t>
            </w:r>
          </w:p>
        </w:tc>
        <w:tc>
          <w:tcPr>
            <w:tcW w:w="820" w:type="dxa"/>
            <w:vAlign w:val="bottom"/>
          </w:tcPr>
          <w:p>
            <w:pPr>
              <w:jc w:val="right"/>
              <w:spacing w:after="0"/>
              <w:rPr>
                <w:sz w:val="20"/>
                <w:szCs w:val="20"/>
                <w:color w:val="auto"/>
              </w:rPr>
            </w:pPr>
            <w:r>
              <w:rPr>
                <w:rFonts w:ascii="Arial" w:cs="Arial" w:eastAsia="Arial" w:hAnsi="Arial"/>
                <w:sz w:val="18"/>
                <w:szCs w:val="18"/>
                <w:color w:val="auto"/>
              </w:rPr>
              <w:t>49,064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59,649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Truck Total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60,678</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-18.3</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49,574</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60,678</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Crossover 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24,606</w:t>
            </w: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54.0</w:t>
            </w:r>
          </w:p>
        </w:tc>
        <w:tc>
          <w:tcPr>
            <w:tcW w:w="740" w:type="dxa"/>
            <w:vAlign w:val="bottom"/>
            <w:tcBorders>
              <w:bottom w:val="single" w:sz="8" w:color="auto"/>
              <w:right w:val="single" w:sz="8" w:color="auto"/>
            </w:tcBorders>
          </w:tcPr>
          <w:p>
            <w:pPr>
              <w:jc w:val="right"/>
              <w:ind w:right="16"/>
              <w:spacing w:after="0"/>
              <w:rPr>
                <w:sz w:val="20"/>
                <w:szCs w:val="20"/>
                <w:color w:val="auto"/>
              </w:rPr>
            </w:pPr>
            <w:r>
              <w:rPr>
                <w:rFonts w:ascii="Arial" w:cs="Arial" w:eastAsia="Arial" w:hAnsi="Arial"/>
                <w:sz w:val="18"/>
                <w:szCs w:val="18"/>
                <w:color w:val="auto"/>
              </w:rPr>
              <w:t>66.8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37,888</w:t>
            </w:r>
          </w:p>
        </w:tc>
        <w:tc>
          <w:tcPr>
            <w:tcW w:w="7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24,606</w:t>
            </w:r>
          </w:p>
        </w:tc>
        <w:tc>
          <w:tcPr>
            <w:tcW w:w="600" w:type="dxa"/>
            <w:vAlign w:val="bottom"/>
            <w:tcBorders>
              <w:bottom w:val="single" w:sz="8" w:color="auto"/>
              <w:right w:val="single" w:sz="8" w:color="auto"/>
            </w:tcBorders>
          </w:tcPr>
          <w:p>
            <w:pPr>
              <w:jc w:val="right"/>
              <w:ind w:right="5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GM Vehicle Deliveries by Marketing Division</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6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420" w:type="dxa"/>
            <w:vAlign w:val="bottom"/>
            <w:tcBorders>
              <w:left w:val="single" w:sz="8" w:color="auto"/>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4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642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w w:val="96"/>
              </w:rPr>
              <w:t>Volume</w:t>
            </w:r>
          </w:p>
        </w:tc>
        <w:tc>
          <w:tcPr>
            <w:tcW w:w="740" w:type="dxa"/>
            <w:vAlign w:val="bottom"/>
            <w:tcBorders>
              <w:bottom w:val="single" w:sz="8" w:color="auto"/>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S/D</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5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6420" w:type="dxa"/>
            <w:vAlign w:val="bottom"/>
            <w:tcBorders>
              <w:top w:val="single" w:sz="8" w:color="auto"/>
              <w:left w:val="single" w:sz="8" w:color="CCEEFF"/>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78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10,061</w:t>
            </w:r>
          </w:p>
        </w:tc>
        <w:tc>
          <w:tcPr>
            <w:tcW w:w="7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6,969</w:t>
            </w:r>
          </w:p>
        </w:tc>
        <w:tc>
          <w:tcPr>
            <w:tcW w:w="58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44.4</w:t>
            </w:r>
          </w:p>
        </w:tc>
        <w:tc>
          <w:tcPr>
            <w:tcW w:w="74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56.4</w:t>
            </w:r>
          </w:p>
        </w:tc>
        <w:tc>
          <w:tcPr>
            <w:tcW w:w="8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10,061</w:t>
            </w:r>
          </w:p>
        </w:tc>
        <w:tc>
          <w:tcPr>
            <w:tcW w:w="7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6,969</w:t>
            </w:r>
          </w:p>
        </w:tc>
        <w:tc>
          <w:tcPr>
            <w:tcW w:w="600" w:type="dxa"/>
            <w:vAlign w:val="bottom"/>
            <w:tcBorders>
              <w:top w:val="single" w:sz="8" w:color="CCEEFF"/>
              <w:right w:val="single" w:sz="8" w:color="auto"/>
            </w:tcBorders>
            <w:shd w:val="clear" w:color="auto" w:fill="CCEEFF"/>
          </w:tcPr>
          <w:p>
            <w:pPr>
              <w:jc w:val="right"/>
              <w:ind w:right="56"/>
              <w:spacing w:after="0" w:line="193" w:lineRule="exact"/>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8,440</w:t>
            </w:r>
          </w:p>
        </w:tc>
        <w:tc>
          <w:tcPr>
            <w:tcW w:w="720" w:type="dxa"/>
            <w:vAlign w:val="bottom"/>
          </w:tcPr>
          <w:p>
            <w:pPr>
              <w:jc w:val="right"/>
              <w:spacing w:after="0"/>
              <w:rPr>
                <w:sz w:val="20"/>
                <w:szCs w:val="20"/>
                <w:color w:val="auto"/>
              </w:rPr>
            </w:pPr>
            <w:r>
              <w:rPr>
                <w:rFonts w:ascii="Arial" w:cs="Arial" w:eastAsia="Arial" w:hAnsi="Arial"/>
                <w:sz w:val="18"/>
                <w:szCs w:val="18"/>
                <w:color w:val="auto"/>
              </w:rPr>
              <w:t>8,499</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7.6</w:t>
            </w:r>
          </w:p>
        </w:tc>
        <w:tc>
          <w:tcPr>
            <w:tcW w:w="820" w:type="dxa"/>
            <w:vAlign w:val="bottom"/>
          </w:tcPr>
          <w:p>
            <w:pPr>
              <w:jc w:val="right"/>
              <w:spacing w:after="0"/>
              <w:rPr>
                <w:sz w:val="20"/>
                <w:szCs w:val="20"/>
                <w:color w:val="auto"/>
              </w:rPr>
            </w:pPr>
            <w:r>
              <w:rPr>
                <w:rFonts w:ascii="Arial" w:cs="Arial" w:eastAsia="Arial" w:hAnsi="Arial"/>
                <w:sz w:val="18"/>
                <w:szCs w:val="18"/>
                <w:color w:val="auto"/>
              </w:rPr>
              <w:t>8,440</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8,499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77,186</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36.4</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47.8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105,294</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77,186</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21,303</w:t>
            </w:r>
          </w:p>
        </w:tc>
        <w:tc>
          <w:tcPr>
            <w:tcW w:w="720" w:type="dxa"/>
            <w:vAlign w:val="bottom"/>
          </w:tcPr>
          <w:p>
            <w:pPr>
              <w:jc w:val="right"/>
              <w:spacing w:after="0"/>
              <w:rPr>
                <w:sz w:val="20"/>
                <w:szCs w:val="20"/>
                <w:color w:val="auto"/>
              </w:rPr>
            </w:pPr>
            <w:r>
              <w:rPr>
                <w:rFonts w:ascii="Arial" w:cs="Arial" w:eastAsia="Arial" w:hAnsi="Arial"/>
                <w:sz w:val="18"/>
                <w:szCs w:val="18"/>
                <w:color w:val="auto"/>
              </w:rPr>
              <w:t>19,120</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11.4</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20.7</w:t>
            </w:r>
          </w:p>
        </w:tc>
        <w:tc>
          <w:tcPr>
            <w:tcW w:w="820" w:type="dxa"/>
            <w:vAlign w:val="bottom"/>
          </w:tcPr>
          <w:p>
            <w:pPr>
              <w:jc w:val="right"/>
              <w:spacing w:after="0"/>
              <w:rPr>
                <w:sz w:val="20"/>
                <w:szCs w:val="20"/>
                <w:color w:val="auto"/>
              </w:rPr>
            </w:pPr>
            <w:r>
              <w:rPr>
                <w:rFonts w:ascii="Arial" w:cs="Arial" w:eastAsia="Arial" w:hAnsi="Arial"/>
                <w:sz w:val="18"/>
                <w:szCs w:val="18"/>
                <w:color w:val="auto"/>
              </w:rPr>
              <w:t>21,303</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19,120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Core 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111,774</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29.8</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40.6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145,098</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8"/>
              </w:rPr>
              <w:t>111,774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720" w:type="dxa"/>
            <w:vAlign w:val="bottom"/>
          </w:tcPr>
          <w:p>
            <w:pPr>
              <w:jc w:val="right"/>
              <w:spacing w:after="0"/>
              <w:rPr>
                <w:sz w:val="20"/>
                <w:szCs w:val="20"/>
                <w:color w:val="auto"/>
              </w:rPr>
            </w:pPr>
            <w:r>
              <w:rPr>
                <w:rFonts w:ascii="Arial" w:cs="Arial" w:eastAsia="Arial" w:hAnsi="Arial"/>
                <w:sz w:val="18"/>
                <w:szCs w:val="18"/>
                <w:color w:val="auto"/>
              </w:rPr>
              <w:t>1,222</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-78.3</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-76.5</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1,222</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-95.7</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9,104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720" w:type="dxa"/>
            <w:vAlign w:val="bottom"/>
          </w:tcPr>
          <w:p>
            <w:pPr>
              <w:jc w:val="right"/>
              <w:spacing w:after="0"/>
              <w:rPr>
                <w:sz w:val="20"/>
                <w:szCs w:val="20"/>
                <w:color w:val="auto"/>
              </w:rPr>
            </w:pPr>
            <w:r>
              <w:rPr>
                <w:rFonts w:ascii="Arial" w:cs="Arial" w:eastAsia="Arial" w:hAnsi="Arial"/>
                <w:sz w:val="18"/>
                <w:szCs w:val="18"/>
                <w:color w:val="auto"/>
              </w:rPr>
              <w:t>955</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-46.5</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-42.0</w:t>
            </w:r>
          </w:p>
        </w:tc>
        <w:tc>
          <w:tcPr>
            <w:tcW w:w="820" w:type="dxa"/>
            <w:vAlign w:val="bottom"/>
          </w:tcPr>
          <w:p>
            <w:pPr>
              <w:jc w:val="right"/>
              <w:spacing w:after="0"/>
              <w:rPr>
                <w:sz w:val="20"/>
                <w:szCs w:val="20"/>
                <w:color w:val="auto"/>
              </w:rPr>
            </w:pPr>
            <w:r>
              <w:rPr>
                <w:rFonts w:ascii="Arial" w:cs="Arial" w:eastAsia="Arial" w:hAnsi="Arial"/>
                <w:sz w:val="18"/>
                <w:szCs w:val="18"/>
                <w:color w:val="auto"/>
              </w:rPr>
              <w:t>511</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955</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6,172</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-90.9</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-90.1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6,172</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-90.9</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Non-Core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1,727</w:t>
            </w:r>
          </w:p>
        </w:tc>
        <w:tc>
          <w:tcPr>
            <w:tcW w:w="720" w:type="dxa"/>
            <w:vAlign w:val="bottom"/>
          </w:tcPr>
          <w:p>
            <w:pPr>
              <w:jc w:val="right"/>
              <w:spacing w:after="0"/>
              <w:rPr>
                <w:sz w:val="20"/>
                <w:szCs w:val="20"/>
                <w:color w:val="auto"/>
              </w:rPr>
            </w:pPr>
            <w:r>
              <w:rPr>
                <w:rFonts w:ascii="Arial" w:cs="Arial" w:eastAsia="Arial" w:hAnsi="Arial"/>
                <w:sz w:val="18"/>
                <w:szCs w:val="18"/>
                <w:color w:val="auto"/>
              </w:rPr>
              <w:t>17,453</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-90.1</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-89.3</w:t>
            </w:r>
          </w:p>
        </w:tc>
        <w:tc>
          <w:tcPr>
            <w:tcW w:w="820" w:type="dxa"/>
            <w:vAlign w:val="bottom"/>
          </w:tcPr>
          <w:p>
            <w:pPr>
              <w:jc w:val="right"/>
              <w:spacing w:after="0"/>
              <w:rPr>
                <w:sz w:val="20"/>
                <w:szCs w:val="20"/>
                <w:color w:val="auto"/>
              </w:rPr>
            </w:pPr>
            <w:r>
              <w:rPr>
                <w:rFonts w:ascii="Arial" w:cs="Arial" w:eastAsia="Arial" w:hAnsi="Arial"/>
                <w:sz w:val="18"/>
                <w:szCs w:val="18"/>
                <w:color w:val="auto"/>
              </w:rPr>
              <w:t>1,727</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17,453</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Vehicle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129,227</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13.6</w:t>
            </w:r>
          </w:p>
        </w:tc>
        <w:tc>
          <w:tcPr>
            <w:tcW w:w="7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23.1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146,825</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8"/>
              </w:rPr>
              <w:t>129,227</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GM Car Deliveries by Marketing Division</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64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6420" w:type="dxa"/>
            <w:vAlign w:val="bottom"/>
            <w:tcBorders>
              <w:left w:val="single" w:sz="8" w:color="auto"/>
              <w:right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jc w:val="right"/>
              <w:ind w:right="16"/>
              <w:spacing w:after="0" w:line="115" w:lineRule="exact"/>
              <w:rPr>
                <w:sz w:val="20"/>
                <w:szCs w:val="20"/>
                <w:color w:val="auto"/>
              </w:rPr>
            </w:pPr>
            <w:r>
              <w:rPr>
                <w:rFonts w:ascii="Arial" w:cs="Arial" w:eastAsia="Arial" w:hAnsi="Arial"/>
                <w:sz w:val="12"/>
                <w:szCs w:val="12"/>
                <w:color w:val="auto"/>
              </w:rPr>
              <w:t>% Chg</w:t>
            </w:r>
          </w:p>
        </w:tc>
        <w:tc>
          <w:tcPr>
            <w:tcW w:w="74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2"/>
                <w:szCs w:val="12"/>
                <w:color w:val="auto"/>
              </w:rPr>
              <w:t>% Chg per</w:t>
            </w: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Borders>
              <w:right w:val="single" w:sz="8" w:color="auto"/>
            </w:tcBorders>
          </w:tcPr>
          <w:p>
            <w:pPr>
              <w:jc w:val="right"/>
              <w:ind w:right="56"/>
              <w:spacing w:after="0" w:line="115" w:lineRule="exact"/>
              <w:rPr>
                <w:sz w:val="20"/>
                <w:szCs w:val="20"/>
                <w:color w:val="auto"/>
              </w:rPr>
            </w:pPr>
            <w:r>
              <w:rPr>
                <w:rFonts w:ascii="Arial" w:cs="Arial" w:eastAsia="Arial" w:hAnsi="Arial"/>
                <w:sz w:val="12"/>
                <w:szCs w:val="12"/>
                <w:color w:val="auto"/>
              </w:rPr>
              <w:t>% Chg</w:t>
            </w:r>
          </w:p>
        </w:tc>
        <w:tc>
          <w:tcPr>
            <w:tcW w:w="0" w:type="dxa"/>
            <w:vAlign w:val="bottom"/>
          </w:tcPr>
          <w:p>
            <w:pPr>
              <w:spacing w:after="0"/>
              <w:rPr>
                <w:sz w:val="1"/>
                <w:szCs w:val="1"/>
                <w:color w:val="auto"/>
              </w:rPr>
            </w:pPr>
          </w:p>
        </w:tc>
      </w:tr>
      <w:tr>
        <w:trPr>
          <w:trHeight w:val="181"/>
        </w:trPr>
        <w:tc>
          <w:tcPr>
            <w:tcW w:w="6420" w:type="dxa"/>
            <w:vAlign w:val="bottom"/>
            <w:tcBorders>
              <w:left w:val="single" w:sz="8" w:color="auto"/>
              <w:bottom w:val="single" w:sz="8" w:color="auto"/>
              <w:right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ind w:right="16"/>
              <w:spacing w:after="0" w:line="156" w:lineRule="exact"/>
              <w:rPr>
                <w:sz w:val="20"/>
                <w:szCs w:val="20"/>
                <w:color w:val="auto"/>
              </w:rPr>
            </w:pPr>
            <w:r>
              <w:rPr>
                <w:rFonts w:ascii="Arial" w:cs="Arial" w:eastAsia="Arial" w:hAnsi="Arial"/>
                <w:sz w:val="14"/>
                <w:szCs w:val="14"/>
                <w:color w:val="auto"/>
                <w:w w:val="96"/>
              </w:rPr>
              <w:t>Volume</w:t>
            </w:r>
          </w:p>
        </w:tc>
        <w:tc>
          <w:tcPr>
            <w:tcW w:w="740" w:type="dxa"/>
            <w:vAlign w:val="bottom"/>
            <w:tcBorders>
              <w:bottom w:val="single" w:sz="8" w:color="auto"/>
              <w:right w:val="single" w:sz="8" w:color="auto"/>
            </w:tcBorders>
          </w:tcPr>
          <w:p>
            <w:pPr>
              <w:jc w:val="right"/>
              <w:spacing w:after="0" w:line="156" w:lineRule="exact"/>
              <w:rPr>
                <w:sz w:val="20"/>
                <w:szCs w:val="20"/>
                <w:color w:val="auto"/>
              </w:rPr>
            </w:pPr>
            <w:r>
              <w:rPr>
                <w:rFonts w:ascii="Arial" w:cs="Arial" w:eastAsia="Arial" w:hAnsi="Arial"/>
                <w:sz w:val="14"/>
                <w:szCs w:val="14"/>
                <w:color w:val="auto"/>
              </w:rPr>
              <w:t>S/D</w:t>
            </w:r>
          </w:p>
        </w:tc>
        <w:tc>
          <w:tcPr>
            <w:tcW w:w="8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4"/>
              <w:spacing w:after="0" w:line="156"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56"/>
              <w:spacing w:after="0" w:line="156"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193"/>
        </w:trPr>
        <w:tc>
          <w:tcPr>
            <w:tcW w:w="6420" w:type="dxa"/>
            <w:vAlign w:val="bottom"/>
            <w:tcBorders>
              <w:top w:val="single" w:sz="8" w:color="auto"/>
              <w:left w:val="single" w:sz="8" w:color="CCEEFF"/>
              <w:right w:val="single" w:sz="8" w:color="auto"/>
            </w:tcBorders>
            <w:shd w:val="clear" w:color="auto" w:fill="CCEEFF"/>
          </w:tcPr>
          <w:p>
            <w:pPr>
              <w:ind w:left="120"/>
              <w:spacing w:after="0" w:line="193" w:lineRule="exact"/>
              <w:rPr>
                <w:sz w:val="20"/>
                <w:szCs w:val="20"/>
                <w:color w:val="auto"/>
              </w:rPr>
            </w:pPr>
            <w:r>
              <w:rPr>
                <w:rFonts w:ascii="Arial" w:cs="Arial" w:eastAsia="Arial" w:hAnsi="Arial"/>
                <w:sz w:val="18"/>
                <w:szCs w:val="18"/>
                <w:color w:val="auto"/>
              </w:rPr>
              <w:t>Buick Total</w:t>
            </w:r>
          </w:p>
        </w:tc>
        <w:tc>
          <w:tcPr>
            <w:tcW w:w="78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5,986</w:t>
            </w:r>
          </w:p>
        </w:tc>
        <w:tc>
          <w:tcPr>
            <w:tcW w:w="7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4,248</w:t>
            </w:r>
          </w:p>
        </w:tc>
        <w:tc>
          <w:tcPr>
            <w:tcW w:w="580" w:type="dxa"/>
            <w:vAlign w:val="bottom"/>
            <w:tcBorders>
              <w:top w:val="single" w:sz="8" w:color="CCEEFF"/>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40.9</w:t>
            </w:r>
          </w:p>
        </w:tc>
        <w:tc>
          <w:tcPr>
            <w:tcW w:w="740" w:type="dxa"/>
            <w:vAlign w:val="bottom"/>
            <w:tcBorders>
              <w:top w:val="single" w:sz="8" w:color="CCEEFF"/>
              <w:right w:val="single" w:sz="8" w:color="auto"/>
            </w:tcBorders>
            <w:shd w:val="clear" w:color="auto" w:fill="CCEEFF"/>
          </w:tcPr>
          <w:p>
            <w:pPr>
              <w:jc w:val="right"/>
              <w:ind w:right="16"/>
              <w:spacing w:after="0" w:line="193" w:lineRule="exact"/>
              <w:rPr>
                <w:sz w:val="20"/>
                <w:szCs w:val="20"/>
                <w:color w:val="auto"/>
              </w:rPr>
            </w:pPr>
            <w:r>
              <w:rPr>
                <w:rFonts w:ascii="Arial" w:cs="Arial" w:eastAsia="Arial" w:hAnsi="Arial"/>
                <w:sz w:val="18"/>
                <w:szCs w:val="18"/>
                <w:color w:val="auto"/>
              </w:rPr>
              <w:t>52.7</w:t>
            </w:r>
          </w:p>
        </w:tc>
        <w:tc>
          <w:tcPr>
            <w:tcW w:w="820" w:type="dxa"/>
            <w:vAlign w:val="bottom"/>
            <w:tcBorders>
              <w:top w:val="single" w:sz="8" w:color="CCEEFF"/>
            </w:tcBorders>
            <w:shd w:val="clear" w:color="auto" w:fill="CCEEFF"/>
          </w:tcPr>
          <w:p>
            <w:pPr>
              <w:jc w:val="right"/>
              <w:spacing w:after="0" w:line="193" w:lineRule="exact"/>
              <w:rPr>
                <w:sz w:val="20"/>
                <w:szCs w:val="20"/>
                <w:color w:val="auto"/>
              </w:rPr>
            </w:pPr>
            <w:r>
              <w:rPr>
                <w:rFonts w:ascii="Arial" w:cs="Arial" w:eastAsia="Arial" w:hAnsi="Arial"/>
                <w:sz w:val="18"/>
                <w:szCs w:val="18"/>
                <w:color w:val="auto"/>
              </w:rPr>
              <w:t>5,986</w:t>
            </w:r>
          </w:p>
        </w:tc>
        <w:tc>
          <w:tcPr>
            <w:tcW w:w="780" w:type="dxa"/>
            <w:vAlign w:val="bottom"/>
            <w:tcBorders>
              <w:top w:val="single" w:sz="8" w:color="CCEEFF"/>
            </w:tcBorders>
            <w:shd w:val="clear" w:color="auto" w:fill="CCEEFF"/>
          </w:tcPr>
          <w:p>
            <w:pPr>
              <w:jc w:val="right"/>
              <w:ind w:right="34"/>
              <w:spacing w:after="0" w:line="193" w:lineRule="exact"/>
              <w:rPr>
                <w:sz w:val="20"/>
                <w:szCs w:val="20"/>
                <w:color w:val="auto"/>
              </w:rPr>
            </w:pPr>
            <w:r>
              <w:rPr>
                <w:rFonts w:ascii="Arial" w:cs="Arial" w:eastAsia="Arial" w:hAnsi="Arial"/>
                <w:sz w:val="18"/>
                <w:szCs w:val="18"/>
                <w:color w:val="auto"/>
              </w:rPr>
              <w:t>4,248</w:t>
            </w:r>
          </w:p>
        </w:tc>
        <w:tc>
          <w:tcPr>
            <w:tcW w:w="600" w:type="dxa"/>
            <w:vAlign w:val="bottom"/>
            <w:tcBorders>
              <w:top w:val="single" w:sz="8" w:color="CCEEFF"/>
              <w:right w:val="single" w:sz="8" w:color="auto"/>
            </w:tcBorders>
            <w:shd w:val="clear" w:color="auto" w:fill="CCEEFF"/>
          </w:tcPr>
          <w:p>
            <w:pPr>
              <w:jc w:val="right"/>
              <w:ind w:right="56"/>
              <w:spacing w:after="0" w:line="193" w:lineRule="exact"/>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3,452</w:t>
            </w:r>
          </w:p>
        </w:tc>
        <w:tc>
          <w:tcPr>
            <w:tcW w:w="720" w:type="dxa"/>
            <w:vAlign w:val="bottom"/>
          </w:tcPr>
          <w:p>
            <w:pPr>
              <w:jc w:val="right"/>
              <w:spacing w:after="0"/>
              <w:rPr>
                <w:sz w:val="20"/>
                <w:szCs w:val="20"/>
                <w:color w:val="auto"/>
              </w:rPr>
            </w:pPr>
            <w:r>
              <w:rPr>
                <w:rFonts w:ascii="Arial" w:cs="Arial" w:eastAsia="Arial" w:hAnsi="Arial"/>
                <w:sz w:val="18"/>
                <w:szCs w:val="18"/>
                <w:color w:val="auto"/>
              </w:rPr>
              <w:t>5,251</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-34.3</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-28.8</w:t>
            </w:r>
          </w:p>
        </w:tc>
        <w:tc>
          <w:tcPr>
            <w:tcW w:w="820" w:type="dxa"/>
            <w:vAlign w:val="bottom"/>
          </w:tcPr>
          <w:p>
            <w:pPr>
              <w:jc w:val="right"/>
              <w:spacing w:after="0"/>
              <w:rPr>
                <w:sz w:val="20"/>
                <w:szCs w:val="20"/>
                <w:color w:val="auto"/>
              </w:rPr>
            </w:pPr>
            <w:r>
              <w:rPr>
                <w:rFonts w:ascii="Arial" w:cs="Arial" w:eastAsia="Arial" w:hAnsi="Arial"/>
                <w:sz w:val="18"/>
                <w:szCs w:val="18"/>
                <w:color w:val="auto"/>
              </w:rPr>
              <w:t>3,452</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5,251</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102.5</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48,608</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24,000</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7"/>
              </w:rPr>
              <w:t>102.5</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Car 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58,046</w:t>
            </w:r>
          </w:p>
        </w:tc>
        <w:tc>
          <w:tcPr>
            <w:tcW w:w="720" w:type="dxa"/>
            <w:vAlign w:val="bottom"/>
          </w:tcPr>
          <w:p>
            <w:pPr>
              <w:jc w:val="right"/>
              <w:spacing w:after="0"/>
              <w:rPr>
                <w:sz w:val="20"/>
                <w:szCs w:val="20"/>
                <w:color w:val="auto"/>
              </w:rPr>
            </w:pPr>
            <w:r>
              <w:rPr>
                <w:rFonts w:ascii="Arial" w:cs="Arial" w:eastAsia="Arial" w:hAnsi="Arial"/>
                <w:sz w:val="18"/>
                <w:szCs w:val="18"/>
                <w:color w:val="auto"/>
              </w:rPr>
              <w:t>33,499</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73.3</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87.7</w:t>
            </w:r>
          </w:p>
        </w:tc>
        <w:tc>
          <w:tcPr>
            <w:tcW w:w="820" w:type="dxa"/>
            <w:vAlign w:val="bottom"/>
          </w:tcPr>
          <w:p>
            <w:pPr>
              <w:jc w:val="right"/>
              <w:spacing w:after="0"/>
              <w:rPr>
                <w:sz w:val="20"/>
                <w:szCs w:val="20"/>
                <w:color w:val="auto"/>
              </w:rPr>
            </w:pPr>
            <w:r>
              <w:rPr>
                <w:rFonts w:ascii="Arial" w:cs="Arial" w:eastAsia="Arial" w:hAnsi="Arial"/>
                <w:sz w:val="18"/>
                <w:szCs w:val="18"/>
                <w:color w:val="auto"/>
              </w:rPr>
              <w:t>58,046</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33,499</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-95.0</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-94.5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7,464</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720" w:type="dxa"/>
            <w:vAlign w:val="bottom"/>
          </w:tcPr>
          <w:p>
            <w:pPr>
              <w:jc w:val="right"/>
              <w:spacing w:after="0"/>
              <w:rPr>
                <w:sz w:val="20"/>
                <w:szCs w:val="20"/>
                <w:color w:val="auto"/>
              </w:rPr>
            </w:pPr>
            <w:r>
              <w:rPr>
                <w:rFonts w:ascii="Arial" w:cs="Arial" w:eastAsia="Arial" w:hAnsi="Arial"/>
                <w:sz w:val="18"/>
                <w:szCs w:val="18"/>
                <w:color w:val="auto"/>
              </w:rPr>
              <w:t>624</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-20.8</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-14.2</w:t>
            </w:r>
          </w:p>
        </w:tc>
        <w:tc>
          <w:tcPr>
            <w:tcW w:w="820" w:type="dxa"/>
            <w:vAlign w:val="bottom"/>
          </w:tcPr>
          <w:p>
            <w:pPr>
              <w:jc w:val="right"/>
              <w:spacing w:after="0"/>
              <w:rPr>
                <w:sz w:val="20"/>
                <w:szCs w:val="20"/>
                <w:color w:val="auto"/>
              </w:rPr>
            </w:pPr>
            <w:r>
              <w:rPr>
                <w:rFonts w:ascii="Arial" w:cs="Arial" w:eastAsia="Arial" w:hAnsi="Arial"/>
                <w:sz w:val="18"/>
                <w:szCs w:val="18"/>
                <w:color w:val="auto"/>
              </w:rPr>
              <w:t>494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624</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-81.0</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-79.4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2,356</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Car Non-Core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1,317</w:t>
            </w:r>
          </w:p>
        </w:tc>
        <w:tc>
          <w:tcPr>
            <w:tcW w:w="720" w:type="dxa"/>
            <w:vAlign w:val="bottom"/>
          </w:tcPr>
          <w:p>
            <w:pPr>
              <w:jc w:val="right"/>
              <w:spacing w:after="0"/>
              <w:rPr>
                <w:sz w:val="20"/>
                <w:szCs w:val="20"/>
                <w:color w:val="auto"/>
              </w:rPr>
            </w:pPr>
            <w:r>
              <w:rPr>
                <w:rFonts w:ascii="Arial" w:cs="Arial" w:eastAsia="Arial" w:hAnsi="Arial"/>
                <w:sz w:val="18"/>
                <w:szCs w:val="18"/>
                <w:color w:val="auto"/>
              </w:rPr>
              <w:t>10,444</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-87.4</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-86.3</w:t>
            </w:r>
          </w:p>
        </w:tc>
        <w:tc>
          <w:tcPr>
            <w:tcW w:w="820" w:type="dxa"/>
            <w:vAlign w:val="bottom"/>
          </w:tcPr>
          <w:p>
            <w:pPr>
              <w:jc w:val="right"/>
              <w:spacing w:after="0"/>
              <w:rPr>
                <w:sz w:val="20"/>
                <w:szCs w:val="20"/>
                <w:color w:val="auto"/>
              </w:rPr>
            </w:pPr>
            <w:r>
              <w:rPr>
                <w:rFonts w:ascii="Arial" w:cs="Arial" w:eastAsia="Arial" w:hAnsi="Arial"/>
                <w:sz w:val="18"/>
                <w:szCs w:val="18"/>
                <w:color w:val="auto"/>
              </w:rPr>
              <w:t>1,317</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10,444</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Car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43,943</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35.1</w:t>
            </w:r>
          </w:p>
        </w:tc>
        <w:tc>
          <w:tcPr>
            <w:tcW w:w="7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59,363</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43,943</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GM Light Truck Deliveries by Marketing Division</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4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right"/>
              <w:ind w:right="16"/>
              <w:spacing w:after="0" w:line="131" w:lineRule="exact"/>
              <w:rPr>
                <w:sz w:val="20"/>
                <w:szCs w:val="20"/>
                <w:color w:val="auto"/>
              </w:rPr>
            </w:pPr>
            <w:r>
              <w:rPr>
                <w:rFonts w:ascii="Arial" w:cs="Arial" w:eastAsia="Arial" w:hAnsi="Arial"/>
                <w:sz w:val="14"/>
                <w:szCs w:val="14"/>
                <w:color w:val="auto"/>
              </w:rPr>
              <w:t>% Chg</w:t>
            </w:r>
          </w:p>
        </w:tc>
        <w:tc>
          <w:tcPr>
            <w:tcW w:w="7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w w:val="96"/>
              </w:rPr>
              <w:t>% Chg per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Borders>
              <w:right w:val="single" w:sz="8" w:color="auto"/>
            </w:tcBorders>
          </w:tcPr>
          <w:p>
            <w:pPr>
              <w:jc w:val="right"/>
              <w:ind w:right="56"/>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64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96"/>
              </w:rPr>
              <w:t>Volume</w:t>
            </w:r>
          </w:p>
        </w:tc>
        <w:tc>
          <w:tcPr>
            <w:tcW w:w="74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1,754</w:t>
            </w:r>
          </w:p>
        </w:tc>
        <w:tc>
          <w:tcPr>
            <w:tcW w:w="720" w:type="dxa"/>
            <w:vAlign w:val="bottom"/>
          </w:tcPr>
          <w:p>
            <w:pPr>
              <w:jc w:val="right"/>
              <w:spacing w:after="0"/>
              <w:rPr>
                <w:sz w:val="20"/>
                <w:szCs w:val="20"/>
                <w:color w:val="auto"/>
              </w:rPr>
            </w:pPr>
            <w:r>
              <w:rPr>
                <w:rFonts w:ascii="Arial" w:cs="Arial" w:eastAsia="Arial" w:hAnsi="Arial"/>
                <w:sz w:val="18"/>
                <w:szCs w:val="18"/>
                <w:color w:val="auto"/>
              </w:rPr>
              <w:t>2,360</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-25.7</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-19.5</w:t>
            </w:r>
          </w:p>
        </w:tc>
        <w:tc>
          <w:tcPr>
            <w:tcW w:w="820" w:type="dxa"/>
            <w:vAlign w:val="bottom"/>
          </w:tcPr>
          <w:p>
            <w:pPr>
              <w:jc w:val="right"/>
              <w:spacing w:after="0"/>
              <w:rPr>
                <w:sz w:val="20"/>
                <w:szCs w:val="20"/>
                <w:color w:val="auto"/>
              </w:rPr>
            </w:pPr>
            <w:r>
              <w:rPr>
                <w:rFonts w:ascii="Arial" w:cs="Arial" w:eastAsia="Arial" w:hAnsi="Arial"/>
                <w:sz w:val="18"/>
                <w:szCs w:val="18"/>
                <w:color w:val="auto"/>
              </w:rPr>
              <w:t>1,754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2,360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40,326</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-11.2</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35,802</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40,326</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11,226</w:t>
            </w:r>
          </w:p>
        </w:tc>
        <w:tc>
          <w:tcPr>
            <w:tcW w:w="720" w:type="dxa"/>
            <w:vAlign w:val="bottom"/>
          </w:tcPr>
          <w:p>
            <w:pPr>
              <w:jc w:val="right"/>
              <w:spacing w:after="0"/>
              <w:rPr>
                <w:sz w:val="20"/>
                <w:szCs w:val="20"/>
                <w:color w:val="auto"/>
              </w:rPr>
            </w:pPr>
            <w:r>
              <w:rPr>
                <w:rFonts w:ascii="Arial" w:cs="Arial" w:eastAsia="Arial" w:hAnsi="Arial"/>
                <w:sz w:val="18"/>
                <w:szCs w:val="18"/>
                <w:color w:val="auto"/>
              </w:rPr>
              <w:t>15,400</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-27.1</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-21.0</w:t>
            </w:r>
          </w:p>
        </w:tc>
        <w:tc>
          <w:tcPr>
            <w:tcW w:w="820" w:type="dxa"/>
            <w:vAlign w:val="bottom"/>
          </w:tcPr>
          <w:p>
            <w:pPr>
              <w:jc w:val="right"/>
              <w:spacing w:after="0"/>
              <w:rPr>
                <w:sz w:val="20"/>
                <w:szCs w:val="20"/>
                <w:color w:val="auto"/>
              </w:rPr>
            </w:pPr>
            <w:r>
              <w:rPr>
                <w:rFonts w:ascii="Arial" w:cs="Arial" w:eastAsia="Arial" w:hAnsi="Arial"/>
                <w:sz w:val="18"/>
                <w:szCs w:val="18"/>
                <w:color w:val="auto"/>
              </w:rPr>
              <w:t>11,226</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15,400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Truck Core 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58,095</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-16.0</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48,782</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58,095</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HUMMER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265</w:t>
            </w:r>
          </w:p>
        </w:tc>
        <w:tc>
          <w:tcPr>
            <w:tcW w:w="720" w:type="dxa"/>
            <w:vAlign w:val="bottom"/>
          </w:tcPr>
          <w:p>
            <w:pPr>
              <w:jc w:val="right"/>
              <w:spacing w:after="0"/>
              <w:rPr>
                <w:sz w:val="20"/>
                <w:szCs w:val="20"/>
                <w:color w:val="auto"/>
              </w:rPr>
            </w:pPr>
            <w:r>
              <w:rPr>
                <w:rFonts w:ascii="Arial" w:cs="Arial" w:eastAsia="Arial" w:hAnsi="Arial"/>
                <w:sz w:val="18"/>
                <w:szCs w:val="18"/>
                <w:color w:val="auto"/>
              </w:rPr>
              <w:t>1,222</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-78.3</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-76.5</w:t>
            </w:r>
          </w:p>
        </w:tc>
        <w:tc>
          <w:tcPr>
            <w:tcW w:w="820" w:type="dxa"/>
            <w:vAlign w:val="bottom"/>
          </w:tcPr>
          <w:p>
            <w:pPr>
              <w:jc w:val="right"/>
              <w:spacing w:after="0"/>
              <w:rPr>
                <w:sz w:val="20"/>
                <w:szCs w:val="20"/>
                <w:color w:val="auto"/>
              </w:rPr>
            </w:pPr>
            <w:r>
              <w:rPr>
                <w:rFonts w:ascii="Arial" w:cs="Arial" w:eastAsia="Arial" w:hAnsi="Arial"/>
                <w:sz w:val="18"/>
                <w:szCs w:val="18"/>
                <w:color w:val="auto"/>
              </w:rPr>
              <w:t>265</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1,222</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Saab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jc w:val="right"/>
              <w:spacing w:after="0"/>
              <w:rPr>
                <w:sz w:val="20"/>
                <w:szCs w:val="20"/>
                <w:color w:val="auto"/>
              </w:rPr>
            </w:pPr>
            <w:r>
              <w:rPr>
                <w:rFonts w:ascii="Arial" w:cs="Arial" w:eastAsia="Arial" w:hAnsi="Arial"/>
                <w:sz w:val="18"/>
                <w:szCs w:val="18"/>
                <w:color w:val="auto"/>
              </w:rPr>
              <w:t>331</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-94.9</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-94.4</w:t>
            </w:r>
          </w:p>
        </w:tc>
        <w:tc>
          <w:tcPr>
            <w:tcW w:w="82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331</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Truck Non-Core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282</w:t>
            </w: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-81.9</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-80.3</w:t>
            </w:r>
          </w:p>
        </w:tc>
        <w:tc>
          <w:tcPr>
            <w:tcW w:w="820" w:type="dxa"/>
            <w:vAlign w:val="bottom"/>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1,554</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Light Truck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59,649</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-17.7</w:t>
            </w:r>
          </w:p>
        </w:tc>
        <w:tc>
          <w:tcPr>
            <w:tcW w:w="7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49,064</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59,649</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5"/>
        </w:trPr>
        <w:tc>
          <w:tcPr>
            <w:tcW w:w="6420" w:type="dxa"/>
            <w:vAlign w:val="bottom"/>
          </w:tcPr>
          <w:p>
            <w:pPr>
              <w:spacing w:after="0"/>
              <w:rPr>
                <w:sz w:val="20"/>
                <w:szCs w:val="20"/>
                <w:color w:val="auto"/>
              </w:rPr>
            </w:pPr>
            <w:r>
              <w:rPr>
                <w:rFonts w:ascii="Arial" w:cs="Arial" w:eastAsia="Arial" w:hAnsi="Arial"/>
                <w:sz w:val="18"/>
                <w:szCs w:val="18"/>
                <w:color w:val="auto"/>
              </w:rPr>
              <w:t>GM Crossover Deliveries by Marketing Division</w:t>
            </w: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64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1"/>
        </w:trPr>
        <w:tc>
          <w:tcPr>
            <w:tcW w:w="6420" w:type="dxa"/>
            <w:vAlign w:val="bottom"/>
            <w:tcBorders>
              <w:right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jc w:val="right"/>
              <w:ind w:right="16"/>
              <w:spacing w:after="0" w:line="131" w:lineRule="exact"/>
              <w:rPr>
                <w:sz w:val="20"/>
                <w:szCs w:val="20"/>
                <w:color w:val="auto"/>
              </w:rPr>
            </w:pPr>
            <w:r>
              <w:rPr>
                <w:rFonts w:ascii="Arial" w:cs="Arial" w:eastAsia="Arial" w:hAnsi="Arial"/>
                <w:sz w:val="14"/>
                <w:szCs w:val="14"/>
                <w:color w:val="auto"/>
              </w:rPr>
              <w:t>% Chg</w:t>
            </w:r>
          </w:p>
        </w:tc>
        <w:tc>
          <w:tcPr>
            <w:tcW w:w="74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w w:val="96"/>
              </w:rPr>
              <w:t>% Chg per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Borders>
              <w:right w:val="single" w:sz="8" w:color="auto"/>
            </w:tcBorders>
          </w:tcPr>
          <w:p>
            <w:pPr>
              <w:jc w:val="right"/>
              <w:ind w:right="56"/>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642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580" w:type="dxa"/>
            <w:vAlign w:val="bottom"/>
            <w:tcBorders>
              <w:bottom w:val="single" w:sz="8" w:color="auto"/>
            </w:tcBorders>
          </w:tcPr>
          <w:p>
            <w:pPr>
              <w:jc w:val="right"/>
              <w:ind w:right="16"/>
              <w:spacing w:after="0" w:line="159" w:lineRule="exact"/>
              <w:rPr>
                <w:sz w:val="20"/>
                <w:szCs w:val="20"/>
                <w:color w:val="auto"/>
              </w:rPr>
            </w:pPr>
            <w:r>
              <w:rPr>
                <w:rFonts w:ascii="Arial" w:cs="Arial" w:eastAsia="Arial" w:hAnsi="Arial"/>
                <w:sz w:val="14"/>
                <w:szCs w:val="14"/>
                <w:color w:val="auto"/>
                <w:w w:val="96"/>
              </w:rPr>
              <w:t>Volume</w:t>
            </w:r>
          </w:p>
        </w:tc>
        <w:tc>
          <w:tcPr>
            <w:tcW w:w="74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8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780" w:type="dxa"/>
            <w:vAlign w:val="bottom"/>
            <w:tcBorders>
              <w:bottom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56"/>
              <w:spacing w:after="0" w:line="159" w:lineRule="exact"/>
              <w:rPr>
                <w:sz w:val="20"/>
                <w:szCs w:val="20"/>
                <w:color w:val="auto"/>
              </w:rPr>
            </w:pPr>
            <w:r>
              <w:rPr>
                <w:rFonts w:ascii="Arial" w:cs="Arial" w:eastAsia="Arial" w:hAnsi="Arial"/>
                <w:sz w:val="14"/>
                <w:szCs w:val="14"/>
                <w:color w:val="auto"/>
                <w:w w:val="92"/>
              </w:rPr>
              <w:t>Volume</w:t>
            </w:r>
          </w:p>
        </w:tc>
        <w:tc>
          <w:tcPr>
            <w:tcW w:w="0" w:type="dxa"/>
            <w:vAlign w:val="bottom"/>
          </w:tcPr>
          <w:p>
            <w:pPr>
              <w:spacing w:after="0"/>
              <w:rPr>
                <w:sz w:val="1"/>
                <w:szCs w:val="1"/>
                <w:color w:val="auto"/>
              </w:rPr>
            </w:pPr>
          </w:p>
        </w:tc>
      </w:tr>
      <w:tr>
        <w:trPr>
          <w:trHeight w:val="210"/>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Buick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2,712</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50.3</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2,712</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Cadillac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3,234</w:t>
            </w:r>
          </w:p>
        </w:tc>
        <w:tc>
          <w:tcPr>
            <w:tcW w:w="720" w:type="dxa"/>
            <w:vAlign w:val="bottom"/>
          </w:tcPr>
          <w:p>
            <w:pPr>
              <w:jc w:val="right"/>
              <w:spacing w:after="0"/>
              <w:rPr>
                <w:sz w:val="20"/>
                <w:szCs w:val="20"/>
                <w:color w:val="auto"/>
              </w:rPr>
            </w:pPr>
            <w:r>
              <w:rPr>
                <w:rFonts w:ascii="Arial" w:cs="Arial" w:eastAsia="Arial" w:hAnsi="Arial"/>
                <w:sz w:val="18"/>
                <w:szCs w:val="18"/>
                <w:color w:val="auto"/>
              </w:rPr>
              <w:t>888</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264.2</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294.5</w:t>
            </w:r>
          </w:p>
        </w:tc>
        <w:tc>
          <w:tcPr>
            <w:tcW w:w="820" w:type="dxa"/>
            <w:vAlign w:val="bottom"/>
          </w:tcPr>
          <w:p>
            <w:pPr>
              <w:jc w:val="right"/>
              <w:spacing w:after="0"/>
              <w:rPr>
                <w:sz w:val="20"/>
                <w:szCs w:val="20"/>
                <w:color w:val="auto"/>
              </w:rPr>
            </w:pPr>
            <w:r>
              <w:rPr>
                <w:rFonts w:ascii="Arial" w:cs="Arial" w:eastAsia="Arial" w:hAnsi="Arial"/>
                <w:sz w:val="18"/>
                <w:szCs w:val="18"/>
                <w:color w:val="auto"/>
              </w:rPr>
              <w:t>3,234</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888</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w w:val="97"/>
              </w:rPr>
              <w:t>264.2</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Chevrolet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68.0</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20,689</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12,318</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GMC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9,762</w:t>
            </w:r>
          </w:p>
        </w:tc>
        <w:tc>
          <w:tcPr>
            <w:tcW w:w="720" w:type="dxa"/>
            <w:vAlign w:val="bottom"/>
          </w:tcPr>
          <w:p>
            <w:pPr>
              <w:jc w:val="right"/>
              <w:spacing w:after="0"/>
              <w:rPr>
                <w:sz w:val="20"/>
                <w:szCs w:val="20"/>
                <w:color w:val="auto"/>
              </w:rPr>
            </w:pPr>
            <w:r>
              <w:rPr>
                <w:rFonts w:ascii="Arial" w:cs="Arial" w:eastAsia="Arial" w:hAnsi="Arial"/>
                <w:sz w:val="18"/>
                <w:szCs w:val="18"/>
                <w:color w:val="auto"/>
              </w:rPr>
              <w:t>3,233</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201.9</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227.1</w:t>
            </w:r>
          </w:p>
        </w:tc>
        <w:tc>
          <w:tcPr>
            <w:tcW w:w="820" w:type="dxa"/>
            <w:vAlign w:val="bottom"/>
          </w:tcPr>
          <w:p>
            <w:pPr>
              <w:jc w:val="right"/>
              <w:spacing w:after="0"/>
              <w:rPr>
                <w:sz w:val="20"/>
                <w:szCs w:val="20"/>
                <w:color w:val="auto"/>
              </w:rPr>
            </w:pPr>
            <w:r>
              <w:rPr>
                <w:rFonts w:ascii="Arial" w:cs="Arial" w:eastAsia="Arial" w:hAnsi="Arial"/>
                <w:sz w:val="18"/>
                <w:szCs w:val="18"/>
                <w:color w:val="auto"/>
              </w:rPr>
              <w:t>9,762</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3,233</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w w:val="97"/>
              </w:rPr>
              <w:t>201.9</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Crossover Core Brand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97.2</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19,151</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Pontiac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720" w:type="dxa"/>
            <w:vAlign w:val="bottom"/>
          </w:tcPr>
          <w:p>
            <w:pPr>
              <w:jc w:val="right"/>
              <w:spacing w:after="0"/>
              <w:rPr>
                <w:sz w:val="20"/>
                <w:szCs w:val="20"/>
                <w:color w:val="auto"/>
              </w:rPr>
            </w:pPr>
            <w:r>
              <w:rPr>
                <w:rFonts w:ascii="Arial" w:cs="Arial" w:eastAsia="Arial" w:hAnsi="Arial"/>
                <w:sz w:val="18"/>
                <w:szCs w:val="18"/>
                <w:color w:val="auto"/>
              </w:rPr>
              <w:t>1,640</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-99.2</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-99.1</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1,640</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Saturn 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-97.0</w:t>
            </w:r>
          </w:p>
        </w:tc>
        <w:tc>
          <w:tcPr>
            <w:tcW w:w="740" w:type="dxa"/>
            <w:vAlign w:val="bottom"/>
            <w:tcBorders>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-96.7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3,815</w:t>
            </w:r>
          </w:p>
        </w:tc>
        <w:tc>
          <w:tcPr>
            <w:tcW w:w="600" w:type="dxa"/>
            <w:vAlign w:val="bottom"/>
            <w:tcBorders>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6420" w:type="dxa"/>
            <w:vAlign w:val="bottom"/>
            <w:tcBorders>
              <w:right w:val="single" w:sz="8" w:color="auto"/>
            </w:tcBorders>
          </w:tcPr>
          <w:p>
            <w:pPr>
              <w:ind w:left="560"/>
              <w:spacing w:after="0"/>
              <w:rPr>
                <w:sz w:val="20"/>
                <w:szCs w:val="20"/>
                <w:color w:val="auto"/>
              </w:rPr>
            </w:pPr>
            <w:r>
              <w:rPr>
                <w:rFonts w:ascii="Arial" w:cs="Arial" w:eastAsia="Arial" w:hAnsi="Arial"/>
                <w:sz w:val="18"/>
                <w:szCs w:val="18"/>
                <w:color w:val="auto"/>
              </w:rPr>
              <w:t>Crossover Non-Core Brand Total</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c>
          <w:tcPr>
            <w:tcW w:w="720" w:type="dxa"/>
            <w:vAlign w:val="bottom"/>
          </w:tcPr>
          <w:p>
            <w:pPr>
              <w:jc w:val="right"/>
              <w:spacing w:after="0"/>
              <w:rPr>
                <w:sz w:val="20"/>
                <w:szCs w:val="20"/>
                <w:color w:val="auto"/>
              </w:rPr>
            </w:pPr>
            <w:r>
              <w:rPr>
                <w:rFonts w:ascii="Arial" w:cs="Arial" w:eastAsia="Arial" w:hAnsi="Arial"/>
                <w:sz w:val="18"/>
                <w:szCs w:val="18"/>
                <w:color w:val="auto"/>
              </w:rPr>
              <w:t>5,455</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-97.7</w:t>
            </w:r>
          </w:p>
        </w:tc>
        <w:tc>
          <w:tcPr>
            <w:tcW w:w="740" w:type="dxa"/>
            <w:vAlign w:val="bottom"/>
            <w:tcBorders>
              <w:right w:val="single" w:sz="8" w:color="auto"/>
            </w:tcBorders>
          </w:tcPr>
          <w:p>
            <w:pPr>
              <w:jc w:val="right"/>
              <w:ind w:right="16"/>
              <w:spacing w:after="0"/>
              <w:rPr>
                <w:sz w:val="20"/>
                <w:szCs w:val="20"/>
                <w:color w:val="auto"/>
              </w:rPr>
            </w:pPr>
            <w:r>
              <w:rPr>
                <w:rFonts w:ascii="Arial" w:cs="Arial" w:eastAsia="Arial" w:hAnsi="Arial"/>
                <w:sz w:val="18"/>
                <w:szCs w:val="18"/>
                <w:color w:val="auto"/>
              </w:rPr>
              <w:t>-97.5</w:t>
            </w:r>
          </w:p>
        </w:tc>
        <w:tc>
          <w:tcPr>
            <w:tcW w:w="820" w:type="dxa"/>
            <w:vAlign w:val="bottom"/>
          </w:tcPr>
          <w:p>
            <w:pPr>
              <w:jc w:val="right"/>
              <w:spacing w:after="0"/>
              <w:rPr>
                <w:sz w:val="20"/>
                <w:szCs w:val="20"/>
                <w:color w:val="auto"/>
              </w:rPr>
            </w:pPr>
            <w:r>
              <w:rPr>
                <w:rFonts w:ascii="Arial" w:cs="Arial" w:eastAsia="Arial" w:hAnsi="Arial"/>
                <w:sz w:val="18"/>
                <w:szCs w:val="18"/>
                <w:color w:val="auto"/>
              </w:rPr>
              <w:t>128</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5,455</w:t>
            </w:r>
          </w:p>
        </w:tc>
        <w:tc>
          <w:tcPr>
            <w:tcW w:w="600" w:type="dxa"/>
            <w:vAlign w:val="bottom"/>
            <w:tcBorders>
              <w:right w:val="single" w:sz="8" w:color="auto"/>
            </w:tcBorders>
          </w:tcPr>
          <w:p>
            <w:pPr>
              <w:jc w:val="right"/>
              <w:ind w:right="56"/>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16"/>
        </w:trPr>
        <w:tc>
          <w:tcPr>
            <w:tcW w:w="6420" w:type="dxa"/>
            <w:vAlign w:val="bottom"/>
            <w:tcBorders>
              <w:left w:val="single" w:sz="8" w:color="CCEEFF"/>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 Crossover 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5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54.0</w:t>
            </w:r>
          </w:p>
        </w:tc>
        <w:tc>
          <w:tcPr>
            <w:tcW w:w="740" w:type="dxa"/>
            <w:vAlign w:val="bottom"/>
            <w:tcBorders>
              <w:bottom w:val="single" w:sz="8" w:color="auto"/>
              <w:right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66.8</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7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24,606</w:t>
            </w:r>
          </w:p>
        </w:tc>
        <w:tc>
          <w:tcPr>
            <w:tcW w:w="600" w:type="dxa"/>
            <w:vAlign w:val="bottom"/>
            <w:tcBorders>
              <w:bottom w:val="single" w:sz="8" w:color="auto"/>
              <w:right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193"/>
        </w:trPr>
        <w:tc>
          <w:tcPr>
            <w:tcW w:w="7200" w:type="dxa"/>
            <w:vAlign w:val="bottom"/>
            <w:tcBorders>
              <w:bottom w:val="single" w:sz="8" w:color="auto"/>
            </w:tcBorders>
            <w:gridSpan w:val="2"/>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20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18"/>
                <w:szCs w:val="18"/>
                <w:color w:val="auto"/>
                <w:w w:val="96"/>
              </w:rPr>
              <w:t>* Twenty-four selling days (S/D) for the January period this year and twenty-six for last year.</w:t>
            </w:r>
          </w:p>
        </w:tc>
        <w:tc>
          <w:tcPr>
            <w:tcW w:w="7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55"/>
        </w:trPr>
        <w:tc>
          <w:tcPr>
            <w:tcW w:w="10840" w:type="dxa"/>
            <w:vAlign w:val="bottom"/>
            <w:tcBorders>
              <w:bottom w:val="single" w:sz="8" w:color="auto"/>
            </w:tcBorders>
            <w:gridSpan w:val="7"/>
          </w:tcPr>
          <w:p>
            <w:pPr>
              <w:ind w:left="120"/>
              <w:spacing w:after="0"/>
              <w:rPr>
                <w:sz w:val="20"/>
                <w:szCs w:val="20"/>
                <w:color w:val="auto"/>
              </w:rPr>
            </w:pPr>
            <w:r>
              <w:rPr>
                <w:rFonts w:ascii="Arial" w:cs="Arial" w:eastAsia="Arial" w:hAnsi="Arial"/>
                <w:sz w:val="18"/>
                <w:szCs w:val="18"/>
                <w:color w:val="auto"/>
                <w:w w:val="96"/>
              </w:rPr>
              <w:t>**Effective August 2007, GM includes GMC &amp; Chevrolet dealer deliveries of commercial vehicles distributed by American Isuzu Motors, Inc.</w:t>
            </w: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6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6420" w:type="dxa"/>
            <w:vAlign w:val="bottom"/>
          </w:tcPr>
          <w:p>
            <w:pPr>
              <w:spacing w:after="0"/>
              <w:rPr>
                <w:sz w:val="20"/>
                <w:szCs w:val="20"/>
                <w:color w:val="auto"/>
              </w:rPr>
            </w:pPr>
            <w:r>
              <w:rPr>
                <w:rFonts w:ascii="Arial" w:cs="Arial" w:eastAsia="Arial" w:hAnsi="Arial"/>
                <w:sz w:val="18"/>
                <w:szCs w:val="18"/>
                <w:color w:val="auto"/>
              </w:rPr>
              <w:t>Global Market and Industry Analysis - Sales Reporting and Data Management</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0" w:type="dxa"/>
            <w:vAlign w:val="bottom"/>
            <w:gridSpan w:val="2"/>
          </w:tcPr>
          <w:p>
            <w:pPr>
              <w:jc w:val="right"/>
              <w:ind w:right="14"/>
              <w:spacing w:after="0"/>
              <w:rPr>
                <w:sz w:val="20"/>
                <w:szCs w:val="20"/>
                <w:color w:val="auto"/>
              </w:rPr>
            </w:pPr>
            <w:r>
              <w:rPr>
                <w:rFonts w:ascii="Arial" w:cs="Arial" w:eastAsia="Arial" w:hAnsi="Arial"/>
                <w:sz w:val="18"/>
                <w:szCs w:val="18"/>
                <w:color w:val="auto"/>
              </w:rPr>
              <w:t>Page 1 of 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281"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Car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2010</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560" w:type="dxa"/>
            <w:vAlign w:val="bottom"/>
            <w:tcBorders>
              <w:top w:val="single" w:sz="8" w:color="auto"/>
              <w:left w:val="single" w:sz="8" w:color="auto"/>
              <w:right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2"/>
            <w:vMerge w:val="restart"/>
          </w:tcPr>
          <w:p>
            <w:pPr>
              <w:jc w:val="right"/>
              <w:ind w:right="453"/>
              <w:spacing w:after="0"/>
              <w:rPr>
                <w:sz w:val="20"/>
                <w:szCs w:val="20"/>
                <w:color w:val="auto"/>
              </w:rPr>
            </w:pPr>
            <w:r>
              <w:rPr>
                <w:rFonts w:ascii="Arial" w:cs="Arial" w:eastAsia="Arial" w:hAnsi="Arial"/>
                <w:sz w:val="14"/>
                <w:szCs w:val="14"/>
                <w:color w:val="auto"/>
              </w:rPr>
              <w:t>January</w:t>
            </w:r>
          </w:p>
        </w:tc>
        <w:tc>
          <w:tcPr>
            <w:tcW w:w="900" w:type="dxa"/>
            <w:vAlign w:val="bottom"/>
            <w:tcBorders>
              <w:top w:val="single" w:sz="8" w:color="auto"/>
              <w:right w:val="single" w:sz="8" w:color="auto"/>
            </w:tcBorders>
          </w:tcPr>
          <w:p>
            <w:pPr>
              <w:spacing w:after="0"/>
              <w:rPr>
                <w:sz w:val="13"/>
                <w:szCs w:val="13"/>
                <w:color w:val="auto"/>
              </w:rPr>
            </w:pPr>
          </w:p>
        </w:tc>
        <w:tc>
          <w:tcPr>
            <w:tcW w:w="2400" w:type="dxa"/>
            <w:vAlign w:val="bottom"/>
            <w:tcBorders>
              <w:top w:val="single" w:sz="8" w:color="auto"/>
              <w:right w:val="single" w:sz="8" w:color="auto"/>
            </w:tcBorders>
            <w:gridSpan w:val="3"/>
          </w:tcPr>
          <w:p>
            <w:pPr>
              <w:jc w:val="right"/>
              <w:ind w:right="413"/>
              <w:spacing w:after="0" w:line="151" w:lineRule="exact"/>
              <w:rPr>
                <w:sz w:val="20"/>
                <w:szCs w:val="20"/>
                <w:color w:val="auto"/>
              </w:rPr>
            </w:pPr>
            <w:r>
              <w:rPr>
                <w:rFonts w:ascii="Arial" w:cs="Arial" w:eastAsia="Arial" w:hAnsi="Arial"/>
                <w:sz w:val="14"/>
                <w:szCs w:val="14"/>
                <w:color w:val="auto"/>
              </w:rPr>
              <w:t>(Calendar Year-to-Date)</w:t>
            </w:r>
          </w:p>
        </w:tc>
        <w:tc>
          <w:tcPr>
            <w:tcW w:w="0" w:type="dxa"/>
            <w:vAlign w:val="bottom"/>
          </w:tcPr>
          <w:p>
            <w:pPr>
              <w:spacing w:after="0"/>
              <w:rPr>
                <w:sz w:val="1"/>
                <w:szCs w:val="1"/>
                <w:color w:val="auto"/>
              </w:rPr>
            </w:pPr>
          </w:p>
        </w:tc>
      </w:tr>
      <w:tr>
        <w:trPr>
          <w:trHeight w:val="91"/>
        </w:trPr>
        <w:tc>
          <w:tcPr>
            <w:tcW w:w="5560" w:type="dxa"/>
            <w:vAlign w:val="bottom"/>
            <w:tcBorders>
              <w:left w:val="single" w:sz="8" w:color="auto"/>
              <w:right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vMerge w:val="restart"/>
          </w:tcPr>
          <w:p>
            <w:pPr>
              <w:jc w:val="right"/>
              <w:spacing w:after="0" w:line="159" w:lineRule="exact"/>
              <w:rPr>
                <w:sz w:val="20"/>
                <w:szCs w:val="20"/>
                <w:color w:val="auto"/>
              </w:rPr>
            </w:pPr>
            <w:r>
              <w:rPr>
                <w:rFonts w:ascii="Arial" w:cs="Arial" w:eastAsia="Arial" w:hAnsi="Arial"/>
                <w:sz w:val="14"/>
                <w:szCs w:val="14"/>
                <w:color w:val="auto"/>
                <w:w w:val="85"/>
              </w:rPr>
              <w:t>January - January</w:t>
            </w:r>
          </w:p>
        </w:tc>
        <w:tc>
          <w:tcPr>
            <w:tcW w:w="6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560" w:type="dxa"/>
            <w:vAlign w:val="bottom"/>
            <w:tcBorders>
              <w:left w:val="single" w:sz="8" w:color="auto"/>
              <w:right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5560" w:type="dxa"/>
            <w:vAlign w:val="bottom"/>
            <w:tcBorders>
              <w:left w:val="single" w:sz="8" w:color="auto"/>
              <w:right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jc w:val="right"/>
              <w:ind w:right="93"/>
              <w:spacing w:after="0" w:line="131" w:lineRule="exact"/>
              <w:rPr>
                <w:sz w:val="20"/>
                <w:szCs w:val="20"/>
                <w:color w:val="auto"/>
              </w:rPr>
            </w:pPr>
            <w:r>
              <w:rPr>
                <w:rFonts w:ascii="Arial" w:cs="Arial" w:eastAsia="Arial" w:hAnsi="Arial"/>
                <w:sz w:val="14"/>
                <w:szCs w:val="14"/>
                <w:color w:val="auto"/>
              </w:rPr>
              <w:t>% Chg</w:t>
            </w:r>
          </w:p>
        </w:tc>
        <w:tc>
          <w:tcPr>
            <w:tcW w:w="900" w:type="dxa"/>
            <w:vAlign w:val="bottom"/>
            <w:tcBorders>
              <w:right w:val="single" w:sz="8" w:color="auto"/>
            </w:tcBorders>
          </w:tcPr>
          <w:p>
            <w:pPr>
              <w:jc w:val="right"/>
              <w:ind w:right="73"/>
              <w:spacing w:after="0" w:line="131" w:lineRule="exact"/>
              <w:rPr>
                <w:sz w:val="20"/>
                <w:szCs w:val="20"/>
                <w:color w:val="auto"/>
              </w:rPr>
            </w:pPr>
            <w:r>
              <w:rPr>
                <w:rFonts w:ascii="Arial" w:cs="Arial" w:eastAsia="Arial" w:hAnsi="Arial"/>
                <w:sz w:val="14"/>
                <w:szCs w:val="14"/>
                <w:color w:val="auto"/>
              </w:rPr>
              <w:t>% Chg per</w:t>
            </w: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0" w:type="dxa"/>
            <w:vAlign w:val="bottom"/>
            <w:tcBorders>
              <w:right w:val="single" w:sz="8" w:color="auto"/>
            </w:tcBorders>
          </w:tcPr>
          <w:p>
            <w:pPr>
              <w:jc w:val="right"/>
              <w:ind w:right="33"/>
              <w:spacing w:after="0" w:line="131" w:lineRule="exact"/>
              <w:rPr>
                <w:sz w:val="20"/>
                <w:szCs w:val="20"/>
                <w:color w:val="auto"/>
              </w:rPr>
            </w:pPr>
            <w:r>
              <w:rPr>
                <w:rFonts w:ascii="Arial" w:cs="Arial" w:eastAsia="Arial" w:hAnsi="Arial"/>
                <w:sz w:val="14"/>
                <w:szCs w:val="14"/>
                <w:color w:val="auto"/>
              </w:rPr>
              <w:t>% Chg</w:t>
            </w:r>
          </w:p>
        </w:tc>
        <w:tc>
          <w:tcPr>
            <w:tcW w:w="0" w:type="dxa"/>
            <w:vAlign w:val="bottom"/>
          </w:tcPr>
          <w:p>
            <w:pPr>
              <w:spacing w:after="0"/>
              <w:rPr>
                <w:sz w:val="1"/>
                <w:szCs w:val="1"/>
                <w:color w:val="auto"/>
              </w:rPr>
            </w:pPr>
          </w:p>
        </w:tc>
      </w:tr>
      <w:tr>
        <w:trPr>
          <w:trHeight w:val="159"/>
        </w:trPr>
        <w:tc>
          <w:tcPr>
            <w:tcW w:w="5560" w:type="dxa"/>
            <w:vAlign w:val="bottom"/>
            <w:tcBorders>
              <w:left w:val="single" w:sz="8" w:color="auto"/>
              <w:bottom w:val="single" w:sz="8" w:color="auto"/>
              <w:right w:val="single" w:sz="8" w:color="auto"/>
            </w:tcBorders>
          </w:tcPr>
          <w:p>
            <w:pPr>
              <w:spacing w:after="0"/>
              <w:rPr>
                <w:sz w:val="13"/>
                <w:szCs w:val="13"/>
                <w:color w:val="auto"/>
              </w:rPr>
            </w:pPr>
          </w:p>
        </w:tc>
        <w:tc>
          <w:tcPr>
            <w:tcW w:w="98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820" w:type="dxa"/>
            <w:vAlign w:val="bottom"/>
            <w:tcBorders>
              <w:bottom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2009</w:t>
            </w:r>
          </w:p>
        </w:tc>
        <w:tc>
          <w:tcPr>
            <w:tcW w:w="76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Volume</w:t>
            </w:r>
          </w:p>
        </w:tc>
        <w:tc>
          <w:tcPr>
            <w:tcW w:w="900" w:type="dxa"/>
            <w:vAlign w:val="bottom"/>
            <w:tcBorders>
              <w:bottom w:val="single" w:sz="8" w:color="auto"/>
              <w:right w:val="single" w:sz="8" w:color="auto"/>
            </w:tcBorders>
          </w:tcPr>
          <w:p>
            <w:pPr>
              <w:jc w:val="right"/>
              <w:ind w:right="73"/>
              <w:spacing w:after="0" w:line="159" w:lineRule="exact"/>
              <w:rPr>
                <w:sz w:val="20"/>
                <w:szCs w:val="20"/>
                <w:color w:val="auto"/>
              </w:rPr>
            </w:pPr>
            <w:r>
              <w:rPr>
                <w:rFonts w:ascii="Arial" w:cs="Arial" w:eastAsia="Arial" w:hAnsi="Arial"/>
                <w:sz w:val="14"/>
                <w:szCs w:val="14"/>
                <w:color w:val="auto"/>
              </w:rPr>
              <w:t>S/D</w:t>
            </w:r>
          </w:p>
        </w:tc>
        <w:tc>
          <w:tcPr>
            <w:tcW w:w="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1060" w:type="dxa"/>
            <w:vAlign w:val="bottom"/>
            <w:tcBorders>
              <w:bottom w:val="single" w:sz="8" w:color="auto"/>
            </w:tcBorders>
          </w:tcPr>
          <w:p>
            <w:pPr>
              <w:jc w:val="right"/>
              <w:ind w:right="193"/>
              <w:spacing w:after="0" w:line="159" w:lineRule="exact"/>
              <w:rPr>
                <w:sz w:val="20"/>
                <w:szCs w:val="20"/>
                <w:color w:val="auto"/>
              </w:rPr>
            </w:pPr>
            <w:r>
              <w:rPr>
                <w:rFonts w:ascii="Arial" w:cs="Arial" w:eastAsia="Arial" w:hAnsi="Arial"/>
                <w:sz w:val="14"/>
                <w:szCs w:val="14"/>
                <w:color w:val="auto"/>
              </w:rPr>
              <w:t>2009</w:t>
            </w:r>
          </w:p>
        </w:tc>
        <w:tc>
          <w:tcPr>
            <w:tcW w:w="60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96"/>
              </w:rPr>
              <w:t>Volume</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w:t>
            </w:r>
          </w:p>
        </w:tc>
        <w:tc>
          <w:tcPr>
            <w:tcW w:w="7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LaCrosse</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4,246</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1,489</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185.2</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208.9</w:t>
            </w:r>
          </w:p>
        </w:tc>
        <w:tc>
          <w:tcPr>
            <w:tcW w:w="740" w:type="dxa"/>
            <w:vAlign w:val="bottom"/>
          </w:tcPr>
          <w:p>
            <w:pPr>
              <w:jc w:val="right"/>
              <w:spacing w:after="0"/>
              <w:rPr>
                <w:sz w:val="20"/>
                <w:szCs w:val="20"/>
                <w:color w:val="auto"/>
              </w:rPr>
            </w:pPr>
            <w:r>
              <w:rPr>
                <w:rFonts w:ascii="Arial" w:cs="Arial" w:eastAsia="Arial" w:hAnsi="Arial"/>
                <w:sz w:val="18"/>
                <w:szCs w:val="18"/>
                <w:color w:val="auto"/>
              </w:rPr>
              <w:t>4,246</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1,489</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Lucerne</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1,740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2,759</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2,759</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2"/>
              </w:rPr>
              <w:t>Buick Total</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5,986</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4,248</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40.9</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52.7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4,248</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CTS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2,565</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3,418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-25.0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3,418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DTS</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618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1,362</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-54.6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-50.8</w:t>
            </w:r>
          </w:p>
        </w:tc>
        <w:tc>
          <w:tcPr>
            <w:tcW w:w="740" w:type="dxa"/>
            <w:vAlign w:val="bottom"/>
          </w:tcPr>
          <w:p>
            <w:pPr>
              <w:jc w:val="right"/>
              <w:spacing w:after="0"/>
              <w:rPr>
                <w:sz w:val="20"/>
                <w:szCs w:val="20"/>
                <w:color w:val="auto"/>
              </w:rPr>
            </w:pPr>
            <w:r>
              <w:rPr>
                <w:rFonts w:ascii="Arial" w:cs="Arial" w:eastAsia="Arial" w:hAnsi="Arial"/>
                <w:sz w:val="18"/>
                <w:szCs w:val="18"/>
                <w:color w:val="auto"/>
              </w:rPr>
              <w:t>618</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1,362</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STS</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233</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413</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-43.6</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-38.9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413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XLR</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36</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58</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-37.9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-32.8</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58</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Cadillac Total</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3,452</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5,251</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-34.3</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-28.8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5,251</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Aveo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2,043</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1,595</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28.1</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38.8</w:t>
            </w:r>
          </w:p>
        </w:tc>
        <w:tc>
          <w:tcPr>
            <w:tcW w:w="740" w:type="dxa"/>
            <w:vAlign w:val="bottom"/>
          </w:tcPr>
          <w:p>
            <w:pPr>
              <w:jc w:val="right"/>
              <w:spacing w:after="0"/>
              <w:rPr>
                <w:sz w:val="20"/>
                <w:szCs w:val="20"/>
                <w:color w:val="auto"/>
              </w:rPr>
            </w:pPr>
            <w:r>
              <w:rPr>
                <w:rFonts w:ascii="Arial" w:cs="Arial" w:eastAsia="Arial" w:hAnsi="Arial"/>
                <w:sz w:val="18"/>
                <w:szCs w:val="18"/>
                <w:color w:val="auto"/>
              </w:rPr>
              <w:t>2,043</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1,595</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Camaro</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5,371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Cobalt</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12,962</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5,191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149.7</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170.5</w:t>
            </w:r>
          </w:p>
        </w:tc>
        <w:tc>
          <w:tcPr>
            <w:tcW w:w="740" w:type="dxa"/>
            <w:vAlign w:val="bottom"/>
          </w:tcPr>
          <w:p>
            <w:pPr>
              <w:jc w:val="right"/>
              <w:spacing w:after="0"/>
              <w:rPr>
                <w:sz w:val="20"/>
                <w:szCs w:val="20"/>
                <w:color w:val="auto"/>
              </w:rPr>
            </w:pPr>
            <w:r>
              <w:rPr>
                <w:rFonts w:ascii="Arial" w:cs="Arial" w:eastAsia="Arial" w:hAnsi="Arial"/>
                <w:sz w:val="18"/>
                <w:szCs w:val="18"/>
                <w:color w:val="auto"/>
              </w:rPr>
              <w:t>12,962</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5,191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Corvette</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854</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842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842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Impala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10,939</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7,060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54.9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67.9</w:t>
            </w:r>
          </w:p>
        </w:tc>
        <w:tc>
          <w:tcPr>
            <w:tcW w:w="740" w:type="dxa"/>
            <w:vAlign w:val="bottom"/>
          </w:tcPr>
          <w:p>
            <w:pPr>
              <w:jc w:val="right"/>
              <w:spacing w:after="0"/>
              <w:rPr>
                <w:sz w:val="20"/>
                <w:szCs w:val="20"/>
                <w:color w:val="auto"/>
              </w:rPr>
            </w:pPr>
            <w:r>
              <w:rPr>
                <w:rFonts w:ascii="Arial" w:cs="Arial" w:eastAsia="Arial" w:hAnsi="Arial"/>
                <w:sz w:val="18"/>
                <w:szCs w:val="18"/>
                <w:color w:val="auto"/>
              </w:rPr>
              <w:t>10,939</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7,060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Malibu</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16,439</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9,312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76.5</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91.2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16,439</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9,312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Monte Carlo</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0.0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0.0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0"/>
              </w:rPr>
              <w:t>Chevrolet Total</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48,608</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24,000</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102.5</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119.4</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48,608</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24,000</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Core Brand Total</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58,046</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33,499</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73.3</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87.7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58,046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33,499</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G3 Wave</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G5</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767</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-96.0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-95.6</w:t>
            </w:r>
          </w:p>
        </w:tc>
        <w:tc>
          <w:tcPr>
            <w:tcW w:w="740" w:type="dxa"/>
            <w:vAlign w:val="bottom"/>
          </w:tcPr>
          <w:p>
            <w:pPr>
              <w:jc w:val="right"/>
              <w:spacing w:after="0"/>
              <w:rPr>
                <w:sz w:val="20"/>
                <w:szCs w:val="20"/>
                <w:color w:val="auto"/>
              </w:rPr>
            </w:pPr>
            <w:r>
              <w:rPr>
                <w:rFonts w:ascii="Arial" w:cs="Arial" w:eastAsia="Arial" w:hAnsi="Arial"/>
                <w:sz w:val="18"/>
                <w:szCs w:val="18"/>
                <w:color w:val="auto"/>
              </w:rPr>
              <w:t>31</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767</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G6</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2,468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-93.9</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-93.4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2,468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G8</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118</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1,331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-91.1</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-90.4</w:t>
            </w: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1,331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Grand Prix</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-98.8</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-98.7</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Solstice</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51</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304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-83.2</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-81.8</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304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Vibe</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14</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2,512</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-99.4</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-99.4</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2,512</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9"/>
              </w:rPr>
              <w:t>Pontiac Total</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376</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7,464</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-95.0</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-94.5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7,464</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9-3</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429</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523</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523</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9-5</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65</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101</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-35.6</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-30.3</w:t>
            </w:r>
          </w:p>
        </w:tc>
        <w:tc>
          <w:tcPr>
            <w:tcW w:w="740" w:type="dxa"/>
            <w:vAlign w:val="bottom"/>
          </w:tcPr>
          <w:p>
            <w:pPr>
              <w:jc w:val="right"/>
              <w:spacing w:after="0"/>
              <w:rPr>
                <w:sz w:val="20"/>
                <w:szCs w:val="20"/>
                <w:color w:val="auto"/>
              </w:rPr>
            </w:pPr>
            <w:r>
              <w:rPr>
                <w:rFonts w:ascii="Arial" w:cs="Arial" w:eastAsia="Arial" w:hAnsi="Arial"/>
                <w:sz w:val="18"/>
                <w:szCs w:val="18"/>
                <w:color w:val="auto"/>
              </w:rPr>
              <w:t>65</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101</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4"/>
              </w:rPr>
              <w:t>Saab Total</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494</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624</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-20.8</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624</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Astra</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824</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-98.9</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-98.8</w:t>
            </w: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824</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Aura</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361</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1,338</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-73.0</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-70.8</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1,338</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ION</w:t>
            </w:r>
          </w:p>
        </w:tc>
        <w:tc>
          <w:tcPr>
            <w:tcW w:w="98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820" w:type="dxa"/>
            <w:vAlign w:val="bottom"/>
          </w:tcPr>
          <w:p>
            <w:pPr>
              <w:jc w:val="right"/>
              <w:ind w:right="73"/>
              <w:spacing w:after="0"/>
              <w:rPr>
                <w:sz w:val="20"/>
                <w:szCs w:val="20"/>
                <w:color w:val="auto"/>
              </w:rPr>
            </w:pPr>
            <w:r>
              <w:rPr>
                <w:rFonts w:ascii="Arial" w:cs="Arial" w:eastAsia="Arial" w:hAnsi="Arial"/>
                <w:sz w:val="18"/>
                <w:szCs w:val="18"/>
                <w:color w:val="auto"/>
              </w:rPr>
              <w:t>0</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0.0</w:t>
            </w:r>
          </w:p>
        </w:tc>
        <w:tc>
          <w:tcPr>
            <w:tcW w:w="900" w:type="dxa"/>
            <w:vAlign w:val="bottom"/>
            <w:tcBorders>
              <w:right w:val="single" w:sz="8" w:color="auto"/>
            </w:tcBorders>
          </w:tcPr>
          <w:p>
            <w:pPr>
              <w:jc w:val="right"/>
              <w:ind w:right="73"/>
              <w:spacing w:after="0"/>
              <w:rPr>
                <w:sz w:val="20"/>
                <w:szCs w:val="20"/>
                <w:color w:val="auto"/>
              </w:rPr>
            </w:pPr>
            <w:r>
              <w:rPr>
                <w:rFonts w:ascii="Arial" w:cs="Arial" w:eastAsia="Arial" w:hAnsi="Arial"/>
                <w:sz w:val="18"/>
                <w:szCs w:val="18"/>
                <w:color w:val="auto"/>
              </w:rPr>
              <w:t>0.0</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1060" w:type="dxa"/>
            <w:vAlign w:val="bottom"/>
          </w:tcPr>
          <w:p>
            <w:pPr>
              <w:jc w:val="right"/>
              <w:ind w:right="193"/>
              <w:spacing w:after="0"/>
              <w:rPr>
                <w:sz w:val="20"/>
                <w:szCs w:val="20"/>
                <w:color w:val="auto"/>
              </w:rPr>
            </w:pPr>
            <w:r>
              <w:rPr>
                <w:rFonts w:ascii="Arial" w:cs="Arial" w:eastAsia="Arial" w:hAnsi="Arial"/>
                <w:sz w:val="18"/>
                <w:szCs w:val="18"/>
                <w:color w:val="auto"/>
              </w:rPr>
              <w:t>0</w:t>
            </w:r>
          </w:p>
        </w:tc>
        <w:tc>
          <w:tcPr>
            <w:tcW w:w="60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Sky</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77</w:t>
            </w:r>
          </w:p>
        </w:tc>
        <w:tc>
          <w:tcPr>
            <w:tcW w:w="8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194</w:t>
            </w:r>
          </w:p>
        </w:tc>
        <w:tc>
          <w:tcPr>
            <w:tcW w:w="7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-60.3</w:t>
            </w:r>
          </w:p>
        </w:tc>
        <w:tc>
          <w:tcPr>
            <w:tcW w:w="900" w:type="dxa"/>
            <w:vAlign w:val="bottom"/>
            <w:tcBorders>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-57.0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194</w:t>
            </w:r>
          </w:p>
        </w:tc>
        <w:tc>
          <w:tcPr>
            <w:tcW w:w="60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55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7"/>
              </w:rPr>
              <w:t>Saturn Total</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447</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2,356</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-81.0</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-79.4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2,356</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Non-Core Brand Total</w:t>
            </w:r>
          </w:p>
        </w:tc>
        <w:tc>
          <w:tcPr>
            <w:tcW w:w="9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1,317</w:t>
            </w:r>
          </w:p>
        </w:tc>
        <w:tc>
          <w:tcPr>
            <w:tcW w:w="8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10,444</w:t>
            </w:r>
          </w:p>
        </w:tc>
        <w:tc>
          <w:tcPr>
            <w:tcW w:w="76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-87.4</w:t>
            </w:r>
          </w:p>
        </w:tc>
        <w:tc>
          <w:tcPr>
            <w:tcW w:w="900" w:type="dxa"/>
            <w:vAlign w:val="bottom"/>
            <w:tcBorders>
              <w:bottom w:val="single" w:sz="8" w:color="auto"/>
              <w:right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-86.3</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06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10,444</w:t>
            </w:r>
          </w:p>
        </w:tc>
        <w:tc>
          <w:tcPr>
            <w:tcW w:w="60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0"/>
        </w:trPr>
        <w:tc>
          <w:tcPr>
            <w:tcW w:w="55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0"/>
              </w:rPr>
              <w:t>GM Car Total</w:t>
            </w:r>
          </w:p>
        </w:tc>
        <w:tc>
          <w:tcPr>
            <w:tcW w:w="9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59,363</w:t>
            </w:r>
          </w:p>
        </w:tc>
        <w:tc>
          <w:tcPr>
            <w:tcW w:w="8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43,943</w:t>
            </w: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35.1</w:t>
            </w:r>
          </w:p>
        </w:tc>
        <w:tc>
          <w:tcPr>
            <w:tcW w:w="900" w:type="dxa"/>
            <w:vAlign w:val="bottom"/>
            <w:tcBorders>
              <w:bottom w:val="single" w:sz="8" w:color="auto"/>
              <w:right w:val="single" w:sz="8" w:color="auto"/>
            </w:tcBorders>
          </w:tcPr>
          <w:p>
            <w:pPr>
              <w:jc w:val="right"/>
              <w:ind w:right="73"/>
              <w:spacing w:after="0"/>
              <w:rPr>
                <w:sz w:val="20"/>
                <w:szCs w:val="20"/>
                <w:color w:val="auto"/>
              </w:rPr>
            </w:pPr>
            <w:r>
              <w:rPr>
                <w:rFonts w:ascii="Arial" w:cs="Arial" w:eastAsia="Arial" w:hAnsi="Arial"/>
                <w:sz w:val="18"/>
                <w:szCs w:val="18"/>
                <w:color w:val="auto"/>
              </w:rPr>
              <w:t>46.3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59,363</w:t>
            </w:r>
          </w:p>
        </w:tc>
        <w:tc>
          <w:tcPr>
            <w:tcW w:w="10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43,943</w:t>
            </w:r>
          </w:p>
        </w:tc>
        <w:tc>
          <w:tcPr>
            <w:tcW w:w="60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356"/>
        </w:trPr>
        <w:tc>
          <w:tcPr>
            <w:tcW w:w="5560" w:type="dxa"/>
            <w:vAlign w:val="bottom"/>
          </w:tcPr>
          <w:p>
            <w:pPr>
              <w:spacing w:after="0"/>
              <w:rPr>
                <w:sz w:val="20"/>
                <w:szCs w:val="20"/>
                <w:color w:val="auto"/>
              </w:rPr>
            </w:pPr>
            <w:r>
              <w:rPr>
                <w:rFonts w:ascii="Arial" w:cs="Arial" w:eastAsia="Arial" w:hAnsi="Arial"/>
                <w:sz w:val="18"/>
                <w:szCs w:val="18"/>
                <w:color w:val="auto"/>
                <w:w w:val="88"/>
              </w:rPr>
              <w:t>Global Market and Industry Analysis - Sales Reporting and Data Management</w:t>
            </w: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Page 2 of 4</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3-1P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GM Truck Deliveries - (United States)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2010</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260" w:type="dxa"/>
            <w:vAlign w:val="bottom"/>
            <w:tcBorders>
              <w:top w:val="single" w:sz="8" w:color="auto"/>
              <w:left w:val="single" w:sz="8" w:color="auto"/>
              <w:right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454"/>
              <w:spacing w:after="0"/>
              <w:rPr>
                <w:sz w:val="20"/>
                <w:szCs w:val="20"/>
                <w:color w:val="auto"/>
              </w:rPr>
            </w:pPr>
            <w:r>
              <w:rPr>
                <w:rFonts w:ascii="Arial" w:cs="Arial" w:eastAsia="Arial" w:hAnsi="Arial"/>
                <w:sz w:val="14"/>
                <w:szCs w:val="14"/>
                <w:color w:val="auto"/>
                <w:w w:val="80"/>
              </w:rPr>
              <w:t>January</w:t>
            </w:r>
          </w:p>
        </w:tc>
        <w:tc>
          <w:tcPr>
            <w:tcW w:w="86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60" w:type="dxa"/>
            <w:vAlign w:val="bottom"/>
            <w:tcBorders>
              <w:top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5260" w:type="dxa"/>
            <w:vAlign w:val="bottom"/>
            <w:tcBorders>
              <w:left w:val="single" w:sz="8" w:color="auto"/>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860" w:type="dxa"/>
            <w:vAlign w:val="bottom"/>
            <w:tcBorders>
              <w:right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vMerge w:val="restart"/>
          </w:tcPr>
          <w:p>
            <w:pPr>
              <w:jc w:val="right"/>
              <w:ind w:right="93"/>
              <w:spacing w:after="0"/>
              <w:rPr>
                <w:sz w:val="20"/>
                <w:szCs w:val="20"/>
                <w:color w:val="auto"/>
              </w:rPr>
            </w:pPr>
            <w:r>
              <w:rPr>
                <w:rFonts w:ascii="Arial" w:cs="Arial" w:eastAsia="Arial" w:hAnsi="Arial"/>
                <w:sz w:val="14"/>
                <w:szCs w:val="14"/>
                <w:color w:val="auto"/>
                <w:w w:val="87"/>
              </w:rPr>
              <w:t>January - January</w:t>
            </w:r>
          </w:p>
        </w:tc>
        <w:tc>
          <w:tcPr>
            <w:tcW w:w="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5260" w:type="dxa"/>
            <w:vAlign w:val="bottom"/>
            <w:tcBorders>
              <w:left w:val="single" w:sz="8" w:color="auto"/>
              <w:right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5260" w:type="dxa"/>
            <w:vAlign w:val="bottom"/>
            <w:tcBorders>
              <w:left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jc w:val="right"/>
              <w:ind w:right="94"/>
              <w:spacing w:after="0" w:line="132" w:lineRule="exact"/>
              <w:rPr>
                <w:sz w:val="20"/>
                <w:szCs w:val="20"/>
                <w:color w:val="auto"/>
              </w:rPr>
            </w:pPr>
            <w:r>
              <w:rPr>
                <w:rFonts w:ascii="Arial" w:cs="Arial" w:eastAsia="Arial" w:hAnsi="Arial"/>
                <w:sz w:val="14"/>
                <w:szCs w:val="14"/>
                <w:color w:val="auto"/>
              </w:rPr>
              <w:t>% Chg</w:t>
            </w:r>
          </w:p>
        </w:tc>
        <w:tc>
          <w:tcPr>
            <w:tcW w:w="860" w:type="dxa"/>
            <w:vAlign w:val="bottom"/>
            <w:tcBorders>
              <w:right w:val="single" w:sz="8" w:color="auto"/>
            </w:tcBorders>
          </w:tcPr>
          <w:p>
            <w:pPr>
              <w:jc w:val="right"/>
              <w:spacing w:after="0" w:line="132" w:lineRule="exact"/>
              <w:rPr>
                <w:sz w:val="20"/>
                <w:szCs w:val="20"/>
                <w:color w:val="auto"/>
              </w:rPr>
            </w:pPr>
            <w:r>
              <w:rPr>
                <w:rFonts w:ascii="Arial" w:cs="Arial" w:eastAsia="Arial" w:hAnsi="Arial"/>
                <w:sz w:val="14"/>
                <w:szCs w:val="14"/>
                <w:color w:val="auto"/>
              </w:rPr>
              <w:t>% Chg per</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Borders>
              <w:right w:val="single" w:sz="8" w:color="auto"/>
            </w:tcBorders>
          </w:tcPr>
          <w:p>
            <w:pPr>
              <w:jc w:val="right"/>
              <w:ind w:right="33"/>
              <w:spacing w:after="0" w:line="132" w:lineRule="exact"/>
              <w:rPr>
                <w:sz w:val="20"/>
                <w:szCs w:val="20"/>
                <w:color w:val="auto"/>
              </w:rPr>
            </w:pPr>
            <w:r>
              <w:rPr>
                <w:rFonts w:ascii="Arial" w:cs="Arial" w:eastAsia="Arial" w:hAnsi="Arial"/>
                <w:sz w:val="14"/>
                <w:szCs w:val="14"/>
                <w:color w:val="auto"/>
                <w:w w:val="99"/>
              </w:rPr>
              <w:t>% Chg</w:t>
            </w:r>
          </w:p>
        </w:tc>
        <w:tc>
          <w:tcPr>
            <w:tcW w:w="0" w:type="dxa"/>
            <w:vAlign w:val="bottom"/>
          </w:tcPr>
          <w:p>
            <w:pPr>
              <w:spacing w:after="0"/>
              <w:rPr>
                <w:sz w:val="1"/>
                <w:szCs w:val="1"/>
                <w:color w:val="auto"/>
              </w:rPr>
            </w:pPr>
          </w:p>
        </w:tc>
      </w:tr>
      <w:tr>
        <w:trPr>
          <w:trHeight w:val="159"/>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960" w:type="dxa"/>
            <w:vAlign w:val="bottom"/>
            <w:tcBorders>
              <w:bottom w:val="single" w:sz="8" w:color="auto"/>
            </w:tcBorders>
          </w:tcPr>
          <w:p>
            <w:pPr>
              <w:jc w:val="right"/>
              <w:ind w:right="94"/>
              <w:spacing w:after="0" w:line="159" w:lineRule="exact"/>
              <w:rPr>
                <w:sz w:val="20"/>
                <w:szCs w:val="20"/>
                <w:color w:val="auto"/>
              </w:rPr>
            </w:pPr>
            <w:r>
              <w:rPr>
                <w:rFonts w:ascii="Arial" w:cs="Arial" w:eastAsia="Arial" w:hAnsi="Arial"/>
                <w:sz w:val="14"/>
                <w:szCs w:val="14"/>
                <w:color w:val="auto"/>
              </w:rPr>
              <w:t>Volume</w:t>
            </w:r>
          </w:p>
        </w:tc>
        <w:tc>
          <w:tcPr>
            <w:tcW w:w="86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1180" w:type="dxa"/>
            <w:vAlign w:val="bottom"/>
            <w:tcBorders>
              <w:bottom w:val="single" w:sz="8" w:color="auto"/>
            </w:tcBorders>
          </w:tcPr>
          <w:p>
            <w:pPr>
              <w:jc w:val="right"/>
              <w:ind w:right="293"/>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3"/>
              <w:spacing w:after="0" w:line="159" w:lineRule="exact"/>
              <w:rPr>
                <w:sz w:val="20"/>
                <w:szCs w:val="20"/>
                <w:color w:val="auto"/>
              </w:rPr>
            </w:pPr>
            <w:r>
              <w:rPr>
                <w:rFonts w:ascii="Arial" w:cs="Arial" w:eastAsia="Arial" w:hAnsi="Arial"/>
                <w:sz w:val="14"/>
                <w:szCs w:val="14"/>
                <w:color w:val="auto"/>
                <w:w w:val="88"/>
              </w:rPr>
              <w:t>Volume</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Rainier</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3</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Terraza</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Buick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1,237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1,353</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Escalade ESV</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396</w:t>
            </w:r>
          </w:p>
        </w:tc>
        <w:tc>
          <w:tcPr>
            <w:tcW w:w="680" w:type="dxa"/>
            <w:vAlign w:val="bottom"/>
          </w:tcPr>
          <w:p>
            <w:pPr>
              <w:jc w:val="right"/>
              <w:spacing w:after="0"/>
              <w:rPr>
                <w:sz w:val="20"/>
                <w:szCs w:val="20"/>
                <w:color w:val="auto"/>
              </w:rPr>
            </w:pPr>
            <w:r>
              <w:rPr>
                <w:rFonts w:ascii="Arial" w:cs="Arial" w:eastAsia="Arial" w:hAnsi="Arial"/>
                <w:sz w:val="18"/>
                <w:szCs w:val="18"/>
                <w:color w:val="auto"/>
              </w:rPr>
              <w:t>672</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-41.1</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-36.2</w:t>
            </w: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672</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Escalade EXT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335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Cadillac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1,754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-25.7</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-19.5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2,360</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Chevy C/T Series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-80.0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Chevy W Series</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-61.1</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-57.8</w:t>
            </w: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95</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Colorado</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3,411</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-43.2</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3,411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Express</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2,762</w:t>
            </w:r>
          </w:p>
        </w:tc>
        <w:tc>
          <w:tcPr>
            <w:tcW w:w="680" w:type="dxa"/>
            <w:vAlign w:val="bottom"/>
          </w:tcPr>
          <w:p>
            <w:pPr>
              <w:jc w:val="right"/>
              <w:spacing w:after="0"/>
              <w:rPr>
                <w:sz w:val="20"/>
                <w:szCs w:val="20"/>
                <w:color w:val="auto"/>
              </w:rPr>
            </w:pPr>
            <w:r>
              <w:rPr>
                <w:rFonts w:ascii="Arial" w:cs="Arial" w:eastAsia="Arial" w:hAnsi="Arial"/>
                <w:sz w:val="18"/>
                <w:szCs w:val="18"/>
                <w:color w:val="auto"/>
              </w:rPr>
              <w:t>2,718</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10.1</w:t>
            </w: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2,718</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Kodiak 4/5 Series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-60.1</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346</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Kodiak 6/7/8 Series</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19</w:t>
            </w: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-80.2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-78.6</w:t>
            </w: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96</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Suburban (Chevy)</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2,138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Tahoe</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4,556</w:t>
            </w:r>
          </w:p>
        </w:tc>
        <w:tc>
          <w:tcPr>
            <w:tcW w:w="680" w:type="dxa"/>
            <w:vAlign w:val="bottom"/>
          </w:tcPr>
          <w:p>
            <w:pPr>
              <w:jc w:val="right"/>
              <w:spacing w:after="0"/>
              <w:rPr>
                <w:sz w:val="20"/>
                <w:szCs w:val="20"/>
                <w:color w:val="auto"/>
              </w:rPr>
            </w:pPr>
            <w:r>
              <w:rPr>
                <w:rFonts w:ascii="Arial" w:cs="Arial" w:eastAsia="Arial" w:hAnsi="Arial"/>
                <w:sz w:val="18"/>
                <w:szCs w:val="18"/>
                <w:color w:val="auto"/>
              </w:rPr>
              <w:t>3,849</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18.4</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c>
          <w:tcPr>
            <w:tcW w:w="900" w:type="dxa"/>
            <w:vAlign w:val="bottom"/>
          </w:tcPr>
          <w:p>
            <w:pPr>
              <w:jc w:val="right"/>
              <w:spacing w:after="0"/>
              <w:rPr>
                <w:sz w:val="20"/>
                <w:szCs w:val="20"/>
                <w:color w:val="auto"/>
              </w:rPr>
            </w:pPr>
            <w:r>
              <w:rPr>
                <w:rFonts w:ascii="Arial" w:cs="Arial" w:eastAsia="Arial" w:hAnsi="Arial"/>
                <w:sz w:val="18"/>
                <w:szCs w:val="18"/>
                <w:color w:val="auto"/>
              </w:rPr>
              <w:t>4,556</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3,849</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TrailBlazer</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-97.3</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2,461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-97.3</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Uplander</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-92.9</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-92.3</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281</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Avalanche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-7.4</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1,481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Silverado-C/K Pickup</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w w:val="94"/>
              </w:rPr>
              <w:t>22,772</w:t>
            </w:r>
          </w:p>
        </w:tc>
        <w:tc>
          <w:tcPr>
            <w:tcW w:w="680" w:type="dxa"/>
            <w:vAlign w:val="bottom"/>
          </w:tcPr>
          <w:p>
            <w:pPr>
              <w:jc w:val="right"/>
              <w:spacing w:after="0"/>
              <w:rPr>
                <w:sz w:val="20"/>
                <w:szCs w:val="20"/>
                <w:color w:val="auto"/>
              </w:rPr>
            </w:pPr>
            <w:r>
              <w:rPr>
                <w:rFonts w:ascii="Arial" w:cs="Arial" w:eastAsia="Arial" w:hAnsi="Arial"/>
                <w:sz w:val="18"/>
                <w:szCs w:val="18"/>
                <w:color w:val="auto"/>
              </w:rPr>
              <w:t>23,987</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-5.1</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2.8</w:t>
            </w:r>
          </w:p>
        </w:tc>
        <w:tc>
          <w:tcPr>
            <w:tcW w:w="900" w:type="dxa"/>
            <w:vAlign w:val="bottom"/>
          </w:tcPr>
          <w:p>
            <w:pPr>
              <w:jc w:val="right"/>
              <w:spacing w:after="0"/>
              <w:rPr>
                <w:sz w:val="20"/>
                <w:szCs w:val="20"/>
                <w:color w:val="auto"/>
              </w:rPr>
            </w:pPr>
            <w:r>
              <w:rPr>
                <w:rFonts w:ascii="Arial" w:cs="Arial" w:eastAsia="Arial" w:hAnsi="Arial"/>
                <w:sz w:val="18"/>
                <w:szCs w:val="18"/>
                <w:color w:val="auto"/>
              </w:rPr>
              <w:t>22,772</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23,987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Chevrolet Fullsize Pickups</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24,144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25,468</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-5.2</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24,144</w:t>
            </w:r>
          </w:p>
        </w:tc>
        <w:tc>
          <w:tcPr>
            <w:tcW w:w="11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25,468</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Chevrolet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4"/>
              </w:rPr>
              <w:t>35,997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40,868</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-11.9</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-4.6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35,997</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40,868</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Canyon</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700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-40.6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1,178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Envoy</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28</w:t>
            </w:r>
          </w:p>
        </w:tc>
        <w:tc>
          <w:tcPr>
            <w:tcW w:w="680" w:type="dxa"/>
            <w:vAlign w:val="bottom"/>
          </w:tcPr>
          <w:p>
            <w:pPr>
              <w:jc w:val="right"/>
              <w:spacing w:after="0"/>
              <w:rPr>
                <w:sz w:val="20"/>
                <w:szCs w:val="20"/>
                <w:color w:val="auto"/>
              </w:rPr>
            </w:pPr>
            <w:r>
              <w:rPr>
                <w:rFonts w:ascii="Arial" w:cs="Arial" w:eastAsia="Arial" w:hAnsi="Arial"/>
                <w:sz w:val="18"/>
                <w:szCs w:val="18"/>
                <w:color w:val="auto"/>
              </w:rPr>
              <w:t>942</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-97.0</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-96.8</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942</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GMC C/T Series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-68.0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-65.3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25</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GMC W Series</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78</w:t>
            </w:r>
          </w:p>
        </w:tc>
        <w:tc>
          <w:tcPr>
            <w:tcW w:w="680" w:type="dxa"/>
            <w:vAlign w:val="bottom"/>
          </w:tcPr>
          <w:p>
            <w:pPr>
              <w:jc w:val="right"/>
              <w:spacing w:after="0"/>
              <w:rPr>
                <w:sz w:val="20"/>
                <w:szCs w:val="20"/>
                <w:color w:val="auto"/>
              </w:rPr>
            </w:pPr>
            <w:r>
              <w:rPr>
                <w:rFonts w:ascii="Arial" w:cs="Arial" w:eastAsia="Arial" w:hAnsi="Arial"/>
                <w:sz w:val="18"/>
                <w:szCs w:val="18"/>
                <w:color w:val="auto"/>
              </w:rPr>
              <w:t>156</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-50.0</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-45.8</w:t>
            </w: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156</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Savana</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502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-58.9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1,220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Sierra</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7,271</w:t>
            </w:r>
          </w:p>
        </w:tc>
        <w:tc>
          <w:tcPr>
            <w:tcW w:w="680" w:type="dxa"/>
            <w:vAlign w:val="bottom"/>
          </w:tcPr>
          <w:p>
            <w:pPr>
              <w:jc w:val="right"/>
              <w:spacing w:after="0"/>
              <w:rPr>
                <w:sz w:val="20"/>
                <w:szCs w:val="20"/>
                <w:color w:val="auto"/>
              </w:rPr>
            </w:pPr>
            <w:r>
              <w:rPr>
                <w:rFonts w:ascii="Arial" w:cs="Arial" w:eastAsia="Arial" w:hAnsi="Arial"/>
                <w:sz w:val="18"/>
                <w:szCs w:val="18"/>
                <w:color w:val="auto"/>
              </w:rPr>
              <w:t>8,020</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-9.3</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-1.8</w:t>
            </w:r>
          </w:p>
        </w:tc>
        <w:tc>
          <w:tcPr>
            <w:tcW w:w="900" w:type="dxa"/>
            <w:vAlign w:val="bottom"/>
          </w:tcPr>
          <w:p>
            <w:pPr>
              <w:jc w:val="right"/>
              <w:spacing w:after="0"/>
              <w:rPr>
                <w:sz w:val="20"/>
                <w:szCs w:val="20"/>
                <w:color w:val="auto"/>
              </w:rPr>
            </w:pPr>
            <w:r>
              <w:rPr>
                <w:rFonts w:ascii="Arial" w:cs="Arial" w:eastAsia="Arial" w:hAnsi="Arial"/>
                <w:sz w:val="18"/>
                <w:szCs w:val="18"/>
                <w:color w:val="auto"/>
              </w:rPr>
              <w:t>7,271</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8,020</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Topkick 4/5 Series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-12.8</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218</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Topkick 6/7/8 Series</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39</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-55.7</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-52.0</w:t>
            </w: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88</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Yukon</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1,503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-33.6</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2,263</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Yukon XL</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1,222</w:t>
            </w:r>
          </w:p>
        </w:tc>
        <w:tc>
          <w:tcPr>
            <w:tcW w:w="680" w:type="dxa"/>
            <w:vAlign w:val="bottom"/>
          </w:tcPr>
          <w:p>
            <w:pPr>
              <w:jc w:val="right"/>
              <w:spacing w:after="0"/>
              <w:rPr>
                <w:sz w:val="20"/>
                <w:szCs w:val="20"/>
                <w:color w:val="auto"/>
              </w:rPr>
            </w:pPr>
            <w:r>
              <w:rPr>
                <w:rFonts w:ascii="Arial" w:cs="Arial" w:eastAsia="Arial" w:hAnsi="Arial"/>
                <w:sz w:val="18"/>
                <w:szCs w:val="18"/>
                <w:color w:val="auto"/>
              </w:rPr>
              <w:t>1,777</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-31.2</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-25.5</w:t>
            </w:r>
          </w:p>
        </w:tc>
        <w:tc>
          <w:tcPr>
            <w:tcW w:w="900" w:type="dxa"/>
            <w:vAlign w:val="bottom"/>
          </w:tcPr>
          <w:p>
            <w:pPr>
              <w:jc w:val="right"/>
              <w:spacing w:after="0"/>
              <w:rPr>
                <w:sz w:val="20"/>
                <w:szCs w:val="20"/>
                <w:color w:val="auto"/>
              </w:rPr>
            </w:pPr>
            <w:r>
              <w:rPr>
                <w:rFonts w:ascii="Arial" w:cs="Arial" w:eastAsia="Arial" w:hAnsi="Arial"/>
                <w:sz w:val="18"/>
                <w:szCs w:val="18"/>
                <w:color w:val="auto"/>
              </w:rPr>
              <w:t>1,222</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1,777</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GMC Total</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11,541</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15,887</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-27.4</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11,541</w:t>
            </w:r>
          </w:p>
        </w:tc>
        <w:tc>
          <w:tcPr>
            <w:tcW w:w="11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15,887</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8"/>
              </w:rPr>
              <w:t>Core Brand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4"/>
              </w:rPr>
              <w:t>49,292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59,124</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-16.6</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49,292</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59,124</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H2</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-86.2</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210</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HUMMER H3</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155</w:t>
            </w:r>
          </w:p>
        </w:tc>
        <w:tc>
          <w:tcPr>
            <w:tcW w:w="680" w:type="dxa"/>
            <w:vAlign w:val="bottom"/>
          </w:tcPr>
          <w:p>
            <w:pPr>
              <w:jc w:val="right"/>
              <w:spacing w:after="0"/>
              <w:rPr>
                <w:sz w:val="20"/>
                <w:szCs w:val="20"/>
                <w:color w:val="auto"/>
              </w:rPr>
            </w:pPr>
            <w:r>
              <w:rPr>
                <w:rFonts w:ascii="Arial" w:cs="Arial" w:eastAsia="Arial" w:hAnsi="Arial"/>
                <w:sz w:val="18"/>
                <w:szCs w:val="18"/>
                <w:color w:val="auto"/>
              </w:rPr>
              <w:t>793</w:t>
            </w:r>
          </w:p>
        </w:tc>
        <w:tc>
          <w:tcPr>
            <w:tcW w:w="960" w:type="dxa"/>
            <w:vAlign w:val="bottom"/>
          </w:tcPr>
          <w:p>
            <w:pPr>
              <w:jc w:val="right"/>
              <w:ind w:right="94"/>
              <w:spacing w:after="0"/>
              <w:rPr>
                <w:sz w:val="20"/>
                <w:szCs w:val="20"/>
                <w:color w:val="auto"/>
              </w:rPr>
            </w:pPr>
            <w:r>
              <w:rPr>
                <w:rFonts w:ascii="Arial" w:cs="Arial" w:eastAsia="Arial" w:hAnsi="Arial"/>
                <w:sz w:val="18"/>
                <w:szCs w:val="18"/>
                <w:color w:val="auto"/>
              </w:rPr>
              <w:t>-80.5</w:t>
            </w:r>
          </w:p>
        </w:tc>
        <w:tc>
          <w:tcPr>
            <w:tcW w:w="86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-78.8</w:t>
            </w: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180" w:type="dxa"/>
            <w:vAlign w:val="bottom"/>
          </w:tcPr>
          <w:p>
            <w:pPr>
              <w:jc w:val="right"/>
              <w:ind w:right="293"/>
              <w:spacing w:after="0"/>
              <w:rPr>
                <w:sz w:val="20"/>
                <w:szCs w:val="20"/>
                <w:color w:val="auto"/>
              </w:rPr>
            </w:pPr>
            <w:r>
              <w:rPr>
                <w:rFonts w:ascii="Arial" w:cs="Arial" w:eastAsia="Arial" w:hAnsi="Arial"/>
                <w:sz w:val="18"/>
                <w:szCs w:val="18"/>
                <w:color w:val="auto"/>
              </w:rPr>
              <w:t>793</w:t>
            </w:r>
          </w:p>
        </w:tc>
        <w:tc>
          <w:tcPr>
            <w:tcW w:w="56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HUMMER H3T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-63.0</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-59.9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219</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5"/>
              </w:rPr>
              <w:t>HUMMER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265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-78.3</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-76.5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1,222</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9-7X</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-94.9</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331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4"/>
              </w:rPr>
              <w:t>Saab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-94.9</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-94.4</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331</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Relay</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293"/>
              <w:spacing w:after="0"/>
              <w:rPr>
                <w:sz w:val="20"/>
                <w:szCs w:val="20"/>
                <w:color w:val="auto"/>
              </w:rPr>
            </w:pPr>
            <w:r>
              <w:rPr>
                <w:rFonts w:ascii="Arial" w:cs="Arial" w:eastAsia="Arial" w:hAnsi="Arial"/>
                <w:sz w:val="18"/>
                <w:szCs w:val="18"/>
                <w:color w:val="auto"/>
              </w:rPr>
              <w:t>1</w:t>
            </w:r>
          </w:p>
        </w:tc>
        <w:tc>
          <w:tcPr>
            <w:tcW w:w="560" w:type="dxa"/>
            <w:vAlign w:val="bottom"/>
            <w:tcBorders>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7"/>
              </w:rPr>
              <w:t>Saturn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9"/>
              </w:rPr>
              <w:t>Non-Core Brand Total</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282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9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-81.9</w:t>
            </w:r>
          </w:p>
        </w:tc>
        <w:tc>
          <w:tcPr>
            <w:tcW w:w="86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-80.3</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1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rPr>
              <w:t>1,554</w:t>
            </w:r>
          </w:p>
        </w:tc>
        <w:tc>
          <w:tcPr>
            <w:tcW w:w="560" w:type="dxa"/>
            <w:vAlign w:val="bottom"/>
            <w:tcBorders>
              <w:bottom w:val="single" w:sz="8" w:color="auto"/>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0"/>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1"/>
              </w:rPr>
              <w:t>GM Truck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4"/>
              </w:rPr>
              <w:t>49,574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60,678</w:t>
            </w:r>
          </w:p>
        </w:tc>
        <w:tc>
          <w:tcPr>
            <w:tcW w:w="96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-18.3</w:t>
            </w:r>
          </w:p>
        </w:tc>
        <w:tc>
          <w:tcPr>
            <w:tcW w:w="86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-11.5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49,574</w:t>
            </w:r>
          </w:p>
        </w:tc>
        <w:tc>
          <w:tcPr>
            <w:tcW w:w="1180" w:type="dxa"/>
            <w:vAlign w:val="bottom"/>
            <w:tcBorders>
              <w:bottom w:val="single" w:sz="8" w:color="auto"/>
            </w:tcBorders>
          </w:tcPr>
          <w:p>
            <w:pPr>
              <w:jc w:val="right"/>
              <w:ind w:right="293"/>
              <w:spacing w:after="0"/>
              <w:rPr>
                <w:sz w:val="20"/>
                <w:szCs w:val="20"/>
                <w:color w:val="auto"/>
              </w:rPr>
            </w:pPr>
            <w:r>
              <w:rPr>
                <w:rFonts w:ascii="Arial" w:cs="Arial" w:eastAsia="Arial" w:hAnsi="Arial"/>
                <w:sz w:val="18"/>
                <w:szCs w:val="18"/>
                <w:color w:val="auto"/>
              </w:rPr>
              <w:t>60,678</w:t>
            </w:r>
          </w:p>
        </w:tc>
        <w:tc>
          <w:tcPr>
            <w:tcW w:w="560" w:type="dxa"/>
            <w:vAlign w:val="bottom"/>
            <w:tcBorders>
              <w:bottom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370"/>
        </w:trPr>
        <w:tc>
          <w:tcPr>
            <w:tcW w:w="6960" w:type="dxa"/>
            <w:vAlign w:val="bottom"/>
            <w:gridSpan w:val="4"/>
          </w:tcPr>
          <w:p>
            <w:pPr>
              <w:spacing w:after="0"/>
              <w:rPr>
                <w:sz w:val="20"/>
                <w:szCs w:val="20"/>
                <w:color w:val="auto"/>
              </w:rPr>
            </w:pPr>
            <w:r>
              <w:rPr>
                <w:rFonts w:ascii="Arial" w:cs="Arial" w:eastAsia="Arial" w:hAnsi="Arial"/>
                <w:sz w:val="18"/>
                <w:szCs w:val="18"/>
                <w:b w:val="1"/>
                <w:bCs w:val="1"/>
                <w:color w:val="auto"/>
                <w:w w:val="94"/>
              </w:rPr>
              <w:t>NOTE: GM crossover vehicles are now shown on the tab titled, “PR_Crossover_Page”</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60" w:type="dxa"/>
            <w:vAlign w:val="bottom"/>
            <w:gridSpan w:val="2"/>
          </w:tcPr>
          <w:p>
            <w:pPr>
              <w:spacing w:after="0"/>
              <w:rPr>
                <w:sz w:val="20"/>
                <w:szCs w:val="20"/>
                <w:color w:val="auto"/>
              </w:rPr>
            </w:pPr>
            <w:r>
              <w:rPr>
                <w:rFonts w:ascii="Arial" w:cs="Arial" w:eastAsia="Arial" w:hAnsi="Arial"/>
                <w:sz w:val="18"/>
                <w:szCs w:val="18"/>
                <w:color w:val="auto"/>
                <w:w w:val="89"/>
              </w:rPr>
              <w:t>Global Market and Industry Analysis - Sales Reporting and Data Management</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2"/>
          </w:tcPr>
          <w:p>
            <w:pPr>
              <w:jc w:val="right"/>
              <w:ind w:right="53"/>
              <w:spacing w:after="0"/>
              <w:rPr>
                <w:sz w:val="20"/>
                <w:szCs w:val="20"/>
                <w:color w:val="auto"/>
              </w:rPr>
            </w:pPr>
            <w:r>
              <w:rPr>
                <w:rFonts w:ascii="Arial" w:cs="Arial" w:eastAsia="Arial" w:hAnsi="Arial"/>
                <w:sz w:val="18"/>
                <w:szCs w:val="18"/>
                <w:color w:val="auto"/>
              </w:rPr>
              <w:t>Page 3 of 4</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Crossover Deliveries - (United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January 2010</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5260" w:type="dxa"/>
            <w:vAlign w:val="bottom"/>
            <w:tcBorders>
              <w:top w:val="single" w:sz="8" w:color="auto"/>
              <w:left w:val="single" w:sz="8" w:color="auto"/>
              <w:right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860" w:type="dxa"/>
            <w:vAlign w:val="bottom"/>
            <w:tcBorders>
              <w:top w:val="single" w:sz="8" w:color="auto"/>
              <w:right w:val="single" w:sz="8" w:color="auto"/>
            </w:tcBorders>
          </w:tcPr>
          <w:p>
            <w:pPr>
              <w:spacing w:after="0"/>
              <w:rPr>
                <w:sz w:val="13"/>
                <w:szCs w:val="13"/>
                <w:color w:val="auto"/>
              </w:rPr>
            </w:pPr>
          </w:p>
        </w:tc>
        <w:tc>
          <w:tcPr>
            <w:tcW w:w="208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(Calendar Year-to-Date)</w:t>
            </w:r>
          </w:p>
        </w:tc>
        <w:tc>
          <w:tcPr>
            <w:tcW w:w="560" w:type="dxa"/>
            <w:vAlign w:val="bottom"/>
            <w:tcBorders>
              <w:top w:val="single" w:sz="8" w:color="auto"/>
              <w:right w:val="single" w:sz="8" w:color="auto"/>
            </w:tcBorders>
          </w:tcPr>
          <w:p>
            <w:pPr>
              <w:spacing w:after="0"/>
              <w:rPr>
                <w:sz w:val="13"/>
                <w:szCs w:val="13"/>
                <w:color w:val="auto"/>
              </w:rPr>
            </w:pPr>
          </w:p>
        </w:tc>
      </w:tr>
      <w:tr>
        <w:trPr>
          <w:trHeight w:val="173"/>
        </w:trPr>
        <w:tc>
          <w:tcPr>
            <w:tcW w:w="5260" w:type="dxa"/>
            <w:vAlign w:val="bottom"/>
            <w:tcBorders>
              <w:left w:val="single" w:sz="8" w:color="auto"/>
              <w:right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w w:val="80"/>
              </w:rPr>
              <w:t>January</w:t>
            </w:r>
          </w:p>
        </w:tc>
        <w:tc>
          <w:tcPr>
            <w:tcW w:w="860" w:type="dxa"/>
            <w:vAlign w:val="bottom"/>
            <w:tcBorders>
              <w:bottom w:val="single" w:sz="8" w:color="auto"/>
              <w:right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w w:val="87"/>
              </w:rPr>
              <w:t>January - January</w:t>
            </w:r>
          </w:p>
        </w:tc>
        <w:tc>
          <w:tcPr>
            <w:tcW w:w="560" w:type="dxa"/>
            <w:vAlign w:val="bottom"/>
            <w:tcBorders>
              <w:bottom w:val="single" w:sz="8" w:color="auto"/>
              <w:right w:val="single" w:sz="8" w:color="auto"/>
            </w:tcBorders>
          </w:tcPr>
          <w:p>
            <w:pPr>
              <w:spacing w:after="0"/>
              <w:rPr>
                <w:sz w:val="15"/>
                <w:szCs w:val="15"/>
                <w:color w:val="auto"/>
              </w:rPr>
            </w:pPr>
          </w:p>
        </w:tc>
      </w:tr>
      <w:tr>
        <w:trPr>
          <w:trHeight w:val="131"/>
        </w:trPr>
        <w:tc>
          <w:tcPr>
            <w:tcW w:w="5260" w:type="dxa"/>
            <w:vAlign w:val="bottom"/>
            <w:tcBorders>
              <w:left w:val="single" w:sz="8" w:color="auto"/>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jc w:val="right"/>
              <w:ind w:right="95"/>
              <w:spacing w:after="0" w:line="131" w:lineRule="exact"/>
              <w:rPr>
                <w:sz w:val="20"/>
                <w:szCs w:val="20"/>
                <w:color w:val="auto"/>
              </w:rPr>
            </w:pPr>
            <w:r>
              <w:rPr>
                <w:rFonts w:ascii="Arial" w:cs="Arial" w:eastAsia="Arial" w:hAnsi="Arial"/>
                <w:sz w:val="14"/>
                <w:szCs w:val="14"/>
                <w:color w:val="auto"/>
              </w:rPr>
              <w:t>% Chg</w:t>
            </w:r>
          </w:p>
        </w:tc>
        <w:tc>
          <w:tcPr>
            <w:tcW w:w="860" w:type="dxa"/>
            <w:vAlign w:val="bottom"/>
            <w:tcBorders>
              <w:right w:val="single" w:sz="8" w:color="auto"/>
            </w:tcBorders>
          </w:tcPr>
          <w:p>
            <w:pPr>
              <w:jc w:val="right"/>
              <w:spacing w:after="0" w:line="131" w:lineRule="exact"/>
              <w:rPr>
                <w:sz w:val="20"/>
                <w:szCs w:val="20"/>
                <w:color w:val="auto"/>
              </w:rPr>
            </w:pPr>
            <w:r>
              <w:rPr>
                <w:rFonts w:ascii="Arial" w:cs="Arial" w:eastAsia="Arial" w:hAnsi="Arial"/>
                <w:sz w:val="14"/>
                <w:szCs w:val="14"/>
                <w:color w:val="auto"/>
              </w:rPr>
              <w:t>% Chg per</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Borders>
              <w:right w:val="single" w:sz="8" w:color="auto"/>
            </w:tcBorders>
          </w:tcPr>
          <w:p>
            <w:pPr>
              <w:jc w:val="right"/>
              <w:ind w:right="34"/>
              <w:spacing w:after="0" w:line="131" w:lineRule="exact"/>
              <w:rPr>
                <w:sz w:val="20"/>
                <w:szCs w:val="20"/>
                <w:color w:val="auto"/>
              </w:rPr>
            </w:pPr>
            <w:r>
              <w:rPr>
                <w:rFonts w:ascii="Arial" w:cs="Arial" w:eastAsia="Arial" w:hAnsi="Arial"/>
                <w:sz w:val="14"/>
                <w:szCs w:val="14"/>
                <w:color w:val="auto"/>
                <w:w w:val="99"/>
              </w:rPr>
              <w:t>% Chg</w:t>
            </w:r>
          </w:p>
        </w:tc>
      </w:tr>
      <w:tr>
        <w:trPr>
          <w:trHeight w:val="159"/>
        </w:trPr>
        <w:tc>
          <w:tcPr>
            <w:tcW w:w="5260" w:type="dxa"/>
            <w:vAlign w:val="bottom"/>
            <w:tcBorders>
              <w:left w:val="single" w:sz="8" w:color="auto"/>
              <w:bottom w:val="single" w:sz="8" w:color="auto"/>
              <w:right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3"/>
              <w:spacing w:after="0" w:line="159" w:lineRule="exact"/>
              <w:rPr>
                <w:sz w:val="20"/>
                <w:szCs w:val="20"/>
                <w:color w:val="auto"/>
              </w:rPr>
            </w:pPr>
            <w:r>
              <w:rPr>
                <w:rFonts w:ascii="Arial" w:cs="Arial" w:eastAsia="Arial" w:hAnsi="Arial"/>
                <w:sz w:val="14"/>
                <w:szCs w:val="14"/>
                <w:color w:val="auto"/>
              </w:rPr>
              <w:t>2010</w:t>
            </w: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2009</w:t>
            </w:r>
          </w:p>
        </w:tc>
        <w:tc>
          <w:tcPr>
            <w:tcW w:w="960" w:type="dxa"/>
            <w:vAlign w:val="bottom"/>
            <w:tcBorders>
              <w:bottom w:val="single" w:sz="8" w:color="auto"/>
            </w:tcBorders>
          </w:tcPr>
          <w:p>
            <w:pPr>
              <w:jc w:val="right"/>
              <w:ind w:right="95"/>
              <w:spacing w:after="0" w:line="159" w:lineRule="exact"/>
              <w:rPr>
                <w:sz w:val="20"/>
                <w:szCs w:val="20"/>
                <w:color w:val="auto"/>
              </w:rPr>
            </w:pPr>
            <w:r>
              <w:rPr>
                <w:rFonts w:ascii="Arial" w:cs="Arial" w:eastAsia="Arial" w:hAnsi="Arial"/>
                <w:sz w:val="14"/>
                <w:szCs w:val="14"/>
                <w:color w:val="auto"/>
              </w:rPr>
              <w:t>Volume</w:t>
            </w:r>
          </w:p>
        </w:tc>
        <w:tc>
          <w:tcPr>
            <w:tcW w:w="860" w:type="dxa"/>
            <w:vAlign w:val="bottom"/>
            <w:tcBorders>
              <w:bottom w:val="single" w:sz="8" w:color="auto"/>
              <w:right w:val="single" w:sz="8" w:color="auto"/>
            </w:tcBorders>
          </w:tcPr>
          <w:p>
            <w:pPr>
              <w:jc w:val="right"/>
              <w:spacing w:after="0" w:line="159" w:lineRule="exact"/>
              <w:rPr>
                <w:sz w:val="20"/>
                <w:szCs w:val="20"/>
                <w:color w:val="auto"/>
              </w:rPr>
            </w:pPr>
            <w:r>
              <w:rPr>
                <w:rFonts w:ascii="Arial" w:cs="Arial" w:eastAsia="Arial" w:hAnsi="Arial"/>
                <w:sz w:val="14"/>
                <w:szCs w:val="14"/>
                <w:color w:val="auto"/>
              </w:rPr>
              <w:t>S/D</w:t>
            </w:r>
          </w:p>
        </w:tc>
        <w:tc>
          <w:tcPr>
            <w:tcW w:w="9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2010</w:t>
            </w:r>
          </w:p>
        </w:tc>
        <w:tc>
          <w:tcPr>
            <w:tcW w:w="1180" w:type="dxa"/>
            <w:vAlign w:val="bottom"/>
            <w:tcBorders>
              <w:bottom w:val="single" w:sz="8" w:color="auto"/>
            </w:tcBorders>
          </w:tcPr>
          <w:p>
            <w:pPr>
              <w:jc w:val="right"/>
              <w:ind w:right="294"/>
              <w:spacing w:after="0" w:line="159" w:lineRule="exact"/>
              <w:rPr>
                <w:sz w:val="20"/>
                <w:szCs w:val="20"/>
                <w:color w:val="auto"/>
              </w:rPr>
            </w:pPr>
            <w:r>
              <w:rPr>
                <w:rFonts w:ascii="Arial" w:cs="Arial" w:eastAsia="Arial" w:hAnsi="Arial"/>
                <w:sz w:val="14"/>
                <w:szCs w:val="14"/>
                <w:color w:val="auto"/>
              </w:rPr>
              <w:t>2009</w:t>
            </w:r>
          </w:p>
        </w:tc>
        <w:tc>
          <w:tcPr>
            <w:tcW w:w="560" w:type="dxa"/>
            <w:vAlign w:val="bottom"/>
            <w:tcBorders>
              <w:bottom w:val="single" w:sz="8" w:color="auto"/>
              <w:right w:val="single" w:sz="8" w:color="auto"/>
            </w:tcBorders>
          </w:tcPr>
          <w:p>
            <w:pPr>
              <w:jc w:val="right"/>
              <w:ind w:right="34"/>
              <w:spacing w:after="0" w:line="159" w:lineRule="exact"/>
              <w:rPr>
                <w:sz w:val="20"/>
                <w:szCs w:val="20"/>
                <w:color w:val="auto"/>
              </w:rPr>
            </w:pPr>
            <w:r>
              <w:rPr>
                <w:rFonts w:ascii="Arial" w:cs="Arial" w:eastAsia="Arial" w:hAnsi="Arial"/>
                <w:sz w:val="14"/>
                <w:szCs w:val="14"/>
                <w:color w:val="auto"/>
                <w:w w:val="88"/>
              </w:rPr>
              <w:t>Volume</w:t>
            </w:r>
          </w:p>
        </w:tc>
      </w:tr>
      <w:tr>
        <w:trPr>
          <w:trHeight w:val="210"/>
        </w:trPr>
        <w:tc>
          <w:tcPr>
            <w:tcW w:w="526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Selling Days (S/D)</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24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9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auto"/>
            </w:tcBorders>
            <w:shd w:val="clear" w:color="auto" w:fill="CCEEFF"/>
          </w:tcPr>
          <w:p>
            <w:pPr>
              <w:spacing w:after="0"/>
              <w:rPr>
                <w:sz w:val="18"/>
                <w:szCs w:val="18"/>
                <w:color w:val="auto"/>
              </w:rPr>
            </w:pPr>
          </w:p>
        </w:tc>
      </w:tr>
      <w:tr>
        <w:trPr>
          <w:trHeight w:val="210"/>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Enclave</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4,075</w:t>
            </w:r>
          </w:p>
        </w:tc>
        <w:tc>
          <w:tcPr>
            <w:tcW w:w="680" w:type="dxa"/>
            <w:vAlign w:val="bottom"/>
          </w:tcPr>
          <w:p>
            <w:pPr>
              <w:jc w:val="right"/>
              <w:spacing w:after="0"/>
              <w:rPr>
                <w:sz w:val="20"/>
                <w:szCs w:val="20"/>
                <w:color w:val="auto"/>
              </w:rPr>
            </w:pPr>
            <w:r>
              <w:rPr>
                <w:rFonts w:ascii="Arial" w:cs="Arial" w:eastAsia="Arial" w:hAnsi="Arial"/>
                <w:sz w:val="18"/>
                <w:szCs w:val="18"/>
                <w:color w:val="auto"/>
              </w:rPr>
              <w:t>2,712</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50.3</w:t>
            </w:r>
          </w:p>
        </w:tc>
        <w:tc>
          <w:tcPr>
            <w:tcW w:w="8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62.8</w:t>
            </w:r>
          </w:p>
        </w:tc>
        <w:tc>
          <w:tcPr>
            <w:tcW w:w="900" w:type="dxa"/>
            <w:vAlign w:val="bottom"/>
          </w:tcPr>
          <w:p>
            <w:pPr>
              <w:jc w:val="right"/>
              <w:spacing w:after="0"/>
              <w:rPr>
                <w:sz w:val="20"/>
                <w:szCs w:val="20"/>
                <w:color w:val="auto"/>
              </w:rPr>
            </w:pPr>
            <w:r>
              <w:rPr>
                <w:rFonts w:ascii="Arial" w:cs="Arial" w:eastAsia="Arial" w:hAnsi="Arial"/>
                <w:sz w:val="18"/>
                <w:szCs w:val="18"/>
                <w:color w:val="auto"/>
              </w:rPr>
              <w:t>4,075</w:t>
            </w: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2,712</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50.3</w:t>
            </w: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Rendezvous</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0</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Buick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4,075</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50.3</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62.8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4,075</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2,712</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50.3</w:t>
            </w: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SRX</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3,234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264.2</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294.5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888</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264.2</w:t>
            </w:r>
          </w:p>
        </w:tc>
      </w:tr>
      <w:tr>
        <w:trPr>
          <w:trHeight w:val="216"/>
        </w:trPr>
        <w:tc>
          <w:tcPr>
            <w:tcW w:w="52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91"/>
              </w:rPr>
              <w:t>Cadillac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3,234</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264.2</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294.5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888</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w w:val="93"/>
              </w:rPr>
              <w:t>264.2</w:t>
            </w: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Equinox</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9,513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76.1</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90.7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5,403</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76.1</w:t>
            </w: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HHR</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5,452</w:t>
            </w:r>
          </w:p>
        </w:tc>
        <w:tc>
          <w:tcPr>
            <w:tcW w:w="680" w:type="dxa"/>
            <w:vAlign w:val="bottom"/>
          </w:tcPr>
          <w:p>
            <w:pPr>
              <w:jc w:val="right"/>
              <w:spacing w:after="0"/>
              <w:rPr>
                <w:sz w:val="20"/>
                <w:szCs w:val="20"/>
                <w:color w:val="auto"/>
              </w:rPr>
            </w:pPr>
            <w:r>
              <w:rPr>
                <w:rFonts w:ascii="Arial" w:cs="Arial" w:eastAsia="Arial" w:hAnsi="Arial"/>
                <w:sz w:val="18"/>
                <w:szCs w:val="18"/>
                <w:color w:val="auto"/>
              </w:rPr>
              <w:t>1,700</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220.7</w:t>
            </w:r>
          </w:p>
        </w:tc>
        <w:tc>
          <w:tcPr>
            <w:tcW w:w="8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247.4</w:t>
            </w:r>
          </w:p>
        </w:tc>
        <w:tc>
          <w:tcPr>
            <w:tcW w:w="900" w:type="dxa"/>
            <w:vAlign w:val="bottom"/>
          </w:tcPr>
          <w:p>
            <w:pPr>
              <w:jc w:val="right"/>
              <w:spacing w:after="0"/>
              <w:rPr>
                <w:sz w:val="20"/>
                <w:szCs w:val="20"/>
                <w:color w:val="auto"/>
              </w:rPr>
            </w:pPr>
            <w:r>
              <w:rPr>
                <w:rFonts w:ascii="Arial" w:cs="Arial" w:eastAsia="Arial" w:hAnsi="Arial"/>
                <w:sz w:val="18"/>
                <w:szCs w:val="18"/>
                <w:color w:val="auto"/>
              </w:rPr>
              <w:t>5,452</w:t>
            </w: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1,700</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w w:val="93"/>
              </w:rPr>
              <w:t>220.7</w:t>
            </w:r>
          </w:p>
        </w:tc>
      </w:tr>
      <w:tr>
        <w:trPr>
          <w:trHeight w:val="216"/>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Traverse</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5,724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9.8</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5,215</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r>
      <w:tr>
        <w:trPr>
          <w:trHeight w:val="216"/>
        </w:trPr>
        <w:tc>
          <w:tcPr>
            <w:tcW w:w="5260" w:type="dxa"/>
            <w:vAlign w:val="bottom"/>
            <w:tcBorders>
              <w:left w:val="single" w:sz="8" w:color="auto"/>
              <w:bottom w:val="single" w:sz="8" w:color="auto"/>
              <w:right w:val="single" w:sz="8" w:color="auto"/>
            </w:tcBorders>
          </w:tcPr>
          <w:p>
            <w:pPr>
              <w:jc w:val="center"/>
              <w:ind w:left="12"/>
              <w:spacing w:after="0"/>
              <w:rPr>
                <w:sz w:val="20"/>
                <w:szCs w:val="20"/>
                <w:color w:val="auto"/>
              </w:rPr>
            </w:pPr>
            <w:r>
              <w:rPr>
                <w:rFonts w:ascii="Arial" w:cs="Arial" w:eastAsia="Arial" w:hAnsi="Arial"/>
                <w:sz w:val="18"/>
                <w:szCs w:val="18"/>
                <w:color w:val="auto"/>
                <w:w w:val="88"/>
              </w:rPr>
              <w:t>Chevrolet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4"/>
              </w:rPr>
              <w:t>20,689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12,318</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68.0</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82.0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20,689</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12,318</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68.0</w:t>
            </w: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Acadia</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5,460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68.9</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3,233</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68.9</w:t>
            </w: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Terrain</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4,302</w:t>
            </w: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4,302</w:t>
            </w: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0</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91"/>
              </w:rPr>
              <w:t>GMC Total</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9,762</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201.9</w:t>
            </w:r>
          </w:p>
        </w:tc>
        <w:tc>
          <w:tcPr>
            <w:tcW w:w="8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227.1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9,762</w:t>
            </w:r>
          </w:p>
        </w:tc>
        <w:tc>
          <w:tcPr>
            <w:tcW w:w="11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3,233</w:t>
            </w:r>
          </w:p>
        </w:tc>
        <w:tc>
          <w:tcPr>
            <w:tcW w:w="5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201.9</w:t>
            </w:r>
          </w:p>
        </w:tc>
      </w:tr>
      <w:tr>
        <w:trPr>
          <w:trHeight w:val="210"/>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8"/>
              </w:rPr>
              <w:t>Core Brand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94"/>
              </w:rPr>
              <w:t>37,760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19,151</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97.2</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113.6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37,760</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19,151</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97.2</w:t>
            </w: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Torrent</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-99.2</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1,640</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-99.2</w:t>
            </w:r>
          </w:p>
        </w:tc>
      </w:tr>
      <w:tr>
        <w:trPr>
          <w:trHeight w:val="216"/>
        </w:trPr>
        <w:tc>
          <w:tcPr>
            <w:tcW w:w="52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Pontiac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-99.2</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-99.1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1,640</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-99.2</w:t>
            </w:r>
          </w:p>
        </w:tc>
      </w:tr>
      <w:tr>
        <w:trPr>
          <w:trHeight w:val="210"/>
        </w:trPr>
        <w:tc>
          <w:tcPr>
            <w:tcW w:w="5260" w:type="dxa"/>
            <w:vAlign w:val="bottom"/>
            <w:tcBorders>
              <w:left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Outlook</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-94.6</w:t>
            </w:r>
          </w:p>
        </w:tc>
        <w:tc>
          <w:tcPr>
            <w:tcW w:w="860" w:type="dxa"/>
            <w:vAlign w:val="bottom"/>
            <w:tcBorders>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8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944</w:t>
            </w:r>
          </w:p>
        </w:tc>
        <w:tc>
          <w:tcPr>
            <w:tcW w:w="560" w:type="dxa"/>
            <w:vAlign w:val="bottom"/>
            <w:tcBorders>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-94.6</w:t>
            </w:r>
          </w:p>
        </w:tc>
      </w:tr>
      <w:tr>
        <w:trPr>
          <w:trHeight w:val="216"/>
        </w:trPr>
        <w:tc>
          <w:tcPr>
            <w:tcW w:w="52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VUE</w:t>
            </w:r>
          </w:p>
        </w:tc>
        <w:tc>
          <w:tcPr>
            <w:tcW w:w="300" w:type="dxa"/>
            <w:vAlign w:val="bottom"/>
          </w:tcPr>
          <w:p>
            <w:pPr>
              <w:spacing w:after="0"/>
              <w:rPr>
                <w:sz w:val="18"/>
                <w:szCs w:val="18"/>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680" w:type="dxa"/>
            <w:vAlign w:val="bottom"/>
          </w:tcPr>
          <w:p>
            <w:pPr>
              <w:jc w:val="right"/>
              <w:spacing w:after="0"/>
              <w:rPr>
                <w:sz w:val="20"/>
                <w:szCs w:val="20"/>
                <w:color w:val="auto"/>
              </w:rPr>
            </w:pPr>
            <w:r>
              <w:rPr>
                <w:rFonts w:ascii="Arial" w:cs="Arial" w:eastAsia="Arial" w:hAnsi="Arial"/>
                <w:sz w:val="18"/>
                <w:szCs w:val="18"/>
                <w:color w:val="auto"/>
              </w:rPr>
              <w:t>2,871</w:t>
            </w:r>
          </w:p>
        </w:tc>
        <w:tc>
          <w:tcPr>
            <w:tcW w:w="960" w:type="dxa"/>
            <w:vAlign w:val="bottom"/>
          </w:tcPr>
          <w:p>
            <w:pPr>
              <w:jc w:val="right"/>
              <w:ind w:right="95"/>
              <w:spacing w:after="0"/>
              <w:rPr>
                <w:sz w:val="20"/>
                <w:szCs w:val="20"/>
                <w:color w:val="auto"/>
              </w:rPr>
            </w:pPr>
            <w:r>
              <w:rPr>
                <w:rFonts w:ascii="Arial" w:cs="Arial" w:eastAsia="Arial" w:hAnsi="Arial"/>
                <w:sz w:val="18"/>
                <w:szCs w:val="18"/>
                <w:color w:val="auto"/>
              </w:rPr>
              <w:t>-97.8</w:t>
            </w:r>
          </w:p>
        </w:tc>
        <w:tc>
          <w:tcPr>
            <w:tcW w:w="860" w:type="dxa"/>
            <w:vAlign w:val="bottom"/>
            <w:tcBorders>
              <w:right w:val="single" w:sz="8" w:color="auto"/>
            </w:tcBorders>
          </w:tcPr>
          <w:p>
            <w:pPr>
              <w:jc w:val="right"/>
              <w:ind w:right="14"/>
              <w:spacing w:after="0"/>
              <w:rPr>
                <w:sz w:val="20"/>
                <w:szCs w:val="20"/>
                <w:color w:val="auto"/>
              </w:rPr>
            </w:pPr>
            <w:r>
              <w:rPr>
                <w:rFonts w:ascii="Arial" w:cs="Arial" w:eastAsia="Arial" w:hAnsi="Arial"/>
                <w:sz w:val="18"/>
                <w:szCs w:val="18"/>
                <w:color w:val="auto"/>
              </w:rPr>
              <w:t>-97.6</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180" w:type="dxa"/>
            <w:vAlign w:val="bottom"/>
          </w:tcPr>
          <w:p>
            <w:pPr>
              <w:jc w:val="right"/>
              <w:ind w:right="294"/>
              <w:spacing w:after="0"/>
              <w:rPr>
                <w:sz w:val="20"/>
                <w:szCs w:val="20"/>
                <w:color w:val="auto"/>
              </w:rPr>
            </w:pPr>
            <w:r>
              <w:rPr>
                <w:rFonts w:ascii="Arial" w:cs="Arial" w:eastAsia="Arial" w:hAnsi="Arial"/>
                <w:sz w:val="18"/>
                <w:szCs w:val="18"/>
                <w:color w:val="auto"/>
              </w:rPr>
              <w:t>2,871</w:t>
            </w:r>
          </w:p>
        </w:tc>
        <w:tc>
          <w:tcPr>
            <w:tcW w:w="560" w:type="dxa"/>
            <w:vAlign w:val="bottom"/>
            <w:tcBorders>
              <w:right w:val="single" w:sz="8" w:color="auto"/>
            </w:tcBorders>
          </w:tcPr>
          <w:p>
            <w:pPr>
              <w:jc w:val="right"/>
              <w:ind w:right="34"/>
              <w:spacing w:after="0"/>
              <w:rPr>
                <w:sz w:val="20"/>
                <w:szCs w:val="20"/>
                <w:color w:val="auto"/>
              </w:rPr>
            </w:pPr>
            <w:r>
              <w:rPr>
                <w:rFonts w:ascii="Arial" w:cs="Arial" w:eastAsia="Arial" w:hAnsi="Arial"/>
                <w:sz w:val="18"/>
                <w:szCs w:val="18"/>
                <w:color w:val="auto"/>
              </w:rPr>
              <w:t>-97.8</w:t>
            </w:r>
          </w:p>
        </w:tc>
      </w:tr>
      <w:tr>
        <w:trPr>
          <w:trHeight w:val="216"/>
        </w:trPr>
        <w:tc>
          <w:tcPr>
            <w:tcW w:w="5260" w:type="dxa"/>
            <w:vAlign w:val="bottom"/>
            <w:tcBorders>
              <w:left w:val="single" w:sz="8" w:color="auto"/>
              <w:bottom w:val="single" w:sz="8" w:color="auto"/>
              <w:right w:val="single" w:sz="8" w:color="auto"/>
            </w:tcBorders>
            <w:shd w:val="clear" w:color="auto" w:fill="CCEEFF"/>
          </w:tcPr>
          <w:p>
            <w:pPr>
              <w:jc w:val="center"/>
              <w:ind w:left="32"/>
              <w:spacing w:after="0"/>
              <w:rPr>
                <w:sz w:val="20"/>
                <w:szCs w:val="20"/>
                <w:color w:val="auto"/>
              </w:rPr>
            </w:pPr>
            <w:r>
              <w:rPr>
                <w:rFonts w:ascii="Arial" w:cs="Arial" w:eastAsia="Arial" w:hAnsi="Arial"/>
                <w:sz w:val="18"/>
                <w:szCs w:val="18"/>
                <w:color w:val="auto"/>
                <w:w w:val="87"/>
              </w:rPr>
              <w:t>Saturn Total</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115</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-97.0</w:t>
            </w:r>
          </w:p>
        </w:tc>
        <w:tc>
          <w:tcPr>
            <w:tcW w:w="8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1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3,815</w:t>
            </w:r>
          </w:p>
        </w:tc>
        <w:tc>
          <w:tcPr>
            <w:tcW w:w="5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-97.0</w:t>
            </w:r>
          </w:p>
        </w:tc>
      </w:tr>
      <w:tr>
        <w:trPr>
          <w:trHeight w:val="210"/>
        </w:trPr>
        <w:tc>
          <w:tcPr>
            <w:tcW w:w="526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89"/>
              </w:rPr>
              <w:t>Non-Core Brand Total</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-97.7</w:t>
            </w:r>
          </w:p>
        </w:tc>
        <w:tc>
          <w:tcPr>
            <w:tcW w:w="86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8"/>
                <w:szCs w:val="18"/>
                <w:color w:val="auto"/>
              </w:rPr>
              <w:t>-97.5</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5,455</w:t>
            </w:r>
          </w:p>
        </w:tc>
        <w:tc>
          <w:tcPr>
            <w:tcW w:w="560" w:type="dxa"/>
            <w:vAlign w:val="bottom"/>
            <w:tcBorders>
              <w:bottom w:val="single" w:sz="8" w:color="auto"/>
              <w:right w:val="single" w:sz="8" w:color="auto"/>
            </w:tcBorders>
          </w:tcPr>
          <w:p>
            <w:pPr>
              <w:jc w:val="right"/>
              <w:ind w:right="34"/>
              <w:spacing w:after="0"/>
              <w:rPr>
                <w:sz w:val="20"/>
                <w:szCs w:val="20"/>
                <w:color w:val="auto"/>
              </w:rPr>
            </w:pPr>
            <w:r>
              <w:rPr>
                <w:rFonts w:ascii="Arial" w:cs="Arial" w:eastAsia="Arial" w:hAnsi="Arial"/>
                <w:sz w:val="18"/>
                <w:szCs w:val="18"/>
                <w:color w:val="auto"/>
              </w:rPr>
              <w:t>-97.7</w:t>
            </w:r>
          </w:p>
        </w:tc>
      </w:tr>
      <w:tr>
        <w:trPr>
          <w:trHeight w:val="210"/>
        </w:trPr>
        <w:tc>
          <w:tcPr>
            <w:tcW w:w="5260" w:type="dxa"/>
            <w:vAlign w:val="bottom"/>
            <w:tcBorders>
              <w:left w:val="single" w:sz="8" w:color="auto"/>
              <w:bottom w:val="single" w:sz="8" w:color="auto"/>
              <w:right w:val="single" w:sz="8" w:color="auto"/>
            </w:tcBorders>
            <w:shd w:val="clear" w:color="auto" w:fill="CCEEFF"/>
          </w:tcPr>
          <w:p>
            <w:pPr>
              <w:jc w:val="center"/>
              <w:ind w:left="12"/>
              <w:spacing w:after="0"/>
              <w:rPr>
                <w:sz w:val="20"/>
                <w:szCs w:val="20"/>
                <w:color w:val="auto"/>
              </w:rPr>
            </w:pPr>
            <w:r>
              <w:rPr>
                <w:rFonts w:ascii="Arial" w:cs="Arial" w:eastAsia="Arial" w:hAnsi="Arial"/>
                <w:sz w:val="18"/>
                <w:szCs w:val="18"/>
                <w:color w:val="auto"/>
                <w:w w:val="89"/>
              </w:rPr>
              <w:t>GM Crossover Total</w:t>
            </w: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37,888</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24,606</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rPr>
              <w:t>54.0</w:t>
            </w:r>
          </w:p>
        </w:tc>
        <w:tc>
          <w:tcPr>
            <w:tcW w:w="860" w:type="dxa"/>
            <w:vAlign w:val="bottom"/>
            <w:tcBorders>
              <w:bottom w:val="single" w:sz="8" w:color="auto"/>
              <w:right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66.8</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37,888</w:t>
            </w:r>
          </w:p>
        </w:tc>
        <w:tc>
          <w:tcPr>
            <w:tcW w:w="1180" w:type="dxa"/>
            <w:vAlign w:val="bottom"/>
            <w:tcBorders>
              <w:bottom w:val="single" w:sz="8" w:color="auto"/>
            </w:tcBorders>
            <w:shd w:val="clear" w:color="auto" w:fill="CCEEFF"/>
          </w:tcPr>
          <w:p>
            <w:pPr>
              <w:jc w:val="right"/>
              <w:ind w:right="294"/>
              <w:spacing w:after="0"/>
              <w:rPr>
                <w:sz w:val="20"/>
                <w:szCs w:val="20"/>
                <w:color w:val="auto"/>
              </w:rPr>
            </w:pPr>
            <w:r>
              <w:rPr>
                <w:rFonts w:ascii="Arial" w:cs="Arial" w:eastAsia="Arial" w:hAnsi="Arial"/>
                <w:sz w:val="18"/>
                <w:szCs w:val="18"/>
                <w:color w:val="auto"/>
              </w:rPr>
              <w:t>24,606</w:t>
            </w:r>
          </w:p>
        </w:tc>
        <w:tc>
          <w:tcPr>
            <w:tcW w:w="560" w:type="dxa"/>
            <w:vAlign w:val="bottom"/>
            <w:tcBorders>
              <w:bottom w:val="single" w:sz="8" w:color="auto"/>
              <w:right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54.0</w:t>
            </w:r>
          </w:p>
        </w:tc>
      </w:tr>
      <w:tr>
        <w:trPr>
          <w:trHeight w:val="356"/>
        </w:trPr>
        <w:tc>
          <w:tcPr>
            <w:tcW w:w="5560" w:type="dxa"/>
            <w:vAlign w:val="bottom"/>
            <w:gridSpan w:val="2"/>
          </w:tcPr>
          <w:p>
            <w:pPr>
              <w:spacing w:after="0"/>
              <w:rPr>
                <w:sz w:val="20"/>
                <w:szCs w:val="20"/>
                <w:color w:val="auto"/>
              </w:rPr>
            </w:pPr>
            <w:r>
              <w:rPr>
                <w:rFonts w:ascii="Arial" w:cs="Arial" w:eastAsia="Arial" w:hAnsi="Arial"/>
                <w:sz w:val="18"/>
                <w:szCs w:val="18"/>
                <w:color w:val="auto"/>
                <w:w w:val="89"/>
              </w:rPr>
              <w:t>Global Market and Industry Analysis - Sales Reporting and Data Management</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 of 4</w:t>
            </w: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GM Production Schedule - 02/02/10</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Memo: Joint Venture</w:t>
            </w:r>
          </w:p>
        </w:tc>
        <w:tc>
          <w:tcPr>
            <w:tcW w:w="0" w:type="dxa"/>
            <w:vAlign w:val="bottom"/>
          </w:tcPr>
          <w:p>
            <w:pPr>
              <w:spacing w:after="0"/>
              <w:rPr>
                <w:sz w:val="1"/>
                <w:szCs w:val="1"/>
                <w:color w:val="auto"/>
              </w:rPr>
            </w:pPr>
          </w:p>
        </w:tc>
      </w:tr>
      <w:tr>
        <w:trPr>
          <w:trHeight w:val="230"/>
        </w:trPr>
        <w:tc>
          <w:tcPr>
            <w:tcW w:w="2160" w:type="dxa"/>
            <w:vAlign w:val="bottom"/>
          </w:tcPr>
          <w:p>
            <w:pPr>
              <w:spacing w:after="0"/>
              <w:rPr>
                <w:sz w:val="19"/>
                <w:szCs w:val="19"/>
                <w:color w:val="auto"/>
              </w:rPr>
            </w:pPr>
          </w:p>
        </w:tc>
        <w:tc>
          <w:tcPr>
            <w:tcW w:w="360" w:type="dxa"/>
            <w:vAlign w:val="bottom"/>
            <w:tcBorders>
              <w:right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GMNA</w:t>
            </w:r>
          </w:p>
        </w:tc>
        <w:tc>
          <w:tcPr>
            <w:tcW w:w="940" w:type="dxa"/>
            <w:vAlign w:val="bottom"/>
            <w:tcBorders>
              <w:top w:val="single" w:sz="8" w:color="auto"/>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040" w:type="dxa"/>
            <w:vAlign w:val="bottom"/>
            <w:tcBorders>
              <w:top w:val="single" w:sz="8" w:color="auto"/>
              <w:bottom w:val="single" w:sz="8" w:color="auto"/>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260" w:type="dxa"/>
            <w:vAlign w:val="bottom"/>
            <w:gridSpan w:val="2"/>
          </w:tcPr>
          <w:p>
            <w:pPr>
              <w:ind w:left="800"/>
              <w:spacing w:after="0"/>
              <w:rPr>
                <w:sz w:val="20"/>
                <w:szCs w:val="20"/>
                <w:color w:val="auto"/>
              </w:rPr>
            </w:pPr>
            <w:r>
              <w:rPr>
                <w:rFonts w:ascii="Arial" w:cs="Arial" w:eastAsia="Arial" w:hAnsi="Arial"/>
                <w:sz w:val="14"/>
                <w:szCs w:val="14"/>
                <w:b w:val="1"/>
                <w:bCs w:val="1"/>
                <w:color w:val="auto"/>
              </w:rPr>
              <w:t>GMNA</w:t>
            </w:r>
          </w:p>
        </w:tc>
        <w:tc>
          <w:tcPr>
            <w:tcW w:w="1040" w:type="dxa"/>
            <w:vAlign w:val="bottom"/>
            <w:tcBorders>
              <w:top w:val="single" w:sz="8" w:color="auto"/>
            </w:tcBorders>
          </w:tcPr>
          <w:p>
            <w:pPr>
              <w:spacing w:after="0"/>
              <w:rPr>
                <w:sz w:val="19"/>
                <w:szCs w:val="19"/>
                <w:color w:val="auto"/>
              </w:rPr>
            </w:pPr>
          </w:p>
        </w:tc>
        <w:tc>
          <w:tcPr>
            <w:tcW w:w="760" w:type="dxa"/>
            <w:vAlign w:val="bottom"/>
          </w:tcPr>
          <w:p>
            <w:pPr>
              <w:ind w:left="180"/>
              <w:spacing w:after="0" w:line="229" w:lineRule="exact"/>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42"/>
        </w:trPr>
        <w:tc>
          <w:tcPr>
            <w:tcW w:w="2520" w:type="dxa"/>
            <w:vAlign w:val="bottom"/>
            <w:tcBorders>
              <w:right w:val="single" w:sz="8" w:color="auto"/>
            </w:tcBorders>
            <w:gridSpan w:val="2"/>
          </w:tcPr>
          <w:p>
            <w:pPr>
              <w:ind w:left="800"/>
              <w:spacing w:after="0" w:line="142" w:lineRule="exact"/>
              <w:rPr>
                <w:sz w:val="20"/>
                <w:szCs w:val="20"/>
                <w:color w:val="auto"/>
              </w:rPr>
            </w:pPr>
            <w:r>
              <w:rPr>
                <w:rFonts w:ascii="Arial" w:cs="Arial" w:eastAsia="Arial" w:hAnsi="Arial"/>
                <w:sz w:val="14"/>
                <w:szCs w:val="14"/>
                <w:color w:val="auto"/>
              </w:rPr>
              <w:t>Units 000s</w:t>
            </w:r>
          </w:p>
        </w:tc>
        <w:tc>
          <w:tcPr>
            <w:tcW w:w="900" w:type="dxa"/>
            <w:vAlign w:val="bottom"/>
          </w:tcPr>
          <w:p>
            <w:pPr>
              <w:ind w:left="30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1020" w:type="dxa"/>
            <w:vAlign w:val="bottom"/>
            <w:tcBorders>
              <w:right w:val="single" w:sz="8" w:color="auto"/>
            </w:tcBorders>
          </w:tcPr>
          <w:p>
            <w:pPr>
              <w:jc w:val="right"/>
              <w:ind w:right="22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940" w:type="dxa"/>
            <w:vAlign w:val="bottom"/>
            <w:tcBorders>
              <w:right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Worldwide</w:t>
            </w:r>
          </w:p>
        </w:tc>
        <w:tc>
          <w:tcPr>
            <w:tcW w:w="1260" w:type="dxa"/>
            <w:vAlign w:val="bottom"/>
            <w:gridSpan w:val="2"/>
          </w:tcPr>
          <w:p>
            <w:pPr>
              <w:ind w:left="26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1800" w:type="dxa"/>
            <w:vAlign w:val="bottom"/>
            <w:gridSpan w:val="2"/>
          </w:tcPr>
          <w:p>
            <w:pPr>
              <w:ind w:left="4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142"/>
        </w:trPr>
        <w:tc>
          <w:tcPr>
            <w:tcW w:w="2160" w:type="dxa"/>
            <w:vAlign w:val="bottom"/>
            <w:tcBorders>
              <w:top w:val="single" w:sz="8" w:color="auto"/>
            </w:tcBorders>
            <w:shd w:val="clear" w:color="auto" w:fill="CCEEFF"/>
          </w:tcPr>
          <w:p>
            <w:pPr>
              <w:spacing w:after="0"/>
              <w:rPr>
                <w:sz w:val="12"/>
                <w:szCs w:val="12"/>
                <w:color w:val="auto"/>
              </w:rPr>
            </w:pPr>
          </w:p>
        </w:tc>
        <w:tc>
          <w:tcPr>
            <w:tcW w:w="360" w:type="dxa"/>
            <w:vAlign w:val="bottom"/>
            <w:tcBorders>
              <w:right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right w:val="single" w:sz="8" w:color="CCEEFF"/>
            </w:tcBorders>
            <w:shd w:val="clear" w:color="auto" w:fill="CCEEFF"/>
          </w:tcPr>
          <w:p>
            <w:pPr>
              <w:spacing w:after="0"/>
              <w:rPr>
                <w:sz w:val="12"/>
                <w:szCs w:val="12"/>
                <w:color w:val="auto"/>
              </w:rPr>
            </w:pPr>
          </w:p>
        </w:tc>
        <w:tc>
          <w:tcPr>
            <w:tcW w:w="94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260" w:type="dxa"/>
            <w:vAlign w:val="bottom"/>
            <w:tcBorders>
              <w:top w:val="single" w:sz="8" w:color="auto"/>
              <w:right w:val="single" w:sz="8" w:color="CCEEFF"/>
            </w:tcBorders>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16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2010 Q1 # *</w:t>
            </w:r>
          </w:p>
        </w:tc>
        <w:tc>
          <w:tcPr>
            <w:tcW w:w="340" w:type="dxa"/>
            <w:vAlign w:val="bottom"/>
            <w:tcBorders>
              <w:right w:val="single" w:sz="8" w:color="auto"/>
            </w:tcBorders>
          </w:tcPr>
          <w:p>
            <w:pPr>
              <w:spacing w:after="0"/>
              <w:rPr>
                <w:sz w:val="18"/>
                <w:szCs w:val="18"/>
                <w:color w:val="auto"/>
              </w:rPr>
            </w:pPr>
          </w:p>
        </w:tc>
        <w:tc>
          <w:tcPr>
            <w:tcW w:w="92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237</w:t>
            </w:r>
          </w:p>
        </w:tc>
        <w:tc>
          <w:tcPr>
            <w:tcW w:w="1020" w:type="dxa"/>
            <w:vAlign w:val="bottom"/>
            <w:tcBorders>
              <w:top w:val="single" w:sz="8" w:color="auto"/>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413</w:t>
            </w:r>
          </w:p>
        </w:tc>
        <w:tc>
          <w:tcPr>
            <w:tcW w:w="920" w:type="dxa"/>
            <w:vAlign w:val="bottom"/>
            <w:tcBorders>
              <w:top w:val="single" w:sz="8" w:color="auto"/>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650</w:t>
            </w:r>
          </w:p>
        </w:tc>
        <w:tc>
          <w:tcPr>
            <w:tcW w:w="340" w:type="dxa"/>
            <w:vAlign w:val="bottom"/>
            <w:tcBorders>
              <w:right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1,355</w:t>
            </w:r>
          </w:p>
        </w:tc>
        <w:tc>
          <w:tcPr>
            <w:tcW w:w="200" w:type="dxa"/>
            <w:vAlign w:val="bottom"/>
            <w:tcBorders>
              <w:top w:val="single" w:sz="8" w:color="auto"/>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top w:val="single" w:sz="8" w:color="auto"/>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2,005</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auto"/>
              <w:bottom w:val="single" w:sz="8" w:color="auto"/>
              <w:right w:val="single" w:sz="8" w:color="auto"/>
            </w:tcBorders>
            <w:shd w:val="clear" w:color="auto" w:fill="CCEEFF"/>
          </w:tcPr>
          <w:p>
            <w:pPr>
              <w:ind w:left="540"/>
              <w:spacing w:after="0"/>
              <w:rPr>
                <w:sz w:val="20"/>
                <w:szCs w:val="20"/>
                <w:color w:val="auto"/>
              </w:rPr>
            </w:pPr>
            <w:r>
              <w:rPr>
                <w:rFonts w:ascii="Arial" w:cs="Arial" w:eastAsia="Arial" w:hAnsi="Arial"/>
                <w:sz w:val="18"/>
                <w:szCs w:val="18"/>
                <w:i w:val="1"/>
                <w:iCs w:val="1"/>
                <w:color w:val="auto"/>
              </w:rPr>
              <w:t>O/(U) prior forecast</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920" w:type="dxa"/>
            <w:vAlign w:val="bottom"/>
            <w:tcBorders>
              <w:bottom w:val="single" w:sz="8" w:color="auto"/>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0</w:t>
            </w:r>
          </w:p>
        </w:tc>
        <w:tc>
          <w:tcPr>
            <w:tcW w:w="1020" w:type="dxa"/>
            <w:vAlign w:val="bottom"/>
            <w:tcBorders>
              <w:bottom w:val="single" w:sz="8" w:color="auto"/>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0</w:t>
            </w:r>
          </w:p>
        </w:tc>
        <w:tc>
          <w:tcPr>
            <w:tcW w:w="920" w:type="dxa"/>
            <w:vAlign w:val="bottom"/>
            <w:tcBorders>
              <w:bottom w:val="single" w:sz="8" w:color="auto"/>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i w:val="1"/>
                <w:iCs w:val="1"/>
                <w:color w:val="auto"/>
              </w:rPr>
              <w:t>0</w:t>
            </w: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79</w:t>
            </w:r>
          </w:p>
        </w:tc>
        <w:tc>
          <w:tcPr>
            <w:tcW w:w="200" w:type="dxa"/>
            <w:vAlign w:val="bottom"/>
            <w:tcBorders>
              <w:bottom w:val="single" w:sz="8" w:color="auto"/>
              <w:right w:val="single" w:sz="8" w:color="auto"/>
            </w:tcBorders>
            <w:shd w:val="clear" w:color="auto" w:fill="CCEEFF"/>
          </w:tcPr>
          <w:p>
            <w:pPr>
              <w:spacing w:after="0"/>
              <w:rPr>
                <w:sz w:val="18"/>
                <w:szCs w:val="18"/>
                <w:color w:val="auto"/>
              </w:rPr>
            </w:pPr>
          </w:p>
        </w:tc>
        <w:tc>
          <w:tcPr>
            <w:tcW w:w="340" w:type="dxa"/>
            <w:vAlign w:val="bottom"/>
            <w:tcBorders>
              <w:bottom w:val="single" w:sz="8" w:color="CCEEFF"/>
              <w:right w:val="single" w:sz="8" w:color="auto"/>
            </w:tcBorders>
            <w:shd w:val="clear" w:color="auto" w:fill="CCEEFF"/>
          </w:tcPr>
          <w:p>
            <w:pPr>
              <w:spacing w:after="0"/>
              <w:rPr>
                <w:sz w:val="18"/>
                <w:szCs w:val="18"/>
                <w:color w:val="auto"/>
              </w:rPr>
            </w:pPr>
          </w:p>
        </w:tc>
        <w:tc>
          <w:tcPr>
            <w:tcW w:w="1260" w:type="dxa"/>
            <w:vAlign w:val="bottom"/>
            <w:tcBorders>
              <w:bottom w:val="single" w:sz="8" w:color="auto"/>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i w:val="1"/>
                <w:iCs w:val="1"/>
                <w:color w:val="auto"/>
              </w:rPr>
              <w:t>79</w:t>
            </w:r>
          </w:p>
        </w:tc>
        <w:tc>
          <w:tcPr>
            <w:tcW w:w="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i w:val="1"/>
                <w:iCs w:val="1"/>
                <w:color w:val="auto"/>
              </w:rPr>
              <w:t>60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GMNA</w:t>
            </w: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 xml:space="preserve">GMIO </w:t>
            </w:r>
            <w:r>
              <w:rPr>
                <w:rFonts w:ascii="Arial" w:cs="Arial" w:eastAsia="Arial" w:hAnsi="Arial"/>
                <w:sz w:val="22"/>
                <w:szCs w:val="22"/>
                <w:b w:val="1"/>
                <w:bCs w:val="1"/>
                <w:color w:val="auto"/>
                <w:vertAlign w:val="superscript"/>
              </w:rPr>
              <w:t>2</w:t>
            </w:r>
          </w:p>
        </w:tc>
        <w:tc>
          <w:tcPr>
            <w:tcW w:w="3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517"/>
              <w:spacing w:after="0"/>
              <w:rPr>
                <w:sz w:val="20"/>
                <w:szCs w:val="20"/>
                <w:color w:val="auto"/>
              </w:rPr>
            </w:pPr>
            <w:r>
              <w:rPr>
                <w:rFonts w:ascii="Arial" w:cs="Arial" w:eastAsia="Arial" w:hAnsi="Arial"/>
                <w:sz w:val="14"/>
                <w:szCs w:val="14"/>
                <w:b w:val="1"/>
                <w:bCs w:val="1"/>
                <w:color w:val="auto"/>
              </w:rPr>
              <w:t>GMNA</w:t>
            </w:r>
          </w:p>
        </w:tc>
        <w:tc>
          <w:tcPr>
            <w:tcW w:w="56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jc w:val="center"/>
              <w:spacing w:after="0" w:line="142" w:lineRule="exact"/>
              <w:rPr>
                <w:sz w:val="20"/>
                <w:szCs w:val="20"/>
                <w:color w:val="auto"/>
              </w:rPr>
            </w:pPr>
            <w:r>
              <w:rPr>
                <w:rFonts w:ascii="Arial" w:cs="Arial" w:eastAsia="Arial" w:hAnsi="Arial"/>
                <w:sz w:val="14"/>
                <w:szCs w:val="14"/>
                <w:color w:val="auto"/>
                <w:w w:val="87"/>
              </w:rPr>
              <w:t>Units 000s</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gridSpan w:val="2"/>
          </w:tcPr>
          <w:p>
            <w:pPr>
              <w:jc w:val="right"/>
              <w:ind w:right="300"/>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right w:val="single" w:sz="8" w:color="auto"/>
            </w:tcBorders>
            <w:gridSpan w:val="2"/>
            <w:vMerge w:val="continue"/>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right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Worldwide</w:t>
            </w:r>
          </w:p>
        </w:tc>
        <w:tc>
          <w:tcPr>
            <w:tcW w:w="220" w:type="dxa"/>
            <w:vAlign w:val="bottom"/>
          </w:tcPr>
          <w:p>
            <w:pPr>
              <w:spacing w:after="0"/>
              <w:rPr>
                <w:sz w:val="12"/>
                <w:szCs w:val="12"/>
                <w:color w:val="auto"/>
              </w:rPr>
            </w:pPr>
          </w:p>
        </w:tc>
        <w:tc>
          <w:tcPr>
            <w:tcW w:w="500" w:type="dxa"/>
            <w:vAlign w:val="bottom"/>
            <w:gridSpan w:val="2"/>
          </w:tcPr>
          <w:p>
            <w:pPr>
              <w:jc w:val="right"/>
              <w:ind w:right="140"/>
              <w:spacing w:after="0" w:line="142" w:lineRule="exact"/>
              <w:rPr>
                <w:sz w:val="20"/>
                <w:szCs w:val="20"/>
                <w:color w:val="auto"/>
              </w:rPr>
            </w:pPr>
            <w:r>
              <w:rPr>
                <w:rFonts w:ascii="Arial" w:cs="Arial" w:eastAsia="Arial" w:hAnsi="Arial"/>
                <w:sz w:val="11"/>
                <w:szCs w:val="11"/>
                <w:b w:val="1"/>
                <w:bCs w:val="1"/>
                <w:color w:val="auto"/>
              </w:rPr>
              <w:t xml:space="preserve">Car </w:t>
            </w:r>
            <w:r>
              <w:rPr>
                <w:rFonts w:ascii="Arial" w:cs="Arial" w:eastAsia="Arial" w:hAnsi="Arial"/>
                <w:sz w:val="16"/>
                <w:szCs w:val="16"/>
                <w:b w:val="1"/>
                <w:bCs w:val="1"/>
                <w:color w:val="auto"/>
                <w:vertAlign w:val="superscript"/>
              </w:rPr>
              <w:t>1</w:t>
            </w:r>
          </w:p>
        </w:tc>
        <w:tc>
          <w:tcPr>
            <w:tcW w:w="4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1"/>
                <w:szCs w:val="11"/>
                <w:b w:val="1"/>
                <w:bCs w:val="1"/>
                <w:color w:val="auto"/>
              </w:rPr>
              <w:t xml:space="preserve">Truck </w:t>
            </w:r>
            <w:r>
              <w:rPr>
                <w:rFonts w:ascii="Arial" w:cs="Arial" w:eastAsia="Arial" w:hAnsi="Arial"/>
                <w:sz w:val="16"/>
                <w:szCs w:val="16"/>
                <w:b w:val="1"/>
                <w:bCs w:val="1"/>
                <w:color w:val="auto"/>
                <w:vertAlign w:val="superscript"/>
              </w:rPr>
              <w:t>1</w:t>
            </w:r>
          </w:p>
        </w:tc>
        <w:tc>
          <w:tcPr>
            <w:tcW w:w="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2003</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591</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860</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1,451</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695</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2,146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1,380</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706</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2,086</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492</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753</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1,245</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648</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1,893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827</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1,385</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736</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2,121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2,184</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3,277</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5,461</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2,785</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8,246</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74</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85</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2004</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525</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820</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1,345</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928</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2,273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1,389</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1,012</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2,401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463</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746</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1,209</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910</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2,119</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466</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811</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1,277</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1,028</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2,305</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1,997</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3,223</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5,220</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3,878</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9,098</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158</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2005</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470</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712</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1,182</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1,022</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2,204</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458</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789</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1,247</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1,094</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2,341</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423</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723</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1,146</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1,028</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2,174</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798</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1,281</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1,051</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2,332</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1,834</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3,022</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4,856</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4,195</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9,051</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62</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218</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1,019</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2006</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496</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759</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1,255</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1,160</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2,415</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462</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1,237</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1,183</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2,420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417</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633</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1,050</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1,022</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2,072</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446</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1,107</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1,167</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2,274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1,821</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2,828</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4,649</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4,532</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9,181</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58</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199</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966</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2007</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399</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664</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1,063</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1,277</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2,340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402</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1,142</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1,268</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2,410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367</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653</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1,020</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1,136</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2,156</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358</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1,042</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1,337</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2,380</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1,526</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2,741</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4,267</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5,019</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9,286</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161</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1,126</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2008</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360</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525</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885</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1,348</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2,233</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382</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834</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2,224</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436</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479</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915</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1,124</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2,039</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21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450</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815</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833</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1,648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1,543</w:t>
            </w: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1,906</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3,449</w:t>
            </w:r>
          </w:p>
        </w:tc>
        <w:tc>
          <w:tcPr>
            <w:tcW w:w="2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4,695</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8,144</w:t>
            </w:r>
          </w:p>
        </w:tc>
        <w:tc>
          <w:tcPr>
            <w:tcW w:w="20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560" w:type="dxa"/>
            <w:vAlign w:val="bottom"/>
          </w:tcPr>
          <w:p>
            <w:pPr>
              <w:spacing w:after="0" w:line="20" w:lineRule="exact"/>
              <w:rPr>
                <w:sz w:val="1"/>
                <w:szCs w:val="1"/>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1,182</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2009</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116</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255</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371</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959</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1,330</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11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2nd Qtr.</w:t>
            </w:r>
          </w:p>
        </w:tc>
        <w:tc>
          <w:tcPr>
            <w:tcW w:w="340" w:type="dxa"/>
            <w:vAlign w:val="bottom"/>
            <w:tcBorders>
              <w:right w:val="single" w:sz="8" w:color="auto"/>
            </w:tcBorders>
            <w:shd w:val="clear" w:color="auto" w:fill="CCEEFF"/>
          </w:tcPr>
          <w:p>
            <w:pPr>
              <w:spacing w:after="0"/>
              <w:rPr>
                <w:sz w:val="18"/>
                <w:szCs w:val="18"/>
                <w:color w:val="auto"/>
              </w:rPr>
            </w:pP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1020" w:type="dxa"/>
            <w:vAlign w:val="bottom"/>
            <w:tcBorders>
              <w:right w:val="single" w:sz="8" w:color="auto"/>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225</w:t>
            </w:r>
          </w:p>
        </w:tc>
        <w:tc>
          <w:tcPr>
            <w:tcW w:w="92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395</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1,538</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3rd Qtr.</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205</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326</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531</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1,178</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1,709</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4th Qtr. #</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616</w:t>
            </w:r>
          </w:p>
        </w:tc>
        <w:tc>
          <w:tcPr>
            <w:tcW w:w="340" w:type="dxa"/>
            <w:vAlign w:val="bottom"/>
            <w:tcBorders>
              <w:right w:val="single" w:sz="8" w:color="auto"/>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1,306</w:t>
            </w: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1,922</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CY</w:t>
            </w:r>
          </w:p>
        </w:tc>
        <w:tc>
          <w:tcPr>
            <w:tcW w:w="34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4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727</w:t>
            </w:r>
          </w:p>
        </w:tc>
        <w:tc>
          <w:tcPr>
            <w:tcW w:w="20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1,186</w:t>
            </w:r>
          </w:p>
        </w:tc>
        <w:tc>
          <w:tcPr>
            <w:tcW w:w="220" w:type="dxa"/>
            <w:vAlign w:val="bottom"/>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1,913</w:t>
            </w:r>
          </w:p>
        </w:tc>
        <w:tc>
          <w:tcPr>
            <w:tcW w:w="200" w:type="dxa"/>
            <w:vAlign w:val="bottom"/>
            <w:vMerge w:val="continue"/>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4,586</w:t>
            </w: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Borders>
              <w:right w:val="single" w:sz="8" w:color="auto"/>
            </w:tcBorders>
            <w:vMerge w:val="continue"/>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6,499</w:t>
            </w:r>
          </w:p>
        </w:tc>
        <w:tc>
          <w:tcPr>
            <w:tcW w:w="200" w:type="dxa"/>
            <w:vAlign w:val="bottom"/>
            <w:tcBorders>
              <w:right w:val="single" w:sz="8" w:color="auto"/>
            </w:tcBorders>
            <w:vMerge w:val="continu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0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i w:val="1"/>
                <w:iCs w:val="1"/>
                <w:color w:val="auto"/>
              </w:rPr>
              <w:t>29</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105</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b w:val="1"/>
                <w:bCs w:val="1"/>
                <w:i w:val="1"/>
                <w:iCs w:val="1"/>
                <w:color w:val="auto"/>
              </w:rPr>
              <w:t>1,920</w:t>
            </w: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vMerge w:val="continue"/>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2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restart"/>
          </w:tcPr>
          <w:p>
            <w:pPr>
              <w:spacing w:after="0"/>
              <w:rPr>
                <w:sz w:val="21"/>
                <w:szCs w:val="21"/>
                <w:color w:val="auto"/>
              </w:rPr>
            </w:pPr>
          </w:p>
        </w:tc>
        <w:tc>
          <w:tcPr>
            <w:tcW w:w="2160" w:type="dxa"/>
            <w:vAlign w:val="bottom"/>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34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Borders>
              <w:right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tcBorders>
              <w:left w:val="single" w:sz="8" w:color="CCEEFF"/>
              <w:right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4"/>
              </w:rPr>
              <w:t>2010</w:t>
            </w: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1st Qtr. #</w:t>
            </w:r>
          </w:p>
        </w:tc>
        <w:tc>
          <w:tcPr>
            <w:tcW w:w="340" w:type="dxa"/>
            <w:vAlign w:val="bottom"/>
            <w:tcBorders>
              <w:right w:val="single" w:sz="8" w:color="auto"/>
            </w:tcBorders>
          </w:tcPr>
          <w:p>
            <w:pPr>
              <w:spacing w:after="0"/>
              <w:rPr>
                <w:sz w:val="18"/>
                <w:szCs w:val="18"/>
                <w:color w:val="auto"/>
              </w:rPr>
            </w:pP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color w:val="auto"/>
              </w:rPr>
              <w:t>237</w:t>
            </w:r>
          </w:p>
        </w:tc>
        <w:tc>
          <w:tcPr>
            <w:tcW w:w="1020" w:type="dxa"/>
            <w:vAlign w:val="bottom"/>
            <w:tcBorders>
              <w:right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413</w:t>
            </w:r>
          </w:p>
        </w:tc>
        <w:tc>
          <w:tcPr>
            <w:tcW w:w="92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650</w:t>
            </w:r>
          </w:p>
        </w:tc>
        <w:tc>
          <w:tcPr>
            <w:tcW w:w="340" w:type="dxa"/>
            <w:vAlign w:val="bottom"/>
            <w:tcBorders>
              <w:right w:val="single" w:sz="8" w:color="auto"/>
            </w:tcBorders>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1,355</w:t>
            </w:r>
          </w:p>
        </w:tc>
        <w:tc>
          <w:tcPr>
            <w:tcW w:w="2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2,005</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Variance reported only if current production estimate differs from prior production estimate by 5K units or more</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Denotes estimate</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All Numbers may vary due to rounding</w:t>
      </w:r>
    </w:p>
    <w:p>
      <w:pPr>
        <w:spacing w:after="0" w:line="9" w:lineRule="exact"/>
        <w:rPr>
          <w:rFonts w:ascii="Arial" w:cs="Arial" w:eastAsia="Arial" w:hAnsi="Arial"/>
          <w:sz w:val="18"/>
          <w:szCs w:val="18"/>
          <w:color w:val="auto"/>
        </w:rPr>
      </w:pPr>
    </w:p>
    <w:p>
      <w:pPr>
        <w:ind w:right="40"/>
        <w:spacing w:after="0" w:line="250" w:lineRule="auto"/>
        <w:rPr>
          <w:rFonts w:ascii="Arial" w:cs="Arial" w:eastAsia="Arial" w:hAnsi="Arial"/>
          <w:sz w:val="18"/>
          <w:szCs w:val="18"/>
          <w:color w:val="auto"/>
        </w:rPr>
      </w:pPr>
      <w:r>
        <w:rPr>
          <w:rFonts w:ascii="Arial" w:cs="Arial" w:eastAsia="Arial" w:hAnsi="Arial"/>
          <w:sz w:val="18"/>
          <w:szCs w:val="18"/>
          <w:color w:val="auto"/>
        </w:rPr>
        <w:t>General Motors Company acquired operations from General Motors Corporation on July 10, 2009, and references to prior periods in this and other materials refer to operations of the old General Motors Corporation</w:t>
      </w:r>
    </w:p>
    <w:p>
      <w:pPr>
        <w:spacing w:after="0" w:line="224" w:lineRule="auto"/>
        <w:rPr>
          <w:rFonts w:ascii="Arial" w:cs="Arial" w:eastAsia="Arial" w:hAnsi="Arial"/>
          <w:sz w:val="18"/>
          <w:szCs w:val="18"/>
          <w:color w:val="auto"/>
        </w:rPr>
      </w:pPr>
      <w:r>
        <w:rPr>
          <w:rFonts w:ascii="Arial" w:cs="Arial" w:eastAsia="Arial" w:hAnsi="Arial"/>
          <w:sz w:val="16"/>
          <w:szCs w:val="16"/>
          <w:color w:val="auto"/>
        </w:rPr>
        <w:t>This report is governed by the Terms and Conditions on the GM Investor Information website: http://www.gm.com/corporate/investor_information/terms.jsp</w:t>
      </w:r>
    </w:p>
    <w:p>
      <w:pPr>
        <w:spacing w:after="0" w:line="38" w:lineRule="exact"/>
        <w:rPr>
          <w:sz w:val="20"/>
          <w:szCs w:val="20"/>
          <w:color w:val="auto"/>
        </w:rPr>
      </w:pPr>
    </w:p>
    <w:p>
      <w:pPr>
        <w:ind w:left="220" w:right="140" w:hanging="212"/>
        <w:spacing w:after="0" w:line="205" w:lineRule="auto"/>
        <w:tabs>
          <w:tab w:leader="none" w:pos="22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GMNA includes joint venture production - HUMMER and CAMI units included in GMNA Truck (Starting in Q1 2010, CAMI production is not classified as joint venture production) and production historically classified as joint venture production - NUMMI units included in GMNA car</w:t>
      </w:r>
    </w:p>
    <w:p>
      <w:pPr>
        <w:spacing w:after="0" w:line="39" w:lineRule="exact"/>
        <w:rPr>
          <w:sz w:val="20"/>
          <w:szCs w:val="20"/>
          <w:color w:val="auto"/>
        </w:rPr>
      </w:pPr>
    </w:p>
    <w:p>
      <w:pPr>
        <w:jc w:val="both"/>
        <w:ind w:left="220" w:right="60" w:hanging="212"/>
        <w:spacing w:after="0" w:line="272" w:lineRule="auto"/>
        <w:tabs>
          <w:tab w:leader="none" w:pos="22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GMIO includes GM-AvtoVAZ, SAIC-GM-Wuling and GM Daewoo Auto Technologies (GMDAT) joint venture production beginning in Q1 2004 (Starting in Q3 2005, GMIO joint venture production does not include GMDAT); and GM Egypt, Shanghai GM Norsom Motors (formerly Jinbei GM) and Shanghai GM</w:t>
      </w:r>
    </w:p>
    <w:p>
      <w:pPr>
        <w:sectPr>
          <w:pgSz w:w="11900" w:h="16838" w:orient="portrait"/>
          <w:cols w:equalWidth="0" w:num="1">
            <w:col w:w="11420"/>
          </w:cols>
          <w:pgMar w:left="240" w:top="274" w:right="23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joint ventures.</w:t>
      </w:r>
    </w:p>
    <w:p>
      <w:pPr>
        <w:spacing w:after="0" w:line="15" w:lineRule="exact"/>
        <w:rPr>
          <w:sz w:val="20"/>
          <w:szCs w:val="20"/>
          <w:color w:val="auto"/>
        </w:rPr>
      </w:pPr>
    </w:p>
    <w:p>
      <w:pPr>
        <w:ind w:right="259"/>
        <w:spacing w:after="0" w:line="261" w:lineRule="auto"/>
        <w:rPr>
          <w:sz w:val="20"/>
          <w:szCs w:val="20"/>
          <w:color w:val="auto"/>
        </w:rPr>
      </w:pPr>
      <w:r>
        <w:rPr>
          <w:rFonts w:ascii="Arial" w:cs="Arial" w:eastAsia="Arial" w:hAnsi="Arial"/>
          <w:sz w:val="18"/>
          <w:szCs w:val="18"/>
          <w:color w:val="auto"/>
        </w:rPr>
        <w:t>Beginning September 2009, GMIO joint venture production also includes FAW-GM Light Duty Commercial Vehicle Co., Ltd. (FAW-GM) GMIO excludes SAAB production in Q1 2010 estimate</w:t>
      </w:r>
    </w:p>
    <w:sectPr>
      <w:pgSz w:w="11900" w:h="16838" w:orient="portrait"/>
      <w:cols w:equalWidth="0" w:num="1">
        <w:col w:w="9999"/>
      </w:cols>
      <w:pgMar w:left="46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bullet"/>
      <w:start w:val="1"/>
    </w:lvl>
  </w:abstractNum>
  <w:abstractNum w:abstractNumId="7">
    <w:nsid w:val="7545E146"/>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2019-12-11T07:12:14Z</dcterms:created>
  <dcterms:modified xsi:type="dcterms:W3CDTF">2019-12-11T07:12:14Z</dcterms:modified>
</cp:coreProperties>
</file>