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5"/>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July 16, 2015 the number of shares outstanding of common stock was 1,583,997,449 shares.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312"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6"/>
          </w:tcPr>
          <w:p>
            <w:pPr>
              <w:ind w:left="168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 net</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2">
              <w:r>
                <w:rPr>
                  <w:rFonts w:ascii="Arial" w:cs="Arial" w:eastAsia="Arial" w:hAnsi="Arial"/>
                  <w:sz w:val="18"/>
                  <w:szCs w:val="18"/>
                  <w:color w:val="0000FF"/>
                </w:rPr>
                <w:t>9</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Short-Term and Long-Term Debt</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11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Controls and Procedures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r>
      <w:tr>
        <w:trPr>
          <w:trHeight w:val="243"/>
        </w:trPr>
        <w:tc>
          <w:tcPr>
            <w:tcW w:w="9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34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140" w:type="dxa"/>
            <w:vAlign w:val="bottom"/>
          </w:tcPr>
          <w:p>
            <w:pPr>
              <w:ind w:left="18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tcPr>
          <w:p>
            <w:pPr>
              <w:spacing w:after="0"/>
              <w:rPr>
                <w:sz w:val="17"/>
                <w:szCs w:val="17"/>
                <w:color w:val="auto"/>
              </w:rPr>
            </w:pPr>
          </w:p>
        </w:tc>
        <w:tc>
          <w:tcPr>
            <w:tcW w:w="2200" w:type="dxa"/>
            <w:vAlign w:val="bottom"/>
            <w:gridSpan w:val="6"/>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1140" w:type="dxa"/>
            <w:vAlign w:val="bottom"/>
          </w:tcPr>
          <w:p>
            <w:pPr>
              <w:ind w:left="18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tcPr>
          <w:p>
            <w:pPr>
              <w:spacing w:after="0"/>
              <w:rPr>
                <w:sz w:val="17"/>
                <w:szCs w:val="17"/>
                <w:color w:val="auto"/>
              </w:rPr>
            </w:pP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w:t>
            </w:r>
          </w:p>
        </w:tc>
        <w:tc>
          <w:tcPr>
            <w:tcW w:w="114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June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Automotive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36,670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38,462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71,034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74,777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38,180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39,649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73,892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77,057</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Automotive cost of sales (Note 8)</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63,271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69,978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interest, operating and other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6,284</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78,063</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(Note 5)</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(Note 11)</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w:t>
            </w: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102"/>
        </w:trPr>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Earnings per share (Note 14)</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0.20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1,689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22"/>
        </w:trPr>
        <w:tc>
          <w:tcPr>
            <w:tcW w:w="6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June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 (Note 13)</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gains (losses) on securities, net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200"/>
        <w:spacing w:after="0"/>
        <w:tabs>
          <w:tab w:leader="none" w:pos="1160" w:val="left"/>
        </w:tabs>
        <w:rPr>
          <w:sz w:val="20"/>
          <w:szCs w:val="20"/>
          <w:color w:val="auto"/>
        </w:rPr>
      </w:pPr>
      <w:r>
        <w:rPr>
          <w:rFonts w:ascii="Arial" w:cs="Arial" w:eastAsia="Arial" w:hAnsi="Arial"/>
          <w:sz w:val="14"/>
          <w:szCs w:val="14"/>
          <w:b w:val="1"/>
          <w:bCs w:val="1"/>
          <w:color w:val="auto"/>
        </w:rPr>
        <w:t>June 30, 2015</w:t>
      </w:r>
      <w:r>
        <w:rPr>
          <w:sz w:val="20"/>
          <w:szCs w:val="20"/>
          <w:color w:val="auto"/>
        </w:rPr>
        <w:tab/>
      </w:r>
      <w:r>
        <w:rPr>
          <w:rFonts w:ascii="Arial" w:cs="Arial" w:eastAsia="Arial" w:hAnsi="Arial"/>
          <w:sz w:val="13"/>
          <w:szCs w:val="13"/>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Marketable securities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Restricted cash and marketable securities (Note 2; Note 6 at VIEs)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and notes receivable (net of allowance of $343 and $340)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GM Financial receivables, net (Note 3; Note 6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Equipment on operating leases,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Assets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17,627</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18,954</w:t>
            </w:r>
          </w:p>
        </w:tc>
      </w:tr>
      <w:tr>
        <w:trPr>
          <w:trHeight w:val="270"/>
        </w:trPr>
        <w:tc>
          <w:tcPr>
            <w:tcW w:w="4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7,200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9,222</w:t>
            </w:r>
          </w:p>
        </w:tc>
      </w:tr>
      <w:tr>
        <w:trPr>
          <w:trHeight w:val="270"/>
        </w:trPr>
        <w:tc>
          <w:tcPr>
            <w:tcW w:w="4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1,338</w:t>
            </w:r>
          </w:p>
        </w:tc>
      </w:tr>
      <w:tr>
        <w:trPr>
          <w:trHeight w:val="270"/>
        </w:trPr>
        <w:tc>
          <w:tcPr>
            <w:tcW w:w="4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10,604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9,078</w:t>
            </w:r>
          </w:p>
        </w:tc>
      </w:tr>
      <w:tr>
        <w:trPr>
          <w:trHeight w:val="270"/>
        </w:trPr>
        <w:tc>
          <w:tcPr>
            <w:tcW w:w="4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16,932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16,528</w:t>
            </w:r>
          </w:p>
        </w:tc>
      </w:tr>
      <w:tr>
        <w:trPr>
          <w:trHeight w:val="270"/>
        </w:trPr>
        <w:tc>
          <w:tcPr>
            <w:tcW w:w="4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14,218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13,642</w:t>
            </w:r>
          </w:p>
        </w:tc>
      </w:tr>
      <w:tr>
        <w:trPr>
          <w:trHeight w:val="270"/>
        </w:trPr>
        <w:tc>
          <w:tcPr>
            <w:tcW w:w="4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5,722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3,564</w:t>
            </w:r>
          </w:p>
        </w:tc>
      </w:tr>
      <w:tr>
        <w:trPr>
          <w:trHeight w:val="270"/>
        </w:trPr>
        <w:tc>
          <w:tcPr>
            <w:tcW w:w="4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9,289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9,760</w:t>
            </w:r>
          </w:p>
        </w:tc>
      </w:tr>
      <w:tr>
        <w:trPr>
          <w:trHeight w:val="270"/>
        </w:trPr>
        <w:tc>
          <w:tcPr>
            <w:tcW w:w="4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1,584</w:t>
            </w:r>
          </w:p>
        </w:tc>
      </w:tr>
      <w:tr>
        <w:trPr>
          <w:trHeight w:val="33"/>
        </w:trPr>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84,554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83,670</w:t>
            </w:r>
          </w:p>
        </w:tc>
      </w:tr>
    </w:tbl>
    <w:p>
      <w:pPr>
        <w:spacing w:after="0" w:line="320" w:lineRule="exact"/>
        <w:rPr>
          <w:sz w:val="20"/>
          <w:szCs w:val="20"/>
          <w:color w:val="auto"/>
        </w:rPr>
      </w:pPr>
    </w:p>
    <w:p>
      <w:pPr>
        <w:sectPr>
          <w:pgSz w:w="11900" w:h="16838" w:orient="portrait"/>
          <w:cols w:equalWidth="0" w:num="2">
            <w:col w:w="7620" w:space="720"/>
            <w:col w:w="3080"/>
          </w:cols>
          <w:pgMar w:left="240" w:top="341" w:right="23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Restricted cash and marketable securities (Note 2; Note 6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GM Financial receivables, net (Note 3; Note 6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Equity in net assets of nonconsolidated affiliates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GM Financial equipment on operating leases, net (Note 6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Assets</w:t>
      </w:r>
    </w:p>
    <w:p>
      <w:pPr>
        <w:spacing w:after="0" w:line="100"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935</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17,277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16,006</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8,403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8,350</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28,431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27,743</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6,181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6,410</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12,904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7,060</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24,998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25,414</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2,441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2,089</w:t>
            </w:r>
          </w:p>
        </w:tc>
      </w:tr>
      <w:tr>
        <w:trPr>
          <w:trHeight w:val="33"/>
        </w:trPr>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101,258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94,007</w:t>
            </w:r>
          </w:p>
        </w:tc>
      </w:tr>
      <w:tr>
        <w:trPr>
          <w:trHeight w:val="33"/>
        </w:trPr>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185,812</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177,677</w:t>
            </w:r>
          </w:p>
        </w:tc>
      </w:tr>
      <w:tr>
        <w:trPr>
          <w:trHeight w:val="33"/>
        </w:trPr>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57" w:lineRule="exact"/>
        <w:rPr>
          <w:sz w:val="20"/>
          <w:szCs w:val="20"/>
          <w:color w:val="auto"/>
        </w:rPr>
      </w:pPr>
    </w:p>
    <w:p>
      <w:pPr>
        <w:sectPr>
          <w:pgSz w:w="11900" w:h="16838" w:orient="portrait"/>
          <w:cols w:equalWidth="0" w:num="2">
            <w:col w:w="7620" w:space="720"/>
            <w:col w:w="3080"/>
          </w:cols>
          <w:pgMar w:left="240" w:top="341" w:right="23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7)</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6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7)</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6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9)</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10)</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$0.01 par value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24,247</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22,529</w:t>
            </w:r>
          </w:p>
        </w:tc>
      </w:tr>
      <w:tr>
        <w:trPr>
          <w:trHeight w:val="540"/>
        </w:trPr>
        <w:tc>
          <w:tcPr>
            <w:tcW w:w="42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13,941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14,488</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30,878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28,184</w:t>
            </w:r>
          </w:p>
        </w:tc>
      </w:tr>
      <w:tr>
        <w:trPr>
          <w:trHeight w:val="33"/>
        </w:trPr>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69,528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65,701</w:t>
            </w:r>
          </w:p>
        </w:tc>
      </w:tr>
      <w:tr>
        <w:trPr>
          <w:trHeight w:val="810"/>
        </w:trPr>
        <w:tc>
          <w:tcPr>
            <w:tcW w:w="42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8,725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8,910</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30,389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22,943</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6,075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6,229</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22,177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23,788</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13,248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14,082</w:t>
            </w:r>
          </w:p>
        </w:tc>
      </w:tr>
      <w:tr>
        <w:trPr>
          <w:trHeight w:val="33"/>
        </w:trPr>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80,614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75,952</w:t>
            </w:r>
          </w:p>
        </w:tc>
      </w:tr>
      <w:tr>
        <w:trPr>
          <w:trHeight w:val="33"/>
        </w:trPr>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150,142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141,653</w:t>
            </w:r>
          </w:p>
        </w:tc>
      </w:tr>
      <w:tr>
        <w:trPr>
          <w:trHeight w:val="810"/>
        </w:trPr>
        <w:tc>
          <w:tcPr>
            <w:tcW w:w="42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28,161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28,937</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14,512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14,577</w:t>
            </w:r>
          </w:p>
        </w:tc>
      </w:tr>
      <w:tr>
        <w:trPr>
          <w:trHeight w:val="270"/>
        </w:trPr>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(7,543)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(8,073)</w:t>
            </w:r>
          </w:p>
        </w:tc>
      </w:tr>
      <w:tr>
        <w:trPr>
          <w:trHeight w:val="33"/>
        </w:trPr>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35,146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35,457</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567</w:t>
            </w:r>
          </w:p>
        </w:tc>
      </w:tr>
    </w:tbl>
    <w:p>
      <w:pPr>
        <w:spacing w:after="0" w:line="13" w:lineRule="exact"/>
        <w:rPr>
          <w:sz w:val="20"/>
          <w:szCs w:val="20"/>
          <w:color w:val="auto"/>
        </w:rPr>
      </w:pPr>
    </w:p>
    <w:p>
      <w:pPr>
        <w:sectPr>
          <w:pgSz w:w="11900" w:h="16838" w:orient="portrait"/>
          <w:cols w:equalWidth="0" w:num="2">
            <w:col w:w="7620" w:space="720"/>
            <w:col w:w="308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35,670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36,024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185,812</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177,677</w:t>
            </w:r>
          </w:p>
        </w:tc>
      </w:tr>
      <w:tr>
        <w:trPr>
          <w:trHeight w:val="33"/>
        </w:trPr>
        <w:tc>
          <w:tcPr>
            <w:tcW w:w="8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Reference should be made to the notes to condensed consolidated financial statements.</w:t>
      </w:r>
    </w:p>
    <w:p>
      <w:pPr>
        <w:sectPr>
          <w:pgSz w:w="11900" w:h="16838" w:orient="portrait"/>
          <w:cols w:equalWidth="0" w:num="1">
            <w:col w:w="11420"/>
          </w:cols>
          <w:pgMar w:left="240" w:top="341"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Common Stockholders’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8"/>
              </w:rPr>
              <w:t>Accumulated 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Series A</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Preferred Stock</w:t>
            </w: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 Stock</w:t>
            </w:r>
          </w:p>
        </w:tc>
        <w:tc>
          <w:tcPr>
            <w:tcW w:w="10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Paid-in Capital</w:t>
            </w:r>
          </w:p>
        </w:tc>
        <w:tc>
          <w:tcPr>
            <w:tcW w:w="1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17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2014</w:t>
            </w: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3,109</w:t>
            </w: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28,780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13,816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(3,113)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43,174</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Exercise of common stock warrants</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based compensation</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Cash dividends paid on common stock</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on Series A preferred stock</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Dividends declared or paid to noncontrolling interests</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Balance at June 30, 2014</w:t>
            </w: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3,109</w:t>
            </w:r>
          </w:p>
        </w:tc>
        <w:tc>
          <w:tcPr>
            <w:tcW w:w="140" w:type="dxa"/>
            <w:vAlign w:val="bottom"/>
          </w:tcPr>
          <w:p>
            <w:pPr>
              <w:spacing w:after="0"/>
              <w:rPr>
                <w:sz w:val="14"/>
                <w:szCs w:val="14"/>
                <w:color w:val="auto"/>
              </w:rPr>
            </w:pPr>
          </w:p>
        </w:tc>
        <w:tc>
          <w:tcPr>
            <w:tcW w:w="38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28,840</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13,162</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(3,133)</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42,585</w:t>
            </w:r>
          </w:p>
        </w:tc>
        <w:tc>
          <w:tcPr>
            <w:tcW w:w="0" w:type="dxa"/>
            <w:vAlign w:val="bottom"/>
          </w:tcPr>
          <w:p>
            <w:pPr>
              <w:spacing w:after="0"/>
              <w:rPr>
                <w:sz w:val="1"/>
                <w:szCs w:val="1"/>
                <w:color w:val="auto"/>
              </w:rPr>
            </w:pPr>
          </w:p>
        </w:tc>
      </w:tr>
      <w:tr>
        <w:trPr>
          <w:trHeight w:val="100"/>
        </w:trPr>
        <w:tc>
          <w:tcPr>
            <w:tcW w:w="39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Balance at January 1, 2015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vMerge w:val="restart"/>
          </w:tcPr>
          <w:p>
            <w:pPr>
              <w:jc w:val="right"/>
              <w:ind w:right="21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28,937</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14,577</w:t>
            </w:r>
          </w:p>
        </w:tc>
        <w:tc>
          <w:tcPr>
            <w:tcW w:w="120" w:type="dxa"/>
            <w:vAlign w:val="bottom"/>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(8,073)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36,024</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common stock</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Exercise of common stock warrants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based compensation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Cash dividends paid on common stock</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or paid to noncontrolling interests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2015</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28,161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14,512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(7,543)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524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35,670</w:t>
            </w:r>
          </w:p>
        </w:tc>
        <w:tc>
          <w:tcPr>
            <w:tcW w:w="0" w:type="dxa"/>
            <w:vAlign w:val="bottom"/>
          </w:tcPr>
          <w:p>
            <w:pPr>
              <w:spacing w:after="0"/>
              <w:rPr>
                <w:sz w:val="1"/>
                <w:szCs w:val="1"/>
                <w:color w:val="auto"/>
              </w:rPr>
            </w:pPr>
          </w:p>
        </w:tc>
      </w:tr>
      <w:tr>
        <w:trPr>
          <w:trHeight w:val="60"/>
        </w:trPr>
        <w:tc>
          <w:tcPr>
            <w:tcW w:w="39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22"/>
                <w:szCs w:val="22"/>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June 30,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Available-for-sale marketable securities, acquisitions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(3,714)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Trading marketable securities,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Available-for-sale marketable securities, liquidations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2,723</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Trading marketable securities, liquidations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 of companies/investments, net of cash acquired</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restricted cash and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Decrease in restricted cash and marketable securities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finance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Principal collections and recoveries on finance receivables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5,716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5,299</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leased vehicles,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termination of leased vehicles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increase (decrease) in short-term debt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259</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Payments on debt (original maturities greater than three months)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(9,724)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to purchase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(1,193)</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17,627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19,864</w:t>
            </w:r>
          </w:p>
        </w:tc>
      </w:tr>
      <w:tr>
        <w:trPr>
          <w:trHeight w:val="67"/>
        </w:trPr>
        <w:tc>
          <w:tcPr>
            <w:tcW w:w="85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Non-cash property additions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2,949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We design, build and sell cars, trucks and automobile parts worldwide. We also provide automotive financing services through General Motors Financial Company, Inc. (GM Financial). We analyze the results of our business through the following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2014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May 2014 the Financial Accounting Standards Board (FASB) issued Accounting Standards Update 2014-09, “Revenue from Contracts with Customers” (ASU 2014-09) which requires companies to recognize revenue when a customer obtains control rather than when companies have transferred substantially all risks and rewards of a good or service and requires expanded disclosures. ASU 2014-09 was originally effective for annual reporting periods beginning on or after December 15, 2016 and interim periods therein. In July 2015 the FASB issued a deferral of ASU 2014-09 of one year making it effective for annual reporting periods beginning on or after December 15, 2017 while also providing for early adoption but not before the original effective date. We are currently assessing the impact the adoption of ASU 2014-09 will have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marketable securities which approximates cost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 Level</w:t>
            </w:r>
          </w:p>
        </w:tc>
        <w:tc>
          <w:tcPr>
            <w:tcW w:w="160" w:type="dxa"/>
            <w:vAlign w:val="bottom"/>
          </w:tcPr>
          <w:p>
            <w:pPr>
              <w:spacing w:after="0"/>
              <w:rPr>
                <w:sz w:val="16"/>
                <w:szCs w:val="16"/>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June 30, 2015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91"/>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Trading securities </w:t>
            </w:r>
            <w:r>
              <w:rPr>
                <w:rFonts w:ascii="Arial" w:cs="Arial" w:eastAsia="Arial" w:hAnsi="Arial"/>
                <w:sz w:val="21"/>
                <w:szCs w:val="21"/>
                <w:color w:val="auto"/>
              </w:rPr>
              <w:t>–</w:t>
            </w:r>
            <w:r>
              <w:rPr>
                <w:rFonts w:ascii="Arial" w:cs="Arial" w:eastAsia="Arial" w:hAnsi="Arial"/>
                <w:sz w:val="18"/>
                <w:szCs w:val="18"/>
                <w:color w:val="auto"/>
              </w:rPr>
              <w:t xml:space="preserve"> sovereign and corporate debt</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18,954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Trading securities </w:t>
            </w:r>
            <w:r>
              <w:rPr>
                <w:rFonts w:ascii="Arial" w:cs="Arial" w:eastAsia="Arial" w:hAnsi="Arial"/>
                <w:sz w:val="21"/>
                <w:szCs w:val="21"/>
                <w:color w:val="auto"/>
              </w:rPr>
              <w:t>–</w:t>
            </w:r>
            <w:r>
              <w:rPr>
                <w:rFonts w:ascii="Arial" w:cs="Arial" w:eastAsia="Arial" w:hAnsi="Arial"/>
                <w:sz w:val="18"/>
                <w:szCs w:val="18"/>
                <w:color w:val="auto"/>
              </w:rPr>
              <w:t xml:space="preserve"> sovereign debt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304"/>
        </w:trPr>
        <w:tc>
          <w:tcPr>
            <w:tcW w:w="698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9,222</w:t>
            </w:r>
          </w:p>
        </w:tc>
        <w:tc>
          <w:tcPr>
            <w:tcW w:w="0" w:type="dxa"/>
            <w:vAlign w:val="bottom"/>
          </w:tcPr>
          <w:p>
            <w:pPr>
              <w:spacing w:after="0"/>
              <w:rPr>
                <w:sz w:val="1"/>
                <w:szCs w:val="1"/>
                <w:color w:val="auto"/>
              </w:rPr>
            </w:pP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Available-for-sale securities, primarily money market funds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cash equivalents and time deposits</w:t>
            </w: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71"/>
        </w:trPr>
        <w:tc>
          <w:tcPr>
            <w:tcW w:w="69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 included above with contractual maturities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Due between one year and five years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Sales proceeds from investments classified as available-for-sale and sold prior to maturity were $4.5 billion and $748 million in the three months ended June 30, 2015 and 2014 and $5.9 billion and $1.5 billion in the six months ended June 30, 2015 and 2014. Cumulative unrealized gains and losses on available-for-sale securities were insignificant at June 30, 2015 and December 31, 2014 and net unrealized gains and losses on trading securities were insignificant in the three and six months ended June 30, 2015 and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GM Financial Receivables,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GM Financial receivables, net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17"/>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53"/>
        </w:trPr>
        <w:tc>
          <w:tcPr>
            <w:tcW w:w="4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25,623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26,609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34,209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24,968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7,566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Allowance for loan losses classified as current</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GM Financial estimates the fair value of consumer finance receivables using observable and unobservable inputs within a cash flow model, a Level 3 input.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or current interest rates. The weighted-average cost of capital uses debt and equity percentages, an unobservable cost of equity and an observable cost of debt based on companies with a similar credit rating and maturity profile as the portfolio. Macroeconomic factors could affect the credit performance of the portfolio and therefore could potentially affect the assumptions used in GM Financial's cash flow model. A substantial majority of commercial finance receivables have variable interest rates and maturities of one year or less. Therefore the carrying amount is considered to be a reasonable estimate of fair value using Level 2 inputs.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the allowance for loan losses on finance receivables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June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234</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615</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activity for the allowance for commercial loan losses was insignificant in the three and six months ended June 30, 2015 and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uses proprietary scoring systems in its underwriting process that measure the credit quality of the receivables using several factors, such as credit bureau information, consumer credit risk scores (e.g. FICO scores)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were considered to be prime credit quality. At June 30, 2015 and December 31, 2014, 71% and 83% of the consumer finance receivables in North America were from consumers with sub-prime credit scores, which are defined as FICO scores of less than 620 at the time of loan origination.</w:t>
      </w:r>
    </w:p>
    <w:p>
      <w:pPr>
        <w:spacing w:after="0" w:line="18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An account is considered delinquent if a substantial portion of a scheduled payment has not been received by the date such payment was contractually due. At June 30, 2015 and December 31, 2014 the accrual of finance charge income has been suspended on delinquent consumer finance receivables with contractual amounts due of $694 million and $682 million. The following table summarizes the contractual amount of delinquent contracts, which is not significantly different than the recorded investment of the consumer finance receivables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8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Total finance receivables more than 30 days delinquent or in repossession</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Impaired Finance Receivables – Troubled Debt Restructurings</w:t>
      </w:r>
    </w:p>
    <w:p>
      <w:pPr>
        <w:spacing w:after="0" w:line="23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outstanding recorded investment for consumer finance receivables that are considered to be troubled debt restructurings and the related allowance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 net of allowance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1,062</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Unpaid principal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1,255</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commercial finance receivables consist of dealer financings, primarily for inventory purchases. A proprietary model is used to assign a risk rating to each dealer. A credit review of each dealer is performed at least annually, and if necessary, the dealer's risk rating is adjusted on the basis of the review. The credit lines for Group VI dealers are typically suspended and no further funding is extended to these dealers. At June 30, 2015 and December 31, 2014 the commercial finance receivables on non-accrual status were insignificant. The following table summarizes the credit risk profile by dealer grouping of the commercial finance receivables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53"/>
        </w:trPr>
        <w:tc>
          <w:tcPr>
            <w:tcW w:w="8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 – Dealers with superior financial metrics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II – Dealers with strong financial metrics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2,022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fair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IV – Dealers with weak financial metrics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1,173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 – Dealers warranting special mention due to potential weaknesses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VI – Dealers with loans classified as substandard, doubtful or impaired</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the components of Inventories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2015</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8,655</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6,942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14,218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8,262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6,912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13,642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Equity in Net Assets of Nonconsolidated Affiliates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 Our nonconsolidated affiliates are involved in various aspects of the development, production and marketing of cars, trucks and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automobile parts. We enter into transactions with certain nonconsolidated affiliates to purchase and sell component parts and vehicles.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Revenue and expenses of our Automotive China joint ventures (Automotive China JVs) are not consolidated into our financial statements; rather, our proportionate share of the earnings of each joint venture is reflected as Equity income. There have been no significant ownership changes in our Automotive China JVs since December 31, 2014. The following table summarizes information regarding Equity income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June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joint ventures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1,128</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January 2, 2015 GM Financial completed its acquisition of Ally Financial, Inc.'s (Ally Financial) 40% equity interest in SAIC-GMAC Automotive Finance Company Limited (SAIC-GMAC) in China. The aggregate purchase price was $1.0 billion. Also on January 2, 2015 GM Financial sold a 5% equity interest in SAIC-GMAC to Shanghai Automotive Group Finance Company Ltd. (SAICFC), a current shareholder of SAIC-GMAC, for proceeds of $125 million. As a result of these transactions GM Financial now owns 35%, SAICFC owns 45% and, in the aggregate, GM indirectly owns 45% of SAIC-GMAC. GM Financial's share of earnings of SAIC-GMAC is included in the Equity income of Other joint ventures in the table above. The difference between GM Financial's carrying amount of its investment and its share of the underlying net assets of SAIC-GMAC was $371 million at June 30, 2015, which was primarily related to goodwill. The pro forma effect on earnings had this acquisition occurred on January 1, 2014 was not significant.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transactions with and additional information related to our nonconsolidated affiliates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60" w:type="dxa"/>
            <w:vAlign w:val="bottom"/>
            <w:gridSpan w:val="8"/>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53"/>
        </w:trPr>
        <w:tc>
          <w:tcPr>
            <w:tcW w:w="60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8"/>
        </w:trPr>
        <w:tc>
          <w:tcPr>
            <w:tcW w:w="60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June 30, 2015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w w:val="94"/>
              </w:rPr>
              <w:t>June 30, 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June 30, 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June 30, 2014</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876</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purchases,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received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1,427</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cash flows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2,318</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2,561</w:t>
            </w:r>
          </w:p>
        </w:tc>
      </w:tr>
      <w:tr>
        <w:trPr>
          <w:trHeight w:val="426"/>
        </w:trPr>
        <w:tc>
          <w:tcPr>
            <w:tcW w:w="60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June 30, 2015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Undistributed earnings including dividends declared but not received</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2,011</w:t>
            </w:r>
          </w:p>
        </w:tc>
      </w:tr>
      <w:tr>
        <w:trPr>
          <w:trHeight w:val="27"/>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color w:val="auto"/>
        </w:rPr>
        <w:t>–</w:t>
      </w:r>
      <w:r>
        <w:rPr>
          <w:rFonts w:ascii="Arial" w:cs="Arial" w:eastAsia="Arial" w:hAnsi="Arial"/>
          <w:sz w:val="18"/>
          <w:szCs w:val="18"/>
          <w:b w:val="1"/>
          <w:bCs w:val="1"/>
          <w:color w:val="auto"/>
        </w:rPr>
        <w:t xml:space="preserve"> GM Financial Consolidated Variable Interest Entities (VIEs)</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by GM Financial to the VIEs (Securitized Assets). GM Financial holds variable interests in the VIEs that could potentially be significant to the VIEs. GM Financial determined that it is the primary beneficiary of the SPEs because: (1) the servicing responsibilities for the Securitized Assets give GM Financial the power to direct the activities that most significantly impact the performance of the VIEs; and (2)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28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1,253</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r>
      <w:tr>
        <w:trPr>
          <w:trHeight w:val="289"/>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611</w:t>
            </w:r>
          </w:p>
        </w:tc>
      </w:tr>
      <w:tr>
        <w:trPr>
          <w:trHeight w:val="306"/>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GM Financial receivables, net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11,134</w:t>
            </w:r>
          </w:p>
        </w:tc>
      </w:tr>
      <w:tr>
        <w:trPr>
          <w:trHeight w:val="289"/>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GM Financial receivables, net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11,583</w:t>
            </w:r>
          </w:p>
        </w:tc>
      </w:tr>
      <w:tr>
        <w:trPr>
          <w:trHeight w:val="25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10,278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10,502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12,292</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Securitized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Short-Term and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debt</w:t>
            </w: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9,410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fair value of debt measured utilizing Level 1 inputs was based on quoted prices in active markets for identical instruments that a market participant can access at the measurement date. The fair value of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Amount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2800" w:type="dxa"/>
            <w:vAlign w:val="bottom"/>
            <w:tcBorders>
              <w:bottom w:val="single" w:sz="8" w:color="CCEEFF"/>
            </w:tcBorders>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25,228</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17,713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17,926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12,217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280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44,330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44,554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37,431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37,707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32,790</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4"/>
                <w:szCs w:val="24"/>
                <w:color w:val="auto"/>
              </w:rPr>
            </w:pPr>
          </w:p>
        </w:tc>
        <w:tc>
          <w:tcPr>
            <w:tcW w:w="2460" w:type="dxa"/>
            <w:vAlign w:val="bottom"/>
          </w:tcPr>
          <w:p>
            <w:pPr>
              <w:jc w:val="right"/>
              <w:ind w:right="6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debt measured utilizing Level 2 inputs was based on quoted market prices for identical instruments and if unavailable, quoted market prices of similar instruments. For debt that has terms of one year or less or has been priced within the last six months, the carrying amount or par value is considered to be a reasonable estimate of fair value. The fair value of debt measured utilizing Level 3 inputs was based on the discounted future net cash flows expected to be settled using current risk-adjusted rates.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finance receivables and leases. Refer to Note 6 for additional information on GM Financial's involvement with VIEs. In the six months ended June 30, 2015 GM Financial issued securitization notes payable of $6.8 billion and entered into new or renewed credit facilities with substantially the same terms as existing debt and a total net additional borrowing capacity of $4.1 billion.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Unsecured Debt</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Unsecured debt consists of senior notes, credit facilities and other unsecured debt. In January 2015 GM Financial issued $2.25 billion in aggregate principal amount of senior notes comprising $1.0 billion of 3.15% notes due in January 2020, $1.0 billion of 4.0% notes due in January 2025 and $250 million of floating rate notes due in January 2020. In February 2015 GM Financial issued Euro 650 million of 0.85% term notes due in February 2018. In April 2015 GM Financial issued $2.4 billion in aggregate principal amount of senior notes comprising $850 million of 2.4% notes due in April 2018, $1.25 billion of 3.45% notes due in April 2022 and $300 million of floating rate notes due in April 2018. In May 2015 GM Financial issued Canadian Dollar (CAD) $500 million of 3.08% senior notes due in May 2020.</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July 2015 GM Financial issued $2.3 billion in aggregate principal amount of senior notes comprising $1.5 billion of 3.2% notes due in July 2020 and $800 million of 4.3% notes due in July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Product Warranty and Related Liabilities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policy, product warranty, recall campaigns and courtesy transportation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June 30, 2014</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7,601</w:t>
            </w:r>
          </w:p>
        </w:tc>
      </w:tr>
      <w:tr>
        <w:trPr>
          <w:trHeight w:val="289"/>
        </w:trPr>
        <w:tc>
          <w:tcPr>
            <w:tcW w:w="8800" w:type="dxa"/>
            <w:vAlign w:val="bottom"/>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recall campaigns and courtesy transportation</w:t>
            </w:r>
          </w:p>
        </w:tc>
        <w:tc>
          <w:tcPr>
            <w:tcW w:w="160" w:type="dxa"/>
            <w:vAlign w:val="bottom"/>
          </w:tcPr>
          <w:p>
            <w:pPr>
              <w:spacing w:after="0"/>
              <w:rPr>
                <w:sz w:val="24"/>
                <w:szCs w:val="24"/>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2,485</w:t>
            </w:r>
          </w:p>
        </w:tc>
      </w:tr>
      <w:tr>
        <w:trPr>
          <w:trHeight w:val="30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policy and product warranty</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10,528</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six months ended June 30, 2014 we recorded charges of approximately $2.5 billion in Automotive cost of sales for the recall of approximately 29 million vehicles as described in our 2014 Form 10-K. We had historically accrued estimated costs related to recall campaigns in GMNA when probable and reasonably estimable, which typically occurs once it is determined a specific recall campaign is needed and announced. During the three months ended September 30, 2014 we began accruing the costs for recall campaigns at the time of vehicle sale in GMNA.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Pensions and Other Postretirement Benefits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tables summarize the components of net periodic pension and other postretirement benefits (OPEB) (income) expense (dollars in millions):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3"/>
              </w:rPr>
              <w:t>Three Months Ended June 30, 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w w:val="93"/>
              </w:rPr>
              <w:t>Three Months Ended June 30, 2014</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Global OPEB</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Global OPEB</w:t>
            </w: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Non-U.S.</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w w:val="92"/>
              </w:rPr>
              <w:t>Six Months Ended June 30, 2015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w w:val="93"/>
              </w:rPr>
              <w:t>Six Months Ended June 30, 2014</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Global OPEB</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Global OPEB</w:t>
            </w: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Non-U.S.</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1,377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curtailment charges recorded in the three and six months ended June 30, 2015 were due primarily to the General Motors Canada Limited (GMCL) hourly pension plan that was remeasured as a result of a voluntary separation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related to Commitments and contingencies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December 31, 2014</w:t>
            </w:r>
          </w:p>
        </w:tc>
      </w:tr>
      <w:tr>
        <w:trPr>
          <w:trHeight w:val="152"/>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3"/>
                <w:szCs w:val="13"/>
                <w:color w:val="auto"/>
              </w:rPr>
            </w:pPr>
          </w:p>
        </w:tc>
        <w:tc>
          <w:tcPr>
            <w:tcW w:w="8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Maximum</w:t>
            </w:r>
          </w:p>
        </w:tc>
      </w:t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Liability(a)</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Liability(a)</w:t>
            </w:r>
          </w:p>
        </w:tc>
      </w:tr>
      <w:tr>
        <w:trPr>
          <w:trHeight w:val="250"/>
        </w:trPr>
        <w:tc>
          <w:tcPr>
            <w:tcW w:w="20" w:type="dxa"/>
            <w:vAlign w:val="bottom"/>
          </w:tcPr>
          <w:p>
            <w:pPr>
              <w:spacing w:after="0"/>
              <w:rPr>
                <w:sz w:val="21"/>
                <w:szCs w:val="21"/>
                <w:color w:val="auto"/>
              </w:rPr>
            </w:pPr>
          </w:p>
        </w:tc>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Guarantees for product-related indemnification agreements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2,458</w:t>
            </w: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Guarantees for third party commercial loans and other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197</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litigation-related liability and tax administrative matters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Product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Ignition switch recall compensation program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________</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Calculated as future undiscounted payments.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enter into indemnification agreements for liability claims involving products manufactured primarily by certain joint ventures. These guarantees terminate in years ranging from 2021 to 2029 and we believe that the related potential costs incurred are adequately covered by recorded accruals.</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also provide vehicle repurchase guarantees and payment guarantees on commercial loans outstanding with third parties such as dealers. These guarantees and other obligations expire in 2015 through 2020 or upon the occurrence of specific events or are ongoing.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Accounting Standards Codification (ASC) 740, "Income Taxes" (indirect tax-related matters) and environmental matters.</w:t>
      </w:r>
    </w:p>
    <w:p>
      <w:pPr>
        <w:spacing w:after="0" w:line="187"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we believe that losses are probable and can be reasonably estimated, the majority of which are associated with indirect tax-related matters as well as non-U.S. labor-related matters. 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$400 million to $600 million. Some of the matters may involve compensatory, punitive or other treble damage claims, environmental remediation programs or sanctions that, if granted, could require us to pay damages or make other expenditures in amounts that could not be reasonably estimated at June 30, 2015. We believe that appropriate accruals have been established for such matters based on information currently available. Reserves for litigation losses are recorded in Accrued liabilities and Other liabilities. However litigation is inherently unpredictable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discussion in the following paragraphs describes material legal proceedings to which we are a party, other than ordinary routine litigation incidental to our business.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Proceedings Related to Ignition Switch Recall and Other Recalls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2014 we announced various recalls relating to safety, customer satisfaction and other matters. Those 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Through July 20, 2015 we were aware of 100 putative class actions pending against GM in various federal and state trial courts in the U.S. alleging that consumers who purchased or leased vehicles manufactured by GM or General Motors Corporation had been economically harmed by one or more of the recalls announced in 2014 and/or the underlying vehicle conditions associated with those recalls (economic-loss cases). Additionally, through July 20, 2015 we were aware of 21 putative class actions pending in various Provincial Courts in Canada seeking relief similar to that sought in the economic-loss cases in the U.S. In the aggregate these economic-loss cases seek recovery for purported compensatory damages, such as alleged diminution in value of the vehicles, as well as punitive damages and injunctive and other relief.</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Through July 20, 2015 we were aware of 172 actions pending in various federal and state trial courts in the U.S. against GM alleging injury or death as a result of defects that may be the subject of recalls announced in 2014 (personal injury cases). Additionally, through July 20, 2015, we were aware of 9 actions pending in various Provincial Courts in Canada seeking relief similar to that sought in the personal injury cases in the U.S. In the aggregate these personal injury cases seek recovery for purported compensatory damages, punitive damages and other relief.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Since June 2014 the United States Judicial Panel on Multidistrict Litigation has issued orders from time to time directing that certain pending economic-loss and personal injury federal lawsuits involving alleged faulty ignition switches or other defects that may be related to the recalls announced in the year ended December 31, 2014 be transferred to, and consolidated in, a single federal court, the Southern District of New York (the multidistrict litigation). Through July 20, 2015 204 pending cases have been transferred to, and consolidated with, the multidistrict litigation. At the court's suggestion, the parties to the multidistrict litigation engage from time to time in discussions of possible mechanisms to resolve pending litigation.</w:t>
      </w:r>
    </w:p>
    <w:p>
      <w:pPr>
        <w:spacing w:after="0" w:line="173"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Because many of the plaintiffs in the actions described in the above paragraphs are suing over the conduct of General Motors Corporation or vehicles manufactured by that entity for liabilities not expressly assumed by GM, we moved to enforce the terms of the July 2009 Sale Order and Injunction issued by the United States Bankruptcy Court for the Southern District of New York (Bankruptcy Court) to preclude claims from being asserted against us for, among other things, personal injuries based on pre-sale accidents, any economic-loss claims based on acts or conduct of General Motors Corporation and claims asserting successor liability for obligations owed by General Motors Corporation (successor liability claims). On April 15, 2015 the Bankruptcy Court issued a Decision precluding claims against us based upon pre-sale accidents, claims based upon the acts or conduct by General Motors Corporation and successor liability claims, except for claims asserting liabilities that had been expressly assumed by us in the July 2009 Sale Agreement and claims that could be asserted against us only if they were otherwise viable and arose solely out of our own independent post-closing acts and did not in any way rely on acts or conduct by General Motors Corporation. Plaintiffs have appealed the Bankruptcy Court’s decision. We have also filed a notice of cross appeal to preserve our rights on appeal.</w:t>
      </w:r>
    </w:p>
    <w:p>
      <w:pPr>
        <w:spacing w:after="0" w:line="19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putative shareholder class action filed in the United States District Court for the Eastern District of Michigan, the court appointed the New York State Teachers’ Retirement System as the lead plaintiff. On January 15, 2015 New York State Teachers’ Retirement System filed a Consolidated Class Action Complaint against GM and several current and former officers and employees (Defendants). On behalf of purchasers of GM common stock from November 17, 2010 to July 24, 2014, the Consolidated Class Action Complaint alleges that Defendants made material misstatements and omissions relating to problems with the ignition switch and other matters in SEC filings and other public statements. On March 13, 2015 Defendants filed a motion to dismiss. Defendants’ motion to dismiss is now fully briefed and awaiting decision by the court.</w:t>
      </w:r>
    </w:p>
    <w:p>
      <w:pPr>
        <w:spacing w:after="0" w:line="17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With regard to the shareholder derivative actions, the two shareholder derivative actions pending in the United States District Court for the Eastern District of Michigan have been consolidated and all proceedings, including those related to the motion to dismiss we filed in that court in October 2014, remain suspended pending disposition of the parallel action being litigated in Delaware Chancery Court. With regard to that pending litigation in Delaware Chancery Court, the four shareholder derivative actions pending in that court were consolidated and plaintiffs filed an amended consolidated complaint on October 13, 2014. We filed a motion to dismiss the amended consolidated complaint on December 5, 2014. On June 26, 2015, the Delaware Chancery Court granted GM's motion to dismiss the amended consolidated complaint. With regard to the two derivative actions filed in the Circuit Court of Wayne County, Michigan, those actions have been consolidated and remain stayed pending disposition of the federal derivative actions.</w:t>
      </w:r>
    </w:p>
    <w:p>
      <w:pPr>
        <w:spacing w:after="0" w:line="17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connection with the 2014 recalls, various investigations, inquiries and complaints from the U.S. Attorney’s Office for the Southern District of New York, Congress, the SEC, Transport Canada and 50 state attorneys general are ongoing. We have received subpoenas and requests for additional information and we have participated in discussions with various governmental authorities. On June 3, 2015 we received notice of an investigation by the Federal Trade Commission concerning certified pre-owned vehicle advertising where dealers had certified vehicles allegedly needing recall repairs. We continue to investigate these matters and believe we are cooperating fully with all requests for information in ongoing investigations. Such investigations could in the future result in the imposition of material damages, fines, civil consent orders, civil and criminal penalties or other remedies.</w:t>
      </w:r>
    </w:p>
    <w:p>
      <w:pPr>
        <w:spacing w:after="0" w:line="17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are currently unable to estimate a range of reasonably possible loss for the lawsuits and investigations because these matters involve significant uncertainties. Those uncertainties include the legal theory or the nature of the claims, the complexity of the facts, the results of any investigation or litigation, and the timing of resolution of the investigations or litigation. Although we cannot estimate a reasonable range of loss based on currently available information, the resolution of these matters could have a material adverse effect on our financial position, results of operations or cash flows.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February 12, 2010 a claim was filed in the Ontario Superior Court of Justice against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whether the Plaintiff Dealers can recover damages in the aggregate (as opposed to proving individual damages). A number of former dealers opted out of participation in the litigation, leaving 181 dealers in the certified class. Trial of the class issues was completed in the three months ended December 31, 2014. On July 8, 2015 the Ontario Superior Court dismissed the Plaintiff Dealers’ claim against GMCL, holding that GMCL did not breach any common law or statutory obligations toward the class members. The court also dismissed GMCL’s counterclaim against the Plaintiff Dealers for repayment of the wind-down payments made to them by GMCL as well as for other relief. The parties have the right to appeal from this decision to the Ontario Court of Appeals once all outstanding issues before the trial judge have been completed.</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UAW Claim</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On April 6, 2010 the International Union, United Automobile, Aerospace and Agriculture Implement Workers of America (UAW) filed suit against us in the U.S. District Court for the Eastern District of Michigan claiming that we breached our obligation to contribute $450 million to the UAW Retiree Medical Benefits Trust. The UAW alleges that we were contractually required to make this contribution pursuant to the UAW-Delphi-GM Memorandum of Understanding Delphi Restructuring dated June 22, 2007. On December 10, 2013 the court granted our motion for summary judgment and dismissed the claims asserted by the UAW. The UAW filed an appeal and in May 2015 the United States Court of Appeals for the Sixth Circuit upheld the dismissal of the UAW's claims.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67" w:lineRule="auto"/>
        <w:rPr>
          <w:sz w:val="20"/>
          <w:szCs w:val="20"/>
          <w:color w:val="auto"/>
        </w:rPr>
      </w:pPr>
      <w:r>
        <w:rPr>
          <w:rFonts w:ascii="Arial" w:cs="Arial" w:eastAsia="Arial" w:hAnsi="Arial"/>
          <w:sz w:val="17"/>
          <w:szCs w:val="17"/>
          <w:color w:val="auto"/>
        </w:rPr>
        <w:t>Commencing on or about September 29, 2010 current and former hourly employees of GM Korea Company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GM Korea appealed to the Supreme Court of the Republic of Korea (Supreme Court) and initiated a constitutional challenge to the adverse interpretation of the relevant statute. In December 2013 the Supreme Court rendered a decision in a case involving another company not affiliated with us which addressed many of the issues presented in the cases pending against GM Korea and resolved many of them in a manner which we believe is favorable to GM Korea. In particular, while the Supreme Court held that fixed bonuses should be included in the calculation of Ordinary Wages, it also held that claims for retroactive application of this rule would be barred under certain circumstances. On May 29, 2014 the Supreme Court rendered its decision with respect to the case involving the five GM Korea employees and remanded the case to the Seoul High Court consistent with its December 2013 ruling. In July 2014 GM Korea and its labor union agreed to include bonuses and certain allowances in Ordinary Wages retroactively to March 1, 2014. Therefore our accrual related to these cases was reclassified from a contingent liability to the Pensions liability. We estimate our reasonably possible loss, as defined by ASC 450, “Contingencies,” in excess of amounts accrued to be 574 billion South Korean Won (equivalent to $515 million) at June 30, 2015, which relates to periods before March 1, 2014. We are also party to litigation with current and former salaried employees over allegations relating to Ordinary Wages regulation. At June 30, 2015 we have identified a reasonably possible loss in excess of the amount of our accrual of 173 billion South Korean Won (equivalent to $155 million). Both the scope of claims asserted and GM Korea's assessment of any or all of the individual claim elements may change if new information becomes available. These cases are currently pending before various district courts in Korea and the Supreme Court.</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Inventory Management Securities Class Action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On June 29, 2012 a putative securities class action was filed against us and a number of our past and current officers and directors in the United States District Court for the Southern District of New York (</w:t>
      </w:r>
      <w:r>
        <w:rPr>
          <w:rFonts w:ascii="Arial" w:cs="Arial" w:eastAsia="Arial" w:hAnsi="Arial"/>
          <w:sz w:val="18"/>
          <w:szCs w:val="18"/>
          <w:i w:val="1"/>
          <w:iCs w:val="1"/>
          <w:color w:val="auto"/>
        </w:rPr>
        <w:t>George G. Scott v. General Motors Company et al</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Purporting to sue on behalf of owners of common stock deriving from our 2010 initial public offering, plaintiff asserts non-fraud prospectus based liability claims under various federal securities statutes alleging that the Company has made false statements about its vehicle inventory controls and production decisions, particularly with respect to full-size trucks. The plaintiff's complaint requests compensatory damages, rescission and litigation costs, fees and disbursements. On November 21, 2012 the court appointed the Teamster's Local 710 Pension Fund as lead plaintiff in the matter. On February 1, 2013 the plaintiff filed an amended complaint. On September 4, 2014 the district court granted our motion to dismiss, and dismissed the case with prejudice. Plaintiff filed an appeal. On May 28, 2015 the United States Court of Appeals for the Second Circuit affirmed the dismissal by the district court. On July 9, 2015 the appeals court denied plaintiff’s petition for rehearing or, in the alternative, for rehearing en banc.</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Subpoena</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July 2014 GM Financial was served with a subpoena by the U.S. Department of Justice directing GM Financial to produce certain documents relating to the origination and securitization of sub-prime automobile loans by GM Financial and its subsidiaries and affiliates since 2007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loans and the representations and warranties relating to those underwriting criteria that were made in connection with the securitization of the automobile loans. GM Financial was subsequently served with additional investigative subpoenas from state attorneys general and other governmental offices to produce documents relating to its consumer automobile loan business and securitization of automobile loans. In October 2014 GM Financial received a document request from the SEC in connection with its investigation into certain practices in sub-prime automobile loan securitization. GM Financial is investigating these matters internally and believes that it is cooperating with all requests. Such investigations could in the future result in the imposition of damages, fines or civil or criminal claims and/or penalties. No assurance can be given that the ultimate outcome of the investigations or any resulting proceedings would not materially and adversely affect GM Financial or any of its subsidiaries and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With respect to product liability claims involving our and General 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Liabilities have been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 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Ignition Switch Recall Compensation Program</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2014 we recorded a charge of $400 million as a result of the creation of a compensation program (the Program) for accident victims who died or suffered physical injury (or for their families) as a result of a faulty ignition switch related to the 2.6 million vehicles recalled in the three months ended March 31, 2014. The Program is being administered by an independent program administrator. The independent administrator has established a protocol that defines the eligibility requirements to participate in the Program. There is no cap on the amount of payments that can be made to claimants under the Program.</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amounts recorded for the Program were recorded in Automotive selling, general and administrative expense in Corporate and were treated as an adjustment for earnings before interest and taxes (EBIT)-adjusted reporting purposes. Based on the Program's claims experience we increased our accrual by $150 million and $75 million in the three months ended March 31, 2015 and June 30, 2015. Total charges recorded since inception of the Program were $625 million. The following table summarizes the activity for the Program since its inception (dollars in millions):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Activity</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400</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Payments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Balance at June 30, 2015</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w:t>
            </w:r>
          </w:p>
        </w:tc>
      </w:tr>
      <w:tr>
        <w:trPr>
          <w:trHeight w:val="20"/>
        </w:trPr>
        <w:tc>
          <w:tcPr>
            <w:tcW w:w="9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Based on currently available information we believe our accrual at June 30, 2015 is adequate to cover the estimated costs under the Program. The most significant estimates affecting the amount recorded include the number of participants that have eligible claims related to death and physical injury, which also contemplates the severity of injury, the length of hospital stays and related compensation amounts and the number of people who actually elect to participate in the Program. Our estimate is subject to significant uncertainties, as programs of this nature are highly unusual and each eligible claim will have a unique underlying fact pattern. While we do not anticipate material changes to our current estimate, it is possible that material changes could occur if actual eligible claims and the related compensation amounts differ from this estimate.</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Program accepted claims from August 1, 2014 through January 31, 2015 and received a total of 4,342 claims. Payments to eligible claimants began in the three months ended December 31, 2014 and will continue through the end of 2015. Accident victims (or their families) could choose not to participate in the Program and pursue litigation against us. Accident victims (or their families) that accept a payment under the Program agree to settle all claims against GM related to the accident. At July 17, 2015 the independent program administrator had determined that 393 claims were eligible for payment and 3,664 were ineligible for payment under the Program. The remaining 285 claims are deficient and awaiting further documentation. We expect the Program to complete its claims review process in the three months ending September 30, 2015. At July 17, 2015 we had paid $280 million to eligible claimants under the Program since its inception.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Brazil Excise Tax Incentive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June 30, 2015 we believe it is reasonably assured that the program requirements will be met.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Korea Fuel Economy Certification</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2014 we determined the certified fuel economy ratings on our Cruze 1.8L gasoline vehicles sold in Korea were incorrect. We retested and recertified the Cruze fuel economy ratings which fell below our prior certification and self-reported this issue to local government authorities. We voluntarily announced a customer compensation program for current and previous Cruze owners and recorded an insignificant charge in the three months ended December 31, 2014.</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November 2014 the Korean government released new fuel economy certification guidelines. Since then, in accordance with the new guidelines, we have completed retesting and recertification of the Chevrolet Captiva 2.0L and 2.2L diesel vehicles. We continue to review the impact the new testing guidelines may have on the domestic fuel economy certification ratings of our products.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 Tavera Emissions Compliance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2013 we determined there was an emissions compliance issue with certain Tavera models produced in India. We self-reported this issue in the three months ended September 30, 2013 to local government authorities and are continuing to cooperate. We developed a solution, and while the issue was not safety related, we voluntarily recalled the vehicles to serve our customers. We believe our accrual at June 30, 2015 is adequate to cover the estimated costs of the recalled vehicles.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2015 income tax expense of $577 million resulted from tax expense attributable to entities included in our effective tax rate calculation of $793 million, partially offset by net favorable discrete adjustments related to uncertain tax positions and other items. In the three months ended June 30, 2014 income tax benefit of $254 million primarily resulted from tax benefit attributable to entities included in our effective tax rate calculation.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2015 income tax expense of $1.1 billion resulted from tax expense attributable to entities included in our effective tax rate calculation of $1.3 billion, partially offset by net favorable discrete adjustments related to uncertain tax positions and other items. In the six months ended June 30, 2014 income tax benefit of $478 million primarily resulted from tax benefit attributable to entities included in our effective tax rate calculation and deductions taken for stock investments in non-US affiliates.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June 30, 2015 we had $33.4 billion of net deferred tax assets consisting of: (1) net operating losses and income tax credits; (2) capitalized research expenditures; and (3) other timing differences that are available to offset future income tax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and Other Initiatives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tables summarize the reserves related to restructuring and other initiatives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GMIO</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GMSA</w:t>
            </w:r>
          </w:p>
        </w:tc>
        <w:tc>
          <w:tcPr>
            <w:tcW w:w="26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184</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163</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GMIO</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GMSA</w:t>
            </w:r>
          </w:p>
        </w:tc>
        <w:tc>
          <w:tcPr>
            <w:tcW w:w="26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2014</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2014(a)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$353 million and $354 million at June 30, 2015 and 2014 for GMNA, primarily relate to postemployment benefits to be paid.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2015</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Restructuring and other initiatives related primarily to: (1) the change in our business model in Russia described below; and (2) separation and other programs in Australia, Korea, Thailand and Indonesia and the withdrawal of the Chevrolet brand from Europe which had a total cost since inception of $605 million and affected a total of approximately 4,300 employees at GMIO through June 30, 2015. We expect to complete these programs in GMIO in 2017 and incur additional restructuring and other charges of approximately $200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2014</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Restructuring and other initiatives related primarily to: (1) the termination of all vehicle and transmission production at our Bochum, Germany facility in 2014 which had a total cost since inception of $553 million through June 30, 2014; (2) separation programs in Australia and Korea and programs related to the withdrawal of the Chevrolet brand from Europe which had a total cost since inception of $390 million and affected a total of approximately 3,350 employees at GMIO through June 30, 2014; and (3) separation programs in Brazil and Venezuela which had a total cost since inception of $159 million at GMSA through June 30,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Business Model in Russia</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March 2015 we announced plans to change our business model in Russia and will cease manufacturing, eliminate Opel brand distribution and reduce Chevrolet brand distribution by the end of 2015. This decision impacts 300 dealers and distributors and 1,130 employees. As a result we recorded pre-tax charges of $443 million at GME and GMIO in the six months ended June 30, 2015, net of noncontrolling interests of $54 million. These charges included dealer restructuring and other contract cancellation costs of $112 million and employee severance costs of $13 million which are reflected in the table above. The remaining charges for cumulative translation adjustment associated with the substantial liquidation of certain legal entities and other of $181 million, sales incentives and inventory related costs of $137 million and asset impairment charges of $54 million are not included in the table above. We may incur additional charges for exit costs of up to $100 million through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jc w:val="both"/>
        <w:ind w:right="20" w:firstLine="162"/>
        <w:spacing w:after="0" w:line="259"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1.6 billion shares of common stock issued and outstanding at June 30, 2015 and December 31, 2014. In December 2014 we redeemed all of the remaining outstanding shares of our Series A preferred stock. In the six months ended June 30, 2015 we purchased 55 million shares of our outstanding common stock for $2.0 billion as part of the common stock repurchase program announced in March 2015.</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dividends paid on our preferred and common stock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June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2"/>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58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962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2"/>
              </w:rPr>
              <w:t>June 30, 2014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Other comprehensive income (loss) before reclassification adjustment, net of</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tax(a)</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Reclassification adjustment, net of tax(a)(b)</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w w:val="92"/>
              </w:rPr>
              <w:t>Other comprehensive income (loss) attributable to noncontrolling interests, net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Unrealized Gains and Losses on Securities, Net</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6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w w:val="97"/>
              </w:rPr>
              <w:t>Other comprehensive income (loss) before reclassification adjustment, net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tax(a)</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 net of tax(a)</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Defined Benefit Plans, Net</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6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w w:val="90"/>
              </w:rPr>
              <w:t>Other comprehensive loss before reclassification adjustment – prior service cost or</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credit, net of tax(a)</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Other comprehensive income (loss) before reclassification adjustment – actuarial</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 or losses, net of tax(a)</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w w:val="93"/>
              </w:rPr>
              <w:t>Other comprehensive income (loss) before reclassification adjustment, net of tax</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 – prior service cost or credit, net of tax(a)(c)</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Reclassification adjustment – actuarial losses, net of tax(a)(c)</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 net of tax(a)</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5390"/>
              <w:spacing w:after="0"/>
              <w:rPr>
                <w:sz w:val="20"/>
                <w:szCs w:val="20"/>
                <w:color w:val="auto"/>
              </w:rPr>
            </w:pPr>
            <w:r>
              <w:rPr>
                <w:rFonts w:ascii="Arial" w:cs="Arial" w:eastAsia="Arial" w:hAnsi="Arial"/>
                <w:sz w:val="16"/>
                <w:szCs w:val="16"/>
                <w:color w:val="auto"/>
                <w:w w:val="89"/>
              </w:rPr>
              <w:t>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six months ended June 30, 2015 and 2014.</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Related to the change of our business model in Russia. Included in Automotive cost of sales. Refer to Note 12 for additional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the computation of net periodic pension and OPEB (income) expense. Refer to Note 9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Basic and diluted earnings per share are computed by dividing Net income attributable to common stockholders by the weighted-average common shares outstanding in the period. Diluted earnings per share is computed by giving effect to all potentially dilutive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securities that are outstanding. The following table summarizes basic and diluted earnings per share (in millions, except for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w w:val="92"/>
              </w:rPr>
              <w:t>June 30, 2014</w:t>
            </w:r>
          </w:p>
        </w:tc>
      </w:tr>
      <w:tr>
        <w:trPr>
          <w:trHeight w:val="250"/>
        </w:trPr>
        <w:tc>
          <w:tcPr>
            <w:tcW w:w="20" w:type="dxa"/>
            <w:vAlign w:val="bottom"/>
          </w:tcPr>
          <w:p>
            <w:pPr>
              <w:spacing w:after="0"/>
              <w:rPr>
                <w:sz w:val="21"/>
                <w:szCs w:val="21"/>
                <w:color w:val="auto"/>
              </w:rPr>
            </w:pPr>
          </w:p>
        </w:tc>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491</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cumulative dividends on Series A preferred stock(a)</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97"/>
        </w:trPr>
        <w:tc>
          <w:tcPr>
            <w:tcW w:w="20" w:type="dxa"/>
            <w:vAlign w:val="bottom"/>
          </w:tcPr>
          <w:p>
            <w:pPr>
              <w:spacing w:after="0"/>
              <w:rPr>
                <w:sz w:val="24"/>
                <w:szCs w:val="24"/>
                <w:color w:val="auto"/>
              </w:rPr>
            </w:pPr>
          </w:p>
        </w:tc>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r>
      <w:tr>
        <w:trPr>
          <w:trHeight w:val="109"/>
        </w:trPr>
        <w:tc>
          <w:tcPr>
            <w:tcW w:w="20" w:type="dxa"/>
            <w:vAlign w:val="bottom"/>
          </w:tcPr>
          <w:p>
            <w:pPr>
              <w:spacing w:after="0"/>
              <w:rPr>
                <w:sz w:val="9"/>
                <w:szCs w:val="9"/>
                <w:color w:val="auto"/>
              </w:rPr>
            </w:pPr>
          </w:p>
        </w:tc>
        <w:tc>
          <w:tcPr>
            <w:tcW w:w="6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1,598</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 –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Less: earnings adjustment for dilutive stock compensation rights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 –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Dilutive effect of warrants and restricted stock units (RSUs)</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1,689</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193"/>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________</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earned but undeclared dividends of $15 million on our Series A preferred stock in the three and six months ended June 30, 2014.</w:t>
      </w:r>
    </w:p>
    <w:p>
      <w:pPr>
        <w:spacing w:after="0" w:line="20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and six months ended June 30, 2015 and 2014 warrants to purchase 46 million shares were not included in the computation of diluted earnings per share because the warrants' exercise price was greater than the average market price of the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analyze the results of our business through the following segments: GMNA, GME, GMIO, GMSA and GM Financial. The chief operating decision maker evaluates the operating results and performance of our automotive segments through income before interest and income taxes, as adjusted for additional amounts, which is presented net of noncontrolling interests. The chief operating decision maker evaluates GM Financial through income before income taxes-adjusted because he/she believes interest income and interest expense are part of operating results when assessing and measuring the operational and financial performance of the segment.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8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Fleet sales are completed through the network of dealers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also have equity ownership stakes directly or indirectly in entities through various regional subsidiaries, primarily in Asia. These companies design, manufacture and market vehicles under the Baojun, Buick, Cadillac, Chevrolet, Jiefang and Wuling brands.</w:t>
      </w:r>
    </w:p>
    <w:p>
      <w:pPr>
        <w:spacing w:after="0" w:line="170"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Our automotive operations' interest income and interest expense are recorded centrally in Corporate. Corporate assets consist primarily of cash and cash equivalents, marketable securities and intercompany balances. All intersegment balances and transactions have been eliminated in consolidation.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June 30,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GMSA</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2,109</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36,670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38,180</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2,780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(144)</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2,648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2,871</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41</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income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1,717</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(577)</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1,117</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89,684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11,126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21,081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8,269</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21,874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(19,836)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132,198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55,442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(1,828)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185,812</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24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2,170</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26" w:lineRule="exact"/>
        <w:rPr>
          <w:sz w:val="20"/>
          <w:szCs w:val="20"/>
          <w:color w:val="auto"/>
        </w:rPr>
      </w:pPr>
    </w:p>
    <w:p>
      <w:pPr>
        <w:jc w:val="both"/>
        <w:ind w:left="340" w:hanging="332"/>
        <w:spacing w:after="0" w:line="247"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Consists of costs related to the change in our business model in Russia of $17 million in GME; asset impairment charges of $297 million related to our Thailand subsidiaries in GMIO; Venezuela currency devaluation of $604 million and asset impairment charges of $116 million related to our Venezuela subsidiaries in GMSA; a charge related to the ignition switch recall compensation program of $75 million in Corporate; and other of $1 million.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June 30,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GMSA</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25,671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3,177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38,462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39,649</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1,385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315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(81)</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1,094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1,351</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52</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income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benefit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254</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278</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97,777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12,289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11,068</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28,458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(34,195)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138,387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42,537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(1,826)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179,098</w:t>
            </w:r>
          </w:p>
        </w:tc>
      </w:tr>
      <w:tr>
        <w:trPr>
          <w:trHeight w:val="164"/>
        </w:trPr>
        <w:tc>
          <w:tcPr>
            <w:tcW w:w="2420" w:type="dxa"/>
            <w:vAlign w:val="bottom"/>
          </w:tcPr>
          <w:p>
            <w:pPr>
              <w:ind w:left="4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0"/>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1,221</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104</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1,620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right="120" w:hanging="332"/>
        <w:spacing w:after="0" w:line="239"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Consists of a catch-up adjustment related to the change in estimate for recall campaigns of $874 million in GMNA; a charge related to the ignition switch recall compensation program of $400 million in Corporate; and other of $5 million.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For the Six Months Ended June 30,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51,157</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9,436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6,165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4,201</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71,034</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2,869</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73,892</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4,962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(284)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720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(358)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4,519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4,953</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(1,657)</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90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3,154</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(1,106)</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2,062</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0"/>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2,134</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526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3,088</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839</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3,927</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right="120" w:hanging="332"/>
        <w:spacing w:after="0" w:line="269"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Consists of net insurance recoveries related to flood damage of $29 million in GMNA; costs related to the change in our business model in Russia of $354 million in GME and $89 million in GMIO, which is net of noncontrolling interests; asset impairment charges of $297 million related to our Thailand subsidiaries in GMIO; Venezuela currency devaluation of $604 million and asset impairment charges of $116 million related to our Venezuela subsidiaries in GMSA; charges related to the ignition switch recall compensation program of $225 million in Corporate; and other of $1 million.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For the Six Months Ended June 30,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50,075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11,594</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6,832</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6,202</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74,777</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2,288</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77,057</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1,942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(589)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567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1,340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1,817</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105</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income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76</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benefit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478</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491</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0"/>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2,313</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3,051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3,426</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hanging="332"/>
        <w:spacing w:after="0" w:line="239"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Consists of a catch-up adjustment related to the change in estimate for recall campaigns of $874 million in GMNA; Venezuela currency devaluation of $419 million in GMSA; a charge related to the ignition switch recall compensation program of $400 million in Corporate; and other of $13 million.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the audited consolidated financial statements and notes thereto included in our 2014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Management uses EBIT-adjusted to review the operating results of our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 Examples of adjustments to EBIT and GM Financial's income before income taxes include certain impairment charges related to goodwill, other long-lived assets and investments; certain gains or losses on the settlement/extinguishment of obligations; and gains or losses on the sale of non-core investments. Refer to Note 15 to our condensed consolidated financial statements for our reconciliation of these non-GAAP measures to the most directly comparable financial measure under U.S. GAAP, Net income attributable to stockholders.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return on invested capital (ROIC) to review investment and capital allocation decisions. We define ROIC as EBIT-adjusted for the trailing four quarters divided by average net assets, which is considered to be the average equity balances adjusted for certain assets and liabilities during the same period.</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Management uses adjusted free cash flow to review the liquidity of our automotive operations. We measure adjusted free cash flow as cash flow from operations less capital expenditures adjusted for management actions, primarily related to strengthening our balance sheet, such as accrued interest on prepayments of debt and voluntary contributions to employee benefit plans. Refer to the “Liquidity and Capital Resources” section of MD&amp;A for our reconciliation of this non-GAAP measure to the most directly comparable financial measure under U.S. GAAP, Net cash provided by operating activities.</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calculation of these non-GAAP measures may not be comparable to similarly titled measures of other companies due to potential differences between companies in the method of calculation. As a result the use of these non-GAAP measures has limitations and should not be considered in isolation from, or as a substitute for, related U.S. GAAP measures.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Four Quarters Ended</w:t>
            </w:r>
          </w:p>
        </w:tc>
      </w:tr>
      <w:tr>
        <w:trPr>
          <w:trHeight w:val="264"/>
        </w:trPr>
        <w:tc>
          <w:tcPr>
            <w:tcW w:w="8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22"/>
                <w:szCs w:val="22"/>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41.5</w:t>
            </w: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28.0</w:t>
            </w: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fresh start accounting goodwill</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Less: Average net automotive income tax asset</w:t>
            </w:r>
          </w:p>
        </w:tc>
        <w:tc>
          <w:tcPr>
            <w:tcW w:w="2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(32.4)</w:t>
            </w: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ROIC average net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43.3</w:t>
            </w:r>
          </w:p>
        </w:tc>
      </w:tr>
      <w:tr>
        <w:trPr>
          <w:trHeight w:val="20"/>
        </w:trPr>
        <w:tc>
          <w:tcPr>
            <w:tcW w:w="8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09"/>
        </w:trPr>
        <w:tc>
          <w:tcPr>
            <w:tcW w:w="8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ROIC</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473"/>
        </w:trPr>
        <w:tc>
          <w:tcPr>
            <w:tcW w:w="8420" w:type="dxa"/>
            <w:vAlign w:val="bottom"/>
          </w:tcPr>
          <w:p>
            <w:pPr>
              <w:spacing w:after="0"/>
              <w:rPr>
                <w:sz w:val="20"/>
                <w:szCs w:val="20"/>
                <w:color w:val="auto"/>
              </w:rPr>
            </w:pPr>
            <w:r>
              <w:rPr>
                <w:rFonts w:ascii="Arial" w:cs="Arial" w:eastAsia="Arial" w:hAnsi="Arial"/>
                <w:sz w:val="18"/>
                <w:szCs w:val="18"/>
                <w:b w:val="1"/>
                <w:bCs w:val="1"/>
                <w:color w:val="auto"/>
              </w:rPr>
              <w:t>Overview</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strategic plan includes several major initiatives that we anticipate will help us achieve 9% to 10% margins on an EBIT-adjusted basis (EBIT-adjusted margins, calculated as EBIT-adjusted divided by Net sales and revenue) by early next decade: earn customers for life by developing a strong product pipeline, leading the industry in quality and safety and improving the customer ownership experience; lead in technology and innovation, including OnStar 4G LTE and connected car; build our brands, particularly the Cadillac brand in the U.S. and China; continue our growth in China; continue our growth of GM Financial into our full captive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automotive financing company; deliver core operating efficiencies by institutionalizing Operational Excellence; and execute our capital allocation strategy as described below.</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financial targets include expected improvement of overall company EBIT-adjusted and EBIT-adjusted margins in 2015 with forecasted consolidated EBIT-adjusted margins of 9% to 10% by the 2020s; adjusted automotive free cash flow is expected to be flat to slightly up in 2015 compared to 2014; expected consolidated ROIC of 20% plus; expected EBIT-adjusted margins of 10% in GMNA in 2016; an anticipated return to positive EBIT-adjusted in GME in 2016; expected sustained strong margins at our Automotive China JVs; and expected income before income taxes-adjusted for GM Financial to more than double from 2014 to 2018.</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Summary and Outlook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analyze the results of our automotive business through our four geographically-based segments: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GMNA</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Automotive industry volume has continued to grow in North America. In January 2015 we expected U.S. industry light vehicle sales for the calendar year to fall in a range of 16.5 - 17.0 million units. In the six months ended June 30, 2015 the seasonally-adjusted annual selling rate for light vehicles was at the top of our expected range at 17.0 million units. Based on our current cost structure, we continue to estimate GMNA’s breakeven point at the U.S. industry level to be in the range of 10 - 11 million units.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six months ended June 30, 2015 our U.S. retail vehicle sales increased at a rate approximately 1.2 percentage points less than industry sales.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market share for Buick, Cadillac and Chevrolet decreased, while GMC increased compared to the corresponding period in the prior year. Our total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 share decreased by 0.2 percentage points as a result of reduced sales to fleets. U.S. market share excluding fleet sales increased 0.1 percentage points.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ending December 31, 2015 we expect total market share to be flat compared to 2014, including a reduction in sales to fleet.</w:t>
      </w:r>
    </w:p>
    <w:p>
      <w:pPr>
        <w:spacing w:after="0" w:line="13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According to the J.D. Power 2015 U.S. Initial Quality study the Chevrolet Malibu, Equinox (tie), Silverado LD and Spark ranked the highest in their respective segments.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year ending December 31, 2015 we expect an increase in EBIT-adjusted and EBIT-adjusted margins over 2014.</w:t>
      </w:r>
    </w:p>
    <w:p>
      <w:pPr>
        <w:spacing w:after="0" w:line="22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UAW contract we entered into in September 2011 expires in September 2015. We consider our relationships with employees to be good, but a work stoppage for any reason could have a material adverse effect on our business. We have commenced negotiations with the UAW on a new contract.</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Automotive industry sales to retail and fleet customers began to improve in late 2013. As a result of moderate economic growth across Europe (excluding Russia) this trend continued in the six months ended June 30, 2015 with industry sales to retail and fleet customers of 9.1 million vehicles representing a 9.0% increase compared to the corresponding period in 2014. In Russia industry sales to retail and fleet customers decreased 36.5% to 0.8 million vehicles compared to the corresponding period in 2014.</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European operations are benefiting from this trend and continue to show signs of improvement underscored by further improvement in our Opel and Vauxhall market share in the six months ended June 30, 2015, which builds on our market share increases in 2013 and 2014.</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implement various strategic actions to strengthen our operations and increase our competitiveness. The key actions include investments in our product portfolio including the next generation Opel Astra and Corsa, a revised brand strategy and reducing material, development and production costs, including restructuring activities. The success of these actions will depend on a combination of our ability to execute and external macro-economic factors which are outside of our control.</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Economic and market conditions in Russia remain and are expected to continue to be very challenging for the foreseeable future. In addition we do not have appropriate localization levels for key vehicles built in Russia and we would need to make significant future capital investments in order to improve our localization levels to ensure our products are competitive in the Russian market. As a result of these conditions our Russia business model is not sustainable over the long term. In March 2015 we announced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plans to change our business model and will cease manufacturing, eliminate Opel brand distribution and minimize Chevrolet brand distribution in Russia by the end of 2015. Refer to Note 12 to our condensed consolidated financial statements for additional information related to the impact of the change in our business model in Russia.</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Despite the headwinds in Russia, we expect the European automotive industry to continue to moderately improve and we expect to have positive EBIT-adjusted in GME in 2016.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are addressing many of the challenges in our GMIO operations and continue to strategically assess the manner in which we operate in certain countries within GMIO. To address the significant industry, market share, pricing and foreign exchange pressures in the region, we continue to focus on product portfolio enhancements, manufacturing footprint rationalization, increased local sourcing of parts, cost structure reductions, as well as brand and dealer network improvements which we expect to favorably impact the region over the medium term. However with the significant reduction in wholesale volumes and forward pricing pressures in certain markets, we tested certain long-lived assets for impairment and additional testing may occur in the near term.</w:t>
      </w:r>
    </w:p>
    <w:p>
      <w:pPr>
        <w:spacing w:after="0" w:line="15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2013 we announced the withdrawal of the Chevrolet brand from Western and Central Europe and the ceasing of manufacturing and significant reduction of engineering operations in Australia by 2017 and incurred impairment and other charges in 2013, 2014 and 2015. We continue to work on a Southeast Asia transformation plan including the transition of our Indonesian operations to a national sales company and ceased vehicle production in Indonesia in the three months ended June 30, 2015. We are restructuring our Thailand operations to focus on our competitive strengths in trucks and sport utility vehicles (SUVs) given continued challenges in Thailand and several export markets and adverse movements in certain foreign currency exchange rates. We expect that our Thailand restructuring and strategic actions will position the company for long term sustained profitability. As a result of these strategic actions related to Thailand, we recorded impairment charges of $0.3 billion in Automotive cost of sales in the three months ended June 30, 2015, which was treated as an adjustment for EBIT-adjusted reporting purposes.</w:t>
      </w:r>
    </w:p>
    <w:p>
      <w:pPr>
        <w:spacing w:after="0" w:line="17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Determining whether long-lived assets need to be tested for impairment, whether recorded amounts are recoverable and the estimate of impairment and other charges, if any, is subject to significant uncertainty and highly dependent on finalization of our strategic assessments and associated financial forecasts.</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execute our plans and within the financial impact that we projected. As we continue to assess our performance throughout the region, additional restructuring and rationalization actions may be required and may have a material impact on our results of operations.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ending December 31, 2015 we expect an increase in EBIT-adjusted and EBIT-adjusted margins over 2014 including sustained profit at our Automotive China JVs.</w:t>
      </w:r>
    </w:p>
    <w:p>
      <w:pPr>
        <w:spacing w:after="0" w:line="17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China we are seeing a moderation of industry growth and pricing pressures higher than we initially anticipated due primarily to macro-economic volatility, softening consumer demand particularly in the commercial vehicle segment, increasing competition and other economic factors. As a result, we expect moderate industry growth and pricing pressure to continue, with industry growth expected to be low single digits for 2015 and carryover price reductions to be 2% - 3% higher than our historical experience. We have been proactively managing these challenges by optimizing mix and inventory levels and aggressively reducing costs. Despite the more challenging industry conditions, our Automotive China JVs generated $1.0 billion of equity income in the six months ended June 30, 2015, and we continue to expect an increase in vehicle sales driven by new vehicle launches and a full year of 2014 launches.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GMSA</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three months ended June 30, 2015 we changed the exchange rate used for remeasuring the net assets of our Venezuelan subsidiaries’ non-U.S. Dollar denominated monetary assets and liabilities to the Sistema Marginal de Divisas (SIMADI) rate from the Complementary System of Foreign Currency Administration (SICAD) rate. As a result we recorded devaluation charges of $0.6 billion. In addition we performed recoverability tests of certain assets, including our real and personal property assets, of our Venezuelan subsidiaries and recorded asset impairment charges of $0.1 billion. The devaluation and asset impairment charges were recorded in Automotive cost of sales in the three months ended June 30, 2015 and were treated as an adjustment for EBIT-adjusted reporting purposes. We continue to monitor developments in Venezuela to assess whether government restrictions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exchange rate controls when considered with the economic environment in Venezuela evolve such that we no longer maintain a controlling financial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the "GM South America" section of MD&amp;A for additional information.</w:t>
      </w:r>
    </w:p>
    <w:p>
      <w:pPr>
        <w:spacing w:after="0" w:line="21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During the six months ended June 30, 2015 the Brazilian automotive industry has been significantly impacted by the deterioration of the Brazilian Real, an economic slowdown and a lack of consumer confidence coupled with overcapacity. Brazilian automotive industry sales to retail and fleet customers were 1.3 million vehicles in the six months ended June 30, 2015, representing a 20.7% decrease compared to the corresponding period in 2014.</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formulated a plan to implement various actions in the region to strengthen our operations and increase our competitiveness. The key areas of the plan include optimizing our product portfolio in order to adjust vehicle prices to offset foreign exchange exposure and reducing material, development and production costs, including restructuring activities. The success of these actions will depend on a combination of our ability to execute and external macro-economic factors which are outside of our control. We believe the adverse economic conditions and their effect on the Brazilian automotive industry will continue through the end of 2015.</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Although we expect improved profitability as we progress through the second half of 2015 compared to the first half of 2015, our previous guidance of improved EBIT-adjusted and EBIT-adjusted margins for the year ending December 31, 2015 compared to 2014 is at risk.</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March 2015 management announced its plan to return all available free cash flow to stockholders while maintaining an investment-grade balance sheet. Management's capital allocation framework includes a combined cash and marketable securities balance target of $20 billion and plans to reinvest in the business at an average target ROIC rate of 20% or more. In connection with this plan we announced a program which authorized the initial purchase of $5 billion of our common stock that began in March 2015 and that we intend to conclude before the end of 2016. At July 21, 2015 we had purchased 58 million shares of our outstanding common stock for $2.1 billion. Also, in April 2015 we announced an increase in our quarterly common stock dividend from $0.30 per share to $0.36 per share effective in the three months ended June 30, 2015.</w:t>
      </w:r>
    </w:p>
    <w:p>
      <w:pPr>
        <w:spacing w:after="0" w:line="178"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Based on the ignition switch recall compensation program's claims experience we increased our accrual for the program by $150 million and $75 million in the three months ended March 31, 2015 and June 30, 2015. The increases to the accrual were recorded in Automotive selling, general and administrative expense and were treated as adjustments for EBIT-adjusted reporting purposes. Total charges recorded since inception of the compensation program were $625 million. It is possible that we could incur additional charges materially in excess of these amounts as a result of various legal proceedings and investigations relating to the ignition switch recalls announced in 2014. These recalls have led to various inquiries, investigations, subpoenas, requests for information and complaints from the U.S. Attorney's Office for the Southern District of New York, Congress, the SEC, Transport Canada and 50 state attorneys general. In addition these and other recalls have resulted in a number of claims and lawsuits. Refer to Note 10 to our condensed consolidated financial statements for additional information. Such lawsuits and investigations could in the future result in the imposition of damages, substantial fines, civil lawsuits and criminal penalties, interruptions of business, modification of business practices, equitable remedies and other sanctions against us or our personnel as well as significant legal and other costs. There can be no assurance as to how the resulting consequences, if any, may impact our business, reputation, consolidated financial condition, results of operations or cash flow. We cannot currently estimate the potential liability, damages or range of potential loss as a result of the legal proceedings and government investigations relating to the ignition switch recall.</w:t>
      </w:r>
    </w:p>
    <w:p>
      <w:pPr>
        <w:spacing w:after="0" w:line="16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At June 30, 2015 our European operating businesses had deferred tax asset valuation allowances of $4.5 billion. As a result of the 2014 changes in our European operating structure and improving financial performance in certain jurisdictions, we continue to experience positive evidence trends. To the extent these jurisdictions continue to generate profit and our 2016 and future longer-term forecasts show sustained profitability, our conclusion regarding the need for full valuation allowances could change, leading to the reversal of a significant portion of our valuation allowances for certain jurisdictions as early as the fourth quarter of 2015. If this occurs we will record a material tax benefit reflecting the reversal, which could result in a lower or negative effective tax rate for both the quarter and full year.</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Wholesale and Retail Vehicle Sales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market share. We do not currently export vehicles to Cuba, Iran, North Korea, Sudan and Syria. Accordingly these countries are excluded from industry sales data in the tables below and corresponding calculations of our market share.</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to our revenue from the sale of vehicles, which is the largest component of automotive Net sales and revenue. Wholesale vehicle sales exclude vehicles produced by joint ventures. We estimate our global breakeven point, excluding Automotive China JVs, to be approximately 5 million annual wholesale vehicle sales. In the six months ended June 30, 2015, 49.5% of our wholesale vehicle sales were generated outside the U.S. The following table summarizes total wholesale vehicle sales of new vehicles by automotive segment (vehicles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208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2015</w:t>
            </w:r>
          </w:p>
        </w:tc>
        <w:tc>
          <w:tcPr>
            <w:tcW w:w="208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2014</w:t>
            </w:r>
          </w:p>
        </w:tc>
        <w:tc>
          <w:tcPr>
            <w:tcW w:w="208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2015</w:t>
            </w:r>
          </w:p>
        </w:tc>
        <w:tc>
          <w:tcPr>
            <w:tcW w:w="198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GME</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GMSA</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3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the end customers based upon the good faith estimates of management, including fleets, does not correlate directly to the revenue we recognize during the period. However retail vehicle sales data is indicative of the underlying demand for our vehicles. Market share information is based primarily on retail vehicle sales volume. In countries where end customer data is not readily available other data sources, such as wholesale or forecast volumes, are used to estimate retail vehicle sales.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sold through the dealer registration channel. This sales channel consists primarily of dealer demonstrator, loaner and self-registered vehicles (primarily in Europe). These vehicles are not eligible to be sold as new vehicles after being registered by dealers. Certain fleet sales that are accounted for as operating leases are included in retail vehicle sales at the time of delivery to the daily rental car companies. The following table summarizes total industry retail sales, or estimated sales where retail sales volume is not available, of new vehicles and the related competitive position by geographic region (vehicles in thousands):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ind w:left="240"/>
              <w:spacing w:after="0"/>
              <w:rPr>
                <w:sz w:val="20"/>
                <w:szCs w:val="20"/>
                <w:color w:val="auto"/>
              </w:rPr>
            </w:pPr>
            <w:r>
              <w:rPr>
                <w:rFonts w:ascii="Arial" w:cs="Arial" w:eastAsia="Arial" w:hAnsi="Arial"/>
                <w:sz w:val="12"/>
                <w:szCs w:val="12"/>
                <w:b w:val="1"/>
                <w:bCs w:val="1"/>
                <w:color w:val="auto"/>
              </w:rPr>
              <w:t>Three Months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right"/>
              <w:ind w:right="189"/>
              <w:spacing w:after="0"/>
              <w:rPr>
                <w:sz w:val="20"/>
                <w:szCs w:val="20"/>
                <w:color w:val="auto"/>
              </w:rPr>
            </w:pPr>
            <w:r>
              <w:rPr>
                <w:rFonts w:ascii="Arial" w:cs="Arial" w:eastAsia="Arial" w:hAnsi="Arial"/>
                <w:sz w:val="12"/>
                <w:szCs w:val="12"/>
                <w:b w:val="1"/>
                <w:bCs w:val="1"/>
                <w:color w:val="auto"/>
              </w:rPr>
              <w:t>Six Months Ended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7"/>
              </w:rPr>
              <w:t>June 30, 2015</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June 30, 2014</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w w:val="87"/>
              </w:rPr>
              <w:t>June 30, 2015</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w w:val="84"/>
              </w:rPr>
              <w:t>June 30, 2014</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Market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Market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Market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89"/>
              <w:spacing w:after="0"/>
              <w:rPr>
                <w:sz w:val="20"/>
                <w:szCs w:val="20"/>
                <w:color w:val="auto"/>
              </w:rPr>
            </w:pPr>
            <w:r>
              <w:rPr>
                <w:rFonts w:ascii="Arial" w:cs="Arial" w:eastAsia="Arial" w:hAnsi="Arial"/>
                <w:sz w:val="12"/>
                <w:szCs w:val="12"/>
                <w:b w:val="1"/>
                <w:bCs w:val="1"/>
                <w:color w:val="auto"/>
              </w:rPr>
              <w:t>Market</w:t>
            </w:r>
          </w:p>
        </w:tc>
        <w:tc>
          <w:tcPr>
            <w:tcW w:w="0" w:type="dxa"/>
            <w:vAlign w:val="bottom"/>
          </w:tcPr>
          <w:p>
            <w:pPr>
              <w:spacing w:after="0"/>
              <w:rPr>
                <w:sz w:val="1"/>
                <w:szCs w:val="1"/>
                <w:color w:val="auto"/>
              </w:rPr>
            </w:pPr>
          </w:p>
        </w:tc>
      </w:tr>
      <w:tr>
        <w:trPr>
          <w:trHeight w:val="150"/>
        </w:trPr>
        <w:tc>
          <w:tcPr>
            <w:tcW w:w="218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Industry</w:t>
            </w: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GM</w:t>
            </w: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Share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Industry</w:t>
            </w:r>
          </w:p>
        </w:tc>
        <w:tc>
          <w:tcPr>
            <w:tcW w:w="780" w:type="dxa"/>
            <w:vAlign w:val="bottom"/>
            <w:gridSpan w:val="2"/>
          </w:tcPr>
          <w:p>
            <w:pPr>
              <w:ind w:left="240"/>
              <w:spacing w:after="0"/>
              <w:rPr>
                <w:sz w:val="20"/>
                <w:szCs w:val="20"/>
                <w:color w:val="auto"/>
              </w:rPr>
            </w:pPr>
            <w:r>
              <w:rPr>
                <w:rFonts w:ascii="Arial" w:cs="Arial" w:eastAsia="Arial" w:hAnsi="Arial"/>
                <w:sz w:val="12"/>
                <w:szCs w:val="12"/>
                <w:b w:val="1"/>
                <w:bCs w:val="1"/>
                <w:color w:val="auto"/>
              </w:rPr>
              <w:t>GM</w:t>
            </w: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3"/>
              </w:rPr>
              <w:t>Share</w:t>
            </w:r>
          </w:p>
        </w:tc>
        <w:tc>
          <w:tcPr>
            <w:tcW w:w="660" w:type="dxa"/>
            <w:vAlign w:val="bottom"/>
          </w:tcPr>
          <w:p>
            <w:pPr>
              <w:jc w:val="right"/>
              <w:ind w:right="49"/>
              <w:spacing w:after="0"/>
              <w:rPr>
                <w:sz w:val="20"/>
                <w:szCs w:val="20"/>
                <w:color w:val="auto"/>
              </w:rPr>
            </w:pPr>
            <w:r>
              <w:rPr>
                <w:rFonts w:ascii="Arial" w:cs="Arial" w:eastAsia="Arial" w:hAnsi="Arial"/>
                <w:sz w:val="12"/>
                <w:szCs w:val="12"/>
                <w:b w:val="1"/>
                <w:bCs w:val="1"/>
                <w:color w:val="auto"/>
              </w:rPr>
              <w:t>Industry</w:t>
            </w:r>
          </w:p>
        </w:tc>
        <w:tc>
          <w:tcPr>
            <w:tcW w:w="120" w:type="dxa"/>
            <w:vAlign w:val="bottom"/>
          </w:tcPr>
          <w:p>
            <w:pPr>
              <w:spacing w:after="0"/>
              <w:rPr>
                <w:sz w:val="13"/>
                <w:szCs w:val="13"/>
                <w:color w:val="auto"/>
              </w:rPr>
            </w:pPr>
          </w:p>
        </w:tc>
        <w:tc>
          <w:tcPr>
            <w:tcW w:w="660" w:type="dxa"/>
            <w:vAlign w:val="bottom"/>
            <w:gridSpan w:val="2"/>
          </w:tcPr>
          <w:p>
            <w:pPr>
              <w:ind w:left="160"/>
              <w:spacing w:after="0"/>
              <w:rPr>
                <w:sz w:val="20"/>
                <w:szCs w:val="20"/>
                <w:color w:val="auto"/>
              </w:rPr>
            </w:pPr>
            <w:r>
              <w:rPr>
                <w:rFonts w:ascii="Arial" w:cs="Arial" w:eastAsia="Arial" w:hAnsi="Arial"/>
                <w:sz w:val="12"/>
                <w:szCs w:val="12"/>
                <w:b w:val="1"/>
                <w:bCs w:val="1"/>
                <w:color w:val="auto"/>
              </w:rPr>
              <w:t>GM</w:t>
            </w: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Share</w:t>
            </w:r>
          </w:p>
        </w:tc>
        <w:tc>
          <w:tcPr>
            <w:tcW w:w="680" w:type="dxa"/>
            <w:vAlign w:val="bottom"/>
          </w:tcPr>
          <w:p>
            <w:pPr>
              <w:jc w:val="right"/>
              <w:ind w:right="49"/>
              <w:spacing w:after="0"/>
              <w:rPr>
                <w:sz w:val="20"/>
                <w:szCs w:val="20"/>
                <w:color w:val="auto"/>
              </w:rPr>
            </w:pPr>
            <w:r>
              <w:rPr>
                <w:rFonts w:ascii="Arial" w:cs="Arial" w:eastAsia="Arial" w:hAnsi="Arial"/>
                <w:sz w:val="12"/>
                <w:szCs w:val="12"/>
                <w:b w:val="1"/>
                <w:bCs w:val="1"/>
                <w:color w:val="auto"/>
              </w:rPr>
              <w:t>Industry</w:t>
            </w:r>
          </w:p>
        </w:tc>
        <w:tc>
          <w:tcPr>
            <w:tcW w:w="100" w:type="dxa"/>
            <w:vAlign w:val="bottom"/>
          </w:tcPr>
          <w:p>
            <w:pPr>
              <w:spacing w:after="0"/>
              <w:rPr>
                <w:sz w:val="13"/>
                <w:szCs w:val="13"/>
                <w:color w:val="auto"/>
              </w:rPr>
            </w:pPr>
          </w:p>
        </w:tc>
        <w:tc>
          <w:tcPr>
            <w:tcW w:w="660" w:type="dxa"/>
            <w:vAlign w:val="bottom"/>
            <w:gridSpan w:val="2"/>
          </w:tcPr>
          <w:p>
            <w:pPr>
              <w:ind w:left="180"/>
              <w:spacing w:after="0"/>
              <w:rPr>
                <w:sz w:val="20"/>
                <w:szCs w:val="20"/>
                <w:color w:val="auto"/>
              </w:rPr>
            </w:pPr>
            <w:r>
              <w:rPr>
                <w:rFonts w:ascii="Arial" w:cs="Arial" w:eastAsia="Arial" w:hAnsi="Arial"/>
                <w:sz w:val="12"/>
                <w:szCs w:val="12"/>
                <w:b w:val="1"/>
                <w:bCs w:val="1"/>
                <w:color w:val="auto"/>
              </w:rPr>
              <w:t>GM</w:t>
            </w:r>
          </w:p>
        </w:tc>
        <w:tc>
          <w:tcPr>
            <w:tcW w:w="720" w:type="dxa"/>
            <w:vAlign w:val="bottom"/>
          </w:tcPr>
          <w:p>
            <w:pPr>
              <w:jc w:val="right"/>
              <w:ind w:right="149"/>
              <w:spacing w:after="0"/>
              <w:rPr>
                <w:sz w:val="20"/>
                <w:szCs w:val="20"/>
                <w:color w:val="auto"/>
              </w:rPr>
            </w:pPr>
            <w:r>
              <w:rPr>
                <w:rFonts w:ascii="Arial" w:cs="Arial" w:eastAsia="Arial" w:hAnsi="Arial"/>
                <w:sz w:val="12"/>
                <w:szCs w:val="12"/>
                <w:b w:val="1"/>
                <w:bCs w:val="1"/>
                <w:color w:val="auto"/>
              </w:rPr>
              <w:t>Share</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 America</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4,662</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4,504</w:t>
            </w:r>
          </w:p>
        </w:tc>
        <w:tc>
          <w:tcPr>
            <w:tcW w:w="1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8,703</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8,320</w:t>
            </w:r>
          </w:p>
        </w:tc>
        <w:tc>
          <w:tcPr>
            <w:tcW w:w="66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1,456</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975</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1,744</w:t>
            </w:r>
          </w:p>
        </w:tc>
        <w:tc>
          <w:tcPr>
            <w:tcW w:w="120" w:type="dxa"/>
            <w:vAlign w:val="bottom"/>
            <w:vMerge w:val="restart"/>
            <w:shd w:val="clear" w:color="auto" w:fill="CCEEFF"/>
          </w:tcPr>
          <w:p>
            <w:pPr>
              <w:spacing w:after="0"/>
              <w:rPr>
                <w:sz w:val="17"/>
                <w:szCs w:val="17"/>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1,597</w:t>
            </w:r>
          </w:p>
        </w:tc>
        <w:tc>
          <w:tcPr>
            <w:tcW w:w="100" w:type="dxa"/>
            <w:vAlign w:val="bottom"/>
            <w:vMerge w:val="restart"/>
            <w:shd w:val="clear" w:color="auto" w:fill="CCEEFF"/>
          </w:tcPr>
          <w:p>
            <w:pPr>
              <w:spacing w:after="0"/>
              <w:rPr>
                <w:sz w:val="17"/>
                <w:szCs w:val="17"/>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85"/>
        </w:trPr>
        <w:tc>
          <w:tcPr>
            <w:tcW w:w="218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 North America</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5,637</w:t>
            </w:r>
          </w:p>
        </w:tc>
        <w:tc>
          <w:tcPr>
            <w:tcW w:w="120" w:type="dxa"/>
            <w:vAlign w:val="bottom"/>
          </w:tcPr>
          <w:p>
            <w:pPr>
              <w:spacing w:after="0"/>
              <w:rPr>
                <w:sz w:val="14"/>
                <w:szCs w:val="14"/>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965</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5,399</w:t>
            </w:r>
          </w:p>
        </w:tc>
        <w:tc>
          <w:tcPr>
            <w:tcW w:w="100" w:type="dxa"/>
            <w:vAlign w:val="bottom"/>
          </w:tcPr>
          <w:p>
            <w:pPr>
              <w:spacing w:after="0"/>
              <w:rPr>
                <w:sz w:val="14"/>
                <w:szCs w:val="14"/>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930</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4"/>
                <w:szCs w:val="14"/>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10,447</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1,755</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9,917</w:t>
            </w:r>
          </w:p>
        </w:tc>
        <w:tc>
          <w:tcPr>
            <w:tcW w:w="66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1,674</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Europe</w:t>
            </w: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United Kingdom</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1,589</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1,462</w:t>
            </w:r>
          </w:p>
        </w:tc>
        <w:tc>
          <w:tcPr>
            <w:tcW w:w="66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Germany</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947</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1,780</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1,692</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3,372</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3,321</w:t>
            </w:r>
          </w:p>
        </w:tc>
        <w:tc>
          <w:tcPr>
            <w:tcW w:w="1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6,502</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6,421</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74"/>
        </w:trPr>
        <w:tc>
          <w:tcPr>
            <w:tcW w:w="218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Europe</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5,064</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9,871</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9,575</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18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Asia/Pacific, Middle East and</w:t>
            </w: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180" w:type="dxa"/>
            <w:vAlign w:val="bottom"/>
          </w:tcPr>
          <w:p>
            <w:pPr>
              <w:jc w:val="center"/>
              <w:ind w:right="1328"/>
              <w:spacing w:after="0"/>
              <w:rPr>
                <w:sz w:val="20"/>
                <w:szCs w:val="20"/>
                <w:color w:val="auto"/>
              </w:rPr>
            </w:pPr>
            <w:r>
              <w:rPr>
                <w:rFonts w:ascii="Arial" w:cs="Arial" w:eastAsia="Arial" w:hAnsi="Arial"/>
                <w:sz w:val="14"/>
                <w:szCs w:val="14"/>
                <w:b w:val="1"/>
                <w:bCs w:val="1"/>
                <w:color w:val="auto"/>
                <w:w w:val="95"/>
              </w:rPr>
              <w:t>Africa</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China(a)</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5,860</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5,935</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12,102</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1,762</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11,943</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1,731</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4,487</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4,557</w:t>
            </w:r>
          </w:p>
        </w:tc>
        <w:tc>
          <w:tcPr>
            <w:tcW w:w="1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9,523</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9,767</w:t>
            </w:r>
          </w:p>
        </w:tc>
        <w:tc>
          <w:tcPr>
            <w:tcW w:w="66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18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Asia/Pacific, Middle East and</w:t>
            </w: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jc w:val="center"/>
              <w:ind w:right="1348"/>
              <w:spacing w:after="0"/>
              <w:rPr>
                <w:sz w:val="20"/>
                <w:szCs w:val="20"/>
                <w:color w:val="auto"/>
              </w:rPr>
            </w:pPr>
            <w:r>
              <w:rPr>
                <w:rFonts w:ascii="Arial" w:cs="Arial" w:eastAsia="Arial" w:hAnsi="Arial"/>
                <w:sz w:val="14"/>
                <w:szCs w:val="14"/>
                <w:color w:val="auto"/>
              </w:rPr>
              <w:t>Africa</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10,347</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10,492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21,625</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2,160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21,710</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2,149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South America</w:t>
            </w: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1,319</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1,663</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791</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915</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74"/>
        </w:trPr>
        <w:tc>
          <w:tcPr>
            <w:tcW w:w="218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South America</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2,110</w:t>
            </w: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2,578</w:t>
            </w:r>
          </w:p>
        </w:tc>
        <w:tc>
          <w:tcPr>
            <w:tcW w:w="100" w:type="dxa"/>
            <w:vAlign w:val="bottom"/>
            <w:vMerge w:val="restart"/>
            <w:shd w:val="clear" w:color="auto" w:fill="CCEEFF"/>
          </w:tcPr>
          <w:p>
            <w:pPr>
              <w:spacing w:after="0"/>
              <w:rPr>
                <w:sz w:val="15"/>
                <w:szCs w:val="15"/>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85"/>
        </w:trPr>
        <w:tc>
          <w:tcPr>
            <w:tcW w:w="218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 Worldwide</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22,084</w:t>
            </w:r>
          </w:p>
        </w:tc>
        <w:tc>
          <w:tcPr>
            <w:tcW w:w="120" w:type="dxa"/>
            <w:vAlign w:val="bottom"/>
          </w:tcPr>
          <w:p>
            <w:pPr>
              <w:spacing w:after="0"/>
              <w:rPr>
                <w:sz w:val="14"/>
                <w:szCs w:val="14"/>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2,462</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22,089</w:t>
            </w:r>
          </w:p>
        </w:tc>
        <w:tc>
          <w:tcPr>
            <w:tcW w:w="100" w:type="dxa"/>
            <w:vAlign w:val="bottom"/>
          </w:tcPr>
          <w:p>
            <w:pPr>
              <w:spacing w:after="0"/>
              <w:rPr>
                <w:sz w:val="14"/>
                <w:szCs w:val="14"/>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2,506</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4"/>
                <w:szCs w:val="14"/>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44,053</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4,861</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43,780</w:t>
            </w:r>
          </w:p>
        </w:tc>
        <w:tc>
          <w:tcPr>
            <w:tcW w:w="66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4,922</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06"/>
        </w:trPr>
        <w:tc>
          <w:tcPr>
            <w:tcW w:w="2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United States</w:t>
            </w: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Cars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2,058</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3,854</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3,885</w:t>
            </w:r>
          </w:p>
        </w:tc>
        <w:tc>
          <w:tcPr>
            <w:tcW w:w="660" w:type="dxa"/>
            <w:vAlign w:val="bottom"/>
            <w:gridSpan w:val="2"/>
          </w:tcPr>
          <w:p>
            <w:pPr>
              <w:jc w:val="right"/>
              <w:ind w:right="50"/>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Trucks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1,307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2,443</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587</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2,265</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Crossovers</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1,297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1,149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2,406</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429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2,170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376</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United States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4,662</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4,504</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8,703</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1,506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8,320</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China</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18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SGMS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SGMW and FAW-GM</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457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977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911</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China</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5,860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5,935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12,102</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1,762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11,943</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1,731</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jc w:val="center"/>
              <w:ind w:right="1288"/>
              <w:spacing w:after="0"/>
              <w:rPr>
                <w:sz w:val="20"/>
                <w:szCs w:val="20"/>
                <w:color w:val="auto"/>
              </w:rPr>
            </w:pPr>
            <w:r>
              <w:rPr>
                <w:rFonts w:ascii="Arial" w:cs="Arial" w:eastAsia="Arial" w:hAnsi="Arial"/>
                <w:sz w:val="16"/>
                <w:szCs w:val="16"/>
                <w:color w:val="auto"/>
                <w:w w:val="92"/>
              </w:rPr>
              <w:t>__________</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hanging="332"/>
        <w:spacing w:after="0" w:line="254"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China sales include the Automotive China JVs SAIC General Motors Sales Co., Ltd. (SGMS), SAIC-GM-Wuling Automobile Co., Ltd. (SGMW) and FAW-GM Light Duty Commercial Vehicle Co., Ltd. (FAW-GM). End user data is not readily available for the industry; therefore, wholesale volumes were used for Industry, GM and Market Share. Our retail sales in China were 757 and 768 in the three months ended June 30, 2015 and 2014 and 1,719 and 1,647 in the six months ended June 30, 2015 and 2014.</w:t>
      </w:r>
    </w:p>
    <w:p>
      <w:pPr>
        <w:spacing w:after="0" w:line="11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2015 we estimate we had the largest market share in North America and South America, the number two market share in the Asia/Pacific, Middle East and Africa region and the number seven market share in Europe.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 Summary and Outlook</w:t>
      </w:r>
    </w:p>
    <w:p>
      <w:pPr>
        <w:spacing w:after="0" w:line="239" w:lineRule="exact"/>
        <w:rPr>
          <w:sz w:val="20"/>
          <w:szCs w:val="20"/>
          <w:color w:val="auto"/>
        </w:rPr>
      </w:pPr>
    </w:p>
    <w:p>
      <w:pPr>
        <w:jc w:val="both"/>
        <w:ind w:firstLine="162"/>
        <w:spacing w:after="0" w:line="329" w:lineRule="auto"/>
        <w:rPr>
          <w:sz w:val="20"/>
          <w:szCs w:val="20"/>
          <w:color w:val="auto"/>
        </w:rPr>
      </w:pPr>
      <w:r>
        <w:rPr>
          <w:rFonts w:ascii="Arial" w:cs="Arial" w:eastAsia="Arial" w:hAnsi="Arial"/>
          <w:sz w:val="16"/>
          <w:szCs w:val="16"/>
          <w:color w:val="auto"/>
        </w:rPr>
        <w:t>GM Financial is expanding its leasing, near prime and prime lending programs in North America and anticipates that leasing and prime lending will become an increasing percentage of the originations and consumer portfolio balance over time. We believe that offering a comprehensive suite of financing products will generate incremental sales of our vehicles, drive incremental GM Financial earnings and help support our sales throughout economic cycles.</w:t>
      </w:r>
    </w:p>
    <w:p>
      <w:pPr>
        <w:spacing w:after="0" w:line="13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2015 GM Financial became our exclusive U.S. lease provider for Buick-GMC dealers. Our exclusive leasing arrangements with GM Financial extended to Cadillac dealers in March 2015 and to Chevrolet dealers in April 2015. As a result GM Financial now provides substantially all of the financing on vehicles leased by our customers.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completed the acquisitions of Ally Financial's automotive finance and financial services businesses in Europe and Latin America during 2013. On January 2, 2015 GM Financial completed its acquisition of Ally Financial's 40% equity interest</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41"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SAIC-GMAC in China for $1.0 billion. Also on January 2, 2015 GM Financial sold a 5% equity interest in SAIC-GMAC to SAICFC, a current shareholder of SAIC-GMAC, for proceeds of $125 million. As a result of these transactions GM indirectly owns 45% of SAIC-GMAC.</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year ending December 31, 2015 we expect income before income taxes-adjusted to remain consistent with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810</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36,670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38,462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38,180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39,649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20" w:type="dxa"/>
            <w:vAlign w:val="bottom"/>
            <w:gridSpan w:val="4"/>
            <w:vMerge w:val="restart"/>
          </w:tcPr>
          <w:p>
            <w:pPr>
              <w:jc w:val="right"/>
              <w:ind w:right="61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1,082</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11,594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71,034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74,777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578</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73,892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77,057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the MD&amp;A for additional information.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 and Inventories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Favorable/</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Volume</w:t>
            </w:r>
          </w:p>
        </w:tc>
        <w:tc>
          <w:tcPr>
            <w:tcW w:w="320" w:type="dxa"/>
            <w:vAlign w:val="bottom"/>
          </w:tcPr>
          <w:p>
            <w:pPr>
              <w:spacing w:after="0"/>
              <w:rPr>
                <w:sz w:val="6"/>
                <w:szCs w:val="6"/>
                <w:color w:val="auto"/>
              </w:rPr>
            </w:pPr>
          </w:p>
        </w:tc>
        <w:tc>
          <w:tcPr>
            <w:tcW w:w="72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Mix</w:t>
            </w:r>
          </w:p>
        </w:tc>
        <w:tc>
          <w:tcPr>
            <w:tcW w:w="140" w:type="dxa"/>
            <w:vAlign w:val="bottom"/>
          </w:tcPr>
          <w:p>
            <w:pPr>
              <w:spacing w:after="0"/>
              <w:rPr>
                <w:sz w:val="6"/>
                <w:szCs w:val="6"/>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(Unfavorable)</w:t>
            </w:r>
          </w:p>
        </w:tc>
        <w:tc>
          <w:tcPr>
            <w:tcW w:w="110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left="435"/>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5,722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1,098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32,597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35,851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n.m. = not meaningful</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41"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Favorable/</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0"/>
              </w:rPr>
              <w:t>Volume</w:t>
            </w:r>
          </w:p>
        </w:tc>
        <w:tc>
          <w:tcPr>
            <w:tcW w:w="320" w:type="dxa"/>
            <w:vAlign w:val="bottom"/>
          </w:tcPr>
          <w:p>
            <w:pPr>
              <w:spacing w:after="0"/>
              <w:rPr>
                <w:sz w:val="6"/>
                <w:szCs w:val="6"/>
                <w:color w:val="auto"/>
              </w:rPr>
            </w:pPr>
          </w:p>
        </w:tc>
        <w:tc>
          <w:tcPr>
            <w:tcW w:w="72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Mix</w:t>
            </w:r>
          </w:p>
        </w:tc>
        <w:tc>
          <w:tcPr>
            <w:tcW w:w="140" w:type="dxa"/>
            <w:vAlign w:val="bottom"/>
          </w:tcPr>
          <w:p>
            <w:pPr>
              <w:spacing w:after="0"/>
              <w:rPr>
                <w:sz w:val="6"/>
                <w:szCs w:val="6"/>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(Unfavorable)</w:t>
            </w:r>
          </w:p>
        </w:tc>
        <w:tc>
          <w:tcPr>
            <w:tcW w:w="110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11,088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6,386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1,586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63,271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69,978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n.m. = not meaningful</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the MD&amp;A for additional information on volume and mix.</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In the three months ended June 30, 2015 favorable Other was due primarily to: (1) a decrease in recall campaign and courtesy transportation charges, including catch-up adjustment, of $1.6 billion; (2) favorable net foreign currency effect of $1.3 billion due primarily to the weakening of the Euro, Brazilian Real, Canadian Dollar, British Pound and Mexican Peso against the U.S. Dollar; partially offset by the Venezuela Bolivar Fuerte (BsF) devaluation in 2015;</w:t>
      </w:r>
    </w:p>
    <w:p>
      <w:pPr>
        <w:jc w:val="both"/>
        <w:ind w:firstLine="8"/>
        <w:spacing w:after="0" w:line="255" w:lineRule="auto"/>
        <w:tabs>
          <w:tab w:leader="none" w:pos="2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material and freight costs of $0.5 billion; and (4) separation charges related to the Bochum plant closing in GME of $0.2 billion in 2014; partially offset by (5) Thailand asset impairment charges of $0.3 billion; (6) costs related to the GMCL hourly pension plan curtailment and restructuring charges related to a voluntary separation program of $0.2 billion; and (7) Venezuela asset impairment charges of $0.1 billion.</w:t>
      </w:r>
    </w:p>
    <w:p>
      <w:pPr>
        <w:spacing w:after="0" w:line="19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2015 favorable Other was due primarily to: (1) favorable net foreign currency effect of $2.9 billion due primarily to the weakening of the Euro, Brazilian Real, Canadian Dollar, British Pound, Mexican Peso, Russian Ruble and Colombian Peso against the U.S. Dollar; partially offset by an increase in the BsF devaluation; (2) a decrease in recall campaign and courtesy transportation charges, including catch-up adjustment, of $2.8 billion; (3) decreased material and freight costs of $0.7 billion; and (4) separation charges related to the Bochum plant closing in GME of $0.3 billion in 2014; partially offset by (5) costs related to change in our business model in Russia of $0.3 billion; (6) Thailand asset impairment charges of $0.3 billion; (7) costs related to the GMCL hourly pension plan curtailment and restructuring charges related to a voluntary separation program of $0.2 billion; and (8) Venezuela asset impairment charges of $0.1 billion.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Inventories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Days on Hand</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June 30, 2014</w:t>
            </w:r>
          </w:p>
        </w:tc>
        <w:tc>
          <w:tcPr>
            <w:tcW w:w="200" w:type="dxa"/>
            <w:vAlign w:val="bottom"/>
          </w:tcPr>
          <w:p>
            <w:pPr>
              <w:spacing w:after="0"/>
              <w:rPr>
                <w:sz w:val="13"/>
                <w:szCs w:val="13"/>
                <w:color w:val="auto"/>
              </w:rPr>
            </w:pPr>
          </w:p>
        </w:tc>
        <w:tc>
          <w:tcPr>
            <w:tcW w:w="104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Increase/</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June 30, 2015</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June 30, 2014</w:t>
            </w:r>
          </w:p>
        </w:tc>
        <w:tc>
          <w:tcPr>
            <w:tcW w:w="124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(Decrease)</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(Dollars in millions)</w:t>
            </w: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GME</w:t>
            </w:r>
          </w:p>
        </w:tc>
        <w:tc>
          <w:tcPr>
            <w:tcW w:w="1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Borders>
              <w:right w:val="single" w:sz="8" w:color="auto"/>
            </w:tcBorders>
          </w:tcPr>
          <w:p>
            <w:pPr>
              <w:spacing w:after="0"/>
              <w:rPr>
                <w:sz w:val="21"/>
                <w:szCs w:val="21"/>
                <w:color w:val="auto"/>
              </w:rPr>
            </w:pP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GMSA</w:t>
            </w:r>
          </w:p>
        </w:tc>
        <w:tc>
          <w:tcPr>
            <w:tcW w:w="1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right w:val="single" w:sz="8" w:color="auto"/>
            </w:tcBorders>
          </w:tcPr>
          <w:p>
            <w:pPr>
              <w:spacing w:after="0"/>
              <w:rPr>
                <w:sz w:val="21"/>
                <w:szCs w:val="21"/>
                <w:color w:val="auto"/>
              </w:rPr>
            </w:pP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15,200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Days on hand is calculated as Inventories divided by Automotive cost of sales for the three months ended June 30 multiplied by 90.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2015</w:t>
            </w: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4"/>
              </w:rPr>
              <w:t>Favorable/</w:t>
            </w:r>
          </w:p>
        </w:tc>
        <w:tc>
          <w:tcPr>
            <w:tcW w:w="9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June 30, 2015</w:t>
            </w: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7"/>
              </w:rPr>
              <w:t>Favorable/</w:t>
            </w:r>
          </w:p>
        </w:tc>
        <w:tc>
          <w:tcPr>
            <w:tcW w:w="8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(Unfavorable)</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w:t>
            </w: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and administrative expense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2320" w:type="dxa"/>
            <w:vAlign w:val="bottom"/>
          </w:tcPr>
          <w:p>
            <w:pPr>
              <w:ind w:left="40"/>
              <w:spacing w:after="0"/>
              <w:rPr>
                <w:sz w:val="20"/>
                <w:szCs w:val="20"/>
                <w:color w:val="auto"/>
              </w:rPr>
            </w:pPr>
            <w:r>
              <w:rPr>
                <w:rFonts w:ascii="Arial" w:cs="Arial" w:eastAsia="Arial" w:hAnsi="Arial"/>
                <w:sz w:val="18"/>
                <w:szCs w:val="18"/>
                <w:color w:val="auto"/>
                <w:w w:val="92"/>
              </w:rPr>
              <w:t>Interest income and other non-</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0"/>
              <w:spacing w:after="0"/>
              <w:rPr>
                <w:sz w:val="20"/>
                <w:szCs w:val="20"/>
                <w:color w:val="auto"/>
              </w:rPr>
            </w:pPr>
            <w:r>
              <w:rPr>
                <w:rFonts w:ascii="Arial" w:cs="Arial" w:eastAsia="Arial" w:hAnsi="Arial"/>
                <w:sz w:val="18"/>
                <w:szCs w:val="18"/>
                <w:color w:val="auto"/>
              </w:rPr>
              <w:t>operating income, net</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0"/>
                <w:szCs w:val="20"/>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41"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2015 Automotive selling, general and administrative expense decreased due primarily to: (1) decreased expense related to the ignition switch recall compensation program of $0.3 billion; and (2) favorable foreign currency effect of $0.2 billion due primarily to the weakening of the Euro and Brazilian Real against the U.S. Dollar.</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2015 Automotive selling, general and administrative expense decreased due primarily to: (1) favorable foreign currency effect of $0.3 billion due primarily to the weakening of the Euro and Brazilian Real against the U.S. Dollar; and (2) decreased expense related to the ignition switch recall compensation program of $0.2 billion; partially offset by (3) costs related to the change in our business model in Russia of $0.1 billion; and (4) other insignificant unfavorable items of $0.2 billion.</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and six months ended June 30, 2015 Interest income and other non-operating income, net changed due to the foreign currency effect related to intercompany foreign currency denominated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4"/>
              </w:rPr>
              <w:t>June 30, 2015</w:t>
            </w:r>
          </w:p>
        </w:tc>
        <w:tc>
          <w:tcPr>
            <w:tcW w:w="260" w:type="dxa"/>
            <w:vAlign w:val="bottom"/>
          </w:tcPr>
          <w:p>
            <w:pPr>
              <w:spacing w:after="0"/>
              <w:rPr>
                <w:sz w:val="6"/>
                <w:szCs w:val="6"/>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June 30, 2014</w:t>
            </w: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Volume</w:t>
            </w:r>
          </w:p>
        </w:tc>
        <w:tc>
          <w:tcPr>
            <w:tcW w:w="28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26,481</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2,780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81"/>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878</w:t>
            </w: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60" w:type="dxa"/>
            <w:vAlign w:val="bottom"/>
            <w:gridSpan w:val="3"/>
            <w:vMerge w:val="restart"/>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vMerge w:val="restart"/>
          </w:tcPr>
          <w:p>
            <w:pPr>
              <w:jc w:val="right"/>
              <w:ind w:right="296"/>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4"/>
              </w:rPr>
              <w:t>June 30, 2015</w:t>
            </w:r>
          </w:p>
        </w:tc>
        <w:tc>
          <w:tcPr>
            <w:tcW w:w="260" w:type="dxa"/>
            <w:vAlign w:val="bottom"/>
          </w:tcPr>
          <w:p>
            <w:pPr>
              <w:spacing w:after="0"/>
              <w:rPr>
                <w:sz w:val="6"/>
                <w:szCs w:val="6"/>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June 30, 2014</w:t>
            </w: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Volume</w:t>
            </w:r>
          </w:p>
        </w:tc>
        <w:tc>
          <w:tcPr>
            <w:tcW w:w="28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51,157</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4,962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81"/>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1,707</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2015 Total net sales and revenue increased due primarily to: (1) increased wholesale volumes due to the Chevrolet Colorado, Cruze and Trax; partially offset by decreases in the Chevrolet Malibu; partially offset by (2) unfavorable pricing primarily related to carryover vehicles; (3) unfavorable mix due to the Chevrolet Cruze and Trax; partially offset by full-size SUVs and full-size pick-up trucks; and (4) unfavorable Other of $0.3 billion due primarily to unfavorable foreign currency effect related primarily to the weakening of the Canadian Dollar and Mexican Peso against the U.S. Dollar.</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six months ended June 30, 2015 Total net sales and revenue increased due primarily to: (1) increased wholesale volumes due to the Chevrolet Colorado, Trax and Impala; partially offset by decreases in the Chevrolet Malibu; (2) favorable mix due to full-size SUVs; partially offset by the Chevrolet Cruze and Impala; partially offset by (3) unfavorable pricing primarily related to carryover vehicles; and (4) unfavorable Other of $0.5 billion due primarily to unfavorable foreign currency effect related primarily to the weakening of the Canadian Dollar and Mexican Peso against the U.S. Dollar.</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2015 EBIT-adjusted increased due primarily to: (1) increased wholesale volumes; (2) favorable mix due to full-size SUVs and full-size pick-up trucks; partially offset by the Chevrolet Cruze and Trax; (3) favorable Other of $1.1 billion due primarily to a decrease in recall-related charges of $0.6 billion and decreased material and freight costs of $0.6 billion; partially offset by GMCL hourly pension plan curtailment and restructuring charges of $0.2 billion related to a voluntary separation program; partially offset by (4) unfavorable pricing primarily related to carryover vehicles.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41"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2015 EBIT-adjusted increased due primarily to: (1) increased wholesale volumes; (2) favorable mix; (3) favorable Other of $2.6 billion due primarily to a decrease in recall-related charges of $1.9 billion and decreased material and freight costs of $0.8 billion; partially offset by GMCL hourly pension plan curtailment and restructuring charges of $0.2 billion related to a voluntary separation program; partially offset by (4) unfavorable pricing primarily related to carryover vehicles.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Recall Campaigns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year ended December 31, 2014 we experienced a significant increase in the number of vehicles subject to recall in North America resulting in incremental charges for the estimated costs of parts and labor to repair these vehicles and courtesy transportation for certain recalls. There were approximately 36 million vehicles subject to recalls announced in the year ended December 31, 2014. This included approximately 10 million vehicles subject to multiple recalls and reflects the results of our ongoing comprehensive safety review, additional engineering analysis and our overall commitment to customer satisfaction. We expect to complete repairs on 75% of the vehicles under these recalls by the end of 2015.</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$2.4 billion in charges recorded for the approximately 29 million vehicles subject to recalls announced in the six months ended June 30, 2014 (vehicles in millions and dollars in billions):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Repair Issue</w:t>
            </w:r>
          </w:p>
        </w:tc>
        <w:tc>
          <w:tcPr>
            <w:tcW w:w="120" w:type="dxa"/>
            <w:vAlign w:val="bottom"/>
            <w:vMerge w:val="restart"/>
          </w:tcPr>
          <w:p>
            <w:pPr>
              <w:spacing w:after="0"/>
              <w:rPr>
                <w:sz w:val="14"/>
                <w:szCs w:val="14"/>
                <w:color w:val="auto"/>
              </w:rPr>
            </w:pPr>
          </w:p>
        </w:tc>
        <w:tc>
          <w:tcPr>
            <w:tcW w:w="604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Vehicle Makes (Model Years)</w:t>
            </w:r>
          </w:p>
        </w:tc>
        <w:tc>
          <w:tcPr>
            <w:tcW w:w="120" w:type="dxa"/>
            <w:vAlign w:val="bottom"/>
            <w:vMerge w:val="restart"/>
          </w:tcPr>
          <w:p>
            <w:pPr>
              <w:spacing w:after="0"/>
              <w:rPr>
                <w:sz w:val="14"/>
                <w:szCs w:val="14"/>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Vehicles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Charges</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228"/>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Ignition switch and ignition cylinder,</w:t>
            </w:r>
          </w:p>
        </w:tc>
        <w:tc>
          <w:tcPr>
            <w:tcW w:w="6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including courtesy transportation</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Certain Chevrolet, Pontiac &amp; Saturn (2003-2011)</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Electronic power steering</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Certain Chevrolet, Pontiac &amp; Saturn (2003-2010)</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Side mounted airbag connector</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Certain Chevrolet, Buick, GMC &amp; Saturn (2008-2013)</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Brake lamp wiring harness</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Certain Chevrolet, Pontiac &amp; Saturn (2004-2012)</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Front safety lap belt cables</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Certain Chevrolet, Buick, GMC &amp; Saturn (2009-2014)</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Shift cable</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Certain Chevrolet, Cadillac, Pontiac &amp; Saturn (2004-2014)</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Ignition keys</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Certain Chevrolet, Buick, Cadillac, Oldsmobile &amp; Pontiac (1997-2014)</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Various</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Various</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Based on the per vehicle part and labor cost, number of vehicles impacted and the expected number of vehicles to be repaired we believe the amounts recorded are adequate to cover the costs of these recall campaigns.</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are actively engaging customers and servicing vehicles affected by the ignition switch recalls announced in the three months ended March 31, 2014. We notified affected customers to schedule an appointment with their dealers as replacement parts are available. We began repairing vehicles in early April 2014 using parts that have undergone end-of-line quality inspection for performance of six critical operating parameters. We have produced sufficient parts to have the ability to repair all vehicles impacted by the ignition switch and ignition cylinder recalls. Through July 21, 2015 we had repaired approximately 66% of the 2.6 million vehicles initially subject to those ignition switch and ignition cylinder recalls.</w:t>
      </w:r>
    </w:p>
    <w:p>
      <w:pPr>
        <w:spacing w:after="0" w:line="17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activity for customer satisfaction campaigns, safety recalls, non-compliance recalls and special coverage in GMNA, including courtesy transportation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1,333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 to prior periods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1,151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 to prior periods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691</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3,478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Adjustments to prior periods in the three months ended June 30, 2015 related primarily to our change in estimate for previously sold vehicles. Adjustments to prior periods in the three months ended June 30, 2014 included the catch-up adjustment associated with the change in estimate for previously sold vehicles of $0.9 billion partially offset by adjustments of $0.2 billion for courtesy transportation and repair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4"/>
              </w:rPr>
              <w:t>June 30, 2015</w:t>
            </w:r>
          </w:p>
        </w:tc>
        <w:tc>
          <w:tcPr>
            <w:tcW w:w="260" w:type="dxa"/>
            <w:vAlign w:val="bottom"/>
          </w:tcPr>
          <w:p>
            <w:pPr>
              <w:spacing w:after="0"/>
              <w:rPr>
                <w:sz w:val="6"/>
                <w:szCs w:val="6"/>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June 30, 2014</w:t>
            </w: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4,987</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w:t>
            </w:r>
          </w:p>
        </w:tc>
        <w:tc>
          <w:tcPr>
            <w:tcW w:w="26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3"/>
            <w:vMerge w:val="restart"/>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4"/>
              </w:rPr>
              <w:t>June 30, 2015</w:t>
            </w:r>
          </w:p>
        </w:tc>
        <w:tc>
          <w:tcPr>
            <w:tcW w:w="260" w:type="dxa"/>
            <w:vAlign w:val="bottom"/>
          </w:tcPr>
          <w:p>
            <w:pPr>
              <w:spacing w:after="0"/>
              <w:rPr>
                <w:sz w:val="6"/>
                <w:szCs w:val="6"/>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June 30, 2014</w:t>
            </w: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9,436</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2015 Total net sales and revenue decreased due primarily to: (1) unfavorable mix due to increased sales of lower priced vehicles primarily the Astra and Corsa; and (2) unfavorable Other of $1.1 billion due primarily to foreign currency effect due to the weakening of the Euro, British Pound and Russian Ruble against the U.S. Dollar; partially offset by (3) favorable pricing primarily related to the recently launched next generation Corsa and Vivaro.</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six months ended June 30, 2015 Total net sales and revenue decreased due primarily to: (1) decreased net wholesale volumes associated with decreases across the Russian portfolio and lower demand for the Zafira across the region; partially offset by higher demand primarily for the Corsa, Mokka and Vivaro across the region; (2) unfavorable mix due to increased sales of lower priced vehicles primarily the Astra and Corsa; and (3) unfavorable Other of $1.9 billion due primarily to unfavorable foreign currency effect due to the weakening of the Euro, British Pound and Russian Ruble against the U.S. Dollar; partially offset by (4) favorable pricing primarily related to the recently launched next generation Corsa and Vivaro.</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June 30, 2015 EBIT (loss)-adjusted decreased due primarily to: (1) favorable pricing related to the recently launched next generation Corsa and Vivaro; and (2) flat Other due primarily to a net decrease of $0.2 billion of restructuring</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41"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related charges; offset by unfavorable material costs of $0.2 billion primarily related to next generation Corsa and Vivaro and unfavorable foreign currency effect of $0.1 billion.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2015 EBIT (loss)-adjusted decreased due primarily to: (1) favorable pricing related to the recently launched next generation Corsa and Vivaro; and (2) flat Other due primarily to a net decrease of $0.4 billion of restructuring related charges; offset by unfavorable material costs of $0.2 billion primarily related to next generation Corsa and Vivaro and unfavorable foreign currency effect of $0.2 billion; partially offset by (3) decreased wholesale volumes primarily in Russia.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and Wuling brands. We operate in the Chinese market through a number of joint ventures and maintaining good relations with our joint venture partners, which are affiliated with the Chinese government,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summarize certain key operational and financial data for the Automotive China JVs (dollars in millions, vehicles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w w:val="98"/>
              </w:rPr>
              <w:t>Six Months Ended</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10"/>
            <w:shd w:val="clear" w:color="auto" w:fill="CCEEFF"/>
          </w:tcPr>
          <w:p>
            <w:pPr>
              <w:ind w:left="40"/>
              <w:spacing w:after="0"/>
              <w:rPr>
                <w:sz w:val="20"/>
                <w:szCs w:val="20"/>
                <w:color w:val="auto"/>
              </w:rPr>
            </w:pPr>
            <w:r>
              <w:rPr>
                <w:rFonts w:ascii="Arial" w:cs="Arial" w:eastAsia="Arial" w:hAnsi="Arial"/>
                <w:sz w:val="18"/>
                <w:szCs w:val="18"/>
                <w:color w:val="auto"/>
              </w:rPr>
              <w:t>Wholesale vehicles including vehicles exported to markets outside of China</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10,236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21,208</w:t>
            </w:r>
          </w:p>
        </w:tc>
        <w:tc>
          <w:tcPr>
            <w:tcW w:w="560" w:type="dxa"/>
            <w:vAlign w:val="bottom"/>
            <w:gridSpan w:val="3"/>
          </w:tcPr>
          <w:p>
            <w:pPr>
              <w:jc w:val="right"/>
              <w:ind w:right="15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w w:val="94"/>
              </w:rPr>
              <w:t>21,030</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2,132</w:t>
            </w:r>
          </w:p>
        </w:tc>
        <w:tc>
          <w:tcPr>
            <w:tcW w:w="56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399"/>
        </w:trPr>
        <w:tc>
          <w:tcPr>
            <w:tcW w:w="2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4,877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6,176</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171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459"/>
        </w:trPr>
        <w:tc>
          <w:tcPr>
            <w:tcW w:w="4600" w:type="dxa"/>
            <w:vAlign w:val="bottom"/>
            <w:gridSpan w:val="4"/>
          </w:tcPr>
          <w:p>
            <w:pPr>
              <w:ind w:left="180"/>
              <w:spacing w:after="0"/>
              <w:rPr>
                <w:sz w:val="20"/>
                <w:szCs w:val="20"/>
                <w:color w:val="auto"/>
              </w:rPr>
            </w:pPr>
            <w:r>
              <w:rPr>
                <w:rFonts w:ascii="Arial" w:cs="Arial" w:eastAsia="Arial" w:hAnsi="Arial"/>
                <w:sz w:val="18"/>
                <w:szCs w:val="18"/>
                <w:b w:val="1"/>
                <w:bCs w:val="1"/>
                <w:i w:val="1"/>
                <w:iCs w:val="1"/>
                <w:color w:val="auto"/>
                <w:w w:val="94"/>
              </w:rPr>
              <w:t>GMIO Total Net Sales and Revenue and EBIT-Adjusted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vMerge w:val="restart"/>
          </w:tcPr>
          <w:p>
            <w:pPr>
              <w:jc w:val="center"/>
              <w:ind w:left="337"/>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6"/>
            <w:vMerge w:val="restart"/>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vMerge w:val="continue"/>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vMerge w:val="continue"/>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6"/>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4"/>
              </w:rPr>
              <w:t>June 30, 2015</w:t>
            </w:r>
          </w:p>
        </w:tc>
        <w:tc>
          <w:tcPr>
            <w:tcW w:w="14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June 30, 2014</w:t>
            </w:r>
          </w:p>
        </w:tc>
        <w:tc>
          <w:tcPr>
            <w:tcW w:w="16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Volume</w:t>
            </w:r>
          </w:p>
        </w:tc>
        <w:tc>
          <w:tcPr>
            <w:tcW w:w="180" w:type="dxa"/>
            <w:vAlign w:val="bottom"/>
          </w:tcPr>
          <w:p>
            <w:pPr>
              <w:spacing w:after="0"/>
              <w:rPr>
                <w:sz w:val="6"/>
                <w:szCs w:val="6"/>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Mix</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gridSpan w:val="3"/>
            <w:vMerge w:val="restart"/>
          </w:tcPr>
          <w:p>
            <w:pPr>
              <w:jc w:val="right"/>
              <w:ind w:right="156"/>
              <w:spacing w:after="0"/>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6"/>
                <w:szCs w:val="6"/>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3,053</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3,602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right w:val="single" w:sz="8" w:color="auto"/>
            </w:tcBorders>
            <w:gridSpan w:val="2"/>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w w:val="97"/>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349</w:t>
            </w:r>
          </w:p>
        </w:tc>
        <w:tc>
          <w:tcPr>
            <w:tcW w:w="780" w:type="dxa"/>
            <w:vAlign w:val="bottom"/>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10.8 %</w:t>
            </w:r>
          </w:p>
        </w:tc>
        <w:tc>
          <w:tcPr>
            <w:tcW w:w="160" w:type="dxa"/>
            <w:vAlign w:val="bottom"/>
            <w:tcBorders>
              <w:right w:val="single" w:sz="8" w:color="auto"/>
            </w:tcBorders>
            <w:gridSpan w:val="2"/>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141</w:t>
            </w:r>
          </w:p>
        </w:tc>
        <w:tc>
          <w:tcPr>
            <w:tcW w:w="78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vMerge w:val="restart"/>
          </w:tcPr>
          <w:p>
            <w:pPr>
              <w:jc w:val="center"/>
              <w:ind w:left="357"/>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6"/>
            <w:vMerge w:val="restart"/>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vMerge w:val="continue"/>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vMerge w:val="continue"/>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6"/>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4"/>
              </w:rPr>
              <w:t>June 30, 2015</w:t>
            </w:r>
          </w:p>
        </w:tc>
        <w:tc>
          <w:tcPr>
            <w:tcW w:w="14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June 30, 2014</w:t>
            </w:r>
          </w:p>
        </w:tc>
        <w:tc>
          <w:tcPr>
            <w:tcW w:w="16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Volume</w:t>
            </w:r>
          </w:p>
        </w:tc>
        <w:tc>
          <w:tcPr>
            <w:tcW w:w="180" w:type="dxa"/>
            <w:vAlign w:val="bottom"/>
          </w:tcPr>
          <w:p>
            <w:pPr>
              <w:spacing w:after="0"/>
              <w:rPr>
                <w:sz w:val="6"/>
                <w:szCs w:val="6"/>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Mix</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gridSpan w:val="3"/>
            <w:vMerge w:val="restart"/>
          </w:tcPr>
          <w:p>
            <w:pPr>
              <w:jc w:val="right"/>
              <w:ind w:right="156"/>
              <w:spacing w:after="0"/>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6"/>
                <w:szCs w:val="6"/>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6,165</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6,832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CEEFF"/>
              <w:right w:val="single" w:sz="8" w:color="auto"/>
            </w:tcBorders>
            <w:gridSpan w:val="2"/>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w w:val="97"/>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720</w:t>
            </w:r>
          </w:p>
        </w:tc>
        <w:tc>
          <w:tcPr>
            <w:tcW w:w="780" w:type="dxa"/>
            <w:vAlign w:val="bottom"/>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27.0 %</w:t>
            </w:r>
          </w:p>
        </w:tc>
        <w:tc>
          <w:tcPr>
            <w:tcW w:w="160" w:type="dxa"/>
            <w:vAlign w:val="bottom"/>
            <w:tcBorders>
              <w:right w:val="single" w:sz="8" w:color="auto"/>
            </w:tcBorders>
            <w:gridSpan w:val="2"/>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8"/>
              <w:spacing w:after="0"/>
              <w:rPr>
                <w:sz w:val="20"/>
                <w:szCs w:val="20"/>
                <w:color w:val="auto"/>
              </w:rPr>
            </w:pPr>
            <w:r>
              <w:rPr>
                <w:rFonts w:ascii="Arial" w:cs="Arial" w:eastAsia="Arial" w:hAnsi="Arial"/>
                <w:sz w:val="18"/>
                <w:szCs w:val="18"/>
                <w:color w:val="auto"/>
              </w:rPr>
              <w:t>0.1</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36"/>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w:t>
            </w:r>
          </w:p>
        </w:tc>
        <w:tc>
          <w:tcPr>
            <w:tcW w:w="7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reflected in Total net sales and revenue. The results of our joint ventures are recorded in Equity income.</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41"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2015 Total net sales and revenue decreased due primarily to: (1) decreased net wholesale volumes related primarily to the withdrawal of the Chevrolet brand from Europe and decreased sales of the Chevrolet Cruze in Australia, the Chevrolet Colorado and Spin in Southeast Asia and the Chevrolet Spark, Enjoy and Sail in India; partially offset by increased sales of full-size trucks as well as the Chevrolet Cruze in the Middle East; and (2) unfavorable Other of $0.4 billion due primarily to unfavorable foreign currency effect due to the weakening of the Australian Dollar, South African Rand and Korean Won against the U.S. Dollar of $0.2 billion and decreased sales of components, parts and accessories of $0.1 billion; partially offset by (3) favorable mix primarily in the Middle East due to a higher proportion of higher-priced full-size trucks and lower proportion of lower-priced vehicles, such as the Chevrolet Malibu.</w:t>
      </w:r>
    </w:p>
    <w:p>
      <w:pPr>
        <w:spacing w:after="0" w:line="18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six months ended June 30, 2015 Total net sales and revenue decreased due primarily to: (1) decreased net wholesale volumes related primarily to the withdrawal of the Chevrolet brand from Europe and decreased sales of Chevrolet vehicles in the Korea domestic market, the Chevrolet Cruze in Australia, the Chevrolet Colorado and Spin in Southeast Asia and the Chevrolet Spark, Enjoy and Sail in India; partially offset by increased sales of full-size trucks as well as the Chevrolet Cruze in the Middle East; and (2) unfavorable Other of $0.6 billion due primarily to unfavorable foreign currency effect due to the weakening of the Australian Dollar, South African Rand and Korean Won against the U.S. Dollar of $0.4 billion and decreased sales of components, parts and accessories of $0.2 billion; partially offset by (3) favorable mix primarily in the Middle East due to a higher proportion of higher-priced full-size trucks and lower proportion of lower-priced vehicles; and (4) favorable pricing due primarily to the sale of full-size trucks in the Middle East.</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June 30, 2015 EBIT-adjusted remained flat due primarily to: (1) favorable Other of $0.1 billion; offset by (2) lower wholesale volume.</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2015 EBIT-adjusted increased due primarily to: (1) favorable pricing and mix in the Middle East due primarily to sales of new full-size trucks; partially offset by (2) lower wholesale volumes.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Venezuelan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Venezuelan subsidiaries' functional currency is the U.S. Dollar because of the hyperinflationary status of the Venezuelan economy.</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Effective March 31, 2014 we changed the exchange rate for remeasuring our Venezuelan subsidiaries’ non-U.S. Dollar denominated monetary assets and liabilities from the Venezuela official exchange rate to the rate determined by an auction process conducted by Venezuela’s SICAD. The devaluation resulted in a charge of $0.4 billion recorded in Automotive cost of sales in the three months ended March 31, 2014 that was treated as an adjustment for EBIT-adjusted reporting purposes.</w:t>
      </w:r>
    </w:p>
    <w:p>
      <w:pPr>
        <w:spacing w:after="0" w:line="18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June 30, 2015 we changed the exchange rate for remeasuring these net assets from the SICAD rate to the SIMADI rate, which was BsF 198 to $1.00 at June 30, 2015. This devaluation resulted in a charge of $0.6 billion recorded in Automotive cost of sales in the three months ended June 30, 2015 that was treated as an adjustment for EBIT-adjusted reporting purposes. SIMADI is a third currency exchange mechanism announced by the Venezuelan government in 2015. It is an open system of supply and demand expected to be limited to a small percentage of total U.S. Dollar transactions using official mechanisms. We believe the SIMADI rate is the most representative rate to be used for remeasurement, because it is more reflective of economic reality in Venezuela and future transactions, including dividends, at the SICAD rate appear unlikely.</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Due to the adverse movements in the foreign currency exchange rate and the continued weakness in the Venezuelan market we performed recoverability tests of certain assets, including our real and personal property assets, in the three months ended June 30, 2015. As a result we recorded asset impairment charges of $0.1 billion in Automotive cost of sales, which were treated as an adjustment for EBIT-adjusted reporting purposes.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June 30, 2015 we continued to consolidate our Venezuelan subsidiaries because of recent developments, including participation in SICAD auctions in June 2015 and November 2014, settlements of preexisting debt in October and November 2014, execution of a labor agreement in November 2014 and vehicle production in the six months ended June 30, 2015. Additionally, we have the ability to continue vehicle production in a limited manner during the remainder of 2015. Absent ongoing vehicle production beyond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2015, our Venezuelan subsidiaries may require additional financial support beginning in 2016. At this time no decision has been made whether we will provide further financial support in 2016 if required. Despite the significant challenges in Venezuela, this market continues to be important to us. We will continue to monitor developments in Venezuela to assess whether government restrictions and exchange rate controls evolve such that we no longer maintain a controlling financial interest. If a determination is made in the future that we no longer maintain control we may incur a charge based on exchange rates at June 30, 2015 of up to $0.1 billion primarily related to unsecured U.S. Dollar denominated receivables from our Venezuelan subsidiaries recorded at other consolidated entities.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 and EBIT (Loss)-Adjusted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11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4"/>
              </w:rPr>
              <w:t>June 30, 2015</w:t>
            </w:r>
          </w:p>
        </w:tc>
        <w:tc>
          <w:tcPr>
            <w:tcW w:w="260" w:type="dxa"/>
            <w:vAlign w:val="bottom"/>
          </w:tcPr>
          <w:p>
            <w:pPr>
              <w:spacing w:after="0"/>
              <w:rPr>
                <w:sz w:val="6"/>
                <w:szCs w:val="6"/>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June 30, 2014</w:t>
            </w: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2,109</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(Vehicles in thousands)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40" w:type="dxa"/>
            <w:vAlign w:val="bottom"/>
            <w:gridSpan w:val="3"/>
            <w:vMerge w:val="restart"/>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4"/>
              </w:rPr>
              <w:t>June 30, 2015</w:t>
            </w:r>
          </w:p>
        </w:tc>
        <w:tc>
          <w:tcPr>
            <w:tcW w:w="260" w:type="dxa"/>
            <w:vAlign w:val="bottom"/>
          </w:tcPr>
          <w:p>
            <w:pPr>
              <w:spacing w:after="0"/>
              <w:rPr>
                <w:sz w:val="6"/>
                <w:szCs w:val="6"/>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June 30, 2014</w:t>
            </w: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4,201</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(Vehicles in thousands)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2015 Total net sales and revenue decreased due primarily to: (1) decreased wholesale volumes across the portfolios in Brazil, Chile and Colombia caused by difficult economic conditions; and (2) unfavorable Other of $0.5 billion due primarily to unfavorable foreign currency effect due to the weakening of all currencies across the region against the U.S. Dollar; partially offset by (3) favorable pricing due primarily to high inflation in Venezuela and Argentina.</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2015 Total net sales and revenue decreased due primarily to: (1) decreased wholesale volumes across the portfolios in Brazil, Chile and Colombia caused by difficult economic conditions; and (2) unfavorable Other of $1.0 billion due primarily to unfavorable foreign currency effect due to the weakening of all currencies across the region against the U.S. Dollar; partially offset by (3) favorable pricing due primarily to high inflation in Venezuela and Argentina; and (4) favorable product and country mix.</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2015 EBIT (loss)-adjusted increased due primarily to: (1) decreased wholesale volumes; (2) unfavorable product and country mix; and (3) unfavorable Other of $0.1 billion due to unfavorable fixed costs in the region; partially offset by (4) favorable pricing primarily due to high inflation in Venezuela and Argentina.</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six months ended June 30, 2015 EBIT (loss)-adjusted increased due primarily to: (1) decreased wholesale volumes; (2) unfavorable product and country mix; and (3) unfavorable Other of $0.3 billion primarily due to unfavorable foreign currency effect due to the weakening of all currencies across the region against the U.S. Dollar; partially offset by (4) favorable pricing primarily due to high inflation in Venezuela and Argentina.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3"/>
                <w:szCs w:val="13"/>
                <w:b w:val="1"/>
                <w:bCs w:val="1"/>
                <w:color w:val="auto"/>
              </w:rPr>
              <w:t>Three Months Ended</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3"/>
                <w:szCs w:val="13"/>
                <w:b w:val="1"/>
                <w:bCs w:val="1"/>
                <w:color w:val="auto"/>
              </w:rPr>
              <w:t>Six Months Ended</w:t>
            </w:r>
          </w:p>
        </w:tc>
        <w:tc>
          <w:tcPr>
            <w:tcW w:w="260" w:type="dxa"/>
            <w:vAlign w:val="bottom"/>
          </w:tcPr>
          <w:p>
            <w:pPr>
              <w:spacing w:after="0"/>
              <w:rPr>
                <w:sz w:val="15"/>
                <w:szCs w:val="15"/>
                <w:color w:val="auto"/>
              </w:rPr>
            </w:pPr>
          </w:p>
        </w:tc>
        <w:tc>
          <w:tcPr>
            <w:tcW w:w="1040" w:type="dxa"/>
            <w:vAlign w:val="bottom"/>
            <w:vMerge w:val="restart"/>
          </w:tcPr>
          <w:p>
            <w:pPr>
              <w:jc w:val="right"/>
              <w:ind w:right="391"/>
              <w:spacing w:after="0"/>
              <w:rPr>
                <w:sz w:val="20"/>
                <w:szCs w:val="20"/>
                <w:color w:val="auto"/>
              </w:rPr>
            </w:pPr>
            <w:r>
              <w:rPr>
                <w:rFonts w:ascii="Arial" w:cs="Arial" w:eastAsia="Arial" w:hAnsi="Arial"/>
                <w:sz w:val="13"/>
                <w:szCs w:val="13"/>
                <w:b w:val="1"/>
                <w:bCs w:val="1"/>
                <w:color w:val="auto"/>
                <w:w w:val="99"/>
              </w:rPr>
              <w:t>Increase/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89"/>
              </w:rPr>
              <w:t>June 30, 2015</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89"/>
              </w:rPr>
              <w:t>June 30, 2014</w:t>
            </w:r>
          </w:p>
        </w:tc>
        <w:tc>
          <w:tcPr>
            <w:tcW w:w="142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3"/>
                <w:szCs w:val="13"/>
                <w:b w:val="1"/>
                <w:bCs w:val="1"/>
                <w:color w:val="auto"/>
                <w:w w:val="97"/>
              </w:rPr>
              <w:t>Increase/(Decrease)</w:t>
            </w:r>
          </w:p>
        </w:tc>
        <w:tc>
          <w:tcPr>
            <w:tcW w:w="92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89"/>
              </w:rPr>
              <w:t>June 30, 2015</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89"/>
              </w:rPr>
              <w:t>June 30, 2014</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w w:val="90"/>
              </w:rPr>
              <w:t>(Decrease)</w:t>
            </w: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51"/>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8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1,515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1,191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324</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27.2 %</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2,869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2,288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581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25.4 %</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Provision for loan losses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113</w:t>
            </w:r>
          </w:p>
        </w:tc>
        <w:tc>
          <w:tcPr>
            <w:tcW w:w="5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28</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24.8 %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296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248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51"/>
              <w:spacing w:after="0"/>
              <w:rPr>
                <w:sz w:val="20"/>
                <w:szCs w:val="20"/>
                <w:color w:val="auto"/>
              </w:rPr>
            </w:pPr>
            <w:r>
              <w:rPr>
                <w:rFonts w:ascii="Arial" w:cs="Arial" w:eastAsia="Arial" w:hAnsi="Arial"/>
                <w:sz w:val="14"/>
                <w:szCs w:val="14"/>
                <w:color w:val="auto"/>
              </w:rPr>
              <w:t>48</w:t>
            </w:r>
          </w:p>
        </w:tc>
        <w:tc>
          <w:tcPr>
            <w:tcW w:w="740" w:type="dxa"/>
            <w:vAlign w:val="bottom"/>
          </w:tcPr>
          <w:p>
            <w:pPr>
              <w:jc w:val="right"/>
              <w:spacing w:after="0"/>
              <w:rPr>
                <w:sz w:val="20"/>
                <w:szCs w:val="20"/>
                <w:color w:val="auto"/>
              </w:rPr>
            </w:pPr>
            <w:r>
              <w:rPr>
                <w:rFonts w:ascii="Arial" w:cs="Arial" w:eastAsia="Arial" w:hAnsi="Arial"/>
                <w:sz w:val="14"/>
                <w:szCs w:val="14"/>
                <w:color w:val="auto"/>
              </w:rPr>
              <w:t>19.4 %</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258</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(33)</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439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479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(40)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8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(Dollars in billions)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debt outstanding</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42.1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31.3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10.8</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34.5 %</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40.3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30.3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33.0 %</w:t>
            </w:r>
          </w:p>
        </w:tc>
        <w:tc>
          <w:tcPr>
            <w:tcW w:w="0" w:type="dxa"/>
            <w:vAlign w:val="bottom"/>
          </w:tcPr>
          <w:p>
            <w:pPr>
              <w:spacing w:after="0"/>
              <w:rPr>
                <w:sz w:val="1"/>
                <w:szCs w:val="1"/>
                <w:color w:val="auto"/>
              </w:rPr>
            </w:pPr>
          </w:p>
        </w:tc>
      </w:tr>
      <w:tr>
        <w:trPr>
          <w:trHeight w:val="258"/>
        </w:trPr>
        <w:tc>
          <w:tcPr>
            <w:tcW w:w="2420" w:type="dxa"/>
            <w:vAlign w:val="bottom"/>
          </w:tcPr>
          <w:p>
            <w:pPr>
              <w:ind w:left="40"/>
              <w:spacing w:after="0"/>
              <w:rPr>
                <w:sz w:val="20"/>
                <w:szCs w:val="20"/>
                <w:color w:val="auto"/>
              </w:rPr>
            </w:pPr>
            <w:r>
              <w:rPr>
                <w:rFonts w:ascii="Arial" w:cs="Arial" w:eastAsia="Arial" w:hAnsi="Arial"/>
                <w:sz w:val="14"/>
                <w:szCs w:val="14"/>
                <w:color w:val="auto"/>
              </w:rPr>
              <w:t>Effective rate of interest paid</w:t>
            </w:r>
          </w:p>
        </w:tc>
        <w:tc>
          <w:tcPr>
            <w:tcW w:w="1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3.7%</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w:t>
            </w:r>
          </w:p>
        </w:tc>
        <w:tc>
          <w:tcPr>
            <w:tcW w:w="520" w:type="dxa"/>
            <w:vAlign w:val="bottom"/>
          </w:tcPr>
          <w:p>
            <w:pPr>
              <w:spacing w:after="0"/>
              <w:rPr>
                <w:sz w:val="22"/>
                <w:szCs w:val="22"/>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(0.8)%</w:t>
            </w: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260" w:type="dxa"/>
            <w:vAlign w:val="bottom"/>
          </w:tcPr>
          <w:p>
            <w:pPr>
              <w:spacing w:after="0"/>
              <w:rPr>
                <w:sz w:val="22"/>
                <w:szCs w:val="22"/>
                <w:color w:val="auto"/>
              </w:rPr>
            </w:pP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(0.5)%</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2015 GM Financial revenue increased due primarily to increased leased vehicle income of $0.4 billion due to a larger lease portfolio.</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2015 GM Financial revenue increased due primarily to increased leased vehicle income of $0.6 billion due to a larger lease portfolio.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Taxes-Adjusted</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2015 Income before income taxes-adjusted remained flat due primarily to: (1) increased revenue of $0.3 billion; offset by (2) increased leased vehicles expenses of $0.3 billion due to a larger lease portfolio.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six months ended June 30, 2015 Income before income taxes-adjusted remained flat due primarily to: (1) increased revenue of $0.6 billion; offset by</w:t>
      </w:r>
    </w:p>
    <w:p>
      <w:pPr>
        <w:spacing w:after="0" w:line="46" w:lineRule="exact"/>
        <w:rPr>
          <w:sz w:val="20"/>
          <w:szCs w:val="20"/>
          <w:color w:val="auto"/>
        </w:rPr>
      </w:pPr>
    </w:p>
    <w:p>
      <w:pPr>
        <w:ind w:firstLine="8"/>
        <w:spacing w:after="0" w:line="261" w:lineRule="auto"/>
        <w:tabs>
          <w:tab w:leader="none" w:pos="2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leased vehicles expenses of $0.5 billion due to a larger lease portfolio; and (3) increased interest expense of $0.1 billion due to an increase in average debt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84"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revolving credit facilities will be sufficient to meet our liquidity needs. We expect to have substantial cash requirements going forward which we plan to fund through total available liquidity and cash flows generated from operations. We also maintain access to the capital markets, which may provide an additional source of liquidity. Our future uses of cash, which may vary from time to time based on market conditions and other factors, are focused on three objectives: (1) reinvest in our business; (2) maintain an investment-grade balance sheet; and (3) return cash to stockholders. Our known future material uses of cash include, among other possible demands: (1) capital expenditures as well as payments for engineering and product development activities; (2) payments associated with previously announced vehicle recalls, the ignition switch recall compensation program and any other recall-related contingencies; (3) payments to service debt and other long-term obligations, including contributions to non-U.S. pension plans and U.S. non-qualified plans; (4) payments for previously announced restructuring activities;</w:t>
      </w:r>
    </w:p>
    <w:p>
      <w:pPr>
        <w:spacing w:after="0" w:line="1" w:lineRule="exact"/>
        <w:rPr>
          <w:sz w:val="20"/>
          <w:szCs w:val="20"/>
          <w:color w:val="auto"/>
        </w:rPr>
      </w:pPr>
    </w:p>
    <w:p>
      <w:pPr>
        <w:ind w:firstLine="8"/>
        <w:spacing w:after="0" w:line="261" w:lineRule="auto"/>
        <w:tabs>
          <w:tab w:leader="none" w:pos="2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 payments on our common stock that are declared by our Board of Directors; and (6) payments to purchase shares of our common stock under programs authorized by our Board of Directors.</w:t>
      </w:r>
    </w:p>
    <w:p>
      <w:pPr>
        <w:spacing w:after="0" w:line="18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2014 Form 10-K, some of which are outside our control. Macroeconomic conditions could limit our ability to successfully execute our business plans and therefore adversely affect our liquidity plans and compliance with certain covenants.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an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41"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March 2015 management announced its plan to return all available free cash flow to stockholders while maintaining an investment-grade balance sheet. Management's capital allocation framework includes a combined cash and marketable securities balance target of $20 billion and plans to reinvest in the business at an average target ROIC rate of 20% or more. In connection with this plan we announced a program which authorized the initial purchase of $5 billion of our common stock that began in March 2015 and that we intend to conclude before the end of 2016. At July 21, 2015 we had purchased 58 million shares of our outstanding common stock for $2.1 billion. Also, in April 2015 we announced an increase in our quarterly common stock dividend from $0.30 per share to $0.36 per share effective in the three months ended June 30, 2015.</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 Liquidity</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Total available liquidity includes cash, cash equivalents, marketable securities and funds available under credit facilities. The amount of available liquidity is subject to intra-month and seasonal fluctuations and includes balances held by various business units and subsidiaries worldwide that are needed to fund their operations.</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There have been no significant changes in the management of our liquidity including the allocation of our available liquidity, the composition of our portfolio and our investment guidelines since December 31, 2014. Refer to the “Liquidity and Capital Resources” section of MD&amp;A in our 2014 Form 10-K.</w:t>
      </w:r>
    </w:p>
    <w:p>
      <w:pPr>
        <w:spacing w:after="0" w:line="12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and to fund working capital needs at certain of our subsidiaries. The total size of our credit facilities was $12.6 billion at June 30, 2015 and December 31, 2014, which consisted principally of our two primary revolving credit facilities. We did not borrow against our primary facilities, but had amounts in use under the letter of credit sub-facility of $0.5 billion at June 30, 2015. GM Financial had access to the primary facilities but did not borrow against them.</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automotive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June 30, 2015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under credit facilities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available liquidity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purchase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change in available liquidity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automotive cash flows from operating, investing and financing activities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22"/>
                <w:szCs w:val="22"/>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Pension and OPEB activities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Equipment on operating leases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Undistributed earnings of nonconsolidated affiliates and gains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59" w:lineRule="auto"/>
        <w:rPr>
          <w:sz w:val="20"/>
          <w:szCs w:val="20"/>
          <w:color w:val="auto"/>
        </w:rPr>
      </w:pPr>
      <w:r>
        <w:rPr>
          <w:rFonts w:ascii="Arial" w:cs="Arial" w:eastAsia="Arial" w:hAnsi="Arial"/>
          <w:sz w:val="18"/>
          <w:szCs w:val="18"/>
          <w:color w:val="auto"/>
        </w:rPr>
        <w:t>In the six months ended June 30, 2015 the change in Working capital was related primarily to one extra weekly payment cycle to suppliers during the period compared with the corresponding period in 2014 partially offset by a decrease in accounts receivable. The change in Accrued liabilities and other liabilities and the change in Income taxes were due primarily to an increase in accruals related to announced recalls in the six months ended June 30, 2014. The change in Other was related primarily to changes in foreign currency remeasurements.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six months ended June 30, 2015 the change in Acquisitions and liquidations of marketable securities, net was due primarily to the rebalancing of our investment portfolio between marketable securities and cash and cash equivalents as part of liquidity management in the normal course of business.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2015 the change in cash flows from financing activities was due primarily to the purchase of common stock as part of the common stock repurchase program.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Free 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automotive adjusted free cash flow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June 30, 2014</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Status of Credit Ratings</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receive ratings from four independent credit rating agencies: DBRS Limited, Fitch Ratings (Fitch), Moody's Investor Service and Standard &amp; Poor's. In June 2015 Fitch upgraded our corporate rating, revolving credit facilities rating and senior unsecured rating to an investment grade rating of BBB- from BB+ and revised their outlook to Stable from Positive. As a result all four of the credit rating agencies currently rate our corporate credit at investment grade.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Overview</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primary sources of cash are finance charge income, leasing income, servicing fees, net distributions from secured debt, secured and unsecured debt borrowings and collections and recoveries on finance receivables. GM Financial's primary uses of cash are purchases of consumer finance receivables and leased vehicles, funding of commercial finance receivables, repayment of secured and unsecured debt, funding credit enhancement requirements for secured debt, operating expenses, interest costs and business acquisitions. GM Financial continues to monitor and evaluate opportunities to optimize its liquidity position and the mix of its debt.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increase in available liquidity was due primarily to the issuance of $5.0 billion of senior unsecured notes in the six months ended June 30, 2015, partially offset by $1.0 billion used for the acquisition of the equity interest in SAIC-GMAC.</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cash flows from operating, investing and financing activities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7"/>
        </w:trPr>
        <w:tc>
          <w:tcPr>
            <w:tcW w:w="7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2015 Net cash provided by operating activities increased due primarily to an increase in leased vehicle income, partially offset by increased operating expenses and interest expense.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41"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six months ended June 30, 2015 Net cash used in investing activities increased due primarily to: (1) an increase in purchases of leased vehicles of $4.7 billion; (2) an increase in consumer finance receivables purchases, net of collections, of $1.1 billion; and (3) cash used for the acquisition of the equity interest in SAIC-GMAC of $1.0 billion; (4) partially offset by a decrease in net funding of commercial finance receivables of $0.4 billion.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six months ended June 30, 2015 Net cash provided by financing activities increased due primarily to a net increase in borrowings of $4.8 billion.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2014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report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2" w:lineRule="exact"/>
        <w:rPr>
          <w:sz w:val="20"/>
          <w:szCs w:val="20"/>
          <w:color w:val="auto"/>
        </w:rPr>
      </w:pPr>
    </w:p>
    <w:p>
      <w:pPr>
        <w:ind w:left="660" w:hanging="49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maintain quality control over our vehicles and avoid material vehicle recalls and the cost and effect on our reputation and products;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660" w:hanging="490"/>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successfully restructure our European and consolidated international operations and the health of the European economy;</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negotiate a new collective bargaining agreement with the UAW and avoid any costly work stoppage;</w:t>
      </w:r>
    </w:p>
    <w:p>
      <w:pPr>
        <w:spacing w:after="0" w:line="117" w:lineRule="exact"/>
        <w:rPr>
          <w:rFonts w:ascii="Arial" w:cs="Arial" w:eastAsia="Arial" w:hAnsi="Arial"/>
          <w:sz w:val="18"/>
          <w:szCs w:val="18"/>
          <w:color w:val="auto"/>
        </w:rPr>
      </w:pPr>
    </w:p>
    <w:p>
      <w:pPr>
        <w:ind w:left="660" w:hanging="490"/>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continued availability of both wholesale and retail financing from finance companies in markets in which we operate to support our ability to sell vehicles, which is dependent on those entities' ability to obtain funding and their continued willingness to provide financing;</w:t>
      </w:r>
    </w:p>
    <w:p>
      <w:pPr>
        <w:spacing w:after="0" w:line="38" w:lineRule="exact"/>
        <w:rPr>
          <w:rFonts w:ascii="Arial" w:cs="Arial" w:eastAsia="Arial" w:hAnsi="Arial"/>
          <w:sz w:val="17"/>
          <w:szCs w:val="17"/>
          <w:color w:val="auto"/>
        </w:rPr>
      </w:pPr>
    </w:p>
    <w:p>
      <w:pPr>
        <w:ind w:left="660" w:hanging="49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through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economic conditions, commodity prices, housing prices, foreign currency exchange rates or political stability in the markets in which we operate;</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existing, or the adoption of new, laws, regulations, policies or other activities of governments, agencies and similar organizations particularly laws, regulations and policies relating to vehicle safety including recalls, and including where such actions may affect the production, licensing, distribution or sale of our products, the cost thereof or applicable tax rates;</w:t>
      </w:r>
    </w:p>
    <w:p>
      <w:pPr>
        <w:spacing w:after="0" w:line="73"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w:t>
      </w:r>
    </w:p>
    <w:p>
      <w:pPr>
        <w:spacing w:after="0" w:line="73"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mortality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2014. Refer to Item 7A of our 2014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Our management, with the participation of our CEO and Executive Vice President and CFO, evaluated the effectiveness of our disclosure controls and procedures (as defined in Rules 13a-15(e) or 15d-15(e) promulgated under the Exchange Act) at June 30, 2015. Based on this evaluation required by paragraph (b) of Rules 13a-15 or 15d-15, our CEO and CFO concluded that our disclosure controls and procedures were effective as of June 30,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have commenced several initiatives to centralize and simplify our business processes and systems. These are long-term initiatives which we believe will enhance our internal controls over financial reporting due to increased automation and further integration of related processes. We will continue to monitor our internal controls over financial reporting throughout this transformation.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not been any other changes in internal controls over financial reporting during the three months ended June 30, 2015 that have materially affected, or are reasonably likely to materially affect, our internal controls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10 to our condensed consolidated financial statements and the 2014 Form 10-K for information relating to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2014 Form 10-K.</w:t>
      </w:r>
    </w:p>
    <w:p>
      <w:pPr>
        <w:spacing w:after="0" w:line="14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purchases of common stock in the three months ended June 30,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Announced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 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2015 through April 30, 2015</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17,618,595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36.61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14,447,693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$4.1 billion</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May 1, 2015 through May 31, 2015</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12,684,502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12,212,671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$3.7 billion</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2015 through June 30, 2015</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21,086,502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35.72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18,654,694</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$3.0 billion</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51,389,599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45,315,058</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Shares purchased consist of: (1) shares purchased under the common stock repurchase program announced in March 2015 to purchase up to $5 billion of our common stock; (2) shares retained by us for the payment of the exercise price upon the exercise of warrants; and (3) shares delivered by employees or directors back to us for the payment of taxes resulting from the issuance of common stock upon the vesting of RSUs and Restricted Stock Awards relating to compensation plans. Refer to Notes 21 and 23 to our consolidated financial statements in our 2014 Form 10-K for additional details on warrants issued and employee stock incentive plans.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390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Exhibit Name</w:t>
            </w:r>
          </w:p>
        </w:tc>
        <w:tc>
          <w:tcPr>
            <w:tcW w:w="17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Bylaws of General Motors Company, as amended and restated as of June 9, 2015</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1"/>
                <w:szCs w:val="21"/>
                <w:color w:val="auto"/>
              </w:rPr>
            </w:pP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Section 302 Certification of the Chief Executive Officer</w:t>
            </w:r>
          </w:p>
        </w:tc>
        <w:tc>
          <w:tcPr>
            <w:tcW w:w="17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8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Section 302 Certification of the Chief Financial Officer</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229"/>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w:t>
            </w:r>
          </w:p>
        </w:tc>
        <w:tc>
          <w:tcPr>
            <w:tcW w:w="1700" w:type="dxa"/>
            <w:vAlign w:val="bottom"/>
          </w:tcPr>
          <w:p>
            <w:pPr>
              <w:ind w:left="140"/>
              <w:spacing w:after="0"/>
              <w:rPr>
                <w:sz w:val="20"/>
                <w:szCs w:val="20"/>
                <w:color w:val="auto"/>
              </w:rPr>
            </w:pPr>
            <w:r>
              <w:rPr>
                <w:rFonts w:ascii="Arial" w:cs="Arial" w:eastAsia="Arial" w:hAnsi="Arial"/>
                <w:sz w:val="18"/>
                <w:szCs w:val="18"/>
                <w:color w:val="auto"/>
              </w:rPr>
              <w:t>Furnished with this</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of 2002</w:t>
            </w:r>
          </w:p>
        </w:tc>
        <w:tc>
          <w:tcPr>
            <w:tcW w:w="1700" w:type="dxa"/>
            <w:vAlign w:val="bottom"/>
          </w:tcPr>
          <w:p>
            <w:pPr>
              <w:ind w:left="140"/>
              <w:spacing w:after="0"/>
              <w:rPr>
                <w:sz w:val="20"/>
                <w:szCs w:val="20"/>
                <w:color w:val="auto"/>
              </w:rPr>
            </w:pPr>
            <w:r>
              <w:rPr>
                <w:rFonts w:ascii="Arial" w:cs="Arial" w:eastAsia="Arial" w:hAnsi="Arial"/>
                <w:sz w:val="18"/>
                <w:szCs w:val="18"/>
                <w:color w:val="auto"/>
              </w:rPr>
              <w:t>Report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8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Instance Document</w:t>
            </w: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Furnished with this</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Report</w:t>
            </w:r>
          </w:p>
        </w:tc>
      </w:tr>
      <w:tr>
        <w:trPr>
          <w:trHeight w:val="229"/>
        </w:trPr>
        <w:tc>
          <w:tcPr>
            <w:tcW w:w="122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tcPr>
          <w:p>
            <w:pPr>
              <w:ind w:left="140"/>
              <w:spacing w:after="0"/>
              <w:rPr>
                <w:sz w:val="20"/>
                <w:szCs w:val="20"/>
                <w:color w:val="auto"/>
              </w:rPr>
            </w:pPr>
            <w:r>
              <w:rPr>
                <w:rFonts w:ascii="Arial" w:cs="Arial" w:eastAsia="Arial" w:hAnsi="Arial"/>
                <w:sz w:val="18"/>
                <w:szCs w:val="18"/>
                <w:color w:val="auto"/>
              </w:rPr>
              <w:t>Furnished with this</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Report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8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Furnished with this</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Report</w:t>
            </w:r>
          </w:p>
        </w:tc>
      </w:tr>
      <w:tr>
        <w:trPr>
          <w:trHeight w:val="229"/>
        </w:trPr>
        <w:tc>
          <w:tcPr>
            <w:tcW w:w="122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1700" w:type="dxa"/>
            <w:vAlign w:val="bottom"/>
          </w:tcPr>
          <w:p>
            <w:pPr>
              <w:ind w:left="140"/>
              <w:spacing w:after="0"/>
              <w:rPr>
                <w:sz w:val="20"/>
                <w:szCs w:val="20"/>
                <w:color w:val="auto"/>
              </w:rPr>
            </w:pPr>
            <w:r>
              <w:rPr>
                <w:rFonts w:ascii="Arial" w:cs="Arial" w:eastAsia="Arial" w:hAnsi="Arial"/>
                <w:sz w:val="18"/>
                <w:szCs w:val="18"/>
                <w:color w:val="auto"/>
              </w:rPr>
              <w:t>Furnished with this</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Report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8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Furnished with this</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Report</w:t>
            </w:r>
          </w:p>
        </w:tc>
      </w:tr>
      <w:tr>
        <w:trPr>
          <w:trHeight w:val="229"/>
        </w:trPr>
        <w:tc>
          <w:tcPr>
            <w:tcW w:w="122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tcPr>
          <w:p>
            <w:pPr>
              <w:ind w:left="140"/>
              <w:spacing w:after="0"/>
              <w:rPr>
                <w:sz w:val="20"/>
                <w:szCs w:val="20"/>
                <w:color w:val="auto"/>
              </w:rPr>
            </w:pPr>
            <w:r>
              <w:rPr>
                <w:rFonts w:ascii="Arial" w:cs="Arial" w:eastAsia="Arial" w:hAnsi="Arial"/>
                <w:sz w:val="18"/>
                <w:szCs w:val="18"/>
                <w:color w:val="auto"/>
              </w:rPr>
              <w:t>Furnished with this</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Report</w:t>
            </w:r>
          </w:p>
        </w:tc>
      </w:tr>
      <w:tr>
        <w:trPr>
          <w:trHeight w:val="220"/>
        </w:trPr>
        <w:tc>
          <w:tcPr>
            <w:tcW w:w="1040" w:type="dxa"/>
            <w:vAlign w:val="bottom"/>
            <w:gridSpan w:val="2"/>
          </w:tcPr>
          <w:p>
            <w:pPr>
              <w:spacing w:after="0"/>
              <w:rPr>
                <w:sz w:val="20"/>
                <w:szCs w:val="20"/>
                <w:color w:val="auto"/>
              </w:rPr>
            </w:pPr>
            <w:r>
              <w:rPr>
                <w:rFonts w:ascii="Arial" w:cs="Arial" w:eastAsia="Arial" w:hAnsi="Arial"/>
                <w:sz w:val="16"/>
                <w:szCs w:val="16"/>
                <w:color w:val="auto"/>
              </w:rPr>
              <w:t>________</w:t>
            </w:r>
          </w:p>
        </w:tc>
        <w:tc>
          <w:tcPr>
            <w:tcW w:w="1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821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Thomas S. Timko, Vice President, Controller and Chief</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2015</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00"/>
          </w:cols>
          <w:pgMar w:left="240" w:top="341" w:right="11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80"/>
        <w:spacing w:after="0"/>
        <w:rPr>
          <w:sz w:val="20"/>
          <w:szCs w:val="20"/>
          <w:color w:val="auto"/>
        </w:rPr>
      </w:pPr>
      <w:r>
        <w:rPr>
          <w:rFonts w:ascii="Arial" w:cs="Arial" w:eastAsia="Arial" w:hAnsi="Arial"/>
          <w:sz w:val="32"/>
          <w:szCs w:val="32"/>
          <w:b w:val="1"/>
          <w:bCs w:val="1"/>
          <w:i w:val="1"/>
          <w:i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80"/>
        <w:spacing w:after="0"/>
        <w:rPr>
          <w:sz w:val="20"/>
          <w:szCs w:val="20"/>
          <w:color w:val="auto"/>
        </w:rPr>
      </w:pPr>
      <w:r>
        <w:rPr>
          <w:rFonts w:ascii="Arial" w:cs="Arial" w:eastAsia="Arial" w:hAnsi="Arial"/>
          <w:sz w:val="32"/>
          <w:szCs w:val="32"/>
          <w:b w:val="1"/>
          <w:bCs w:val="1"/>
          <w:i w:val="1"/>
          <w:i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80"/>
        <w:spacing w:after="0"/>
        <w:rPr>
          <w:sz w:val="20"/>
          <w:szCs w:val="20"/>
          <w:color w:val="auto"/>
        </w:rPr>
      </w:pPr>
      <w:r>
        <w:rPr>
          <w:rFonts w:ascii="Arial" w:cs="Arial" w:eastAsia="Arial" w:hAnsi="Arial"/>
          <w:sz w:val="22"/>
          <w:szCs w:val="22"/>
          <w:b w:val="1"/>
          <w:bCs w:val="1"/>
          <w:i w:val="1"/>
          <w:iCs w:val="1"/>
          <w:color w:val="auto"/>
        </w:rPr>
        <w:t>As of June 9, 2015</w:t>
      </w:r>
    </w:p>
    <w:p>
      <w:pPr>
        <w:sectPr>
          <w:pgSz w:w="11900" w:h="16838" w:orient="portrait"/>
          <w:cols w:equalWidth="0" w:num="1">
            <w:col w:w="10220"/>
          </w:cols>
          <w:pgMar w:left="1440" w:top="12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81"/>
        </w:trPr>
        <w:tc>
          <w:tcPr>
            <w:tcW w:w="1120" w:type="dxa"/>
            <w:vAlign w:val="bottom"/>
          </w:tcPr>
          <w:p>
            <w:pPr>
              <w:spacing w:after="0"/>
              <w:rPr>
                <w:sz w:val="24"/>
                <w:szCs w:val="24"/>
                <w:color w:val="auto"/>
              </w:rPr>
            </w:pPr>
          </w:p>
        </w:tc>
        <w:tc>
          <w:tcPr>
            <w:tcW w:w="7900" w:type="dxa"/>
            <w:vAlign w:val="bottom"/>
          </w:tcPr>
          <w:p>
            <w:pPr>
              <w:ind w:left="3400"/>
              <w:spacing w:after="0"/>
              <w:rPr>
                <w:sz w:val="20"/>
                <w:szCs w:val="20"/>
                <w:color w:val="auto"/>
              </w:rPr>
            </w:pPr>
            <w:r>
              <w:rPr>
                <w:rFonts w:ascii="Arial" w:cs="Arial" w:eastAsia="Arial" w:hAnsi="Arial"/>
                <w:sz w:val="22"/>
                <w:szCs w:val="22"/>
                <w:b w:val="1"/>
                <w:bCs w:val="1"/>
                <w:color w:val="auto"/>
              </w:rPr>
              <w:t>TABLE OF CONTENTS</w:t>
            </w:r>
          </w:p>
        </w:tc>
        <w:tc>
          <w:tcPr>
            <w:tcW w:w="2260" w:type="dxa"/>
            <w:vAlign w:val="bottom"/>
          </w:tcPr>
          <w:p>
            <w:pPr>
              <w:spacing w:after="0"/>
              <w:rPr>
                <w:sz w:val="24"/>
                <w:szCs w:val="24"/>
                <w:color w:val="auto"/>
              </w:rPr>
            </w:pPr>
          </w:p>
        </w:tc>
      </w:tr>
      <w:tr>
        <w:trPr>
          <w:trHeight w:val="837"/>
        </w:trPr>
        <w:tc>
          <w:tcPr>
            <w:tcW w:w="1120" w:type="dxa"/>
            <w:vAlign w:val="bottom"/>
          </w:tcPr>
          <w:p>
            <w:pPr>
              <w:spacing w:after="0"/>
              <w:rPr>
                <w:sz w:val="20"/>
                <w:szCs w:val="20"/>
                <w:color w:val="auto"/>
              </w:rPr>
            </w:pPr>
            <w:r>
              <w:rPr>
                <w:rFonts w:ascii="Arial" w:cs="Arial" w:eastAsia="Arial" w:hAnsi="Arial"/>
                <w:sz w:val="22"/>
                <w:szCs w:val="22"/>
                <w:b w:val="1"/>
                <w:bCs w:val="1"/>
                <w:color w:val="auto"/>
              </w:rPr>
              <w:t>Article I</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MEETINGS OF STOCKHOLDERS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1</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1.1</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Annual Meetings.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1</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1.2</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Special Meetings.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1</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1.3</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Notice of Meetings.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2</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1.4</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List of Stockholders Entitled to Vote.</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2</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1.5</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Quorum.</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2</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1.6</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Conduct and Place of Meeting.</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3</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1.7</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Voting; Proxies.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3</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1.8</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Fixing Date for Determination of Stockholders of Record.</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3</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1.9</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Adjournments.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4</w:t>
            </w:r>
          </w:p>
        </w:tc>
      </w:tr>
      <w:tr>
        <w:trPr>
          <w:trHeight w:val="743"/>
        </w:trPr>
        <w:tc>
          <w:tcPr>
            <w:tcW w:w="1120" w:type="dxa"/>
            <w:vAlign w:val="bottom"/>
          </w:tcPr>
          <w:p>
            <w:pPr>
              <w:jc w:val="center"/>
              <w:ind w:left="72"/>
              <w:spacing w:after="0"/>
              <w:rPr>
                <w:sz w:val="20"/>
                <w:szCs w:val="20"/>
                <w:color w:val="auto"/>
              </w:rPr>
            </w:pPr>
            <w:r>
              <w:rPr>
                <w:rFonts w:ascii="Arial" w:cs="Arial" w:eastAsia="Arial" w:hAnsi="Arial"/>
                <w:sz w:val="22"/>
                <w:szCs w:val="22"/>
                <w:b w:val="1"/>
                <w:bCs w:val="1"/>
                <w:color w:val="auto"/>
                <w:w w:val="88"/>
              </w:rPr>
              <w:t>1.10</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Judges.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4</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83"/>
              </w:rPr>
              <w:t>1.11</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Notice of Stockholder Nomination and Stockholder Business.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4</w:t>
            </w:r>
          </w:p>
        </w:tc>
      </w:tr>
      <w:tr>
        <w:trPr>
          <w:trHeight w:val="743"/>
        </w:trPr>
        <w:tc>
          <w:tcPr>
            <w:tcW w:w="1120" w:type="dxa"/>
            <w:vAlign w:val="bottom"/>
          </w:tcPr>
          <w:p>
            <w:pPr>
              <w:jc w:val="center"/>
              <w:ind w:left="72"/>
              <w:spacing w:after="0"/>
              <w:rPr>
                <w:sz w:val="20"/>
                <w:szCs w:val="20"/>
                <w:color w:val="auto"/>
              </w:rPr>
            </w:pPr>
            <w:r>
              <w:rPr>
                <w:rFonts w:ascii="Arial" w:cs="Arial" w:eastAsia="Arial" w:hAnsi="Arial"/>
                <w:sz w:val="22"/>
                <w:szCs w:val="22"/>
                <w:b w:val="1"/>
                <w:bCs w:val="1"/>
                <w:color w:val="auto"/>
                <w:w w:val="88"/>
              </w:rPr>
              <w:t>1.12</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Stockholder Action by Written Consent.</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8</w:t>
            </w:r>
          </w:p>
        </w:tc>
      </w:tr>
      <w:tr>
        <w:trPr>
          <w:trHeight w:val="743"/>
        </w:trPr>
        <w:tc>
          <w:tcPr>
            <w:tcW w:w="1120" w:type="dxa"/>
            <w:vAlign w:val="bottom"/>
          </w:tcPr>
          <w:p>
            <w:pPr>
              <w:spacing w:after="0"/>
              <w:rPr>
                <w:sz w:val="20"/>
                <w:szCs w:val="20"/>
                <w:color w:val="auto"/>
              </w:rPr>
            </w:pPr>
            <w:r>
              <w:rPr>
                <w:rFonts w:ascii="Arial" w:cs="Arial" w:eastAsia="Arial" w:hAnsi="Arial"/>
                <w:sz w:val="22"/>
                <w:szCs w:val="22"/>
                <w:b w:val="1"/>
                <w:bCs w:val="1"/>
                <w:color w:val="auto"/>
              </w:rPr>
              <w:t>Article II</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BOARD OF DIRECTORS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9</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2.1</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Responsibility and Number.</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9</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2.2</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Term; Election; Resignation; Vacancies.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10</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2.3</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Regular Meetings.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11</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2.4</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Special Meetings.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11</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2.5</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Quorum; Vote Required for Action.</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11</w:t>
            </w:r>
          </w:p>
        </w:tc>
      </w:tr>
      <w:tr>
        <w:trPr>
          <w:trHeight w:val="743"/>
        </w:trPr>
        <w:tc>
          <w:tcPr>
            <w:tcW w:w="112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2.6</w:t>
            </w:r>
          </w:p>
        </w:tc>
        <w:tc>
          <w:tcPr>
            <w:tcW w:w="7900" w:type="dxa"/>
            <w:vAlign w:val="bottom"/>
          </w:tcPr>
          <w:p>
            <w:pPr>
              <w:ind w:left="260"/>
              <w:spacing w:after="0"/>
              <w:rPr>
                <w:sz w:val="20"/>
                <w:szCs w:val="20"/>
                <w:color w:val="auto"/>
              </w:rPr>
            </w:pPr>
            <w:r>
              <w:rPr>
                <w:rFonts w:ascii="Arial" w:cs="Arial" w:eastAsia="Arial" w:hAnsi="Arial"/>
                <w:sz w:val="22"/>
                <w:szCs w:val="22"/>
                <w:b w:val="1"/>
                <w:bCs w:val="1"/>
                <w:color w:val="auto"/>
              </w:rPr>
              <w:t>Election of Chairman; Conduct of Board Meetings.</w:t>
            </w:r>
          </w:p>
        </w:tc>
        <w:tc>
          <w:tcPr>
            <w:tcW w:w="2260" w:type="dxa"/>
            <w:vAlign w:val="bottom"/>
          </w:tcPr>
          <w:p>
            <w:pPr>
              <w:jc w:val="right"/>
              <w:spacing w:after="0"/>
              <w:rPr>
                <w:sz w:val="20"/>
                <w:szCs w:val="20"/>
                <w:color w:val="auto"/>
              </w:rPr>
            </w:pPr>
            <w:r>
              <w:rPr>
                <w:rFonts w:ascii="Arial" w:cs="Arial" w:eastAsia="Arial" w:hAnsi="Arial"/>
                <w:sz w:val="22"/>
                <w:szCs w:val="22"/>
                <w:b w:val="1"/>
                <w:bCs w:val="1"/>
                <w:color w:val="auto"/>
              </w:rPr>
              <w:t>12</w:t>
            </w:r>
          </w:p>
        </w:tc>
      </w:tr>
    </w:tbl>
    <w:p>
      <w:pPr>
        <w:sectPr>
          <w:pgSz w:w="11900" w:h="16838" w:orient="portrait"/>
          <w:cols w:equalWidth="0" w:num="1">
            <w:col w:w="11280"/>
          </w:cols>
          <w:pgMar w:left="280" w:top="1355" w:right="3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60" w:type="dxa"/>
            <w:vAlign w:val="bottom"/>
          </w:tcPr>
          <w:p>
            <w:pPr>
              <w:jc w:val="right"/>
              <w:ind w:right="172"/>
              <w:spacing w:after="0"/>
              <w:rPr>
                <w:sz w:val="20"/>
                <w:szCs w:val="20"/>
                <w:color w:val="auto"/>
              </w:rPr>
            </w:pPr>
            <w:r>
              <w:rPr>
                <w:rFonts w:ascii="Arial" w:cs="Arial" w:eastAsia="Arial" w:hAnsi="Arial"/>
                <w:sz w:val="22"/>
                <w:szCs w:val="22"/>
                <w:b w:val="1"/>
                <w:bCs w:val="1"/>
                <w:color w:val="auto"/>
                <w:w w:val="84"/>
              </w:rPr>
              <w:t>2.7</w:t>
            </w:r>
          </w:p>
        </w:tc>
        <w:tc>
          <w:tcPr>
            <w:tcW w:w="6600" w:type="dxa"/>
            <w:vAlign w:val="bottom"/>
          </w:tcPr>
          <w:p>
            <w:pPr>
              <w:ind w:left="300"/>
              <w:spacing w:after="0"/>
              <w:rPr>
                <w:sz w:val="20"/>
                <w:szCs w:val="20"/>
                <w:color w:val="auto"/>
              </w:rPr>
            </w:pPr>
            <w:r>
              <w:rPr>
                <w:rFonts w:ascii="Arial" w:cs="Arial" w:eastAsia="Arial" w:hAnsi="Arial"/>
                <w:sz w:val="22"/>
                <w:szCs w:val="22"/>
                <w:b w:val="1"/>
                <w:bCs w:val="1"/>
                <w:color w:val="auto"/>
              </w:rPr>
              <w:t>Ratification.</w:t>
            </w:r>
          </w:p>
        </w:tc>
        <w:tc>
          <w:tcPr>
            <w:tcW w:w="3600" w:type="dxa"/>
            <w:vAlign w:val="bottom"/>
          </w:tcPr>
          <w:p>
            <w:pPr>
              <w:jc w:val="right"/>
              <w:spacing w:after="0"/>
              <w:rPr>
                <w:sz w:val="20"/>
                <w:szCs w:val="20"/>
                <w:color w:val="auto"/>
              </w:rPr>
            </w:pPr>
            <w:r>
              <w:rPr>
                <w:rFonts w:ascii="Arial" w:cs="Arial" w:eastAsia="Arial" w:hAnsi="Arial"/>
                <w:sz w:val="22"/>
                <w:szCs w:val="22"/>
                <w:b w:val="1"/>
                <w:bCs w:val="1"/>
                <w:color w:val="auto"/>
              </w:rPr>
              <w:t>12</w:t>
            </w:r>
          </w:p>
        </w:tc>
      </w:tr>
      <w:tr>
        <w:trPr>
          <w:trHeight w:val="743"/>
        </w:trPr>
        <w:tc>
          <w:tcPr>
            <w:tcW w:w="560" w:type="dxa"/>
            <w:vAlign w:val="bottom"/>
          </w:tcPr>
          <w:p>
            <w:pPr>
              <w:jc w:val="right"/>
              <w:ind w:right="172"/>
              <w:spacing w:after="0"/>
              <w:rPr>
                <w:sz w:val="20"/>
                <w:szCs w:val="20"/>
                <w:color w:val="auto"/>
              </w:rPr>
            </w:pPr>
            <w:r>
              <w:rPr>
                <w:rFonts w:ascii="Arial" w:cs="Arial" w:eastAsia="Arial" w:hAnsi="Arial"/>
                <w:sz w:val="22"/>
                <w:szCs w:val="22"/>
                <w:b w:val="1"/>
                <w:bCs w:val="1"/>
                <w:color w:val="auto"/>
                <w:w w:val="84"/>
              </w:rPr>
              <w:t>2.8</w:t>
            </w:r>
          </w:p>
        </w:tc>
        <w:tc>
          <w:tcPr>
            <w:tcW w:w="6600" w:type="dxa"/>
            <w:vAlign w:val="bottom"/>
          </w:tcPr>
          <w:p>
            <w:pPr>
              <w:ind w:left="300"/>
              <w:spacing w:after="0"/>
              <w:rPr>
                <w:sz w:val="20"/>
                <w:szCs w:val="20"/>
                <w:color w:val="auto"/>
              </w:rPr>
            </w:pPr>
            <w:r>
              <w:rPr>
                <w:rFonts w:ascii="Arial" w:cs="Arial" w:eastAsia="Arial" w:hAnsi="Arial"/>
                <w:sz w:val="22"/>
                <w:szCs w:val="22"/>
                <w:b w:val="1"/>
                <w:bCs w:val="1"/>
                <w:color w:val="auto"/>
              </w:rPr>
              <w:t>Written Action by Directors.</w:t>
            </w:r>
          </w:p>
        </w:tc>
        <w:tc>
          <w:tcPr>
            <w:tcW w:w="3600" w:type="dxa"/>
            <w:vAlign w:val="bottom"/>
          </w:tcPr>
          <w:p>
            <w:pPr>
              <w:jc w:val="right"/>
              <w:spacing w:after="0"/>
              <w:rPr>
                <w:sz w:val="20"/>
                <w:szCs w:val="20"/>
                <w:color w:val="auto"/>
              </w:rPr>
            </w:pPr>
            <w:r>
              <w:rPr>
                <w:rFonts w:ascii="Arial" w:cs="Arial" w:eastAsia="Arial" w:hAnsi="Arial"/>
                <w:sz w:val="22"/>
                <w:szCs w:val="22"/>
                <w:b w:val="1"/>
                <w:bCs w:val="1"/>
                <w:color w:val="auto"/>
              </w:rPr>
              <w:t>12</w:t>
            </w:r>
          </w:p>
        </w:tc>
      </w:tr>
      <w:tr>
        <w:trPr>
          <w:trHeight w:val="743"/>
        </w:trPr>
        <w:tc>
          <w:tcPr>
            <w:tcW w:w="560" w:type="dxa"/>
            <w:vAlign w:val="bottom"/>
          </w:tcPr>
          <w:p>
            <w:pPr>
              <w:jc w:val="right"/>
              <w:ind w:right="172"/>
              <w:spacing w:after="0"/>
              <w:rPr>
                <w:sz w:val="20"/>
                <w:szCs w:val="20"/>
                <w:color w:val="auto"/>
              </w:rPr>
            </w:pPr>
            <w:r>
              <w:rPr>
                <w:rFonts w:ascii="Arial" w:cs="Arial" w:eastAsia="Arial" w:hAnsi="Arial"/>
                <w:sz w:val="22"/>
                <w:szCs w:val="22"/>
                <w:b w:val="1"/>
                <w:bCs w:val="1"/>
                <w:color w:val="auto"/>
                <w:w w:val="84"/>
              </w:rPr>
              <w:t>2.9</w:t>
            </w:r>
          </w:p>
        </w:tc>
        <w:tc>
          <w:tcPr>
            <w:tcW w:w="6600" w:type="dxa"/>
            <w:vAlign w:val="bottom"/>
          </w:tcPr>
          <w:p>
            <w:pPr>
              <w:ind w:left="300"/>
              <w:spacing w:after="0"/>
              <w:rPr>
                <w:sz w:val="20"/>
                <w:szCs w:val="20"/>
                <w:color w:val="auto"/>
              </w:rPr>
            </w:pPr>
            <w:r>
              <w:rPr>
                <w:rFonts w:ascii="Arial" w:cs="Arial" w:eastAsia="Arial" w:hAnsi="Arial"/>
                <w:sz w:val="22"/>
                <w:szCs w:val="22"/>
                <w:b w:val="1"/>
                <w:bCs w:val="1"/>
                <w:color w:val="auto"/>
              </w:rPr>
              <w:t>Telephonic Meetings Permitted.</w:t>
            </w:r>
          </w:p>
        </w:tc>
        <w:tc>
          <w:tcPr>
            <w:tcW w:w="3600" w:type="dxa"/>
            <w:vAlign w:val="bottom"/>
          </w:tcPr>
          <w:p>
            <w:pPr>
              <w:jc w:val="right"/>
              <w:spacing w:after="0"/>
              <w:rPr>
                <w:sz w:val="20"/>
                <w:szCs w:val="20"/>
                <w:color w:val="auto"/>
              </w:rPr>
            </w:pPr>
            <w:r>
              <w:rPr>
                <w:rFonts w:ascii="Arial" w:cs="Arial" w:eastAsia="Arial" w:hAnsi="Arial"/>
                <w:sz w:val="22"/>
                <w:szCs w:val="22"/>
                <w:b w:val="1"/>
                <w:bCs w:val="1"/>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60"/>
          </w:cols>
          <w:pgMar w:left="800" w:top="477" w:right="339" w:bottom="1440" w:gutter="0" w:footer="0" w:header="0"/>
        </w:sectPr>
      </w:pPr>
    </w:p>
    <w:bookmarkStart w:id="54" w:name="page55"/>
    <w:bookmarkEnd w:id="54"/>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60" w:type="dxa"/>
            <w:vAlign w:val="bottom"/>
          </w:tcPr>
          <w:p>
            <w:pPr>
              <w:jc w:val="center"/>
              <w:ind w:left="32"/>
              <w:spacing w:after="0"/>
              <w:rPr>
                <w:sz w:val="20"/>
                <w:szCs w:val="20"/>
                <w:color w:val="auto"/>
              </w:rPr>
            </w:pPr>
            <w:r>
              <w:rPr>
                <w:rFonts w:ascii="Arial" w:cs="Arial" w:eastAsia="Arial" w:hAnsi="Arial"/>
                <w:sz w:val="22"/>
                <w:szCs w:val="22"/>
                <w:b w:val="1"/>
                <w:bCs w:val="1"/>
                <w:color w:val="auto"/>
                <w:w w:val="88"/>
              </w:rPr>
              <w:t>2.10</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Independent Directors.</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12</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83"/>
              </w:rPr>
              <w:t>2.11</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Access to Books and Records</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13</w:t>
            </w:r>
          </w:p>
        </w:tc>
      </w:tr>
      <w:tr>
        <w:trPr>
          <w:trHeight w:val="743"/>
        </w:trPr>
        <w:tc>
          <w:tcPr>
            <w:tcW w:w="1160" w:type="dxa"/>
            <w:vAlign w:val="bottom"/>
          </w:tcPr>
          <w:p>
            <w:pPr>
              <w:spacing w:after="0"/>
              <w:rPr>
                <w:sz w:val="20"/>
                <w:szCs w:val="20"/>
                <w:color w:val="auto"/>
              </w:rPr>
            </w:pPr>
            <w:r>
              <w:rPr>
                <w:rFonts w:ascii="Arial" w:cs="Arial" w:eastAsia="Arial" w:hAnsi="Arial"/>
                <w:sz w:val="22"/>
                <w:szCs w:val="22"/>
                <w:b w:val="1"/>
                <w:bCs w:val="1"/>
                <w:color w:val="auto"/>
              </w:rPr>
              <w:t>Article III</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COMMITTEES</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13</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3.1</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Committees of the Board of Directors.</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13</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3.2</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Election; Vacancies.</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13</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3.3</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Procedure; Quorum.</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13</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3.4</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Finance Committee.</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14</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3.5</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Audit Committee.</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14</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3.6</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Executive Compensation Committee.</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14</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3.7</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Governance and Corporate Responsibility Committee.</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14</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3.8</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Risk Committee</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15</w:t>
            </w:r>
          </w:p>
        </w:tc>
      </w:tr>
      <w:tr>
        <w:trPr>
          <w:trHeight w:val="743"/>
        </w:trPr>
        <w:tc>
          <w:tcPr>
            <w:tcW w:w="1160" w:type="dxa"/>
            <w:vAlign w:val="bottom"/>
          </w:tcPr>
          <w:p>
            <w:pPr>
              <w:spacing w:after="0"/>
              <w:rPr>
                <w:sz w:val="20"/>
                <w:szCs w:val="20"/>
                <w:color w:val="auto"/>
              </w:rPr>
            </w:pPr>
            <w:r>
              <w:rPr>
                <w:rFonts w:ascii="Arial" w:cs="Arial" w:eastAsia="Arial" w:hAnsi="Arial"/>
                <w:sz w:val="22"/>
                <w:szCs w:val="22"/>
                <w:b w:val="1"/>
                <w:bCs w:val="1"/>
                <w:color w:val="auto"/>
              </w:rPr>
              <w:t>Article IV</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OFFICERS</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15</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4.1</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Election of Officers.</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15</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4.2</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Chief Executive Officer.</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15</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4.3</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President.</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15</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4.4</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Vice Chairman of the Corporation.</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15</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4.5</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Chief Financial Officer.</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15</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4.6</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Treasurer.</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4.7</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Secretary.</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4.8</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Controller.</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r>
        <w:trPr>
          <w:trHeight w:val="743"/>
        </w:trPr>
        <w:tc>
          <w:tcPr>
            <w:tcW w:w="11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4.9</w:t>
            </w:r>
          </w:p>
        </w:tc>
        <w:tc>
          <w:tcPr>
            <w:tcW w:w="7560" w:type="dxa"/>
            <w:vAlign w:val="bottom"/>
          </w:tcPr>
          <w:p>
            <w:pPr>
              <w:ind w:left="220"/>
              <w:spacing w:after="0"/>
              <w:rPr>
                <w:sz w:val="20"/>
                <w:szCs w:val="20"/>
                <w:color w:val="auto"/>
              </w:rPr>
            </w:pPr>
            <w:r>
              <w:rPr>
                <w:rFonts w:ascii="Arial" w:cs="Arial" w:eastAsia="Arial" w:hAnsi="Arial"/>
                <w:sz w:val="22"/>
                <w:szCs w:val="22"/>
                <w:b w:val="1"/>
                <w:bCs w:val="1"/>
                <w:color w:val="auto"/>
              </w:rPr>
              <w:t>General Counsel.</w:t>
            </w: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bl>
    <w:p>
      <w:pPr>
        <w:sectPr>
          <w:pgSz w:w="11900" w:h="16838" w:orient="portrait"/>
          <w:cols w:equalWidth="0" w:num="1">
            <w:col w:w="11280"/>
          </w:cols>
          <w:pgMar w:left="280" w:top="1440" w:right="3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40" w:type="dxa"/>
            <w:vAlign w:val="bottom"/>
          </w:tcPr>
          <w:p>
            <w:pPr>
              <w:jc w:val="right"/>
              <w:ind w:right="152"/>
              <w:spacing w:after="0"/>
              <w:rPr>
                <w:sz w:val="20"/>
                <w:szCs w:val="20"/>
                <w:color w:val="auto"/>
              </w:rPr>
            </w:pPr>
            <w:r>
              <w:rPr>
                <w:rFonts w:ascii="Arial" w:cs="Arial" w:eastAsia="Arial" w:hAnsi="Arial"/>
                <w:sz w:val="22"/>
                <w:szCs w:val="22"/>
                <w:b w:val="1"/>
                <w:bCs w:val="1"/>
                <w:color w:val="auto"/>
                <w:w w:val="83"/>
              </w:rPr>
              <w:t>4.10</w:t>
            </w:r>
          </w:p>
        </w:tc>
        <w:tc>
          <w:tcPr>
            <w:tcW w:w="7260" w:type="dxa"/>
            <w:vAlign w:val="bottom"/>
          </w:tcPr>
          <w:p>
            <w:pPr>
              <w:ind w:left="280"/>
              <w:spacing w:after="0"/>
              <w:rPr>
                <w:sz w:val="20"/>
                <w:szCs w:val="20"/>
                <w:color w:val="auto"/>
              </w:rPr>
            </w:pPr>
            <w:r>
              <w:rPr>
                <w:rFonts w:ascii="Arial" w:cs="Arial" w:eastAsia="Arial" w:hAnsi="Arial"/>
                <w:sz w:val="22"/>
                <w:szCs w:val="22"/>
                <w:b w:val="1"/>
                <w:bCs w:val="1"/>
                <w:color w:val="auto"/>
              </w:rPr>
              <w:t>General Auditor.</w:t>
            </w:r>
          </w:p>
        </w:tc>
        <w:tc>
          <w:tcPr>
            <w:tcW w:w="292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r>
        <w:trPr>
          <w:trHeight w:val="743"/>
        </w:trPr>
        <w:tc>
          <w:tcPr>
            <w:tcW w:w="640" w:type="dxa"/>
            <w:vAlign w:val="bottom"/>
          </w:tcPr>
          <w:p>
            <w:pPr>
              <w:jc w:val="right"/>
              <w:ind w:right="152"/>
              <w:spacing w:after="0"/>
              <w:rPr>
                <w:sz w:val="20"/>
                <w:szCs w:val="20"/>
                <w:color w:val="auto"/>
              </w:rPr>
            </w:pPr>
            <w:r>
              <w:rPr>
                <w:rFonts w:ascii="Arial" w:cs="Arial" w:eastAsia="Arial" w:hAnsi="Arial"/>
                <w:sz w:val="22"/>
                <w:szCs w:val="22"/>
                <w:b w:val="1"/>
                <w:bCs w:val="1"/>
                <w:color w:val="auto"/>
                <w:w w:val="83"/>
              </w:rPr>
              <w:t>4.11</w:t>
            </w:r>
          </w:p>
        </w:tc>
        <w:tc>
          <w:tcPr>
            <w:tcW w:w="7260" w:type="dxa"/>
            <w:vAlign w:val="bottom"/>
          </w:tcPr>
          <w:p>
            <w:pPr>
              <w:ind w:left="280"/>
              <w:spacing w:after="0"/>
              <w:rPr>
                <w:sz w:val="20"/>
                <w:szCs w:val="20"/>
                <w:color w:val="auto"/>
              </w:rPr>
            </w:pPr>
            <w:r>
              <w:rPr>
                <w:rFonts w:ascii="Arial" w:cs="Arial" w:eastAsia="Arial" w:hAnsi="Arial"/>
                <w:sz w:val="22"/>
                <w:szCs w:val="22"/>
                <w:b w:val="1"/>
                <w:bCs w:val="1"/>
                <w:color w:val="auto"/>
              </w:rPr>
              <w:t>Chief Tax Officer.</w:t>
            </w:r>
          </w:p>
        </w:tc>
        <w:tc>
          <w:tcPr>
            <w:tcW w:w="292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r>
        <w:trPr>
          <w:trHeight w:val="743"/>
        </w:trPr>
        <w:tc>
          <w:tcPr>
            <w:tcW w:w="640" w:type="dxa"/>
            <w:vAlign w:val="bottom"/>
          </w:tcPr>
          <w:p>
            <w:pPr>
              <w:jc w:val="right"/>
              <w:ind w:right="152"/>
              <w:spacing w:after="0"/>
              <w:rPr>
                <w:sz w:val="20"/>
                <w:szCs w:val="20"/>
                <w:color w:val="auto"/>
              </w:rPr>
            </w:pPr>
            <w:r>
              <w:rPr>
                <w:rFonts w:ascii="Arial" w:cs="Arial" w:eastAsia="Arial" w:hAnsi="Arial"/>
                <w:sz w:val="22"/>
                <w:szCs w:val="22"/>
                <w:b w:val="1"/>
                <w:bCs w:val="1"/>
                <w:color w:val="auto"/>
                <w:w w:val="83"/>
              </w:rPr>
              <w:t>4.12</w:t>
            </w:r>
          </w:p>
        </w:tc>
        <w:tc>
          <w:tcPr>
            <w:tcW w:w="7260" w:type="dxa"/>
            <w:vAlign w:val="bottom"/>
          </w:tcPr>
          <w:p>
            <w:pPr>
              <w:ind w:left="280"/>
              <w:spacing w:after="0"/>
              <w:rPr>
                <w:sz w:val="20"/>
                <w:szCs w:val="20"/>
                <w:color w:val="auto"/>
              </w:rPr>
            </w:pPr>
            <w:r>
              <w:rPr>
                <w:rFonts w:ascii="Arial" w:cs="Arial" w:eastAsia="Arial" w:hAnsi="Arial"/>
                <w:sz w:val="22"/>
                <w:szCs w:val="22"/>
                <w:b w:val="1"/>
                <w:bCs w:val="1"/>
                <w:color w:val="auto"/>
              </w:rPr>
              <w:t>Subordinate Officers.</w:t>
            </w:r>
          </w:p>
        </w:tc>
        <w:tc>
          <w:tcPr>
            <w:tcW w:w="292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r>
        <w:trPr>
          <w:trHeight w:val="743"/>
        </w:trPr>
        <w:tc>
          <w:tcPr>
            <w:tcW w:w="640" w:type="dxa"/>
            <w:vAlign w:val="bottom"/>
          </w:tcPr>
          <w:p>
            <w:pPr>
              <w:jc w:val="right"/>
              <w:ind w:right="152"/>
              <w:spacing w:after="0"/>
              <w:rPr>
                <w:sz w:val="20"/>
                <w:szCs w:val="20"/>
                <w:color w:val="auto"/>
              </w:rPr>
            </w:pPr>
            <w:r>
              <w:rPr>
                <w:rFonts w:ascii="Arial" w:cs="Arial" w:eastAsia="Arial" w:hAnsi="Arial"/>
                <w:sz w:val="22"/>
                <w:szCs w:val="22"/>
                <w:b w:val="1"/>
                <w:bCs w:val="1"/>
                <w:color w:val="auto"/>
                <w:w w:val="83"/>
              </w:rPr>
              <w:t>4.13</w:t>
            </w:r>
          </w:p>
        </w:tc>
        <w:tc>
          <w:tcPr>
            <w:tcW w:w="7260" w:type="dxa"/>
            <w:vAlign w:val="bottom"/>
          </w:tcPr>
          <w:p>
            <w:pPr>
              <w:ind w:left="280"/>
              <w:spacing w:after="0"/>
              <w:rPr>
                <w:sz w:val="20"/>
                <w:szCs w:val="20"/>
                <w:color w:val="auto"/>
              </w:rPr>
            </w:pPr>
            <w:r>
              <w:rPr>
                <w:rFonts w:ascii="Arial" w:cs="Arial" w:eastAsia="Arial" w:hAnsi="Arial"/>
                <w:sz w:val="22"/>
                <w:szCs w:val="22"/>
                <w:b w:val="1"/>
                <w:bCs w:val="1"/>
                <w:color w:val="auto"/>
              </w:rPr>
              <w:t>Resignation; Removal; Suspension; Vacancies.</w:t>
            </w:r>
          </w:p>
        </w:tc>
        <w:tc>
          <w:tcPr>
            <w:tcW w:w="292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20"/>
          </w:cols>
          <w:pgMar w:left="740" w:top="490" w:right="339" w:bottom="1440" w:gutter="0" w:footer="0" w:header="0"/>
        </w:sectPr>
      </w:pPr>
    </w:p>
    <w:bookmarkStart w:id="56" w:name="page57"/>
    <w:bookmarkEnd w:id="5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40" w:type="dxa"/>
            <w:vAlign w:val="bottom"/>
          </w:tcPr>
          <w:p>
            <w:pPr>
              <w:spacing w:after="0"/>
              <w:rPr>
                <w:sz w:val="20"/>
                <w:szCs w:val="20"/>
                <w:color w:val="auto"/>
              </w:rPr>
            </w:pPr>
            <w:r>
              <w:rPr>
                <w:rFonts w:ascii="Arial" w:cs="Arial" w:eastAsia="Arial" w:hAnsi="Arial"/>
                <w:sz w:val="22"/>
                <w:szCs w:val="22"/>
                <w:b w:val="1"/>
                <w:bCs w:val="1"/>
                <w:color w:val="auto"/>
              </w:rPr>
              <w:t>Article V</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INDEMNIFICATION</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17</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5.1</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Right to Indemnification of Directors and Officers.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17</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5.2</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Advancement of Expenses of Directors and Officers.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17</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5.3</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Claims by Officers or Directors.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17</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5.4</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Indemnification of Employees.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18</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5.5</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Advancement of Expenses of Employees.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18</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5.6</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Claims by Employees.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18</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5.7</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Non Exclusivity of Rights.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5.8</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Other Indemnification.</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5.9</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Insurance.</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r>
        <w:trPr>
          <w:trHeight w:val="743"/>
        </w:trPr>
        <w:tc>
          <w:tcPr>
            <w:tcW w:w="1140" w:type="dxa"/>
            <w:vAlign w:val="bottom"/>
          </w:tcPr>
          <w:p>
            <w:pPr>
              <w:jc w:val="center"/>
              <w:ind w:left="52"/>
              <w:spacing w:after="0"/>
              <w:rPr>
                <w:sz w:val="20"/>
                <w:szCs w:val="20"/>
                <w:color w:val="auto"/>
              </w:rPr>
            </w:pPr>
            <w:r>
              <w:rPr>
                <w:rFonts w:ascii="Arial" w:cs="Arial" w:eastAsia="Arial" w:hAnsi="Arial"/>
                <w:sz w:val="22"/>
                <w:szCs w:val="22"/>
                <w:b w:val="1"/>
                <w:bCs w:val="1"/>
                <w:color w:val="auto"/>
                <w:w w:val="88"/>
              </w:rPr>
              <w:t>5.10</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Nature of Rights; Amendment or Repeal.</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r>
        <w:trPr>
          <w:trHeight w:val="743"/>
        </w:trPr>
        <w:tc>
          <w:tcPr>
            <w:tcW w:w="1140" w:type="dxa"/>
            <w:vAlign w:val="bottom"/>
          </w:tcPr>
          <w:p>
            <w:pPr>
              <w:spacing w:after="0"/>
              <w:rPr>
                <w:sz w:val="20"/>
                <w:szCs w:val="20"/>
                <w:color w:val="auto"/>
              </w:rPr>
            </w:pPr>
            <w:r>
              <w:rPr>
                <w:rFonts w:ascii="Arial" w:cs="Arial" w:eastAsia="Arial" w:hAnsi="Arial"/>
                <w:sz w:val="22"/>
                <w:szCs w:val="22"/>
                <w:b w:val="1"/>
                <w:bCs w:val="1"/>
                <w:color w:val="auto"/>
              </w:rPr>
              <w:t>Article VI</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MISCELLANEOUS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6.1</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Seal.</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6.2</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Fiscal Year.</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6.3</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Notice.</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20</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6.4</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Waiver of Notice.</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20</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6.5</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Voting of Stock Owned by the Corporation.</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20</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6.6</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Form of Records.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20</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6.7</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Offices.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20</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6.8</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Amendment of Bylaws.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20</w:t>
            </w:r>
          </w:p>
        </w:tc>
      </w:tr>
      <w:tr>
        <w:trPr>
          <w:trHeight w:val="743"/>
        </w:trPr>
        <w:tc>
          <w:tcPr>
            <w:tcW w:w="114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6.9</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Gender Pronouns.</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20</w:t>
            </w:r>
          </w:p>
        </w:tc>
      </w:tr>
    </w:tbl>
    <w:p>
      <w:pPr>
        <w:sectPr>
          <w:pgSz w:w="11900" w:h="16838" w:orient="portrait"/>
          <w:cols w:equalWidth="0" w:num="1">
            <w:col w:w="11280"/>
          </w:cols>
          <w:pgMar w:left="280" w:top="1440" w:right="339" w:bottom="0" w:gutter="0" w:footer="0" w:header="0"/>
        </w:sectPr>
      </w:pPr>
    </w:p>
    <w:bookmarkStart w:id="57" w:name="page58"/>
    <w:bookmarkEnd w:id="57"/>
    <w:p>
      <w:pPr>
        <w:spacing w:after="0"/>
        <w:tabs>
          <w:tab w:leader="none" w:pos="900" w:val="left"/>
          <w:tab w:leader="none" w:pos="1058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22"/>
          <w:szCs w:val="22"/>
          <w:b w:val="1"/>
          <w:bCs w:val="1"/>
          <w:color w:val="auto"/>
        </w:rPr>
        <w:t>Uncertificated Stock.</w:t>
      </w:r>
      <w:r>
        <w:rPr>
          <w:sz w:val="20"/>
          <w:szCs w:val="20"/>
          <w:color w:val="auto"/>
        </w:rPr>
        <w:tab/>
      </w:r>
      <w:r>
        <w:rPr>
          <w:rFonts w:ascii="Arial" w:cs="Arial" w:eastAsia="Arial" w:hAnsi="Arial"/>
          <w:sz w:val="19"/>
          <w:szCs w:val="19"/>
          <w:b w:val="1"/>
          <w:bCs w:val="1"/>
          <w:color w:val="auto"/>
        </w:rPr>
        <w:t>21</w:t>
      </w:r>
    </w:p>
    <w:p>
      <w:pPr>
        <w:sectPr>
          <w:pgSz w:w="11900" w:h="16838" w:orient="portrait"/>
          <w:cols w:equalWidth="0" w:num="1">
            <w:col w:w="10820"/>
          </w:cols>
          <w:pgMar w:left="740" w:top="4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820"/>
          </w:cols>
          <w:pgMar w:left="740" w:top="490" w:right="3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ANS RESTATED BYLAWS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MEETINGS OF STOCKHOLDERS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i w:val="1"/>
          <w:iCs w:val="1"/>
          <w:color w:val="auto"/>
        </w:rPr>
        <w:t>Annual Meetings.</w:t>
      </w:r>
    </w:p>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annual meeting of stockholders for the election of directors, ratification or rejection of the selection of auditors, and the transaction of such other business as may properly be brought before the meeting shall be held on such date and at such time and place (if any) as the chairman of the board or the board of directors shall designate. If any annual meeting shall not be held on the day designated or the directors shall not have been elected thereat or at any adjournment thereof, thereafter the board shall cause a special meeting of the stockholders to be held as soon as practicable for the election of directors. At such special meeting, the stockholders may elect directors and transact other business with the same force and effect as at an annual meeting of the stockholders duly called and held.</w:t>
      </w: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8"/>
          <w:szCs w:val="18"/>
          <w:b w:val="1"/>
          <w:bCs w:val="1"/>
          <w:i w:val="1"/>
          <w:iCs w:val="1"/>
          <w:color w:val="auto"/>
        </w:rPr>
        <w:t>Special Meetings.</w:t>
      </w:r>
    </w:p>
    <w:p>
      <w:pPr>
        <w:spacing w:after="0" w:line="280" w:lineRule="exact"/>
        <w:rPr>
          <w:sz w:val="20"/>
          <w:szCs w:val="20"/>
          <w:color w:val="auto"/>
        </w:rPr>
      </w:pPr>
    </w:p>
    <w:p>
      <w:pPr>
        <w:jc w:val="both"/>
        <w:ind w:firstLine="656"/>
        <w:spacing w:after="0" w:line="288" w:lineRule="auto"/>
        <w:tabs>
          <w:tab w:leader="none" w:pos="153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Call of Special Meeting</w:t>
      </w:r>
      <w:r>
        <w:rPr>
          <w:rFonts w:ascii="Arial" w:cs="Arial" w:eastAsia="Arial" w:hAnsi="Arial"/>
          <w:sz w:val="19"/>
          <w:szCs w:val="19"/>
          <w:color w:val="auto"/>
        </w:rPr>
        <w:t>. Special meetings of stockholders may be called at any time by the chairman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chairman or board in calling the meeting. Subject to paragraph (b) of this section, the board shall call a special meeting upon the written request (the “Meeting Request”) of the record holders of at least 25 percent of the voting power of the outstanding shares of all classes of stock entitled to vote at such a meeting, delivered to the secretary of the Corporation, and shall designate a date for such special meeting not more than 90 days after the date that the secretary received the Meeting Request (the “Request Delivery Date”). In fixing a date and time for any special meeting requested by stockholders,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214" w:lineRule="exact"/>
        <w:rPr>
          <w:rFonts w:ascii="Arial" w:cs="Arial" w:eastAsia="Arial" w:hAnsi="Arial"/>
          <w:sz w:val="19"/>
          <w:szCs w:val="19"/>
          <w:color w:val="auto"/>
        </w:rPr>
      </w:pPr>
    </w:p>
    <w:p>
      <w:pPr>
        <w:ind w:left="1560" w:hanging="904"/>
        <w:spacing w:after="0"/>
        <w:tabs>
          <w:tab w:leader="none" w:pos="156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Stockholder Request for Special Meeting</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firstLine="1305"/>
        <w:spacing w:after="0" w:line="287" w:lineRule="auto"/>
        <w:tabs>
          <w:tab w:leader="none" w:pos="2197" w:val="left"/>
        </w:tabs>
        <w:numPr>
          <w:ilvl w:val="1"/>
          <w:numId w:val="16"/>
        </w:numPr>
        <w:rPr>
          <w:rFonts w:ascii="Arial" w:cs="Arial" w:eastAsia="Arial" w:hAnsi="Arial"/>
          <w:sz w:val="19"/>
          <w:szCs w:val="19"/>
          <w:color w:val="auto"/>
        </w:rPr>
      </w:pPr>
      <w:r>
        <w:rPr>
          <w:rFonts w:ascii="Arial" w:cs="Arial" w:eastAsia="Arial" w:hAnsi="Arial"/>
          <w:sz w:val="19"/>
          <w:szCs w:val="19"/>
          <w:color w:val="auto"/>
        </w:rPr>
        <w:t>Any Meeting Request shall be signed by one or more stockholders,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stockholder and date of signature; (C) the number of shares of each class of voting stock owned of record and beneficially by each such stockholder; (D) a description of all arrangements or understandings between any signing stockholder and any other person regarding the meeting and the matters proposed to be acted on at the meeting; (E) all information relating to each signing stockholder that would be required to be disclosed in solicitations of proxies for election of directors in an election contest (even if an election contest 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Corporation; and (F) the information that would be required by section 1.11 of these bylaws if the stockholder were intending to make a nomination or to bring any other matter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41" w:right="239" w:bottom="1440" w:gutter="0" w:footer="0" w:header="0"/>
        </w:sectPr>
      </w:pPr>
    </w:p>
    <w:bookmarkStart w:id="59" w:name="page60"/>
    <w:bookmarkEnd w:id="59"/>
    <w:p>
      <w:pPr>
        <w:spacing w:after="0" w:line="263" w:lineRule="auto"/>
        <w:rPr>
          <w:sz w:val="20"/>
          <w:szCs w:val="20"/>
          <w:color w:val="auto"/>
        </w:rPr>
      </w:pPr>
      <w:r>
        <w:rPr>
          <w:rFonts w:ascii="Arial" w:cs="Arial" w:eastAsia="Arial" w:hAnsi="Arial"/>
          <w:sz w:val="22"/>
          <w:szCs w:val="22"/>
          <w:color w:val="auto"/>
        </w:rPr>
        <w:t>before a stockholder meeting. A stockholder may revoke its request for a special meeting at any time by written revocation delivered to the secretary of the Corporation.</w:t>
      </w:r>
    </w:p>
    <w:p>
      <w:pPr>
        <w:spacing w:after="0" w:line="229" w:lineRule="exact"/>
        <w:rPr>
          <w:sz w:val="20"/>
          <w:szCs w:val="20"/>
          <w:color w:val="auto"/>
        </w:rPr>
      </w:pPr>
    </w:p>
    <w:p>
      <w:pPr>
        <w:ind w:left="2200" w:hanging="895"/>
        <w:spacing w:after="0"/>
        <w:tabs>
          <w:tab w:leader="none" w:pos="2200" w:val="left"/>
        </w:tabs>
        <w:numPr>
          <w:ilvl w:val="2"/>
          <w:numId w:val="17"/>
        </w:numPr>
        <w:rPr>
          <w:rFonts w:ascii="Arial" w:cs="Arial" w:eastAsia="Arial" w:hAnsi="Arial"/>
          <w:sz w:val="19"/>
          <w:szCs w:val="19"/>
          <w:color w:val="auto"/>
        </w:rPr>
      </w:pPr>
      <w:r>
        <w:rPr>
          <w:rFonts w:ascii="Arial" w:cs="Arial" w:eastAsia="Arial" w:hAnsi="Arial"/>
          <w:sz w:val="19"/>
          <w:szCs w:val="19"/>
          <w:color w:val="auto"/>
        </w:rPr>
        <w:t>The board shall have the authority to determine not to call a special meeting requested by stockholders if</w:t>
      </w:r>
    </w:p>
    <w:p>
      <w:pPr>
        <w:spacing w:after="0" w:line="56" w:lineRule="exact"/>
        <w:rPr>
          <w:rFonts w:ascii="Arial" w:cs="Arial" w:eastAsia="Arial" w:hAnsi="Arial"/>
          <w:sz w:val="19"/>
          <w:szCs w:val="19"/>
          <w:color w:val="auto"/>
        </w:rPr>
      </w:pPr>
    </w:p>
    <w:p>
      <w:pPr>
        <w:jc w:val="both"/>
        <w:ind w:firstLine="8"/>
        <w:spacing w:after="0" w:line="288" w:lineRule="auto"/>
        <w:tabs>
          <w:tab w:leader="none" w:pos="368"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board has called or calls an annual or special meeting of stockholders to be held not more than 90 days after the Request Delivery Date and the purpose of such stockholder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stockholder action under applicable law; or (D) such request was made in violation of Regulation 14A under the Exchange Act, to the extent applicable, or other applicable law. The board is authorized to determine in good faith the purpose of a stockholder meeting.</w:t>
      </w:r>
    </w:p>
    <w:p>
      <w:pPr>
        <w:spacing w:after="0" w:line="105" w:lineRule="exact"/>
        <w:rPr>
          <w:rFonts w:ascii="Arial" w:cs="Arial" w:eastAsia="Arial" w:hAnsi="Arial"/>
          <w:sz w:val="19"/>
          <w:szCs w:val="19"/>
          <w:color w:val="auto"/>
        </w:rPr>
      </w:pPr>
    </w:p>
    <w:p>
      <w:pPr>
        <w:jc w:val="both"/>
        <w:ind w:firstLine="656"/>
        <w:spacing w:after="0" w:line="253" w:lineRule="auto"/>
        <w:tabs>
          <w:tab w:leader="none" w:pos="1536"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Conduct of Special Meeting</w:t>
      </w:r>
      <w:r>
        <w:rPr>
          <w:rFonts w:ascii="Arial" w:cs="Arial" w:eastAsia="Arial" w:hAnsi="Arial"/>
          <w:sz w:val="22"/>
          <w:szCs w:val="22"/>
          <w:color w:val="auto"/>
        </w:rPr>
        <w:t>. Business transacted at a special meeting requested by stockholders shall be limited to the purpose stated in the Meeting Request; provided, however, that the board shall be able to submit additional matters to stockholders at any such special meeting.</w:t>
      </w:r>
    </w:p>
    <w:p>
      <w:pPr>
        <w:spacing w:after="0" w:line="1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8"/>
          <w:szCs w:val="18"/>
          <w:b w:val="1"/>
          <w:bCs w:val="1"/>
          <w:i w:val="1"/>
          <w:iCs w:val="1"/>
          <w:color w:val="auto"/>
        </w:rPr>
        <w:t>Notice of Meetings.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Written notice (including notification by electronic means as permitted by the rules of the Securities and Exchange Commission (the “SEC”)) of each meeting of stockholders shall be given by the chairman of the board and/or the secretary in compliance with the provisions of Delaware law and these bylaws.</w:t>
      </w:r>
    </w:p>
    <w:p>
      <w:pPr>
        <w:spacing w:after="0" w:line="3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8"/>
          <w:szCs w:val="18"/>
          <w:b w:val="1"/>
          <w:bCs w:val="1"/>
          <w:i w:val="1"/>
          <w:iCs w:val="1"/>
          <w:color w:val="auto"/>
        </w:rPr>
        <w:t>List of Stockholders Entitled to Vote.</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secretary shall prepare or have prepared before every meeting of stockholders a complete list of the stockholders entitled to vote at the meeting in compliance with the provisions of Delaware law and the certificate of incorporation.</w:t>
      </w:r>
    </w:p>
    <w:p>
      <w:pPr>
        <w:spacing w:after="0" w:line="30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i w:val="1"/>
          <w:iCs w:val="1"/>
          <w:color w:val="auto"/>
        </w:rPr>
        <w:t>Quorum.</w:t>
      </w:r>
    </w:p>
    <w:p>
      <w:pPr>
        <w:spacing w:after="0" w:line="172" w:lineRule="exact"/>
        <w:rPr>
          <w:sz w:val="20"/>
          <w:szCs w:val="20"/>
          <w:color w:val="auto"/>
        </w:rPr>
      </w:pPr>
    </w:p>
    <w:p>
      <w:pPr>
        <w:jc w:val="both"/>
        <w:ind w:firstLine="656"/>
        <w:spacing w:after="0" w:line="297" w:lineRule="auto"/>
        <w:tabs>
          <w:tab w:leader="none" w:pos="1536" w:val="left"/>
        </w:tabs>
        <w:numPr>
          <w:ilvl w:val="0"/>
          <w:numId w:val="19"/>
        </w:numPr>
        <w:rPr>
          <w:rFonts w:ascii="Arial" w:cs="Arial" w:eastAsia="Arial" w:hAnsi="Arial"/>
          <w:sz w:val="19"/>
          <w:szCs w:val="19"/>
          <w:color w:val="auto"/>
        </w:rPr>
      </w:pPr>
      <w:r>
        <w:rPr>
          <w:rFonts w:ascii="Arial" w:cs="Arial" w:eastAsia="Arial" w:hAnsi="Arial"/>
          <w:sz w:val="19"/>
          <w:szCs w:val="19"/>
          <w:color w:val="auto"/>
        </w:rPr>
        <w:t>At each annual or special meeting of stockholders, except where otherwise provided by law or the certificate of incorporation or these bylaws, the holders of a majority of the voting power of the outstanding shares of stock entitled to vote at the meeting, present in person or by proxy, shall constitute a quorum. Where a separate vote by a class or classes or series of stock is required, the holders of a majority of the voting power of the shares of such class or classes or series of stock present in person or represented by proxy shall constitute a quorum for the purposes of such matter on which a separate vote is required.</w:t>
      </w:r>
    </w:p>
    <w:p>
      <w:pPr>
        <w:spacing w:after="0" w:line="93" w:lineRule="exact"/>
        <w:rPr>
          <w:rFonts w:ascii="Arial" w:cs="Arial" w:eastAsia="Arial" w:hAnsi="Arial"/>
          <w:sz w:val="19"/>
          <w:szCs w:val="19"/>
          <w:color w:val="auto"/>
        </w:rPr>
      </w:pPr>
    </w:p>
    <w:p>
      <w:pPr>
        <w:jc w:val="both"/>
        <w:ind w:firstLine="656"/>
        <w:spacing w:after="0" w:line="250" w:lineRule="auto"/>
        <w:tabs>
          <w:tab w:leader="none" w:pos="1549"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the absence of a quorum pursuant to this section of the bylaws, a majority of the voting power of the outstanding shares of stock entitled to vote and present in person or by proxy, or in absence of any stockholders, any officer, may adjourn the meeting from time to time in the manner and to the extent provided in section 1.9 of these bylaws until a quorum shall attend.</w:t>
      </w:r>
    </w:p>
    <w:p>
      <w:pPr>
        <w:spacing w:after="0" w:line="134" w:lineRule="exact"/>
        <w:rPr>
          <w:rFonts w:ascii="Arial" w:cs="Arial" w:eastAsia="Arial" w:hAnsi="Arial"/>
          <w:sz w:val="22"/>
          <w:szCs w:val="22"/>
          <w:color w:val="auto"/>
        </w:rPr>
      </w:pPr>
    </w:p>
    <w:p>
      <w:pPr>
        <w:jc w:val="both"/>
        <w:ind w:firstLine="656"/>
        <w:spacing w:after="0" w:line="265" w:lineRule="auto"/>
        <w:tabs>
          <w:tab w:leader="none" w:pos="1536" w:val="left"/>
        </w:tabs>
        <w:numPr>
          <w:ilvl w:val="0"/>
          <w:numId w:val="19"/>
        </w:numPr>
        <w:rPr>
          <w:rFonts w:ascii="Arial" w:cs="Arial" w:eastAsia="Arial" w:hAnsi="Arial"/>
          <w:sz w:val="21"/>
          <w:szCs w:val="21"/>
          <w:color w:val="auto"/>
        </w:rPr>
      </w:pPr>
      <w:r>
        <w:rPr>
          <w:rFonts w:ascii="Arial" w:cs="Arial" w:eastAsia="Arial" w:hAnsi="Arial"/>
          <w:sz w:val="21"/>
          <w:szCs w:val="21"/>
          <w:color w:val="auto"/>
        </w:rPr>
        <w:t>Shares of the Corporation’s stock belonging to the Corporation or to another entity, a majority of whose ownership interests entitled to vote in the election of directors of such other entity is held, directly or indirectly, by the Corporation, shall neither be entitled to vote nor be counted for quorum purposes; provided, however, that the foregoing shall not limit the right of the Corporation to vote shares of its own stock that it is entitled to vote in a fiduciary capacity.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53" w:right="239" w:bottom="1440" w:gutter="0" w:footer="0" w:header="0"/>
        </w:sectPr>
      </w:pPr>
    </w:p>
    <w:bookmarkStart w:id="60" w:name="page61"/>
    <w:bookmarkEnd w:id="60"/>
    <w:p>
      <w:pPr>
        <w:spacing w:after="0"/>
        <w:tabs>
          <w:tab w:leader="none" w:pos="4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8"/>
          <w:szCs w:val="18"/>
          <w:b w:val="1"/>
          <w:bCs w:val="1"/>
          <w:i w:val="1"/>
          <w:iCs w:val="1"/>
          <w:color w:val="auto"/>
        </w:rPr>
        <w:t>Conduct and Place of Meeting.</w:t>
      </w:r>
    </w:p>
    <w:p>
      <w:pPr>
        <w:spacing w:after="0" w:line="172" w:lineRule="exact"/>
        <w:rPr>
          <w:sz w:val="20"/>
          <w:szCs w:val="20"/>
          <w:color w:val="auto"/>
        </w:rPr>
      </w:pPr>
    </w:p>
    <w:p>
      <w:pPr>
        <w:jc w:val="both"/>
        <w:ind w:firstLine="656"/>
        <w:spacing w:after="0" w:line="289" w:lineRule="auto"/>
        <w:tabs>
          <w:tab w:leader="none" w:pos="153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chairman of the board or, if he so designates, the chief executive officer, the president, the vice chairman or a vice president of the Corporation shall preside at each meeting of the stockholders; provided, however, that if the chairman of the board does not preside and has not designated an officer of the Corporation to preside, the holders of a majority of the voting power of the outstanding shares of stock entitled to vote and present in person or by proxy at such meeting may designate any person to preside over the meeting. The secretary of the Corporation shall record the proceedings of meetings of the stockholders, but in the absence of the secretary, the person presiding over the meeting shall designate any person to record the proceedings. The person presiding over any meeting of stockholders shall determine the order of business and the procedure at the meeting, including such regulation of the manner of voting and the conduct of discussion. The date and time of the opening and closing of the polls for each matter upon which the stockholders will vote at the meeting shall be announced at the meeting.</w:t>
      </w:r>
    </w:p>
    <w:p>
      <w:pPr>
        <w:spacing w:after="0" w:line="103" w:lineRule="exact"/>
        <w:rPr>
          <w:rFonts w:ascii="Arial" w:cs="Arial" w:eastAsia="Arial" w:hAnsi="Arial"/>
          <w:sz w:val="19"/>
          <w:szCs w:val="19"/>
          <w:color w:val="auto"/>
        </w:rPr>
      </w:pPr>
    </w:p>
    <w:p>
      <w:pPr>
        <w:jc w:val="both"/>
        <w:ind w:firstLine="656"/>
        <w:spacing w:after="0" w:line="250" w:lineRule="auto"/>
        <w:tabs>
          <w:tab w:leader="none" w:pos="1549"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chairman of the board or the board of directors may designate any place, either within or without the State of Delaware, as the location for any meeting of stockholders, and may, in his or its sole discretion, determine that a virtual meeting of stockholders by means of remote communication shall be held in addition to or instead of a physical meeting as permitted by Delaware law.</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8"/>
          <w:szCs w:val="18"/>
          <w:b w:val="1"/>
          <w:bCs w:val="1"/>
          <w:i w:val="1"/>
          <w:iCs w:val="1"/>
          <w:color w:val="auto"/>
        </w:rPr>
        <w:t>Voting; Proxies.</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Each stockholder entitled to vote shall be entitled to vote in accordance with the number of shares and voting powers of the voting shares held of record by him. Each stockholder entitled to vote at a meeting of stockholders may authorize another person or persons to act for him at such meeting by proxy, but such proxy, whether revocable or irrevocable, shall comply with the applicable requirements of Delaware law. Voting at meetings of stockholders, on matters other than the election of directors, need not be by written ballot unless the holders of a majority of the voting power of the outstanding shares of stock entitled to vote at the meeting present in person or by proxy at such meeting shall so determine. All elections and questions shall, unless otherwise provided by law, rule or regulation, including any stock exchange rule or regulation, applicable to the Corporation, the certificate of incorporation, or section 2.2 or any other provision of these bylaws, be decided by the vote of the holders of a majority of the voting power of the shares of stock entitled to vote thereon present in person or by proxy at the meeting. Votes cast “for” or “against” and “abstentions” with respect to a matter shall be counted as shares of stock of the Corporation entitled to vote on such matter, while “broker nonvotes” (or other shares of stock of the Corporation similarly not entitled to vote) shall not be counted as shares entitled to vote on such matter.</w:t>
      </w:r>
    </w:p>
    <w:p>
      <w:pPr>
        <w:spacing w:after="0" w:line="200" w:lineRule="exact"/>
        <w:rPr>
          <w:sz w:val="20"/>
          <w:szCs w:val="20"/>
          <w:color w:val="auto"/>
        </w:rPr>
      </w:pPr>
    </w:p>
    <w:p>
      <w:pPr>
        <w:spacing w:after="0" w:line="37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i w:val="1"/>
          <w:iCs w:val="1"/>
          <w:color w:val="auto"/>
        </w:rPr>
        <w:t>Fixing Date for Determination of Stockholders of Record.</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To determine the stockholders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stockholders entitled to receive notice of or to vote at any meeting of stockholders or adjournment thereof, not more than 60 nor less than ten days before the date of such meeting; (b) in the case of determination of stockholders entitled to express consent to corporate action in writing without a meeting, in accordance with section 1.12 of these bylaws; and (c) in the case of any other action, not more than 60 days prior to such other action. A determination of stockholders of record entitled to notice of or to vote at a meeting of stockholders shall apply to any adjournment of the meeting; provided, however, that the board may choose to fix a new record date for the adjourned meeting.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7" w:right="239" w:bottom="1440" w:gutter="0" w:footer="0" w:header="0"/>
        </w:sectPr>
      </w:pPr>
    </w:p>
    <w:bookmarkStart w:id="61" w:name="page62"/>
    <w:bookmarkEnd w:id="61"/>
    <w:p>
      <w:pPr>
        <w:spacing w:after="0"/>
        <w:tabs>
          <w:tab w:leader="none" w:pos="46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8"/>
          <w:szCs w:val="18"/>
          <w:b w:val="1"/>
          <w:bCs w:val="1"/>
          <w:i w:val="1"/>
          <w:iCs w:val="1"/>
          <w:color w:val="auto"/>
        </w:rPr>
        <w:t>Adjournments.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person presiding over any meeting of stockholders, annual or special (other than a special meeting requested by stockholders in accordance with section 1.2(a) of these bylaws in the absence of a quorum), may adjourn the meeting from time to time to reconvene at the same or some other place. At the adjourned meeting, the Corporation may transact any business which might have been transacted at the original meeting. Notice need not be given of any such adjourned meeting if the time and place, if any, thereof, and the means of remote communication, if any, by which stockholders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stockholder of record entitled to vote at the meeting.</w:t>
      </w:r>
    </w:p>
    <w:p>
      <w:pPr>
        <w:spacing w:after="0" w:line="31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7"/>
          <w:szCs w:val="17"/>
          <w:b w:val="1"/>
          <w:bCs w:val="1"/>
          <w:i w:val="1"/>
          <w:iCs w:val="1"/>
          <w:color w:val="auto"/>
        </w:rPr>
        <w:t>Judges.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votes by ballot at any meeting of stockholders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34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8"/>
          <w:szCs w:val="18"/>
          <w:b w:val="1"/>
          <w:bCs w:val="1"/>
          <w:i w:val="1"/>
          <w:iCs w:val="1"/>
          <w:color w:val="auto"/>
        </w:rPr>
        <w:t>Notice of Stockholder Nomination and Stockholder Business.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At a meeting of the stockholders, only such business shall be conducted as shall have been properly brought before the meeting. Nominations for the election of directors may be made by the board of directors in accordance with the Stockholders Agreement dated October 15, 2009 among the Corporation, the United States Department of the Treasury, 7176384 Canada Inc., and UAW Retiree Medical Benefits Trust and, for the limited purposes set forth therein, General Motors LLC or by any stockholder entitled to vote for the election of directors who complies with the notice requirements set forth in this section. Other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stockholder pursuant to the notice requirements of this section.</w:t>
      </w:r>
    </w:p>
    <w:p>
      <w:pPr>
        <w:spacing w:after="0" w:line="34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 stockholder who intends to make a nomination for the election of directors or to bring any other matter before a meeting of stockholders must give notice of his intent in writing or by electronic transmission. Such notice must be received by the secretary, in the case of an annual meeting not more than 180 days and not less than 120 days before the date of the meeting, or in the case of a special meeting, not more than 15 days after the day on which notice of the special meeting is first mailed to stockholders. Notwithstanding the preceding sentence, requests for inclusion of proposals in the Corporation’s proxy statement made pursuant to Rule 14a-8 under the Exchange Act, if applicable, shall be deemed to have been delivered in a timely manner if delivered in accordance with such Rule.</w:t>
      </w:r>
    </w:p>
    <w:p>
      <w:pPr>
        <w:spacing w:after="0" w:line="35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to matters sought to be included in any proxy statement of the Corporation, stockholders shall comply with Rule 14a-8 under the Exchange Act, if applicable, rather than this section 1.11.</w:t>
      </w: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As to matters not sought to be included in any proxy statement of the Corporation, a stockholder’s notice (if required) shall state: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7" w:right="239" w:bottom="1440" w:gutter="0" w:footer="0" w:header="0"/>
        </w:sectPr>
      </w:pPr>
    </w:p>
    <w:bookmarkStart w:id="62" w:name="page63"/>
    <w:bookmarkEnd w:id="62"/>
    <w:p>
      <w:pPr>
        <w:ind w:firstLine="656"/>
        <w:spacing w:after="0" w:line="343" w:lineRule="auto"/>
        <w:tabs>
          <w:tab w:leader="none" w:pos="153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name and address of the stockholder of the Corporation who intends to make a nomination or bring up any other matter and the name and address of any Stockholder Associated Person covered by clauses (c), (d), or (e) below;</w:t>
      </w:r>
    </w:p>
    <w:p>
      <w:pPr>
        <w:spacing w:after="0" w:line="50" w:lineRule="exact"/>
        <w:rPr>
          <w:rFonts w:ascii="Arial" w:cs="Arial" w:eastAsia="Arial" w:hAnsi="Arial"/>
          <w:sz w:val="19"/>
          <w:szCs w:val="19"/>
          <w:color w:val="auto"/>
        </w:rPr>
      </w:pPr>
    </w:p>
    <w:p>
      <w:pPr>
        <w:ind w:right="20" w:firstLine="656"/>
        <w:spacing w:after="0" w:line="263" w:lineRule="auto"/>
        <w:tabs>
          <w:tab w:leader="none" w:pos="1549"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representation that the stockholder is a holder of the Corporation’s voting stock and intends to appear in person or by proxy at the meeting to make the nomination or bring up the matter specified in the notice;</w:t>
      </w:r>
    </w:p>
    <w:p>
      <w:pPr>
        <w:spacing w:after="0" w:line="120" w:lineRule="exact"/>
        <w:rPr>
          <w:rFonts w:ascii="Arial" w:cs="Arial" w:eastAsia="Arial" w:hAnsi="Arial"/>
          <w:sz w:val="22"/>
          <w:szCs w:val="22"/>
          <w:color w:val="auto"/>
        </w:rPr>
      </w:pPr>
    </w:p>
    <w:p>
      <w:pPr>
        <w:ind w:left="1540" w:hanging="884"/>
        <w:spacing w:after="0"/>
        <w:tabs>
          <w:tab w:leader="none" w:pos="15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as to the stockholder and any Stockholder Associated Person of the stockholder,</w:t>
      </w:r>
    </w:p>
    <w:p>
      <w:pPr>
        <w:spacing w:after="0" w:line="165" w:lineRule="exact"/>
        <w:rPr>
          <w:rFonts w:ascii="Arial" w:cs="Arial" w:eastAsia="Arial" w:hAnsi="Arial"/>
          <w:sz w:val="22"/>
          <w:szCs w:val="22"/>
          <w:color w:val="auto"/>
        </w:rPr>
      </w:pPr>
    </w:p>
    <w:p>
      <w:pPr>
        <w:ind w:left="660" w:firstLine="645"/>
        <w:spacing w:after="0" w:line="343" w:lineRule="auto"/>
        <w:tabs>
          <w:tab w:leader="none" w:pos="21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class, series, number and principal amount, as applicable, of all securities of the Corporation which are owned of record by such stockholder or by any such Stockholder Associated Person as of the date of the notice,</w:t>
      </w:r>
    </w:p>
    <w:p>
      <w:pPr>
        <w:spacing w:after="0" w:line="50" w:lineRule="exact"/>
        <w:rPr>
          <w:rFonts w:ascii="Arial" w:cs="Arial" w:eastAsia="Arial" w:hAnsi="Arial"/>
          <w:sz w:val="19"/>
          <w:szCs w:val="19"/>
          <w:color w:val="auto"/>
        </w:rPr>
      </w:pPr>
    </w:p>
    <w:p>
      <w:pPr>
        <w:jc w:val="both"/>
        <w:ind w:left="660" w:firstLine="645"/>
        <w:spacing w:after="0" w:line="253" w:lineRule="auto"/>
        <w:tabs>
          <w:tab w:leader="none" w:pos="2221"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class, series, number and principal amount, as applicable, of, and the nominee holder for, all securities of the Corporation owned beneficially but not of record by such stockholder or by any such Stockholder Associated Person as of the date of the notice, and</w:t>
      </w:r>
    </w:p>
    <w:p>
      <w:pPr>
        <w:spacing w:after="0" w:line="131" w:lineRule="exact"/>
        <w:rPr>
          <w:rFonts w:ascii="Arial" w:cs="Arial" w:eastAsia="Arial" w:hAnsi="Arial"/>
          <w:sz w:val="22"/>
          <w:szCs w:val="22"/>
          <w:color w:val="auto"/>
        </w:rPr>
      </w:pPr>
    </w:p>
    <w:p>
      <w:pPr>
        <w:jc w:val="both"/>
        <w:ind w:left="660" w:firstLine="645"/>
        <w:spacing w:after="0" w:line="248" w:lineRule="auto"/>
        <w:tabs>
          <w:tab w:leader="none" w:pos="2281" w:val="left"/>
        </w:tabs>
        <w:numPr>
          <w:ilvl w:val="1"/>
          <w:numId w:val="21"/>
        </w:numPr>
        <w:rPr>
          <w:rFonts w:ascii="Arial" w:cs="Arial" w:eastAsia="Arial" w:hAnsi="Arial"/>
          <w:sz w:val="22"/>
          <w:szCs w:val="22"/>
          <w:color w:val="auto"/>
        </w:rPr>
      </w:pPr>
      <w:r>
        <w:rPr>
          <w:rFonts w:ascii="Arial" w:cs="Arial" w:eastAsia="Arial" w:hAnsi="Arial"/>
          <w:sz w:val="22"/>
          <w:szCs w:val="22"/>
          <w:color w:val="auto"/>
        </w:rPr>
        <w:t>a description of all Derivative Interests that have been entered into as of the date of the notice by, or on behalf of, such stockholder or by any such Stockholder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138" w:lineRule="exact"/>
        <w:rPr>
          <w:rFonts w:ascii="Arial" w:cs="Arial" w:eastAsia="Arial" w:hAnsi="Arial"/>
          <w:sz w:val="22"/>
          <w:szCs w:val="22"/>
          <w:color w:val="auto"/>
        </w:rPr>
      </w:pPr>
    </w:p>
    <w:p>
      <w:pPr>
        <w:ind w:left="1560" w:hanging="904"/>
        <w:spacing w:after="0"/>
        <w:tabs>
          <w:tab w:leader="none" w:pos="15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if the stockholder intends to make a nomination for the election of directors,</w:t>
      </w:r>
    </w:p>
    <w:p>
      <w:pPr>
        <w:spacing w:after="0" w:line="165" w:lineRule="exact"/>
        <w:rPr>
          <w:rFonts w:ascii="Arial" w:cs="Arial" w:eastAsia="Arial" w:hAnsi="Arial"/>
          <w:sz w:val="22"/>
          <w:szCs w:val="22"/>
          <w:color w:val="auto"/>
        </w:rPr>
      </w:pPr>
    </w:p>
    <w:p>
      <w:pPr>
        <w:jc w:val="both"/>
        <w:ind w:left="660" w:firstLine="645"/>
        <w:spacing w:after="0" w:line="291" w:lineRule="auto"/>
        <w:tabs>
          <w:tab w:leader="none" w:pos="21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name, age, business address and residence address of each nominee proposed by such stockholder (a “Proposed Nominee”) and the name and address of any Proposed Nominee Associated Person covered by any of subclauses</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through (v) of this paragraph,</w:t>
      </w:r>
    </w:p>
    <w:p>
      <w:pPr>
        <w:spacing w:after="0" w:line="147" w:lineRule="exact"/>
        <w:rPr>
          <w:rFonts w:ascii="Arial" w:cs="Arial" w:eastAsia="Arial" w:hAnsi="Arial"/>
          <w:sz w:val="22"/>
          <w:szCs w:val="22"/>
          <w:color w:val="auto"/>
        </w:rPr>
      </w:pPr>
    </w:p>
    <w:p>
      <w:pPr>
        <w:ind w:left="660" w:firstLine="645"/>
        <w:spacing w:after="0" w:line="343" w:lineRule="auto"/>
        <w:tabs>
          <w:tab w:leader="none" w:pos="2221"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class, series, number and principal amount, as applicable, of all securities of the Corporation that are beneficially owned or owned of record by such Proposed Nominee and by any such Proposed Nominee Associated Person,</w:t>
      </w:r>
    </w:p>
    <w:p>
      <w:pPr>
        <w:spacing w:after="0" w:line="50" w:lineRule="exact"/>
        <w:rPr>
          <w:rFonts w:ascii="Arial" w:cs="Arial" w:eastAsia="Arial" w:hAnsi="Arial"/>
          <w:sz w:val="19"/>
          <w:szCs w:val="19"/>
          <w:color w:val="auto"/>
        </w:rPr>
      </w:pPr>
    </w:p>
    <w:p>
      <w:pPr>
        <w:jc w:val="both"/>
        <w:ind w:left="660" w:firstLine="645"/>
        <w:spacing w:after="0" w:line="248" w:lineRule="auto"/>
        <w:tabs>
          <w:tab w:leader="none" w:pos="2281" w:val="left"/>
        </w:tabs>
        <w:numPr>
          <w:ilvl w:val="1"/>
          <w:numId w:val="22"/>
        </w:numPr>
        <w:rPr>
          <w:rFonts w:ascii="Arial" w:cs="Arial" w:eastAsia="Arial" w:hAnsi="Arial"/>
          <w:sz w:val="22"/>
          <w:szCs w:val="22"/>
          <w:color w:val="auto"/>
        </w:rPr>
      </w:pPr>
      <w:r>
        <w:rPr>
          <w:rFonts w:ascii="Arial" w:cs="Arial" w:eastAsia="Arial" w:hAnsi="Arial"/>
          <w:sz w:val="22"/>
          <w:szCs w:val="22"/>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138" w:lineRule="exact"/>
        <w:rPr>
          <w:rFonts w:ascii="Arial" w:cs="Arial" w:eastAsia="Arial" w:hAnsi="Arial"/>
          <w:sz w:val="22"/>
          <w:szCs w:val="22"/>
          <w:color w:val="auto"/>
        </w:rPr>
      </w:pPr>
    </w:p>
    <w:p>
      <w:pPr>
        <w:jc w:val="both"/>
        <w:ind w:left="660" w:firstLine="645"/>
        <w:spacing w:after="0" w:line="312" w:lineRule="auto"/>
        <w:tabs>
          <w:tab w:leader="none" w:pos="2268" w:val="left"/>
        </w:tabs>
        <w:numPr>
          <w:ilvl w:val="1"/>
          <w:numId w:val="22"/>
        </w:numPr>
        <w:rPr>
          <w:rFonts w:ascii="Arial" w:cs="Arial" w:eastAsia="Arial" w:hAnsi="Arial"/>
          <w:sz w:val="19"/>
          <w:szCs w:val="19"/>
          <w:color w:val="auto"/>
        </w:rPr>
      </w:pPr>
      <w:r>
        <w:rPr>
          <w:rFonts w:ascii="Arial" w:cs="Arial" w:eastAsia="Arial" w:hAnsi="Arial"/>
          <w:sz w:val="19"/>
          <w:szCs w:val="19"/>
          <w:color w:val="auto"/>
        </w:rPr>
        <w:t>a description of all arrangements or understandings between the stockholder or any Stockholder Associated Person, on the one hand, and any Proposed Nominee or any other person or persons (naming such person or persons), on the other hand, pursuant to which the nomination or nominations are to be made by the stockholder, and</w:t>
      </w:r>
    </w:p>
    <w:p>
      <w:pPr>
        <w:spacing w:after="0" w:line="79" w:lineRule="exact"/>
        <w:rPr>
          <w:rFonts w:ascii="Arial" w:cs="Arial" w:eastAsia="Arial" w:hAnsi="Arial"/>
          <w:sz w:val="19"/>
          <w:szCs w:val="19"/>
          <w:color w:val="auto"/>
        </w:rPr>
      </w:pPr>
    </w:p>
    <w:p>
      <w:pPr>
        <w:jc w:val="both"/>
        <w:ind w:left="660" w:firstLine="645"/>
        <w:spacing w:after="0" w:line="297" w:lineRule="auto"/>
        <w:tabs>
          <w:tab w:leader="none" w:pos="2209" w:val="left"/>
        </w:tabs>
        <w:numPr>
          <w:ilvl w:val="1"/>
          <w:numId w:val="22"/>
        </w:numPr>
        <w:rPr>
          <w:rFonts w:ascii="Arial" w:cs="Arial" w:eastAsia="Arial" w:hAnsi="Arial"/>
          <w:sz w:val="19"/>
          <w:szCs w:val="19"/>
          <w:color w:val="auto"/>
        </w:rPr>
      </w:pPr>
      <w:r>
        <w:rPr>
          <w:rFonts w:ascii="Arial" w:cs="Arial" w:eastAsia="Arial" w:hAnsi="Arial"/>
          <w:sz w:val="19"/>
          <w:szCs w:val="19"/>
          <w:color w:val="auto"/>
        </w:rPr>
        <w:t>all other information relating to any Proposed Nominee, any Proposed Nominee Associated Person,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53" w:right="239" w:bottom="1440" w:gutter="0" w:footer="0" w:header="0"/>
        </w:sectPr>
      </w:pPr>
    </w:p>
    <w:bookmarkStart w:id="63" w:name="page64"/>
    <w:bookmarkEnd w:id="63"/>
    <w:p>
      <w:pPr>
        <w:ind w:left="1540" w:hanging="884"/>
        <w:spacing w:after="0"/>
        <w:tabs>
          <w:tab w:leader="none" w:pos="15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if the stockholder intends to make a proposal other than a nomination,</w:t>
      </w:r>
    </w:p>
    <w:p>
      <w:pPr>
        <w:spacing w:after="0" w:line="165" w:lineRule="exact"/>
        <w:rPr>
          <w:rFonts w:ascii="Arial" w:cs="Arial" w:eastAsia="Arial" w:hAnsi="Arial"/>
          <w:sz w:val="22"/>
          <w:szCs w:val="22"/>
          <w:color w:val="auto"/>
        </w:rPr>
      </w:pPr>
    </w:p>
    <w:p>
      <w:pPr>
        <w:ind w:left="2160" w:hanging="855"/>
        <w:spacing w:after="0"/>
        <w:tabs>
          <w:tab w:leader="none" w:pos="2160" w:val="left"/>
        </w:tabs>
        <w:numPr>
          <w:ilvl w:val="1"/>
          <w:numId w:val="23"/>
        </w:numPr>
        <w:rPr>
          <w:rFonts w:ascii="Arial" w:cs="Arial" w:eastAsia="Arial" w:hAnsi="Arial"/>
          <w:sz w:val="22"/>
          <w:szCs w:val="22"/>
          <w:color w:val="auto"/>
        </w:rPr>
      </w:pPr>
      <w:r>
        <w:rPr>
          <w:rFonts w:ascii="Arial" w:cs="Arial" w:eastAsia="Arial" w:hAnsi="Arial"/>
          <w:sz w:val="22"/>
          <w:szCs w:val="22"/>
          <w:color w:val="auto"/>
        </w:rPr>
        <w:t>a description of the matter,</w:t>
      </w:r>
    </w:p>
    <w:p>
      <w:pPr>
        <w:spacing w:after="0" w:line="165" w:lineRule="exact"/>
        <w:rPr>
          <w:rFonts w:ascii="Arial" w:cs="Arial" w:eastAsia="Arial" w:hAnsi="Arial"/>
          <w:sz w:val="22"/>
          <w:szCs w:val="22"/>
          <w:color w:val="auto"/>
        </w:rPr>
      </w:pPr>
    </w:p>
    <w:p>
      <w:pPr>
        <w:ind w:left="2220" w:hanging="915"/>
        <w:spacing w:after="0"/>
        <w:tabs>
          <w:tab w:leader="none" w:pos="222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reasons for proposing such matter at the meeting,</w:t>
      </w:r>
    </w:p>
    <w:p>
      <w:pPr>
        <w:spacing w:after="0" w:line="165" w:lineRule="exact"/>
        <w:rPr>
          <w:rFonts w:ascii="Arial" w:cs="Arial" w:eastAsia="Arial" w:hAnsi="Arial"/>
          <w:sz w:val="22"/>
          <w:szCs w:val="22"/>
          <w:color w:val="auto"/>
        </w:rPr>
      </w:pPr>
    </w:p>
    <w:p>
      <w:pPr>
        <w:jc w:val="both"/>
        <w:ind w:left="660" w:firstLine="645"/>
        <w:spacing w:after="0" w:line="253" w:lineRule="auto"/>
        <w:tabs>
          <w:tab w:leader="none" w:pos="2281" w:val="left"/>
        </w:tabs>
        <w:numPr>
          <w:ilvl w:val="1"/>
          <w:numId w:val="23"/>
        </w:numPr>
        <w:rPr>
          <w:rFonts w:ascii="Arial" w:cs="Arial" w:eastAsia="Arial" w:hAnsi="Arial"/>
          <w:sz w:val="22"/>
          <w:szCs w:val="22"/>
          <w:color w:val="auto"/>
        </w:rPr>
      </w:pPr>
      <w:r>
        <w:rPr>
          <w:rFonts w:ascii="Arial" w:cs="Arial" w:eastAsia="Arial" w:hAnsi="Arial"/>
          <w:sz w:val="22"/>
          <w:szCs w:val="22"/>
          <w:color w:val="auto"/>
        </w:rPr>
        <w:t>a description of any material interest of the stockholder or any Stockholder Associated Person, individually or in the aggregate, in the matter, including any anticipated benefit to the stockholder or any Stockholder Associated Person therefrom,</w:t>
      </w:r>
    </w:p>
    <w:p>
      <w:pPr>
        <w:spacing w:after="0" w:line="131" w:lineRule="exact"/>
        <w:rPr>
          <w:rFonts w:ascii="Arial" w:cs="Arial" w:eastAsia="Arial" w:hAnsi="Arial"/>
          <w:sz w:val="22"/>
          <w:szCs w:val="22"/>
          <w:color w:val="auto"/>
        </w:rPr>
      </w:pPr>
    </w:p>
    <w:p>
      <w:pPr>
        <w:jc w:val="both"/>
        <w:ind w:left="660" w:firstLine="645"/>
        <w:spacing w:after="0" w:line="253" w:lineRule="auto"/>
        <w:tabs>
          <w:tab w:leader="none" w:pos="2268" w:val="left"/>
        </w:tabs>
        <w:numPr>
          <w:ilvl w:val="1"/>
          <w:numId w:val="23"/>
        </w:numPr>
        <w:rPr>
          <w:rFonts w:ascii="Arial" w:cs="Arial" w:eastAsia="Arial" w:hAnsi="Arial"/>
          <w:sz w:val="22"/>
          <w:szCs w:val="22"/>
          <w:color w:val="auto"/>
        </w:rPr>
      </w:pPr>
      <w:r>
        <w:rPr>
          <w:rFonts w:ascii="Arial" w:cs="Arial" w:eastAsia="Arial" w:hAnsi="Arial"/>
          <w:sz w:val="22"/>
          <w:szCs w:val="22"/>
          <w:color w:val="auto"/>
        </w:rPr>
        <w:t>a description of all arrangements or understandings between the stockholder or any Stockholder Associated Person, on the one hand, and any other person or persons (naming such person or persons), on the other hand, regarding the proposal, and</w:t>
      </w:r>
    </w:p>
    <w:p>
      <w:pPr>
        <w:spacing w:after="0" w:line="131" w:lineRule="exact"/>
        <w:rPr>
          <w:rFonts w:ascii="Arial" w:cs="Arial" w:eastAsia="Arial" w:hAnsi="Arial"/>
          <w:sz w:val="22"/>
          <w:szCs w:val="22"/>
          <w:color w:val="auto"/>
        </w:rPr>
      </w:pPr>
    </w:p>
    <w:p>
      <w:pPr>
        <w:jc w:val="both"/>
        <w:ind w:left="660" w:firstLine="645"/>
        <w:spacing w:after="0" w:line="248" w:lineRule="auto"/>
        <w:tabs>
          <w:tab w:leader="none" w:pos="2209" w:val="left"/>
        </w:tabs>
        <w:numPr>
          <w:ilvl w:val="1"/>
          <w:numId w:val="23"/>
        </w:numPr>
        <w:rPr>
          <w:rFonts w:ascii="Arial" w:cs="Arial" w:eastAsia="Arial" w:hAnsi="Arial"/>
          <w:sz w:val="22"/>
          <w:szCs w:val="22"/>
          <w:color w:val="auto"/>
        </w:rPr>
      </w:pPr>
      <w:r>
        <w:rPr>
          <w:rFonts w:ascii="Arial" w:cs="Arial" w:eastAsia="Arial" w:hAnsi="Arial"/>
          <w:sz w:val="22"/>
          <w:szCs w:val="22"/>
          <w:color w:val="auto"/>
        </w:rPr>
        <w:t>all other information relating to the proposal,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138" w:lineRule="exact"/>
        <w:rPr>
          <w:rFonts w:ascii="Arial" w:cs="Arial" w:eastAsia="Arial" w:hAnsi="Arial"/>
          <w:sz w:val="22"/>
          <w:szCs w:val="22"/>
          <w:color w:val="auto"/>
        </w:rPr>
      </w:pPr>
    </w:p>
    <w:p>
      <w:pPr>
        <w:jc w:val="both"/>
        <w:ind w:firstLine="656"/>
        <w:spacing w:after="0" w:line="253" w:lineRule="auto"/>
        <w:tabs>
          <w:tab w:leader="none" w:pos="151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the extent known by the stockholder, the name and address of any other security holder of the Corporation who owns, beneficially or of record, any securities of the Corporation and who supports any nominee proposed by such stockholder or any other matter such stockholder intends to propose; and</w:t>
      </w:r>
    </w:p>
    <w:p>
      <w:pPr>
        <w:spacing w:after="0" w:line="131" w:lineRule="exact"/>
        <w:rPr>
          <w:rFonts w:ascii="Arial" w:cs="Arial" w:eastAsia="Arial" w:hAnsi="Arial"/>
          <w:sz w:val="22"/>
          <w:szCs w:val="22"/>
          <w:color w:val="auto"/>
        </w:rPr>
      </w:pPr>
    </w:p>
    <w:p>
      <w:pPr>
        <w:ind w:right="380" w:firstLine="656"/>
        <w:spacing w:after="0" w:line="250" w:lineRule="auto"/>
        <w:tabs>
          <w:tab w:leader="none" w:pos="1549" w:val="left"/>
        </w:tabs>
        <w:numPr>
          <w:ilvl w:val="0"/>
          <w:numId w:val="23"/>
        </w:numPr>
        <w:rPr>
          <w:rFonts w:ascii="Arial" w:cs="Arial" w:eastAsia="Arial" w:hAnsi="Arial"/>
          <w:sz w:val="22"/>
          <w:szCs w:val="22"/>
          <w:color w:val="auto"/>
        </w:rPr>
      </w:pPr>
      <w:r>
        <w:rPr>
          <w:rFonts w:ascii="Arial" w:cs="Arial" w:eastAsia="Arial" w:hAnsi="Arial"/>
          <w:sz w:val="22"/>
          <w:szCs w:val="22"/>
          <w:color w:val="auto"/>
        </w:rPr>
        <w:t>a representation as to whether the stockholder intends or is part of a group that intends to (i) deliver a proxy statement and/or form of proxy to holders of at least the percentage of the voting power of the Corporation’s outstanding voting stock required to approve or adopt the proposal or to elect the Proposed Nominee and/or (ii) otherwise to solicit proxies from stockholders in support of such proposal or nomination.</w:t>
      </w:r>
    </w:p>
    <w:p>
      <w:pPr>
        <w:spacing w:after="0" w:line="13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Notice of intent to make a nomination shall be accompanied by the written consent of each Proposed Nominee to serve as director of the Corporation and by his agreement to comply with all applicable laws and regulations (including stock exchange rules) regarding service as a director of the Corporation and with the Corporation’s policies applicable to similarly situated directors, including but not limited to retirement age, limits on number of outside board memberships, codes of conduct, conflicts of interest, confidentiality, and stock ownership and trading policies, if elected. Upon the Corporation’s request, each Proposed Nominee will complete a written questionnaire in the form provided by the Secretary of the Corporation with respect to the Proposed Nominee’s background and qualifications and deliver it within the time prescribed by delivery of notice in this section 1.11. The Corporation is not permitted to include in its proxy materials (including but not limited to the Notice of Meeting, Proxy Statement, Form of Proxy, and Written Ballot) any information about any Proposed Nominee except to the extent required by applicable law.</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If, after the submission of a stockholder’s notice, any material change occurs in the information set forth in the stockholder’s notice to the Corporation or the written questionnaire of the Proposed Nominee required by this section 1.11, including, but not limited to, any material increase or decrease in the percentage of the class or series of securities of the Corporation held or beneficially owned (including actual or notional number, principal amount or dollar amount of any securities underlying or subject to Derivative Interests), the stockholder shall promptly provide further written notice to the Corporation of that change and a statement updating all changed information as of the date of the further written notice. An acquisition or disposition of beneficial ownership of any number or principal amount of any securities of the Corporation (including an increase or decrease in actual or notional number, principal amount or dollar amount of any securities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53" w:right="239" w:bottom="1440" w:gutter="0" w:footer="0" w:header="0"/>
        </w:sectPr>
      </w:pPr>
    </w:p>
    <w:bookmarkStart w:id="64" w:name="page65"/>
    <w:bookmarkEnd w:id="64"/>
    <w:p>
      <w:pPr>
        <w:jc w:val="both"/>
        <w:spacing w:after="0" w:line="271" w:lineRule="auto"/>
        <w:rPr>
          <w:sz w:val="20"/>
          <w:szCs w:val="20"/>
          <w:color w:val="auto"/>
        </w:rPr>
      </w:pPr>
      <w:r>
        <w:rPr>
          <w:rFonts w:ascii="Arial" w:cs="Arial" w:eastAsia="Arial" w:hAnsi="Arial"/>
          <w:sz w:val="21"/>
          <w:szCs w:val="21"/>
          <w:color w:val="auto"/>
        </w:rPr>
        <w:t>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33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At the meeting of stockholders, the presiding officer may declare out of order and disregard any nomination or other matter not presented in accordance with this section.</w:t>
      </w:r>
    </w:p>
    <w:p>
      <w:pPr>
        <w:spacing w:after="0" w:line="33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Notwithstanding the foregoing provisions of this section 1.11, unless otherwise required by law, if the stockholder (or a qualified representative of the stockholder) does not appear at the annual or special meeting of stockholders of the Corporation to make its nomination or propose any other matter, such nomination shall be disregarded and such other proposed matter shall not be transacted, even if proxies in respect of such vote have been received by the Corporation. For purposes of this section 1.11,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commencement of the meeting of stockholders.</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section 1.11:</w:t>
      </w:r>
    </w:p>
    <w:p>
      <w:pPr>
        <w:spacing w:after="0" w:line="382" w:lineRule="exact"/>
        <w:rPr>
          <w:sz w:val="20"/>
          <w:szCs w:val="20"/>
          <w:color w:val="auto"/>
        </w:rPr>
      </w:pPr>
    </w:p>
    <w:p>
      <w:pPr>
        <w:jc w:val="both"/>
        <w:ind w:firstLine="1305"/>
        <w:spacing w:after="0" w:line="250" w:lineRule="auto"/>
        <w:tabs>
          <w:tab w:leader="none" w:pos="2197" w:val="left"/>
        </w:tabs>
        <w:numPr>
          <w:ilvl w:val="0"/>
          <w:numId w:val="24"/>
        </w:numPr>
        <w:rPr>
          <w:rFonts w:ascii="Arial" w:cs="Arial" w:eastAsia="Arial" w:hAnsi="Arial"/>
          <w:sz w:val="22"/>
          <w:szCs w:val="22"/>
          <w:color w:val="auto"/>
        </w:rPr>
      </w:pPr>
      <w:r>
        <w:rPr>
          <w:rFonts w:ascii="Arial" w:cs="Arial" w:eastAsia="Arial" w:hAnsi="Arial"/>
          <w:sz w:val="22"/>
          <w:szCs w:val="22"/>
          <w:color w:val="auto"/>
        </w:rPr>
        <w:t>“Stockholder Associated Person” of any stockholder shall mean (i) any person acting in concert with such stockholder, (ii) any beneficial owner of securities of the Corporation owned of record or beneficially by such stockholder and (iii) any person directly or indirectly controlling, controlled by or under common control with such stockholder or a Stockholder Associated Person;</w:t>
      </w:r>
    </w:p>
    <w:p>
      <w:pPr>
        <w:spacing w:after="0" w:line="134" w:lineRule="exact"/>
        <w:rPr>
          <w:rFonts w:ascii="Arial" w:cs="Arial" w:eastAsia="Arial" w:hAnsi="Arial"/>
          <w:sz w:val="22"/>
          <w:szCs w:val="22"/>
          <w:color w:val="auto"/>
        </w:rPr>
      </w:pPr>
    </w:p>
    <w:p>
      <w:pPr>
        <w:jc w:val="both"/>
        <w:ind w:firstLine="1305"/>
        <w:spacing w:after="0" w:line="250" w:lineRule="auto"/>
        <w:tabs>
          <w:tab w:leader="none" w:pos="2197"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“Proposed Nominee Associated Person” of any Proposed Nominee shall mean (i) any person acting in concert with such Proposed Nominee, (ii) any beneficial owner of securities of the Corporation owned of record or beneficially by such Proposed Nominee and (iii) any person directly or indirectly controlling, controlled by or under common control with such Proposed Nominee or a Proposed Nominee Associated Person; and</w:t>
      </w:r>
    </w:p>
    <w:p>
      <w:pPr>
        <w:spacing w:after="0" w:line="134" w:lineRule="exact"/>
        <w:rPr>
          <w:rFonts w:ascii="Arial" w:cs="Arial" w:eastAsia="Arial" w:hAnsi="Arial"/>
          <w:sz w:val="22"/>
          <w:szCs w:val="22"/>
          <w:color w:val="auto"/>
        </w:rPr>
      </w:pPr>
    </w:p>
    <w:p>
      <w:pPr>
        <w:jc w:val="both"/>
        <w:ind w:firstLine="1305"/>
        <w:spacing w:after="0" w:line="257" w:lineRule="auto"/>
        <w:tabs>
          <w:tab w:leader="none" w:pos="2197" w:val="left"/>
        </w:tabs>
        <w:numPr>
          <w:ilvl w:val="0"/>
          <w:numId w:val="24"/>
        </w:numPr>
        <w:rPr>
          <w:rFonts w:ascii="Arial" w:cs="Arial" w:eastAsia="Arial" w:hAnsi="Arial"/>
          <w:sz w:val="21"/>
          <w:szCs w:val="21"/>
          <w:color w:val="auto"/>
        </w:rPr>
      </w:pPr>
      <w:r>
        <w:rPr>
          <w:rFonts w:ascii="Arial" w:cs="Arial" w:eastAsia="Arial" w:hAnsi="Arial"/>
          <w:sz w:val="21"/>
          <w:szCs w:val="21"/>
          <w:color w:val="auto"/>
        </w:rPr>
        <w:t>“Derivative Interest” shall mean (i) any option, warrant, convertible security, appreciation right or similar right with an exercise, conversion or exchange privilege, or a settlement payment or mechanism, related to any security of the Corporation, or any similar instrument with a value derived in whole or in part from the value of any security of the Corporation, in any such case whether or not it is subject to settlement in any security of the Corporation or otherwise and (ii) any arrangement, agreement or understanding (including any short position or any borrowing or lending of any securities) which includes an opportunity for the stockholder, Stockholder Associated Person, Proposed Nominee, or Proposed Nominee Associated Person (as applicable), directly or indirectly, to profit or share in any profit derived from any increase or decrease in the value of any security of the Corporation, to mitigate any loss or manage any risk associated with any increase or decrease in the value of any security of the Corporation or to increase or decrease the number of securities of the Corporation which such person is or will be entitled to vote or direct the vote, in any case whether or not it is subject to settlement in any security of the Corporation or otherwise; provided, however, that Derivative Interests shall not include: (a) rights of a pledgee under a bona fide pledge of any security of the Corporation; (b) rights applicable to all holders of a class or series of securities of the Corporation to receive securities of the Corporation pro rata, or obligations to dispose of securities of the Corporation, as a result of a merger, exchange offer or consolidation involving the Corporation; (c) rights or obligations to surrender any number or principal amount of securities of the Corporation, or have any number or principal amount of securities of the Corporation withheld, upon the receipt or exercise of a derivative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3" w:right="239" w:bottom="1440" w:gutter="0" w:footer="0" w:header="0"/>
        </w:sectPr>
      </w:pPr>
    </w:p>
    <w:bookmarkStart w:id="65" w:name="page66"/>
    <w:bookmarkEnd w:id="65"/>
    <w:p>
      <w:pPr>
        <w:jc w:val="both"/>
        <w:spacing w:after="0" w:line="247" w:lineRule="auto"/>
        <w:rPr>
          <w:sz w:val="20"/>
          <w:szCs w:val="20"/>
          <w:color w:val="auto"/>
        </w:rPr>
      </w:pPr>
      <w:r>
        <w:rPr>
          <w:rFonts w:ascii="Arial" w:cs="Arial" w:eastAsia="Arial" w:hAnsi="Arial"/>
          <w:sz w:val="22"/>
          <w:szCs w:val="22"/>
          <w:color w:val="auto"/>
        </w:rPr>
        <w:t>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Corporation held by current or former directors, employees, consultants or agents of the Corporation; or (f) options granted to an underwriter in a registered public offering for the purpose of satisfying over-allotments in such offering.</w:t>
      </w:r>
    </w:p>
    <w:p>
      <w:pPr>
        <w:spacing w:after="0" w:line="13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8"/>
          <w:szCs w:val="18"/>
          <w:b w:val="1"/>
          <w:bCs w:val="1"/>
          <w:i w:val="1"/>
          <w:iCs w:val="1"/>
          <w:color w:val="auto"/>
        </w:rPr>
        <w:t>Stockholder Action by Written Consent.</w:t>
      </w:r>
    </w:p>
    <w:p>
      <w:pPr>
        <w:spacing w:after="0" w:line="172" w:lineRule="exact"/>
        <w:rPr>
          <w:sz w:val="20"/>
          <w:szCs w:val="20"/>
          <w:color w:val="auto"/>
        </w:rPr>
      </w:pPr>
    </w:p>
    <w:p>
      <w:pPr>
        <w:jc w:val="both"/>
        <w:ind w:firstLine="656"/>
        <w:spacing w:after="0" w:line="283" w:lineRule="auto"/>
        <w:tabs>
          <w:tab w:leader="none" w:pos="1536"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Request for Record Date</w:t>
      </w:r>
      <w:r>
        <w:rPr>
          <w:rFonts w:ascii="Arial" w:cs="Arial" w:eastAsia="Arial" w:hAnsi="Arial"/>
          <w:sz w:val="19"/>
          <w:szCs w:val="19"/>
          <w:color w:val="auto"/>
        </w:rPr>
        <w:t>. The record date for determining stockholders entitled to express consent to corporate action in writing without a meeting shall be as fixed by the board of directors or as otherwise established under this section. Any person seeking to have the stockholders authorize or take corporate action by written consent without a meeting shall, by written notice addressed to the secretary of the Corporation and delivered to the Corporation and signed by a stockholder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Corporation receives such notice to fix a record date for such purpose, the record date shall be the day on which the first written consent is delivered to the Corporation in the manner described in paragraph</w:t>
      </w:r>
    </w:p>
    <w:p>
      <w:pPr>
        <w:spacing w:after="0" w:line="7" w:lineRule="exact"/>
        <w:rPr>
          <w:rFonts w:ascii="Arial" w:cs="Arial" w:eastAsia="Arial" w:hAnsi="Arial"/>
          <w:sz w:val="19"/>
          <w:szCs w:val="19"/>
          <w:color w:val="auto"/>
        </w:rPr>
      </w:pPr>
    </w:p>
    <w:p>
      <w:pPr>
        <w:ind w:right="20" w:firstLine="8"/>
        <w:spacing w:after="0" w:line="246" w:lineRule="auto"/>
        <w:tabs>
          <w:tab w:leader="none" w:pos="307" w:val="left"/>
        </w:tabs>
        <w:numPr>
          <w:ilvl w:val="0"/>
          <w:numId w:val="26"/>
        </w:numPr>
        <w:rPr>
          <w:rFonts w:ascii="Arial" w:cs="Arial" w:eastAsia="Arial" w:hAnsi="Arial"/>
          <w:sz w:val="22"/>
          <w:szCs w:val="22"/>
          <w:color w:val="auto"/>
        </w:rPr>
      </w:pPr>
      <w:r>
        <w:rPr>
          <w:rFonts w:ascii="Arial" w:cs="Arial" w:eastAsia="Arial" w:hAnsi="Arial"/>
          <w:sz w:val="22"/>
          <w:szCs w:val="22"/>
          <w:color w:val="auto"/>
        </w:rPr>
        <w:t>of this section; except that, if prior action by the board is required under the provisions of Delaware law, the record date shall be at the close of business on the day on which the board adopts the resolution taking such prior action.</w:t>
      </w:r>
    </w:p>
    <w:p>
      <w:pPr>
        <w:spacing w:after="0" w:line="138" w:lineRule="exact"/>
        <w:rPr>
          <w:rFonts w:ascii="Arial" w:cs="Arial" w:eastAsia="Arial" w:hAnsi="Arial"/>
          <w:sz w:val="22"/>
          <w:szCs w:val="22"/>
          <w:color w:val="auto"/>
        </w:rPr>
      </w:pPr>
    </w:p>
    <w:p>
      <w:pPr>
        <w:jc w:val="both"/>
        <w:ind w:firstLine="656"/>
        <w:spacing w:after="0" w:line="261" w:lineRule="auto"/>
        <w:tabs>
          <w:tab w:leader="none" w:pos="1549"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Notice Requirements</w:t>
      </w:r>
      <w:r>
        <w:rPr>
          <w:rFonts w:ascii="Arial" w:cs="Arial" w:eastAsia="Arial" w:hAnsi="Arial"/>
          <w:sz w:val="21"/>
          <w:szCs w:val="21"/>
          <w:color w:val="auto"/>
        </w:rPr>
        <w:t>. Any stockholder’s notice required by paragraph (a) of this section must describe the action that the stockholder proposes to take by consent. For each such proposal, every notice by a stockholder must state (i) the information required by section 1.11 as though such stockholder was intending to make a nomination or to bring any such other matter before a meeting of stockholders, and as though such stockholder was not seeking to include any such nomination or other matter in the proxy statement of the Corporation and (ii) the text of the proposal (including the text of any resolutions to be effected by consent and the language of any proposed amendment to the bylaws of the Corporation).</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addition to the foregoing, the notice must state as to the stockholder giving the notice and the beneficial owner, if any, on whose behalf the notice is given a representation whether the stockholder or the beneficial owner, if any, intends or is part of a group which intends to (i) deliver a proxy statement and/or consent solicitation statement to stockholders of at least the percentage of the Corporation’s outstanding capital stock required to effect the action by consent either to solicit consents or to solicit proxies to execute consents, and/or (ii) otherwise solicit proxies or consents from stockholders in support of the action to be taken by consent. The Corporation may require the stockholder of record and/or beneficial owner requesting a record date for proposed stockholder action by consent to furnish such other information as it may reasonably require to determine the validity of the request for a record date.</w:t>
      </w:r>
    </w:p>
    <w:p>
      <w:pPr>
        <w:spacing w:after="0" w:line="357" w:lineRule="exact"/>
        <w:rPr>
          <w:sz w:val="20"/>
          <w:szCs w:val="20"/>
          <w:color w:val="auto"/>
        </w:rPr>
      </w:pPr>
    </w:p>
    <w:p>
      <w:pPr>
        <w:jc w:val="both"/>
        <w:ind w:firstLine="656"/>
        <w:spacing w:after="0" w:line="263" w:lineRule="auto"/>
        <w:tabs>
          <w:tab w:leader="none" w:pos="1536"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Date of Consent</w:t>
      </w:r>
      <w:r>
        <w:rPr>
          <w:rFonts w:ascii="Arial" w:cs="Arial" w:eastAsia="Arial" w:hAnsi="Arial"/>
          <w:sz w:val="21"/>
          <w:szCs w:val="21"/>
          <w:color w:val="auto"/>
        </w:rPr>
        <w:t>. Every written consent purporting to take or authorize the taking of corporate action (each such written consent is referred to in this paragraph and in paragraph (d) as a “Consent”) must bear the date of signature of each stockholder who signs the Consent, and no Consent shall be effective to take the corporate action referred to therein unless, within 60 days of the earliest dated Consent delivered in the manner required by this section, Consents signed by a sufficient number of stockholders to take such action are so delivered to the Corporation.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53" w:right="239" w:bottom="1440" w:gutter="0" w:footer="0" w:header="0"/>
        </w:sectPr>
      </w:pPr>
    </w:p>
    <w:bookmarkStart w:id="66" w:name="page67"/>
    <w:bookmarkEnd w:id="66"/>
    <w:p>
      <w:pPr>
        <w:jc w:val="both"/>
        <w:ind w:firstLine="656"/>
        <w:spacing w:after="0" w:line="253" w:lineRule="auto"/>
        <w:tabs>
          <w:tab w:leader="none" w:pos="1549"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Delivery of Consent</w:t>
      </w:r>
      <w:r>
        <w:rPr>
          <w:rFonts w:ascii="Arial" w:cs="Arial" w:eastAsia="Arial" w:hAnsi="Arial"/>
          <w:sz w:val="22"/>
          <w:szCs w:val="22"/>
          <w:color w:val="auto"/>
        </w:rPr>
        <w:t>. Consent must be delivered to the Corporation by delivery to its registered office in the State of Delaware or its principal place of business. Delivery must be made by hand or by certified or registered mail, return receipt requested.</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the event of the delivery to the Corporation of Consents, the secretary of the Corporation, or such other officer of the Corporation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stockholder consent as the secretary of the Corporation, or such other officer of the Corporation as the board may designate, as the case may be, deems necessary or appropriate, including, without limitation, whether the stockholders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Corporation, or such other officer of the Corporation as the board may designate, as the case may be, shall promptly designate two persons, who shall not be members of the board, to serve as inspectors (“Inspectors”) with respect to such Consent and such Inspectors shall discharge the functions of the secretary of the Corporation, or such other officer of the Corporation as the board may designate, as the case may be, under this section. If after such investigation the secretary of the Corporation, such other officer of the Corporation as the board may designate or the Inspectors, as the case may be, shall determine that the action purported to have been taken is duly authorized by the Consents, that fact shall be certified on the records of the Corporation kept for the purpose of recording the proceedings of meetings of stockholders and the Consents shall be filed in such records.</w:t>
      </w:r>
    </w:p>
    <w:p>
      <w:pPr>
        <w:spacing w:after="0" w:line="200" w:lineRule="exact"/>
        <w:rPr>
          <w:sz w:val="20"/>
          <w:szCs w:val="20"/>
          <w:color w:val="auto"/>
        </w:rPr>
      </w:pPr>
    </w:p>
    <w:p>
      <w:pPr>
        <w:spacing w:after="0" w:line="38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conducting the investigation required by this section, the secretary of the Corporation, such other officer of the Corporation as the board may designate or the Inspectors, as the case may be, may, at the expense of the Corporation,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305" w:lineRule="exact"/>
        <w:rPr>
          <w:sz w:val="20"/>
          <w:szCs w:val="20"/>
          <w:color w:val="auto"/>
        </w:rPr>
      </w:pPr>
    </w:p>
    <w:p>
      <w:pPr>
        <w:jc w:val="both"/>
        <w:ind w:firstLine="656"/>
        <w:spacing w:after="0" w:line="297" w:lineRule="auto"/>
        <w:tabs>
          <w:tab w:leader="none" w:pos="1536"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Effectiveness of Consent</w:t>
      </w:r>
      <w:r>
        <w:rPr>
          <w:rFonts w:ascii="Arial" w:cs="Arial" w:eastAsia="Arial" w:hAnsi="Arial"/>
          <w:sz w:val="19"/>
          <w:szCs w:val="19"/>
          <w:color w:val="auto"/>
        </w:rPr>
        <w:t>. No action by written consent without a meeting shall be effective until such date as the secretary of the Corporation, such other officer of the Corporation as the board may designate, or the Inspectors, as applicable, certify to the Corporation that the consents delivered to the Corporation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93" w:lineRule="exact"/>
        <w:rPr>
          <w:rFonts w:ascii="Arial" w:cs="Arial" w:eastAsia="Arial" w:hAnsi="Arial"/>
          <w:sz w:val="19"/>
          <w:szCs w:val="19"/>
          <w:color w:val="auto"/>
        </w:rPr>
      </w:pPr>
    </w:p>
    <w:p>
      <w:pPr>
        <w:jc w:val="both"/>
        <w:ind w:firstLine="656"/>
        <w:spacing w:after="0" w:line="247" w:lineRule="auto"/>
        <w:tabs>
          <w:tab w:leader="none" w:pos="151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Challenge to Validity of Consent</w:t>
      </w:r>
      <w:r>
        <w:rPr>
          <w:rFonts w:ascii="Arial" w:cs="Arial" w:eastAsia="Arial" w:hAnsi="Arial"/>
          <w:sz w:val="22"/>
          <w:szCs w:val="22"/>
          <w:color w:val="auto"/>
        </w:rPr>
        <w:t>. Nothing contained in this section 1.12 shall in any way be construed to suggest or imply that the board of directors of the Corporation or any stockholder shall not be entitled to contest the validity of any Consent or related revocations, whether before or after such certification by the secretary of the Corporation, such other officer of the Corporation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BOARD OF DIRECTORS</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8"/>
          <w:szCs w:val="18"/>
          <w:b w:val="1"/>
          <w:bCs w:val="1"/>
          <w:i w:val="1"/>
          <w:iCs w:val="1"/>
          <w:color w:val="auto"/>
        </w:rPr>
        <w:t>Responsibility and Number.</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business and affairs of the Corporation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53" w:right="23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22"/>
          <w:szCs w:val="22"/>
          <w:color w:val="auto"/>
        </w:rPr>
        <w:t>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3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8"/>
          <w:szCs w:val="18"/>
          <w:b w:val="1"/>
          <w:bCs w:val="1"/>
          <w:i w:val="1"/>
          <w:iCs w:val="1"/>
          <w:color w:val="auto"/>
        </w:rPr>
        <w:t>Term; Election; Resignation; Vacancies.</w:t>
      </w:r>
    </w:p>
    <w:p>
      <w:pPr>
        <w:spacing w:after="0" w:line="172" w:lineRule="exact"/>
        <w:rPr>
          <w:sz w:val="20"/>
          <w:szCs w:val="20"/>
          <w:color w:val="auto"/>
        </w:rPr>
      </w:pPr>
    </w:p>
    <w:p>
      <w:pPr>
        <w:jc w:val="both"/>
        <w:ind w:firstLine="656"/>
        <w:spacing w:after="0" w:line="265" w:lineRule="auto"/>
        <w:tabs>
          <w:tab w:leader="none" w:pos="1536"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Each nominee elected by the stockholders to serve as a director shall hold office for a term commencing on the date of the stockholder meeting at which he was elected, or such later date as shall be determined by the board of directors, and ending on the next annual meeting of stockholders. Each elected director shall hold office until his successor is elected and qualified, unless he dies, resigns or otherwise leaves the board before then.</w:t>
      </w:r>
    </w:p>
    <w:p>
      <w:pPr>
        <w:spacing w:after="0" w:line="121" w:lineRule="exact"/>
        <w:rPr>
          <w:rFonts w:ascii="Arial" w:cs="Arial" w:eastAsia="Arial" w:hAnsi="Arial"/>
          <w:sz w:val="21"/>
          <w:szCs w:val="21"/>
          <w:color w:val="auto"/>
        </w:rPr>
      </w:pPr>
    </w:p>
    <w:p>
      <w:pPr>
        <w:jc w:val="both"/>
        <w:ind w:firstLine="656"/>
        <w:spacing w:after="0" w:line="253" w:lineRule="auto"/>
        <w:tabs>
          <w:tab w:leader="none" w:pos="1549"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Election of Directors</w:t>
      </w:r>
      <w:r>
        <w:rPr>
          <w:rFonts w:ascii="Arial" w:cs="Arial" w:eastAsia="Arial" w:hAnsi="Arial"/>
          <w:sz w:val="22"/>
          <w:szCs w:val="22"/>
          <w:color w:val="auto"/>
        </w:rPr>
        <w:t>. Nominations of candidates for election as directors at any stockholder meeting at which directors will be elected may be made (i) by the board, or (ii) by any stockholder entitled to vote at such meeting who has complied with section 1.11 of these bylaws.</w:t>
      </w:r>
    </w:p>
    <w:p>
      <w:pPr>
        <w:spacing w:after="0" w:line="131" w:lineRule="exact"/>
        <w:rPr>
          <w:rFonts w:ascii="Arial" w:cs="Arial" w:eastAsia="Arial" w:hAnsi="Arial"/>
          <w:sz w:val="22"/>
          <w:szCs w:val="22"/>
          <w:color w:val="auto"/>
        </w:rPr>
      </w:pPr>
    </w:p>
    <w:p>
      <w:pPr>
        <w:jc w:val="both"/>
        <w:ind w:firstLine="656"/>
        <w:spacing w:after="0" w:line="302" w:lineRule="auto"/>
        <w:tabs>
          <w:tab w:leader="none" w:pos="1536"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Majority Voting</w:t>
      </w:r>
      <w:r>
        <w:rPr>
          <w:rFonts w:ascii="Arial" w:cs="Arial" w:eastAsia="Arial" w:hAnsi="Arial"/>
          <w:sz w:val="19"/>
          <w:szCs w:val="19"/>
          <w:color w:val="auto"/>
        </w:rPr>
        <w:t>. Except as provided in paragraph (d) below, to be elected a director at any stockholder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88" w:lineRule="exact"/>
        <w:rPr>
          <w:rFonts w:ascii="Arial" w:cs="Arial" w:eastAsia="Arial" w:hAnsi="Arial"/>
          <w:sz w:val="19"/>
          <w:szCs w:val="19"/>
          <w:color w:val="auto"/>
        </w:rPr>
      </w:pPr>
    </w:p>
    <w:p>
      <w:pPr>
        <w:jc w:val="both"/>
        <w:ind w:firstLine="656"/>
        <w:spacing w:after="0" w:line="289" w:lineRule="auto"/>
        <w:tabs>
          <w:tab w:leader="none" w:pos="1549"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Contested Elections</w:t>
      </w:r>
      <w:r>
        <w:rPr>
          <w:rFonts w:ascii="Arial" w:cs="Arial" w:eastAsia="Arial" w:hAnsi="Arial"/>
          <w:sz w:val="19"/>
          <w:szCs w:val="19"/>
          <w:color w:val="auto"/>
        </w:rPr>
        <w:t>.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stockholder (the “Nominating Stockholder”) intends to make a nomination at such meeting, (ii) the number of nominated individuals including the Nominating Stockholder’s nominees would exceed the number of directors to be elected, and (iii) the notice has not been withdrawn by the 14th day before the date that the Corporation begins mailing its notice of such meeting to stockholders, unless the Board determines in its reasonable judgment that the Nominating Stockholder’s nominee or nominees are likely to receive less than 0.01 percent of the votes cast in such election. Such a determination may be based on a variety of factors, including but not limited to the number of votes received by candidates nominated by the Nominating Stockholder at previous stockholder meetings.</w:t>
      </w:r>
    </w:p>
    <w:p>
      <w:pPr>
        <w:spacing w:after="0" w:line="103" w:lineRule="exact"/>
        <w:rPr>
          <w:rFonts w:ascii="Arial" w:cs="Arial" w:eastAsia="Arial" w:hAnsi="Arial"/>
          <w:sz w:val="19"/>
          <w:szCs w:val="19"/>
          <w:color w:val="auto"/>
        </w:rPr>
      </w:pPr>
    </w:p>
    <w:p>
      <w:pPr>
        <w:ind w:left="1540" w:hanging="884"/>
        <w:spacing w:after="0"/>
        <w:tabs>
          <w:tab w:leader="none" w:pos="15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Resignation and Replacement of Unsuccessful Incumbents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660" w:firstLine="645"/>
        <w:spacing w:after="0" w:line="343" w:lineRule="auto"/>
        <w:tabs>
          <w:tab w:leader="none" w:pos="21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Before the board can nominate any incumbent director for reelection to the board by majority voting under paragraph (c) of this section, such director must submit an irrevocable resignation that will become effective if,:</w:t>
      </w:r>
    </w:p>
    <w:p>
      <w:pPr>
        <w:spacing w:after="0" w:line="50" w:lineRule="exact"/>
        <w:rPr>
          <w:rFonts w:ascii="Arial" w:cs="Arial" w:eastAsia="Arial" w:hAnsi="Arial"/>
          <w:sz w:val="19"/>
          <w:szCs w:val="19"/>
          <w:color w:val="auto"/>
        </w:rPr>
      </w:pPr>
    </w:p>
    <w:p>
      <w:pPr>
        <w:ind w:left="2280" w:hanging="327"/>
        <w:spacing w:after="0"/>
        <w:tabs>
          <w:tab w:leader="none" w:pos="2280" w:val="left"/>
        </w:tabs>
        <w:numPr>
          <w:ilvl w:val="2"/>
          <w:numId w:val="30"/>
        </w:numPr>
        <w:rPr>
          <w:rFonts w:ascii="Arial" w:cs="Arial" w:eastAsia="Arial" w:hAnsi="Arial"/>
          <w:sz w:val="19"/>
          <w:szCs w:val="19"/>
          <w:color w:val="auto"/>
        </w:rPr>
      </w:pPr>
      <w:r>
        <w:rPr>
          <w:rFonts w:ascii="Arial" w:cs="Arial" w:eastAsia="Arial" w:hAnsi="Arial"/>
          <w:sz w:val="19"/>
          <w:szCs w:val="19"/>
          <w:color w:val="auto"/>
        </w:rPr>
        <w:t>He does not receive a majority of the votes cast, as calculated pursuant to paragraph (c) above; and</w:t>
      </w:r>
    </w:p>
    <w:p>
      <w:pPr>
        <w:spacing w:after="0" w:line="200" w:lineRule="exact"/>
        <w:rPr>
          <w:rFonts w:ascii="Arial" w:cs="Arial" w:eastAsia="Arial" w:hAnsi="Arial"/>
          <w:sz w:val="19"/>
          <w:szCs w:val="19"/>
          <w:color w:val="auto"/>
        </w:rPr>
      </w:pPr>
    </w:p>
    <w:p>
      <w:pPr>
        <w:ind w:left="2280" w:hanging="327"/>
        <w:spacing w:after="0"/>
        <w:tabs>
          <w:tab w:leader="none" w:pos="2280" w:val="left"/>
        </w:tabs>
        <w:numPr>
          <w:ilvl w:val="2"/>
          <w:numId w:val="30"/>
        </w:numPr>
        <w:rPr>
          <w:rFonts w:ascii="Arial" w:cs="Arial" w:eastAsia="Arial" w:hAnsi="Arial"/>
          <w:sz w:val="22"/>
          <w:szCs w:val="22"/>
          <w:color w:val="auto"/>
        </w:rPr>
      </w:pPr>
      <w:r>
        <w:rPr>
          <w:rFonts w:ascii="Arial" w:cs="Arial" w:eastAsia="Arial" w:hAnsi="Arial"/>
          <w:sz w:val="22"/>
          <w:szCs w:val="22"/>
          <w:color w:val="auto"/>
        </w:rPr>
        <w:t>The board accepts his resignation in accordance with this paragraph (c).</w:t>
      </w:r>
    </w:p>
    <w:p>
      <w:pPr>
        <w:spacing w:after="0" w:line="166" w:lineRule="exact"/>
        <w:rPr>
          <w:sz w:val="20"/>
          <w:szCs w:val="20"/>
          <w:color w:val="auto"/>
        </w:rPr>
      </w:pPr>
    </w:p>
    <w:p>
      <w:pPr>
        <w:jc w:val="both"/>
        <w:ind w:left="660" w:firstLine="645"/>
        <w:spacing w:after="0" w:line="294" w:lineRule="auto"/>
        <w:tabs>
          <w:tab w:leader="none" w:pos="2221" w:val="left"/>
        </w:tabs>
        <w:numPr>
          <w:ilvl w:val="0"/>
          <w:numId w:val="31"/>
        </w:numPr>
        <w:rPr>
          <w:rFonts w:ascii="Arial" w:cs="Arial" w:eastAsia="Arial" w:hAnsi="Arial"/>
          <w:sz w:val="19"/>
          <w:szCs w:val="19"/>
          <w:color w:val="auto"/>
        </w:rPr>
      </w:pPr>
      <w:r>
        <w:rPr>
          <w:rFonts w:ascii="Arial" w:cs="Arial" w:eastAsia="Arial" w:hAnsi="Arial"/>
          <w:sz w:val="19"/>
          <w:szCs w:val="19"/>
          <w:color w:val="auto"/>
        </w:rPr>
        <w:t>Within 90 days of receiving the certified vote pertaining to any election of directors by stockholders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 interests of the Corporation for him to continue serving as a director. The committee in making its recommendation and the board in making its determination may consider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53" w:right="239" w:bottom="1440" w:gutter="0" w:footer="0" w:header="0"/>
        </w:sectPr>
      </w:pPr>
    </w:p>
    <w:bookmarkStart w:id="68" w:name="page69"/>
    <w:bookmarkEnd w:id="68"/>
    <w:p>
      <w:pPr>
        <w:ind w:left="660"/>
        <w:spacing w:after="0" w:line="263" w:lineRule="auto"/>
        <w:rPr>
          <w:sz w:val="20"/>
          <w:szCs w:val="20"/>
          <w:color w:val="auto"/>
        </w:rPr>
      </w:pPr>
      <w:r>
        <w:rPr>
          <w:rFonts w:ascii="Arial" w:cs="Arial" w:eastAsia="Arial" w:hAnsi="Arial"/>
          <w:sz w:val="22"/>
          <w:szCs w:val="22"/>
          <w:color w:val="auto"/>
        </w:rPr>
        <w:t>any factors they determine appropriate. Unless the board makes such a determination, the board shall not elect or appoint any unsuccessful incumbent to the board for at least one year after such annual meeting.</w:t>
      </w:r>
    </w:p>
    <w:p>
      <w:pPr>
        <w:spacing w:after="0" w:line="121" w:lineRule="exact"/>
        <w:rPr>
          <w:sz w:val="20"/>
          <w:szCs w:val="20"/>
          <w:color w:val="auto"/>
        </w:rPr>
      </w:pPr>
    </w:p>
    <w:p>
      <w:pPr>
        <w:jc w:val="both"/>
        <w:ind w:left="660" w:firstLine="645"/>
        <w:spacing w:after="0" w:line="253" w:lineRule="auto"/>
        <w:tabs>
          <w:tab w:leader="none" w:pos="2281" w:val="left"/>
        </w:tabs>
        <w:numPr>
          <w:ilvl w:val="1"/>
          <w:numId w:val="32"/>
        </w:numPr>
        <w:rPr>
          <w:rFonts w:ascii="Arial" w:cs="Arial" w:eastAsia="Arial" w:hAnsi="Arial"/>
          <w:sz w:val="22"/>
          <w:szCs w:val="22"/>
          <w:color w:val="auto"/>
        </w:rPr>
      </w:pPr>
      <w:r>
        <w:rPr>
          <w:rFonts w:ascii="Arial" w:cs="Arial" w:eastAsia="Arial" w:hAnsi="Arial"/>
          <w:sz w:val="22"/>
          <w:szCs w:val="22"/>
          <w:color w:val="auto"/>
        </w:rPr>
        <w:t>If the board accepts the resignation of an unsuccessful incumbent, the governance and corporate responsibility committee shall promptly recommend a candidate to the board to fill any resulting vacancy, and the board shall promptly consider and act upon that recommendation.</w:t>
      </w:r>
    </w:p>
    <w:p>
      <w:pPr>
        <w:spacing w:after="0" w:line="131" w:lineRule="exact"/>
        <w:rPr>
          <w:rFonts w:ascii="Arial" w:cs="Arial" w:eastAsia="Arial" w:hAnsi="Arial"/>
          <w:sz w:val="22"/>
          <w:szCs w:val="22"/>
          <w:color w:val="auto"/>
        </w:rPr>
      </w:pPr>
    </w:p>
    <w:p>
      <w:pPr>
        <w:jc w:val="both"/>
        <w:ind w:firstLine="656"/>
        <w:spacing w:after="0" w:line="312" w:lineRule="auto"/>
        <w:tabs>
          <w:tab w:leader="none" w:pos="1512"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Other Resignations</w:t>
      </w:r>
      <w:r>
        <w:rPr>
          <w:rFonts w:ascii="Arial" w:cs="Arial" w:eastAsia="Arial" w:hAnsi="Arial"/>
          <w:sz w:val="19"/>
          <w:szCs w:val="19"/>
          <w:color w:val="auto"/>
        </w:rPr>
        <w:t>. Any director may resign at any time upon notice given in writing or by electronic transmission to the chairman of the board or to the secretary. A resignation is effective when the resignation is delivered unless the resignation specifies (i) a later effective date or (ii) an effective date determined upon the occurrence of a specified event.</w:t>
      </w:r>
    </w:p>
    <w:p>
      <w:pPr>
        <w:spacing w:after="0" w:line="79" w:lineRule="exact"/>
        <w:rPr>
          <w:rFonts w:ascii="Arial" w:cs="Arial" w:eastAsia="Arial" w:hAnsi="Arial"/>
          <w:sz w:val="19"/>
          <w:szCs w:val="19"/>
          <w:color w:val="auto"/>
        </w:rPr>
      </w:pPr>
    </w:p>
    <w:p>
      <w:pPr>
        <w:jc w:val="both"/>
        <w:ind w:firstLine="656"/>
        <w:spacing w:after="0" w:line="343" w:lineRule="auto"/>
        <w:tabs>
          <w:tab w:leader="none" w:pos="1549"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Removal</w:t>
      </w:r>
      <w:r>
        <w:rPr>
          <w:rFonts w:ascii="Arial" w:cs="Arial" w:eastAsia="Arial" w:hAnsi="Arial"/>
          <w:sz w:val="19"/>
          <w:szCs w:val="19"/>
          <w:color w:val="auto"/>
        </w:rPr>
        <w:t>. Any director may be removed from office, with or without cause, by the affirmative vote of the holders of at least a majority of the voting power of the outstanding shares of all classes of stock entitled to vote at the election of directors.</w:t>
      </w:r>
    </w:p>
    <w:p>
      <w:pPr>
        <w:spacing w:after="0" w:line="50" w:lineRule="exact"/>
        <w:rPr>
          <w:rFonts w:ascii="Arial" w:cs="Arial" w:eastAsia="Arial" w:hAnsi="Arial"/>
          <w:sz w:val="19"/>
          <w:szCs w:val="19"/>
          <w:color w:val="auto"/>
        </w:rPr>
      </w:pPr>
    </w:p>
    <w:p>
      <w:pPr>
        <w:jc w:val="both"/>
        <w:ind w:firstLine="656"/>
        <w:spacing w:after="0" w:line="265" w:lineRule="auto"/>
        <w:tabs>
          <w:tab w:leader="none" w:pos="1549"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Filling a Vacancy</w:t>
      </w:r>
      <w:r>
        <w:rPr>
          <w:rFonts w:ascii="Arial" w:cs="Arial" w:eastAsia="Arial" w:hAnsi="Arial"/>
          <w:sz w:val="21"/>
          <w:szCs w:val="21"/>
          <w:color w:val="auto"/>
        </w:rPr>
        <w:t>. Any vacancy occurring in the board for any reason may be filled by a majority of the members of the board then in office, even if they do not constitute a quorum. Each director so elected shall hold office for a term expiring at the same time as the terms of the directors serving at the time he joins the board. Each such director shall hold office until his successor is elected and qualified, unless he dies, resigns or otherwise leaves the board before then.</w:t>
      </w:r>
    </w:p>
    <w:p>
      <w:pPr>
        <w:spacing w:after="0" w:line="1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i w:val="1"/>
          <w:iCs w:val="1"/>
          <w:color w:val="auto"/>
        </w:rPr>
        <w:t>Regular Meetings.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Unless otherwise determined by resolution of the board of directors, a meeting of the board for the election of officers and the transaction of such other business as may come before it shall be held as soon as practicable following the annual meeting of stockholders, and other regular meetings of the board shall be held as designated by the chairman of the board.</w:t>
      </w:r>
    </w:p>
    <w:p>
      <w:pPr>
        <w:spacing w:after="0" w:line="32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8"/>
          <w:szCs w:val="18"/>
          <w:b w:val="1"/>
          <w:bCs w:val="1"/>
          <w:i w:val="1"/>
          <w:iCs w:val="1"/>
          <w:color w:val="auto"/>
        </w:rPr>
        <w:t>Special Meetings.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Special meetings of the board of directors may be called by the chairman of the board, or the chairman of the board may by written designation appoint the chief executive officer, the president, the vice chairman, or a vice president of the Corporation to call such meeting. Special meetings may also be called by the lead director, or if there is no lead director, the chairman of the governance and corporate responsibility committee or by written request of one-third of the directors then in office. The place, date, and time of a special meeting shall be fixed by the person or persons calling the special meeting. Notice of a special meeting of the board of directors shall be sent by the secretary of the Corporation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3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8"/>
          <w:szCs w:val="18"/>
          <w:b w:val="1"/>
          <w:bCs w:val="1"/>
          <w:i w:val="1"/>
          <w:iCs w:val="1"/>
          <w:color w:val="auto"/>
        </w:rPr>
        <w:t>Quorum; Vote Required for Action.</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all meetings of the board of directors, one-third of the total number of directors then in office, shall be necessary to constitute a quorum for the transaction of business. Except in cases in which applicable law, the certificate of incorporation, or these bylaws provide otherwise, the vote of a majority of the directors present at a meeting at which a quorum is present shall be the act of the board.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53" w:right="239" w:bottom="1440" w:gutter="0" w:footer="0" w:header="0"/>
        </w:sectPr>
      </w:pPr>
    </w:p>
    <w:bookmarkStart w:id="69" w:name="page70"/>
    <w:bookmarkEnd w:id="69"/>
    <w:p>
      <w:pPr>
        <w:spacing w:after="0"/>
        <w:tabs>
          <w:tab w:leader="none" w:pos="4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i w:val="1"/>
          <w:iCs w:val="1"/>
          <w:color w:val="auto"/>
        </w:rPr>
        <w:t>Election of Chairman; Conduct of Board Meetings.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its sole discretion based on current circumstances, the board of directors shall annually elect one of its members to be chairman of the board and shall fill any vacancy in the position of chairman of the board with a director at such time and in such manner as the board shall determine. A director may be removed from the position of chairman of the board at any time by the affirmative vote of a majority of the board. The chairman of the board may but need not be an officer or employed in an executive or any other capacity by the Corporation. If the chairman of the board is not an Independent Director, the board of directors shall designate a lead director, elected by and from the Independent Directors, with such responsibilities as the board may determine.</w:t>
      </w:r>
    </w:p>
    <w:p>
      <w:pPr>
        <w:spacing w:after="0" w:line="3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chairman of the board shall preside at meetings of the board and lead the board in fulfilling its responsibilities as defined in section 2.1.</w:t>
      </w:r>
    </w:p>
    <w:p>
      <w:pPr>
        <w:spacing w:after="0" w:line="33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absence of the chairman of the board, the lead director or, if there is no lead director, the chairman of the governance and corporate responsibility committee or, in his absence, a member of the board selected by the members present, shall preside at meetings of the board. The secretary of the Corporation shall act as secretary of the meetings of the board but, in his absence, the presiding director may appoint a secretary for the meeting.</w:t>
      </w:r>
    </w:p>
    <w:p>
      <w:pPr>
        <w:spacing w:after="0" w:line="3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i w:val="1"/>
          <w:iCs w:val="1"/>
          <w:color w:val="auto"/>
        </w:rPr>
        <w:t>Ratification.</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Any transaction questioned in any stockholders’ derivative suit on the grounds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in case less than a quorum of directors are qualified; and, if so ratified, shall have the same force and effect as if the questioned transaction had been originally duly authorized, and said ratification shall be binding upon the Corporation and its stockholders and shall constitute a bar to any claim or execution of any judgment in respect of such questioned transaction.</w:t>
      </w:r>
    </w:p>
    <w:p>
      <w:pPr>
        <w:spacing w:after="0" w:line="30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8"/>
          <w:szCs w:val="18"/>
          <w:b w:val="1"/>
          <w:bCs w:val="1"/>
          <w:i w:val="1"/>
          <w:iCs w:val="1"/>
          <w:color w:val="auto"/>
        </w:rPr>
        <w:t>Written Action by Directors.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w:t>
      </w:r>
    </w:p>
    <w:p>
      <w:pPr>
        <w:spacing w:after="0" w:line="33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8"/>
          <w:szCs w:val="18"/>
          <w:b w:val="1"/>
          <w:bCs w:val="1"/>
          <w:i w:val="1"/>
          <w:iCs w:val="1"/>
          <w:color w:val="auto"/>
        </w:rPr>
        <w:t>Telephonic Meetings Permitted.</w:t>
      </w:r>
    </w:p>
    <w:p>
      <w:pPr>
        <w:spacing w:after="0" w:line="17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29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8"/>
          <w:szCs w:val="18"/>
          <w:b w:val="1"/>
          <w:bCs w:val="1"/>
          <w:i w:val="1"/>
          <w:iCs w:val="1"/>
          <w:color w:val="auto"/>
        </w:rPr>
        <w:t>Independent Directors.</w:t>
      </w:r>
    </w:p>
    <w:p>
      <w:pPr>
        <w:spacing w:after="0" w:line="17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Two-thirds of the individuals nominated by the board of directors as candidates for election to the board by the stockholders at the next annual meeting of stockholders shall qualify to be Independent Directors (as defined in this section).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7" w:right="239" w:bottom="1440" w:gutter="0" w:footer="0" w:header="0"/>
        </w:sectPr>
      </w:pPr>
    </w:p>
    <w:bookmarkStart w:id="70" w:name="page71"/>
    <w:bookmarkEnd w:id="70"/>
    <w:p>
      <w:pPr>
        <w:jc w:val="both"/>
        <w:ind w:right="20"/>
        <w:spacing w:after="0" w:line="263" w:lineRule="auto"/>
        <w:rPr>
          <w:sz w:val="20"/>
          <w:szCs w:val="20"/>
          <w:color w:val="auto"/>
        </w:rPr>
      </w:pPr>
      <w:r>
        <w:rPr>
          <w:rFonts w:ascii="Arial" w:cs="Arial" w:eastAsia="Arial" w:hAnsi="Arial"/>
          <w:sz w:val="22"/>
          <w:szCs w:val="22"/>
          <w:color w:val="auto"/>
        </w:rPr>
        <w:t>If the board elects directors between annual meetings of stockholders, two-thirds of all directors holding office immediately after such election shall be Independent Directors.</w:t>
      </w:r>
    </w:p>
    <w:p>
      <w:pPr>
        <w:spacing w:after="0" w:line="33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For purposes of this section 2.10, the term “Independent Director” shall mean a director who qualifies as independent within the meaning of Rule 303A.02 of the New York Stock Exchange’s Listed Company Manual (or any successor provision).</w:t>
      </w:r>
    </w:p>
    <w:p>
      <w:pPr>
        <w:spacing w:after="0" w:line="26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8"/>
          <w:szCs w:val="18"/>
          <w:b w:val="1"/>
          <w:bCs w:val="1"/>
          <w:i w:val="1"/>
          <w:iCs w:val="1"/>
          <w:color w:val="auto"/>
        </w:rPr>
        <w:t>Access to Books and Records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records, books, and accounts of the Corporation maintained by or under the supervision of the chief financial officer, the secretary, or any other officer shall be open, during the usual hours for business of the Corporation, to the examination of any director for any purpose reasonably related to his role as a director.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COMMITTEES</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8"/>
          <w:szCs w:val="18"/>
          <w:b w:val="1"/>
          <w:bCs w:val="1"/>
          <w:i w:val="1"/>
          <w:iCs w:val="1"/>
          <w:color w:val="auto"/>
        </w:rPr>
        <w:t>Committees of the Board of Directors.</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board of directors may, by resolution passed by a majority of the total number of directors then in office (and not by a committee thereof), designate one or more committees, consisting of one or more of the directors of the Corporation,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Corporation.</w:t>
      </w:r>
    </w:p>
    <w:p>
      <w:pPr>
        <w:spacing w:after="0" w:line="35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standing committees of the board shall include the audit committee, the governance and corporate responsibility committee, the executive compensation committee, the finance committee, and the risk committee. The board (but not a committee thereof) may designate additional committees of the board and may prescribe for each committee such powers and authority as may properly be granted to such committees in the management of the business and affairs of the Corporation. The board of directors may establish by resolution, adopted by a majority of the whole board, an administrative committee with the authority and responsibility to act on behalf of the board with regard to matters submitted to the board that, pursuant to any statement of delegation of authority adopted by the board from time to time, do not constitute issues within the sole jurisdiction of the board or any committee thereof and are not otherwise significant.</w:t>
      </w:r>
    </w:p>
    <w:p>
      <w:pPr>
        <w:spacing w:after="0" w:line="34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8"/>
          <w:szCs w:val="18"/>
          <w:b w:val="1"/>
          <w:bCs w:val="1"/>
          <w:i w:val="1"/>
          <w:iCs w:val="1"/>
          <w:color w:val="auto"/>
        </w:rPr>
        <w:t>Election; Vacancies.</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members and the chairman of each committee described in sections 3.4 through 3.8 shall be elected annually by the board at its first meeting after each annual meeting of stockholders or at any other time the board shall determine. The members of other committees of the board may be designated at such time as the board may determine. Vacancies in any committee may be filled at such time and in such manner as the board shall determine.</w:t>
      </w:r>
    </w:p>
    <w:p>
      <w:pPr>
        <w:spacing w:after="0" w:line="3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i w:val="1"/>
          <w:iCs w:val="1"/>
          <w:color w:val="auto"/>
        </w:rPr>
        <w:t>Procedure; Quorum.</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to the extent otherwise provided in these bylaws or any resolution of the board of directors, each committee of the board may fix its own rules and procedures.</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At all meetings of any committee of the board, one-third of the members thereof shall constitute a quorum for the transaction of business. The vote of a majority of the members present at a meeting of a committee</w:t>
      </w:r>
    </w:p>
    <w:p>
      <w:pPr>
        <w:sectPr>
          <w:pgSz w:w="11900" w:h="16838" w:orient="portrait"/>
          <w:cols w:equalWidth="0" w:num="1">
            <w:col w:w="11420"/>
          </w:cols>
          <w:pgMar w:left="240" w:top="753"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53" w:right="239" w:bottom="1440" w:gutter="0" w:footer="0" w:header="0"/>
          <w:type w:val="continuous"/>
        </w:sectPr>
      </w:pPr>
    </w:p>
    <w:bookmarkStart w:id="71" w:name="page72"/>
    <w:bookmarkEnd w:id="71"/>
    <w:p>
      <w:pPr>
        <w:jc w:val="both"/>
        <w:spacing w:after="0" w:line="263" w:lineRule="auto"/>
        <w:rPr>
          <w:sz w:val="20"/>
          <w:szCs w:val="20"/>
          <w:color w:val="auto"/>
        </w:rPr>
      </w:pPr>
      <w:r>
        <w:rPr>
          <w:rFonts w:ascii="Arial" w:cs="Arial" w:eastAsia="Arial" w:hAnsi="Arial"/>
          <w:sz w:val="22"/>
          <w:szCs w:val="22"/>
          <w:color w:val="auto"/>
        </w:rPr>
        <w:t>of the board at which a quorum is present shall be the act of the committee unless the certificate of incorporation, these bylaws, or a resolution of the board requires the vote of a greater number.</w:t>
      </w:r>
    </w:p>
    <w:p>
      <w:pPr>
        <w:spacing w:after="0" w:line="3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8"/>
          <w:szCs w:val="18"/>
          <w:b w:val="1"/>
          <w:bCs w:val="1"/>
          <w:i w:val="1"/>
          <w:iCs w:val="1"/>
          <w:color w:val="auto"/>
        </w:rPr>
        <w:t>Finance Committee.</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finance committee shall be responsible for assisting the board of directors in its oversight of the Corporation’s financial policies and strategies, including its capital structure. In addition, the committee shall periodically receive reports regarding U.S. employee benefit plans for the purpose of reviewing the administration, financing, investment performance, risk and liability profile, and funding of such plans, in each case including with respect to regulatory compliance.</w:t>
      </w:r>
    </w:p>
    <w:p>
      <w:pPr>
        <w:spacing w:after="0" w:line="33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8"/>
          <w:szCs w:val="18"/>
          <w:b w:val="1"/>
          <w:bCs w:val="1"/>
          <w:i w:val="1"/>
          <w:iCs w:val="1"/>
          <w:color w:val="auto"/>
        </w:rPr>
        <w:t>Audit Committee.</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audit committee shall have and may exercise the powers, authority, and responsibilities that are normally appropriate for the functions of an audit committee. The committee shall also annually select the independent accountants for the following calendar year, and that selection shall be submitted to the board of directors for their concurrence and to the stockholders for their ratification or rejection at the annual meeting of stockholders.</w:t>
      </w:r>
    </w:p>
    <w:p>
      <w:pPr>
        <w:spacing w:after="0" w:line="3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8"/>
          <w:szCs w:val="18"/>
          <w:b w:val="1"/>
          <w:bCs w:val="1"/>
          <w:i w:val="1"/>
          <w:iCs w:val="1"/>
          <w:color w:val="auto"/>
        </w:rPr>
        <w:t>Executive Compensation Committee.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executive compensation committee shall be responsible for matters related to executive compensation and all other equity-based incentive compensation plans of the Corporation. The committee shall determine the compensation of: (a) employees of the Corporation who are directors of the Corporation; and (b) upon the recommendation of the chief executive officer, all senior officers of the Corporation and any other employee of the Corporation who occupies such other position as may be designated by the committee from time to time. The committee shall review the compensation of any director, officer or other employee of any direct or indirect subsidiary of the Corporation as may be designated by the committee from time to time to determine if it has any objection to such compensation. The committee shall have and may exercise the powers and authority granted to it by any incentive compensation plan for employees of the Corporation.</w:t>
      </w:r>
    </w:p>
    <w:p>
      <w:pPr>
        <w:spacing w:after="0" w:line="34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the case of any employee benefit or incentive compensation plan that affects employees of the Corporation or its subsidiaries if the compensation of such employees is determined or subject to review by the committee, such plan shall be submitted to the committee for its review before adoption by the Corporation or its subsidiary. Any such plan or amendment or modification shall be made effective with respect to employees of the Corporation only if and to the extent approved by the committee.</w:t>
      </w:r>
    </w:p>
    <w:p>
      <w:pPr>
        <w:spacing w:after="0" w:line="29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8"/>
          <w:szCs w:val="18"/>
          <w:b w:val="1"/>
          <w:bCs w:val="1"/>
          <w:i w:val="1"/>
          <w:iCs w:val="1"/>
          <w:color w:val="auto"/>
        </w:rPr>
        <w:t>Governance and Corporate Responsibility Committee.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governance and corporate responsibility committee shall be responsible for matters related to corporate governance, service on the board of directors of the Corporation, and issues associated with corporate responsibility. The committee from time to time shall conduct studies of the size and composition of the board. Prior to each annual meeting of stockholders, the committee shall recommend to the board (in accordance with the terms of the Stockholders Agreement) the individuals to constitute the nominees of the board, so that the board may solicit proxies for their election. The committee shall review the qualifications of individuals for consideration as director candidates and shall recommend to the board, for its consideration, the names of individuals for election by the board. In addition, the committee shall from time to time conduct studies and make recommendations to the board regarding compensation of directors. In addition, the committee shall oversee the Corporation’s policies and/or strategies related to corporate responsibility, sustainability and political contributions.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53" w:right="239" w:bottom="1440" w:gutter="0" w:footer="0" w:header="0"/>
        </w:sectPr>
      </w:pPr>
    </w:p>
    <w:bookmarkStart w:id="72" w:name="page73"/>
    <w:bookmarkEnd w:id="72"/>
    <w:p>
      <w:pPr>
        <w:spacing w:after="0"/>
        <w:tabs>
          <w:tab w:leader="none" w:pos="48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18"/>
          <w:szCs w:val="18"/>
          <w:b w:val="1"/>
          <w:bCs w:val="1"/>
          <w:i w:val="1"/>
          <w:iCs w:val="1"/>
          <w:color w:val="auto"/>
        </w:rPr>
        <w:t>Risk Committee.</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risk committee shall be responsible for assisting and actively advising the board of directors in fulfilling its oversight responsibilities with regard to management’s identification, evaluation and treatment of the Company’s strategic operating risk exposures inherent in the business that could materially impact the Company’s reputation and/or operating results and the Company’s risk management framework including policies, procedures and practices employed to assess and manage its major strategic risks related to operations.</w:t>
      </w:r>
    </w:p>
    <w:p>
      <w:pPr>
        <w:spacing w:after="0" w:line="192" w:lineRule="exact"/>
        <w:rPr>
          <w:sz w:val="20"/>
          <w:szCs w:val="20"/>
          <w:color w:val="auto"/>
        </w:rPr>
      </w:pPr>
    </w:p>
    <w:p>
      <w:pPr>
        <w:ind w:left="5120"/>
        <w:spacing w:after="0"/>
        <w:rPr>
          <w:sz w:val="20"/>
          <w:szCs w:val="20"/>
          <w:color w:val="auto"/>
        </w:rPr>
      </w:pPr>
      <w:r>
        <w:rPr>
          <w:rFonts w:ascii="Arial" w:cs="Arial" w:eastAsia="Arial" w:hAnsi="Arial"/>
          <w:sz w:val="22"/>
          <w:szCs w:val="22"/>
          <w:b w:val="1"/>
          <w:bCs w:val="1"/>
          <w:i w:val="1"/>
          <w:iCs w:val="1"/>
          <w:color w:val="auto"/>
        </w:rPr>
        <w:t>ARTICLE IV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2"/>
          <w:szCs w:val="22"/>
          <w:b w:val="1"/>
          <w:bCs w:val="1"/>
          <w:i w:val="1"/>
          <w:iCs w:val="1"/>
          <w:color w:val="auto"/>
        </w:rPr>
        <w:t>OFFICERS</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i w:val="1"/>
          <w:iCs w:val="1"/>
          <w:color w:val="auto"/>
        </w:rPr>
        <w:t>Election of Officers.</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board of directors shall elect such officers of the Corporation with the titles and duties that it designates, provided that the Corporation shall have at least two officers at any time. There may be a chief executive officer, a president, one or more vice chairmen of the Corporation,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his office until his successor is elected and qualified or until his earlier resignation or removal.</w:t>
      </w:r>
    </w:p>
    <w:p>
      <w:pPr>
        <w:spacing w:after="0" w:line="35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i w:val="1"/>
          <w:iCs w:val="1"/>
          <w:color w:val="auto"/>
        </w:rPr>
        <w:t>Chief Executive Officer.</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chief executive officer shall have the general executive responsibility for the conduct of the business and affairs of the Corporation. He shall exercise such other powers, authority and responsibilities as the board of directors may determine.</w:t>
      </w:r>
    </w:p>
    <w:p>
      <w:pPr>
        <w:spacing w:after="0" w:line="31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3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8"/>
          <w:szCs w:val="18"/>
          <w:b w:val="1"/>
          <w:bCs w:val="1"/>
          <w:i w:val="1"/>
          <w:iCs w:val="1"/>
          <w:color w:val="auto"/>
        </w:rPr>
        <w:t>President.</w:t>
      </w:r>
    </w:p>
    <w:p>
      <w:pPr>
        <w:spacing w:after="0" w:line="172"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The president shall, subject to the direction and control of the board of directors and the chief executive officer, participate in the supervision of the business and affairs of the Corporation. He shall perform all duties incident to the office of president and shall have and exercise such powers, authority and responsibilities as the board of directors may determine.</w:t>
      </w:r>
    </w:p>
    <w:p>
      <w:pPr>
        <w:spacing w:after="0" w:line="32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i w:val="1"/>
          <w:iCs w:val="1"/>
          <w:color w:val="auto"/>
        </w:rPr>
        <w:t>Vice Chairman of the Corporation.</w:t>
      </w:r>
    </w:p>
    <w:p>
      <w:pPr>
        <w:spacing w:after="0" w:line="172"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vice chairman shall, subject to the direction and control of the board of directors and the chief executive officer, participate in the supervision of the business and affairs of the Corporation. He shall have and exercise such powers, authority, and responsibilities as the board of directors may determine.</w:t>
      </w:r>
    </w:p>
    <w:p>
      <w:pPr>
        <w:spacing w:after="0" w:line="3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i w:val="1"/>
          <w:iCs w:val="1"/>
          <w:color w:val="auto"/>
        </w:rPr>
        <w:t>Chief Financial Officer.</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chief financial officer shall be the principal financial officer of the Corporation. He shall render such accounts and reports as may be required by the board of directors or any committee of the board. The financial records, books and accounts of the Corporation shall be maintained subject to his direct or indirect supervision.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7" w:right="239" w:bottom="1440" w:gutter="0" w:footer="0" w:header="0"/>
        </w:sectPr>
      </w:pPr>
    </w:p>
    <w:bookmarkStart w:id="73" w:name="page74"/>
    <w:bookmarkEnd w:id="73"/>
    <w:p>
      <w:pPr>
        <w:spacing w:after="0"/>
        <w:tabs>
          <w:tab w:leader="none" w:pos="4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8"/>
          <w:szCs w:val="18"/>
          <w:b w:val="1"/>
          <w:bCs w:val="1"/>
          <w:i w:val="1"/>
          <w:iCs w:val="1"/>
          <w:color w:val="auto"/>
        </w:rPr>
        <w:t>Treasurer.</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treasurer shall have direct or indirect custody of all funds and securities of the Corporation and shall perform all duties incident to the position of treasurer.</w:t>
      </w:r>
    </w:p>
    <w:p>
      <w:pPr>
        <w:spacing w:after="0" w:line="3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8"/>
          <w:szCs w:val="18"/>
          <w:b w:val="1"/>
          <w:bCs w:val="1"/>
          <w:i w:val="1"/>
          <w:iCs w:val="1"/>
          <w:color w:val="auto"/>
        </w:rPr>
        <w:t>Secretary.</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secretary shall keep the minutes of all meetings of stockholders and directors and shall give all required notices and have charge of such books and papers as the board of directors may require. He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33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8"/>
          <w:szCs w:val="18"/>
          <w:b w:val="1"/>
          <w:bCs w:val="1"/>
          <w:i w:val="1"/>
          <w:iCs w:val="1"/>
          <w:color w:val="auto"/>
        </w:rPr>
        <w:t>Controller.</w:t>
      </w:r>
    </w:p>
    <w:p>
      <w:pPr>
        <w:spacing w:after="0" w:line="17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controller shall exercise general supervision of the accounting staff of the Corporation. He shall perform all duties incident to the position of controller and shall submit reports from time to time relating to the general financial condition of the Corporation.</w:t>
      </w:r>
    </w:p>
    <w:p>
      <w:pPr>
        <w:spacing w:after="0" w:line="26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18"/>
          <w:szCs w:val="18"/>
          <w:b w:val="1"/>
          <w:bCs w:val="1"/>
          <w:i w:val="1"/>
          <w:iCs w:val="1"/>
          <w:color w:val="auto"/>
        </w:rPr>
        <w:t>General Counsel.</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general counsel shall be the chief legal officer of the Corporation and shall have general control of all matters of legal import concerning the Corporation. He shall perform all duties incident to the position of general counsel.</w:t>
      </w:r>
    </w:p>
    <w:p>
      <w:pPr>
        <w:spacing w:after="0" w:line="33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9"/>
          <w:szCs w:val="19"/>
          <w:b w:val="1"/>
          <w:bCs w:val="1"/>
          <w:i w:val="1"/>
          <w:iCs w:val="1"/>
          <w:color w:val="auto"/>
        </w:rPr>
        <w:t>General Auditor.</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general auditor shall have such duties as are incident to the position of general auditor in the performance of an internal audit activity of the Corporation and shall have direct access to the audit committee. The general auditor shall be the chief risk officer of the Corporation, unless the chief executive officer designates otherwise.</w:t>
      </w:r>
    </w:p>
    <w:p>
      <w:pPr>
        <w:spacing w:after="0" w:line="34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4.11</w:t>
      </w:r>
      <w:r>
        <w:rPr>
          <w:sz w:val="20"/>
          <w:szCs w:val="20"/>
          <w:color w:val="auto"/>
        </w:rPr>
        <w:tab/>
      </w:r>
      <w:r>
        <w:rPr>
          <w:rFonts w:ascii="Arial" w:cs="Arial" w:eastAsia="Arial" w:hAnsi="Arial"/>
          <w:sz w:val="19"/>
          <w:szCs w:val="19"/>
          <w:b w:val="1"/>
          <w:bCs w:val="1"/>
          <w:i w:val="1"/>
          <w:iCs w:val="1"/>
          <w:color w:val="auto"/>
        </w:rPr>
        <w:t>Chief Tax Officer.</w:t>
      </w:r>
    </w:p>
    <w:p>
      <w:pPr>
        <w:spacing w:after="0" w:line="17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chief tax officer shall have responsibility for all tax matters involving the Corporation, with authority to sign, and to delegate to others authority to sign, all returns, reports, agreements and documents involving the administration of the Corporation’s tax affairs.</w:t>
      </w:r>
    </w:p>
    <w:p>
      <w:pPr>
        <w:spacing w:after="0" w:line="26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4.12</w:t>
      </w:r>
      <w:r>
        <w:rPr>
          <w:sz w:val="20"/>
          <w:szCs w:val="20"/>
          <w:color w:val="auto"/>
        </w:rPr>
        <w:tab/>
      </w:r>
      <w:r>
        <w:rPr>
          <w:rFonts w:ascii="Arial" w:cs="Arial" w:eastAsia="Arial" w:hAnsi="Arial"/>
          <w:sz w:val="18"/>
          <w:szCs w:val="18"/>
          <w:b w:val="1"/>
          <w:bCs w:val="1"/>
          <w:i w:val="1"/>
          <w:iCs w:val="1"/>
          <w:color w:val="auto"/>
        </w:rPr>
        <w:t>Subordinate Officers.</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board of directors may from time to time appoint one or more assistant officers to the officers of the Corporation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his position at the pleasure of the board, the committee of the board appointing him, the chief executive officer and any other officer to whom such subordinate officer reports.</w:t>
      </w:r>
    </w:p>
    <w:p>
      <w:pPr>
        <w:spacing w:after="0" w:line="35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4.13</w:t>
      </w:r>
      <w:r>
        <w:rPr>
          <w:sz w:val="20"/>
          <w:szCs w:val="20"/>
          <w:color w:val="auto"/>
        </w:rPr>
        <w:tab/>
      </w:r>
      <w:r>
        <w:rPr>
          <w:rFonts w:ascii="Arial" w:cs="Arial" w:eastAsia="Arial" w:hAnsi="Arial"/>
          <w:sz w:val="18"/>
          <w:szCs w:val="18"/>
          <w:b w:val="1"/>
          <w:bCs w:val="1"/>
          <w:i w:val="1"/>
          <w:iCs w:val="1"/>
          <w:color w:val="auto"/>
        </w:rPr>
        <w:t>Resignation; Removal; Suspension; Vacancies.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Any officer may resign at any time by giving written notice to the chief executive officer or the secretary. Unless stated in the notice of resignation, the acceptance thereof shall not be necessary to make it effective.</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7"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9"/>
          <w:szCs w:val="19"/>
          <w:color w:val="auto"/>
        </w:rPr>
        <w:t>It shall take effect at the time specified therein or, in the absence of such specification; it shall take effect upon the receipt thereof.</w:t>
      </w:r>
    </w:p>
    <w:p>
      <w:pPr>
        <w:spacing w:after="0" w:line="200" w:lineRule="exact"/>
        <w:rPr>
          <w:sz w:val="20"/>
          <w:szCs w:val="20"/>
          <w:color w:val="auto"/>
        </w:rPr>
      </w:pP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officer elected by the board of directors may be suspended or removed at any time by the affirmative vote of a majority of the board. Any subordinate officer of the Corporation may be suspended or removed at any time by the board, the chief executive officer or any other officer to whom such subordinate officer reports.</w:t>
      </w:r>
    </w:p>
    <w:p>
      <w:pPr>
        <w:spacing w:after="0" w:line="34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35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INDEMNIFICATION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i w:val="1"/>
          <w:iCs w:val="1"/>
          <w:color w:val="auto"/>
        </w:rPr>
        <w:t>Right to Indemnification of Directors and Officers.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Subject to the other provisions of this article, the Corporation shall indemnify and advance expenses to every director and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Corporation, or is or was serving at the request of the Corporation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directors of the Corporation.</w:t>
      </w:r>
    </w:p>
    <w:p>
      <w:pPr>
        <w:spacing w:after="0" w:line="33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8"/>
          <w:szCs w:val="18"/>
          <w:b w:val="1"/>
          <w:bCs w:val="1"/>
          <w:i w:val="1"/>
          <w:iCs w:val="1"/>
          <w:color w:val="auto"/>
        </w:rPr>
        <w:t>Advancement of Expenses of Directors and Officers.</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Corporation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this article or otherwise.</w:t>
      </w:r>
    </w:p>
    <w:p>
      <w:pPr>
        <w:spacing w:after="0" w:line="30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8"/>
          <w:szCs w:val="18"/>
          <w:b w:val="1"/>
          <w:bCs w:val="1"/>
          <w:i w:val="1"/>
          <w:iCs w:val="1"/>
          <w:color w:val="auto"/>
        </w:rPr>
        <w:t>Claims by Officers or Directors.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If a claim for indemnification or advancement of expenses by a director or officer under this article is not paid in full within 90 days after a written claim therefor has been received by the Corporation, the claimant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53" w:right="23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22"/>
          <w:szCs w:val="22"/>
          <w:color w:val="auto"/>
        </w:rPr>
        <w:t>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3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8"/>
          <w:szCs w:val="18"/>
          <w:b w:val="1"/>
          <w:bCs w:val="1"/>
          <w:i w:val="1"/>
          <w:iCs w:val="1"/>
          <w:color w:val="auto"/>
        </w:rPr>
        <w:t>Indemnification of Employees.</w:t>
      </w:r>
    </w:p>
    <w:p>
      <w:pPr>
        <w:spacing w:after="0" w:line="172" w:lineRule="exact"/>
        <w:rPr>
          <w:sz w:val="20"/>
          <w:szCs w:val="20"/>
          <w:color w:val="auto"/>
        </w:rPr>
      </w:pPr>
    </w:p>
    <w:p>
      <w:pPr>
        <w:jc w:val="both"/>
        <w:ind w:firstLine="656"/>
        <w:spacing w:after="0" w:line="258" w:lineRule="auto"/>
        <w:tabs>
          <w:tab w:leader="none" w:pos="1536" w:val="left"/>
        </w:tabs>
        <w:numPr>
          <w:ilvl w:val="0"/>
          <w:numId w:val="34"/>
        </w:numPr>
        <w:rPr>
          <w:rFonts w:ascii="Arial" w:cs="Arial" w:eastAsia="Arial" w:hAnsi="Arial"/>
          <w:sz w:val="21"/>
          <w:szCs w:val="21"/>
          <w:color w:val="auto"/>
        </w:rPr>
      </w:pPr>
      <w:r>
        <w:rPr>
          <w:rFonts w:ascii="Arial" w:cs="Arial" w:eastAsia="Arial" w:hAnsi="Arial"/>
          <w:sz w:val="21"/>
          <w:szCs w:val="21"/>
          <w:color w:val="auto"/>
        </w:rPr>
        <w:t>Subject to the other provisions of this article, the Corporation may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an employee or agent of the Corporation. Except as set forth in paragraph (b) below, the ultimate determination of entitlement to indemnification of employees or agents who are not officers and directors shall be made in such manner as is provided by applicable law. The Corporation shall not be required to indemnify a person in connection with a proceeding initiated by such person if the proceeding was not authorized by the board of the Corporation.</w:t>
      </w:r>
    </w:p>
    <w:p>
      <w:pPr>
        <w:spacing w:after="0" w:line="132" w:lineRule="exact"/>
        <w:rPr>
          <w:rFonts w:ascii="Arial" w:cs="Arial" w:eastAsia="Arial" w:hAnsi="Arial"/>
          <w:sz w:val="21"/>
          <w:szCs w:val="21"/>
          <w:color w:val="auto"/>
        </w:rPr>
      </w:pPr>
    </w:p>
    <w:p>
      <w:pPr>
        <w:jc w:val="both"/>
        <w:ind w:firstLine="656"/>
        <w:spacing w:after="0" w:line="258" w:lineRule="auto"/>
        <w:tabs>
          <w:tab w:leader="none" w:pos="1549" w:val="left"/>
        </w:tabs>
        <w:numPr>
          <w:ilvl w:val="0"/>
          <w:numId w:val="34"/>
        </w:numPr>
        <w:rPr>
          <w:rFonts w:ascii="Arial" w:cs="Arial" w:eastAsia="Arial" w:hAnsi="Arial"/>
          <w:sz w:val="21"/>
          <w:szCs w:val="21"/>
          <w:color w:val="auto"/>
        </w:rPr>
      </w:pPr>
      <w:r>
        <w:rPr>
          <w:rFonts w:ascii="Arial" w:cs="Arial" w:eastAsia="Arial" w:hAnsi="Arial"/>
          <w:sz w:val="21"/>
          <w:szCs w:val="21"/>
          <w:color w:val="auto"/>
        </w:rPr>
        <w:t>Subject to the other provisions of this article, the Corporation shall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serving at the request of the Corporation as a director, officer, employee, fiduciary or member of any other corporation, partnership, joint venture, trust, organization or other enterprise, whether the basis of such proceeding is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the Corporation.</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8"/>
          <w:szCs w:val="18"/>
          <w:b w:val="1"/>
          <w:bCs w:val="1"/>
          <w:i w:val="1"/>
          <w:iCs w:val="1"/>
          <w:color w:val="auto"/>
        </w:rPr>
        <w:t>Advancement of Expenses of Employees.</w:t>
      </w:r>
    </w:p>
    <w:p>
      <w:pPr>
        <w:spacing w:after="0" w:line="17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advancement of expenses of an employee or agent who is not a director or officer shall be made by or in the manner provided by resolution of the board of directors or by a committee of the board; provided, however, that the advancement of expenses required under section 5.4(b) of these bylaws shall be paid by the Corporation in advance of its final disposition; provided, further that the payment of expenses incurred by an employee or agent pursuant to section 5.4(a) and (b) of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otherwise.</w:t>
      </w:r>
    </w:p>
    <w:p>
      <w:pPr>
        <w:spacing w:after="0" w:line="30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8"/>
          <w:szCs w:val="18"/>
          <w:b w:val="1"/>
          <w:bCs w:val="1"/>
          <w:i w:val="1"/>
          <w:iCs w:val="1"/>
          <w:color w:val="auto"/>
        </w:rPr>
        <w:t>Claims by Employees.</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a claim for indemnification or advancement of expenses by an employee or agent pursuant to section 5.4(b) of these bylaws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53" w:right="239" w:bottom="1440" w:gutter="0" w:footer="0" w:header="0"/>
        </w:sectPr>
      </w:pPr>
    </w:p>
    <w:bookmarkStart w:id="76" w:name="page77"/>
    <w:bookmarkEnd w:id="76"/>
    <w:p>
      <w:pPr>
        <w:jc w:val="both"/>
        <w:spacing w:after="0" w:line="263" w:lineRule="auto"/>
        <w:rPr>
          <w:sz w:val="20"/>
          <w:szCs w:val="20"/>
          <w:color w:val="auto"/>
        </w:rPr>
      </w:pPr>
      <w:r>
        <w:rPr>
          <w:rFonts w:ascii="Arial" w:cs="Arial" w:eastAsia="Arial" w:hAnsi="Arial"/>
          <w:sz w:val="22"/>
          <w:szCs w:val="22"/>
          <w:color w:val="auto"/>
        </w:rPr>
        <w:t>shall have the burden of proving that the claimant was not entitled to the requested indemnification or advancement of expenses under applicable law.</w:t>
      </w:r>
    </w:p>
    <w:p>
      <w:pPr>
        <w:spacing w:after="0" w:line="3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8"/>
          <w:szCs w:val="18"/>
          <w:b w:val="1"/>
          <w:bCs w:val="1"/>
          <w:i w:val="1"/>
          <w:iCs w:val="1"/>
          <w:color w:val="auto"/>
        </w:rPr>
        <w:t>Non Exclusivity of Rights.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rights conferred on any person by this article shall not be exclusive of any other rights which such person may have or hereafter acquire under any statute, any provision of the certificate of incorporation or of these bylaws or of any agreement, any vote of stockholders or disinterested directors or otherwise.</w:t>
      </w:r>
    </w:p>
    <w:p>
      <w:pPr>
        <w:spacing w:after="0" w:line="3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b w:val="1"/>
          <w:bCs w:val="1"/>
          <w:i w:val="1"/>
          <w:iCs w:val="1"/>
          <w:color w:val="auto"/>
        </w:rPr>
        <w:t>Other Indemnification.</w:t>
      </w:r>
    </w:p>
    <w:p>
      <w:pPr>
        <w:spacing w:after="0" w:line="17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Corporation’s obligation, if any, to indemnify any person who was or is serving at its request as a director, officer or employee of another corporation, partnership, joint venture, trust, organization, or other enterprise shall be reduced by any amount such person collects as indemnification from such other corporation, partnership, joint venture, trust, organization or other enterprise.</w:t>
      </w:r>
    </w:p>
    <w:p>
      <w:pPr>
        <w:spacing w:after="0" w:line="29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19"/>
          <w:szCs w:val="19"/>
          <w:b w:val="1"/>
          <w:bCs w:val="1"/>
          <w:i w:val="1"/>
          <w:iCs w:val="1"/>
          <w:color w:val="auto"/>
        </w:rPr>
        <w:t>Insurance.</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board of directors may, to the fullest extent permitted by applicable law as it presently exists, or may hereafter be amended from time to time, authorize an appropriate officer or officers to purchase and maintain at the Corporation’s expense insurance: (a) to reimburse the Corporation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Corporation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this article, whether or not the Corporation would have the power to indemnify such persons against such liability under this article or under applicable law.</w:t>
      </w:r>
    </w:p>
    <w:p>
      <w:pPr>
        <w:spacing w:after="0" w:line="31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5.10</w:t>
      </w:r>
      <w:r>
        <w:rPr>
          <w:sz w:val="20"/>
          <w:szCs w:val="20"/>
          <w:color w:val="auto"/>
        </w:rPr>
        <w:tab/>
      </w:r>
      <w:r>
        <w:rPr>
          <w:rFonts w:ascii="Arial" w:cs="Arial" w:eastAsia="Arial" w:hAnsi="Arial"/>
          <w:sz w:val="18"/>
          <w:szCs w:val="18"/>
          <w:b w:val="1"/>
          <w:bCs w:val="1"/>
          <w:i w:val="1"/>
          <w:iCs w:val="1"/>
          <w:color w:val="auto"/>
        </w:rPr>
        <w:t>Nature of Rights; Amendment or Repeal.</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MISCELLANEOUS</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8"/>
          <w:szCs w:val="18"/>
          <w:b w:val="1"/>
          <w:bCs w:val="1"/>
          <w:i w:val="1"/>
          <w:iCs w:val="1"/>
          <w:color w:val="auto"/>
        </w:rPr>
        <w:t>Seal.</w:t>
      </w:r>
    </w:p>
    <w:p>
      <w:pPr>
        <w:spacing w:after="0" w:line="17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corporate seal shall have inscribed upon it the name of the Corporation, the year of its organization and the words “Corporate Seal,” and “Delaware.” The seal and any duplicate of the seal shall be in the charge of the secretary or an assistant secretary.</w:t>
      </w:r>
    </w:p>
    <w:p>
      <w:pPr>
        <w:spacing w:after="0" w:line="26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8"/>
          <w:szCs w:val="18"/>
          <w:b w:val="1"/>
          <w:bCs w:val="1"/>
          <w:i w:val="1"/>
          <w:iCs w:val="1"/>
          <w:color w:val="auto"/>
        </w:rPr>
        <w:t>Fiscal Year.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The fiscal year of the Corporation shall begin on January 1 and end on December 31 of each year.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53" w:right="239" w:bottom="1440" w:gutter="0" w:footer="0" w:header="0"/>
        </w:sectPr>
      </w:pPr>
    </w:p>
    <w:bookmarkStart w:id="77" w:name="page78"/>
    <w:bookmarkEnd w:id="77"/>
    <w:p>
      <w:pPr>
        <w:spacing w:after="0"/>
        <w:tabs>
          <w:tab w:leader="none" w:pos="4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8"/>
          <w:szCs w:val="18"/>
          <w:b w:val="1"/>
          <w:bCs w:val="1"/>
          <w:i w:val="1"/>
          <w:iCs w:val="1"/>
          <w:color w:val="auto"/>
        </w:rPr>
        <w:t>Notice.</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3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8"/>
          <w:szCs w:val="18"/>
          <w:b w:val="1"/>
          <w:bCs w:val="1"/>
          <w:i w:val="1"/>
          <w:iCs w:val="1"/>
          <w:color w:val="auto"/>
        </w:rPr>
        <w:t>Waiver of Notice.</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stockholders,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35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8"/>
          <w:szCs w:val="18"/>
          <w:b w:val="1"/>
          <w:bCs w:val="1"/>
          <w:i w:val="1"/>
          <w:iCs w:val="1"/>
          <w:color w:val="auto"/>
        </w:rPr>
        <w:t>Voting of Stock Owned by the Corporation.</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board of directors, the finance committee, or the chairman of the board may authorize any person and delegate to one or more officers or subordinate officers the authority to authorize any person to vote or to grant proxies to vote in behalf of the Corporation at any meeting of stockholders or in any solicitation of consent of any corporation or other entity in which the Corporation may hold stock or other voting securities.</w:t>
      </w:r>
    </w:p>
    <w:p>
      <w:pPr>
        <w:spacing w:after="0" w:line="3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8"/>
          <w:szCs w:val="18"/>
          <w:b w:val="1"/>
          <w:bCs w:val="1"/>
          <w:i w:val="1"/>
          <w:iCs w:val="1"/>
          <w:color w:val="auto"/>
        </w:rPr>
        <w:t>Form of Records.</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Corporation shall so convert such records.</w:t>
      </w:r>
    </w:p>
    <w:p>
      <w:pPr>
        <w:spacing w:after="0" w:line="3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8"/>
          <w:szCs w:val="18"/>
          <w:b w:val="1"/>
          <w:bCs w:val="1"/>
          <w:i w:val="1"/>
          <w:iCs w:val="1"/>
          <w:color w:val="auto"/>
        </w:rPr>
        <w:t>Offices.</w:t>
      </w:r>
    </w:p>
    <w:p>
      <w:pPr>
        <w:spacing w:after="0" w:line="172"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The Corporation shall maintain a registered office inside the State of Delaware and may also have other offices outside or inside the State of Delaware. The books of the Corporation may be kept outside or inside the State of Delaware.</w:t>
      </w:r>
    </w:p>
    <w:p>
      <w:pPr>
        <w:spacing w:after="0" w:line="30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8"/>
          <w:szCs w:val="18"/>
          <w:b w:val="1"/>
          <w:bCs w:val="1"/>
          <w:i w:val="1"/>
          <w:iCs w:val="1"/>
          <w:color w:val="auto"/>
        </w:rPr>
        <w:t>Amendment of Bylaws.</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otherwise provided in the certificate of incorporation or these bylaws, the board of directors shall have power to adopt, amend, or repeal the bylaws at any regular or special meeting of the board. The stockholders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3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6.9</w:t>
      </w:r>
      <w:r>
        <w:rPr>
          <w:sz w:val="20"/>
          <w:szCs w:val="20"/>
          <w:color w:val="auto"/>
        </w:rPr>
        <w:tab/>
      </w:r>
      <w:r>
        <w:rPr>
          <w:rFonts w:ascii="Arial" w:cs="Arial" w:eastAsia="Arial" w:hAnsi="Arial"/>
          <w:sz w:val="18"/>
          <w:szCs w:val="18"/>
          <w:b w:val="1"/>
          <w:bCs w:val="1"/>
          <w:i w:val="1"/>
          <w:iCs w:val="1"/>
          <w:color w:val="auto"/>
        </w:rPr>
        <w:t>Gender Pronouns.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Whenever the masculine pronoun is used in these bylaws, it shall be deemed to refer to either the masculine or the feminine gender.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7" w:right="239" w:bottom="1440" w:gutter="0" w:footer="0" w:header="0"/>
        </w:sectPr>
      </w:pPr>
    </w:p>
    <w:bookmarkStart w:id="78" w:name="page79"/>
    <w:bookmarkEnd w:id="78"/>
    <w:p>
      <w:pPr>
        <w:spacing w:after="0"/>
        <w:tabs>
          <w:tab w:leader="none" w:pos="58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8"/>
          <w:szCs w:val="18"/>
          <w:b w:val="1"/>
          <w:bCs w:val="1"/>
          <w:i w:val="1"/>
          <w:iCs w:val="1"/>
          <w:color w:val="auto"/>
        </w:rPr>
        <w:t>Uncertificated Stock</w:t>
      </w:r>
    </w:p>
    <w:p>
      <w:pPr>
        <w:spacing w:after="0" w:line="172" w:lineRule="exact"/>
        <w:rPr>
          <w:sz w:val="20"/>
          <w:szCs w:val="20"/>
          <w:color w:val="auto"/>
        </w:rPr>
      </w:pPr>
    </w:p>
    <w:p>
      <w:pPr>
        <w:jc w:val="both"/>
        <w:ind w:left="80"/>
        <w:spacing w:after="0" w:line="312" w:lineRule="auto"/>
        <w:rPr>
          <w:sz w:val="20"/>
          <w:szCs w:val="20"/>
          <w:color w:val="auto"/>
        </w:rPr>
      </w:pPr>
      <w:r>
        <w:rPr>
          <w:rFonts w:ascii="Arial" w:cs="Arial" w:eastAsia="Arial" w:hAnsi="Arial"/>
          <w:sz w:val="19"/>
          <w:szCs w:val="19"/>
          <w:color w:val="auto"/>
        </w:rPr>
        <w:t>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23, 2015</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23, 2015</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connection with the Quarterly Report of General Motors Company (the “Company”) on Form 10-Q for the period ended June 30, 2015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81" w:lineRule="exact"/>
        <w:rPr>
          <w:sz w:val="20"/>
          <w:szCs w:val="20"/>
          <w:color w:val="auto"/>
        </w:rPr>
      </w:pPr>
    </w:p>
    <w:p>
      <w:pPr>
        <w:ind w:left="720" w:hanging="17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23,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1)"/>
      <w:numFmt w:val="decimal"/>
      <w:start w:val="2"/>
    </w:lvl>
  </w:abstractNum>
  <w:abstractNum w:abstractNumId="11">
    <w:nsid w:val="8EDBDAB"/>
    <w:multiLevelType w:val="hybridMultilevel"/>
    <w:lvl w:ilvl="0">
      <w:lvlJc w:val="left"/>
      <w:lvlText w:val="(%1)"/>
      <w:numFmt w:val="decimal"/>
      <w:start w:val="5"/>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lowerLetter"/>
      <w:start w:val="1"/>
    </w:lvl>
    <w:lvl w:ilvl="1">
      <w:lvlJc w:val="left"/>
      <w:lvlText w:val="(%2)"/>
      <w:numFmt w:val="decimal"/>
      <w:start w:val="1"/>
    </w:lvl>
  </w:abstractNum>
  <w:abstractNum w:abstractNumId="16">
    <w:nsid w:val="54E49EB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7">
    <w:nsid w:val="71F32454"/>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lvl w:ilvl="1">
      <w:lvlJc w:val="left"/>
      <w:lvlText w:val="(%2)"/>
      <w:numFmt w:val="lowerRoman"/>
      <w:start w:val="1"/>
    </w:lvl>
  </w:abstractNum>
  <w:abstractNum w:abstractNumId="21">
    <w:nsid w:val="3A95F874"/>
    <w:multiLevelType w:val="hybridMultilevel"/>
    <w:lvl w:ilvl="0">
      <w:lvlJc w:val="left"/>
      <w:lvlText w:val="(%1)"/>
      <w:numFmt w:val="lowerLetter"/>
      <w:start w:val="35"/>
    </w:lvl>
    <w:lvl w:ilvl="1">
      <w:lvlJc w:val="left"/>
      <w:lvlText w:val="(%2)"/>
      <w:numFmt w:val="lowerRoman"/>
      <w:start w:val="2"/>
    </w:lvl>
  </w:abstractNum>
  <w:abstractNum w:abstractNumId="22">
    <w:nsid w:val="8138641"/>
    <w:multiLevelType w:val="hybridMultilevel"/>
    <w:lvl w:ilvl="0">
      <w:lvlJc w:val="left"/>
      <w:lvlText w:val="(%1)"/>
      <w:numFmt w:val="lowerLetter"/>
      <w:start w:val="5"/>
    </w:lvl>
    <w:lvl w:ilvl="1">
      <w:lvlJc w:val="left"/>
      <w:lvlText w:val="(%2)"/>
      <w:numFmt w:val="lowerRoman"/>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lowerLetter"/>
      <w:start w:val="1"/>
    </w:lvl>
    <w:lvl w:ilvl="1">
      <w:lvlJc w:val="left"/>
      <w:lvlText w:val="(%2)"/>
      <w:numFmt w:val="lowerLetter"/>
      <w:start w:val="1"/>
    </w:lvl>
  </w:abstractNum>
  <w:abstractNum w:abstractNumId="25">
    <w:nsid w:val="737B8DDC"/>
    <w:multiLevelType w:val="hybridMultilevel"/>
    <w:lvl w:ilvl="0">
      <w:lvlJc w:val="left"/>
      <w:lvlText w:val="(%1)"/>
      <w:numFmt w:val="lowerLetter"/>
      <w:start w:val="4"/>
    </w:lvl>
    <w:lvl w:ilvl="1">
      <w:lvlJc w:val="left"/>
      <w:lvlText w:val="(%2)"/>
      <w:numFmt w:val="lowerLetter"/>
      <w:start w:val="2"/>
    </w:lvl>
  </w:abstractNum>
  <w:abstractNum w:abstractNumId="26">
    <w:nsid w:val="6CEAF087"/>
    <w:multiLevelType w:val="hybridMultilevel"/>
    <w:lvl w:ilvl="0">
      <w:lvlJc w:val="left"/>
      <w:lvlText w:val="(%1)"/>
      <w:numFmt w:val="lowerLetter"/>
      <w:start w:val="3"/>
    </w:lvl>
  </w:abstractNum>
  <w:abstractNum w:abstractNumId="27">
    <w:nsid w:val="22221A70"/>
    <w:multiLevelType w:val="hybridMultilevel"/>
    <w:lvl w:ilvl="0">
      <w:lvlJc w:val="left"/>
      <w:lvlText w:val="(%1)"/>
      <w:numFmt w:val="lowerLetter"/>
      <w:start w:val="4"/>
    </w:lvl>
  </w:abstractNum>
  <w:abstractNum w:abstractNumId="28">
    <w:nsid w:val="4516DDE9"/>
    <w:multiLevelType w:val="hybridMultilevel"/>
    <w:lvl w:ilvl="0">
      <w:lvlJc w:val="left"/>
      <w:lvlText w:val="(%1)"/>
      <w:numFmt w:val="lowerLetter"/>
      <w:start w:val="5"/>
    </w:lvl>
  </w:abstractNum>
  <w:abstractNum w:abstractNumId="29">
    <w:nsid w:val="3006C83E"/>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30">
    <w:nsid w:val="614FD4A1"/>
    <w:multiLevelType w:val="hybridMultilevel"/>
    <w:lvl w:ilvl="0">
      <w:lvlJc w:val="left"/>
      <w:lvlText w:val="(%1)"/>
      <w:numFmt w:val="lowerRoman"/>
      <w:start w:val="2"/>
    </w:lvl>
  </w:abstractNum>
  <w:abstractNum w:abstractNumId="31">
    <w:nsid w:val="419AC241"/>
    <w:multiLevelType w:val="hybridMultilevel"/>
    <w:lvl w:ilvl="0">
      <w:lvlJc w:val="left"/>
      <w:lvlText w:val="%1"/>
      <w:numFmt w:val="lowerLetter"/>
      <w:start w:val="1"/>
    </w:lvl>
    <w:lvl w:ilvl="1">
      <w:lvlJc w:val="left"/>
      <w:lvlText w:val="(%2)"/>
      <w:numFmt w:val="lowerLetter"/>
      <w:start w:val="61"/>
    </w:lvl>
  </w:abstractNum>
  <w:abstractNum w:abstractNumId="32">
    <w:nsid w:val="5577F8E1"/>
    <w:multiLevelType w:val="hybridMultilevel"/>
    <w:lvl w:ilvl="0">
      <w:lvlJc w:val="left"/>
      <w:lvlText w:val="(%1)"/>
      <w:numFmt w:val="lowerLetter"/>
      <w:start w:val="6"/>
    </w:lvl>
    <w:lvl w:ilvl="1">
      <w:lvlJc w:val="left"/>
      <w:lvlText w:val="%2"/>
      <w:numFmt w:val="lowerLetter"/>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2019-12-29T17:19:39Z</dcterms:created>
  <dcterms:modified xsi:type="dcterms:W3CDTF">2019-12-29T17:19:39Z</dcterms:modified>
</cp:coreProperties>
</file>