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130810</wp:posOffset>
            </wp:positionH>
            <wp:positionV relativeFrom="page">
              <wp:posOffset>418465</wp:posOffset>
            </wp:positionV>
            <wp:extent cx="7299960"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960" cy="39370"/>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Washington, DC 20549-1004</w:t>
      </w:r>
    </w:p>
    <w:p>
      <w:pPr>
        <w:spacing w:after="0" w:line="11" w:lineRule="exact"/>
        <w:rPr>
          <w:sz w:val="24"/>
          <w:szCs w:val="24"/>
          <w:color w:val="auto"/>
        </w:rPr>
      </w:pPr>
    </w:p>
    <w:p>
      <w:pPr>
        <w:ind w:left="4920"/>
        <w:spacing w:after="0"/>
        <w:rPr>
          <w:sz w:val="20"/>
          <w:szCs w:val="20"/>
          <w:color w:val="auto"/>
        </w:rPr>
      </w:pPr>
      <w:r>
        <w:rPr>
          <w:rFonts w:ascii="Arial" w:cs="Arial" w:eastAsia="Arial" w:hAnsi="Arial"/>
          <w:sz w:val="17"/>
          <w:szCs w:val="17"/>
          <w:color w:val="auto"/>
        </w:rPr>
        <w:t>___________________</w:t>
      </w:r>
    </w:p>
    <w:p>
      <w:pPr>
        <w:spacing w:after="0" w:line="150" w:lineRule="exact"/>
        <w:rPr>
          <w:sz w:val="24"/>
          <w:szCs w:val="24"/>
          <w:color w:val="auto"/>
        </w:rPr>
      </w:pPr>
    </w:p>
    <w:p>
      <w:pPr>
        <w:jc w:val="center"/>
        <w:ind w:right="-259"/>
        <w:spacing w:after="0"/>
        <w:rPr>
          <w:sz w:val="20"/>
          <w:szCs w:val="20"/>
          <w:color w:val="auto"/>
        </w:rPr>
      </w:pPr>
      <w:r>
        <w:rPr>
          <w:rFonts w:ascii="Arial" w:cs="Arial" w:eastAsia="Arial" w:hAnsi="Arial"/>
          <w:sz w:val="26"/>
          <w:szCs w:val="26"/>
          <w:b w:val="1"/>
          <w:bCs w:val="1"/>
          <w:color w:val="auto"/>
        </w:rPr>
        <w:t>FORM 8-K</w:t>
      </w:r>
    </w:p>
    <w:p>
      <w:pPr>
        <w:spacing w:after="0" w:line="34" w:lineRule="exact"/>
        <w:rPr>
          <w:sz w:val="24"/>
          <w:szCs w:val="24"/>
          <w:color w:val="auto"/>
        </w:rPr>
      </w:pPr>
    </w:p>
    <w:p>
      <w:pPr>
        <w:ind w:left="4920"/>
        <w:spacing w:after="0"/>
        <w:rPr>
          <w:sz w:val="20"/>
          <w:szCs w:val="20"/>
          <w:color w:val="auto"/>
        </w:rPr>
      </w:pPr>
      <w:r>
        <w:rPr>
          <w:rFonts w:ascii="Arial" w:cs="Arial" w:eastAsia="Arial" w:hAnsi="Arial"/>
          <w:sz w:val="17"/>
          <w:szCs w:val="17"/>
          <w:color w:val="auto"/>
        </w:rPr>
        <w:t>___________________</w:t>
      </w:r>
    </w:p>
    <w:p>
      <w:pPr>
        <w:spacing w:after="0" w:line="162"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CURRENT REPORT</w:t>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Pursuant to Section 13 or 15(d) of</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the Securities Exchange Act of 1934</w:t>
      </w:r>
    </w:p>
    <w:p>
      <w:pPr>
        <w:spacing w:after="0" w:line="15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Date of Report (Date of earliest event reported) August 1, 2019</w:t>
      </w:r>
    </w:p>
    <w:p>
      <w:pPr>
        <w:spacing w:after="0" w:line="25" w:lineRule="exact"/>
        <w:rPr>
          <w:sz w:val="24"/>
          <w:szCs w:val="24"/>
          <w:color w:val="auto"/>
        </w:rPr>
      </w:pPr>
    </w:p>
    <w:p>
      <w:pPr>
        <w:ind w:left="4920"/>
        <w:spacing w:after="0"/>
        <w:rPr>
          <w:sz w:val="20"/>
          <w:szCs w:val="20"/>
          <w:color w:val="auto"/>
        </w:rPr>
      </w:pPr>
      <w:r>
        <w:rPr>
          <w:rFonts w:ascii="Arial" w:cs="Arial" w:eastAsia="Arial" w:hAnsi="Arial"/>
          <w:sz w:val="17"/>
          <w:szCs w:val="17"/>
          <w:color w:val="auto"/>
        </w:rPr>
        <w:t>___________________</w:t>
      </w:r>
    </w:p>
    <w:p>
      <w:pPr>
        <w:spacing w:after="0" w:line="19" w:lineRule="exact"/>
        <w:rPr>
          <w:sz w:val="24"/>
          <w:szCs w:val="24"/>
          <w:color w:val="auto"/>
        </w:rPr>
      </w:pPr>
    </w:p>
    <w:p>
      <w:pPr>
        <w:jc w:val="center"/>
        <w:ind w:right="-259"/>
        <w:spacing w:after="0"/>
        <w:rPr>
          <w:sz w:val="20"/>
          <w:szCs w:val="20"/>
          <w:color w:val="auto"/>
        </w:rPr>
      </w:pPr>
      <w:r>
        <w:rPr>
          <w:rFonts w:ascii="Arial" w:cs="Arial" w:eastAsia="Arial" w:hAnsi="Arial"/>
          <w:sz w:val="34"/>
          <w:szCs w:val="34"/>
          <w:b w:val="1"/>
          <w:bCs w:val="1"/>
          <w:color w:val="auto"/>
        </w:rPr>
        <w:t>GENERAL MOTORS COMPANY</w:t>
      </w:r>
    </w:p>
    <w:p>
      <w:pPr>
        <w:spacing w:after="0" w:line="11"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(Exact name of registrant as specified in its charter)</w:t>
      </w:r>
    </w:p>
    <w:p>
      <w:pPr>
        <w:spacing w:after="0" w:line="9" w:lineRule="exact"/>
        <w:rPr>
          <w:sz w:val="24"/>
          <w:szCs w:val="24"/>
          <w:color w:val="auto"/>
        </w:rPr>
      </w:pPr>
    </w:p>
    <w:p>
      <w:pPr>
        <w:ind w:left="4960"/>
        <w:spacing w:after="0"/>
        <w:rPr>
          <w:sz w:val="20"/>
          <w:szCs w:val="20"/>
          <w:color w:val="auto"/>
        </w:rPr>
      </w:pPr>
      <w:r>
        <w:rPr>
          <w:rFonts w:ascii="Arial" w:cs="Arial" w:eastAsia="Arial" w:hAnsi="Arial"/>
          <w:sz w:val="17"/>
          <w:szCs w:val="17"/>
          <w:color w:val="auto"/>
        </w:rPr>
        <w:t>__________________</w:t>
      </w:r>
    </w:p>
    <w:p>
      <w:pPr>
        <w:spacing w:after="0" w:line="125" w:lineRule="exact"/>
        <w:rPr>
          <w:sz w:val="24"/>
          <w:szCs w:val="24"/>
          <w:color w:val="auto"/>
        </w:rPr>
      </w:pPr>
    </w:p>
    <w:tbl>
      <w:tblPr>
        <w:tblLayout w:type="fixed"/>
        <w:tblInd w:w="1580" w:type="dxa"/>
        <w:tblCellMar>
          <w:top w:w="0" w:type="dxa"/>
          <w:left w:w="0" w:type="dxa"/>
          <w:bottom w:w="0" w:type="dxa"/>
          <w:right w:w="0" w:type="dxa"/>
        </w:tblCellMar>
      </w:tblPr>
      <w:tr>
        <w:trPr>
          <w:trHeight w:val="176"/>
        </w:trPr>
        <w:tc>
          <w:tcPr>
            <w:tcW w:w="3180" w:type="dxa"/>
            <w:vAlign w:val="bottom"/>
          </w:tcPr>
          <w:p>
            <w:pPr>
              <w:jc w:val="center"/>
              <w:ind w:right="1448"/>
              <w:spacing w:after="0"/>
              <w:rPr>
                <w:sz w:val="20"/>
                <w:szCs w:val="20"/>
                <w:color w:val="auto"/>
              </w:rPr>
            </w:pPr>
            <w:r>
              <w:rPr>
                <w:rFonts w:ascii="Arial" w:cs="Arial" w:eastAsia="Arial" w:hAnsi="Arial"/>
                <w:sz w:val="14"/>
                <w:szCs w:val="14"/>
                <w:b w:val="1"/>
                <w:bCs w:val="1"/>
                <w:color w:val="auto"/>
                <w:w w:val="94"/>
              </w:rPr>
              <w:t>Delaware</w:t>
            </w:r>
          </w:p>
        </w:tc>
        <w:tc>
          <w:tcPr>
            <w:tcW w:w="2800" w:type="dxa"/>
            <w:vAlign w:val="bottom"/>
            <w:vMerge w:val="restart"/>
          </w:tcPr>
          <w:p>
            <w:pPr>
              <w:jc w:val="center"/>
              <w:ind w:right="768"/>
              <w:spacing w:after="0"/>
              <w:rPr>
                <w:sz w:val="20"/>
                <w:szCs w:val="20"/>
                <w:color w:val="auto"/>
              </w:rPr>
            </w:pPr>
            <w:r>
              <w:rPr>
                <w:rFonts w:ascii="Arial" w:cs="Arial" w:eastAsia="Arial" w:hAnsi="Arial"/>
                <w:sz w:val="14"/>
                <w:szCs w:val="14"/>
                <w:b w:val="1"/>
                <w:bCs w:val="1"/>
                <w:color w:val="auto"/>
                <w:w w:val="95"/>
              </w:rPr>
              <w:t>001-34960</w:t>
            </w:r>
          </w:p>
        </w:tc>
        <w:tc>
          <w:tcPr>
            <w:tcW w:w="2040" w:type="dxa"/>
            <w:vAlign w:val="bottom"/>
          </w:tcPr>
          <w:p>
            <w:pPr>
              <w:jc w:val="center"/>
              <w:ind w:left="908"/>
              <w:spacing w:after="0"/>
              <w:rPr>
                <w:sz w:val="20"/>
                <w:szCs w:val="20"/>
                <w:color w:val="auto"/>
              </w:rPr>
            </w:pPr>
            <w:r>
              <w:rPr>
                <w:rFonts w:ascii="Arial" w:cs="Arial" w:eastAsia="Arial" w:hAnsi="Arial"/>
                <w:sz w:val="14"/>
                <w:szCs w:val="14"/>
                <w:b w:val="1"/>
                <w:bCs w:val="1"/>
                <w:color w:val="auto"/>
                <w:w w:val="93"/>
              </w:rPr>
              <w:t>27-0756180</w:t>
            </w:r>
          </w:p>
        </w:tc>
        <w:tc>
          <w:tcPr>
            <w:tcW w:w="0" w:type="dxa"/>
            <w:vAlign w:val="bottom"/>
          </w:tcPr>
          <w:p>
            <w:pPr>
              <w:spacing w:after="0"/>
              <w:rPr>
                <w:sz w:val="1"/>
                <w:szCs w:val="1"/>
                <w:color w:val="auto"/>
              </w:rPr>
            </w:pPr>
          </w:p>
        </w:tc>
      </w:tr>
      <w:tr>
        <w:trPr>
          <w:trHeight w:val="172"/>
        </w:trPr>
        <w:tc>
          <w:tcPr>
            <w:tcW w:w="3180" w:type="dxa"/>
            <w:vAlign w:val="bottom"/>
          </w:tcPr>
          <w:p>
            <w:pPr>
              <w:jc w:val="center"/>
              <w:ind w:right="1448"/>
              <w:spacing w:after="0"/>
              <w:rPr>
                <w:sz w:val="20"/>
                <w:szCs w:val="20"/>
                <w:color w:val="auto"/>
              </w:rPr>
            </w:pPr>
            <w:r>
              <w:rPr>
                <w:rFonts w:ascii="Arial" w:cs="Arial" w:eastAsia="Arial" w:hAnsi="Arial"/>
                <w:sz w:val="14"/>
                <w:szCs w:val="14"/>
                <w:color w:val="auto"/>
                <w:w w:val="94"/>
              </w:rPr>
              <w:t>(State or other jurisdiction of</w:t>
            </w:r>
          </w:p>
        </w:tc>
        <w:tc>
          <w:tcPr>
            <w:tcW w:w="2800" w:type="dxa"/>
            <w:vAlign w:val="bottom"/>
            <w:vMerge w:val="continue"/>
          </w:tcPr>
          <w:p>
            <w:pPr>
              <w:spacing w:after="0"/>
              <w:rPr>
                <w:sz w:val="14"/>
                <w:szCs w:val="14"/>
                <w:color w:val="auto"/>
              </w:rPr>
            </w:pPr>
          </w:p>
        </w:tc>
        <w:tc>
          <w:tcPr>
            <w:tcW w:w="2040" w:type="dxa"/>
            <w:vAlign w:val="bottom"/>
          </w:tcPr>
          <w:p>
            <w:pPr>
              <w:jc w:val="center"/>
              <w:ind w:left="908"/>
              <w:spacing w:after="0"/>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3180" w:type="dxa"/>
            <w:vAlign w:val="bottom"/>
          </w:tcPr>
          <w:p>
            <w:pPr>
              <w:jc w:val="center"/>
              <w:ind w:right="1448"/>
              <w:spacing w:after="0"/>
              <w:rPr>
                <w:sz w:val="20"/>
                <w:szCs w:val="20"/>
                <w:color w:val="auto"/>
              </w:rPr>
            </w:pPr>
            <w:r>
              <w:rPr>
                <w:rFonts w:ascii="Arial" w:cs="Arial" w:eastAsia="Arial" w:hAnsi="Arial"/>
                <w:sz w:val="14"/>
                <w:szCs w:val="14"/>
                <w:color w:val="auto"/>
                <w:w w:val="95"/>
              </w:rPr>
              <w:t>incorporation)</w:t>
            </w:r>
          </w:p>
        </w:tc>
        <w:tc>
          <w:tcPr>
            <w:tcW w:w="2800" w:type="dxa"/>
            <w:vAlign w:val="bottom"/>
          </w:tcPr>
          <w:p>
            <w:pPr>
              <w:jc w:val="center"/>
              <w:ind w:right="768"/>
              <w:spacing w:after="0"/>
              <w:rPr>
                <w:sz w:val="20"/>
                <w:szCs w:val="20"/>
                <w:color w:val="auto"/>
              </w:rPr>
            </w:pPr>
            <w:r>
              <w:rPr>
                <w:rFonts w:ascii="Arial" w:cs="Arial" w:eastAsia="Arial" w:hAnsi="Arial"/>
                <w:sz w:val="14"/>
                <w:szCs w:val="14"/>
                <w:color w:val="auto"/>
                <w:w w:val="96"/>
              </w:rPr>
              <w:t>(Commission File Number)</w:t>
            </w:r>
          </w:p>
        </w:tc>
        <w:tc>
          <w:tcPr>
            <w:tcW w:w="2040" w:type="dxa"/>
            <w:vAlign w:val="bottom"/>
          </w:tcPr>
          <w:p>
            <w:pPr>
              <w:jc w:val="center"/>
              <w:ind w:left="88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06"/>
        </w:trPr>
        <w:tc>
          <w:tcPr>
            <w:tcW w:w="318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300 Renaissance Center, Detroit, Michigan</w:t>
            </w:r>
          </w:p>
        </w:tc>
        <w:tc>
          <w:tcPr>
            <w:tcW w:w="2800" w:type="dxa"/>
            <w:vAlign w:val="bottom"/>
          </w:tcPr>
          <w:p>
            <w:pPr>
              <w:spacing w:after="0"/>
              <w:rPr>
                <w:sz w:val="17"/>
                <w:szCs w:val="17"/>
                <w:color w:val="auto"/>
              </w:rPr>
            </w:pPr>
          </w:p>
        </w:tc>
        <w:tc>
          <w:tcPr>
            <w:tcW w:w="2040" w:type="dxa"/>
            <w:vAlign w:val="bottom"/>
          </w:tcPr>
          <w:p>
            <w:pPr>
              <w:jc w:val="right"/>
              <w:ind w:right="968"/>
              <w:spacing w:after="0"/>
              <w:rPr>
                <w:sz w:val="20"/>
                <w:szCs w:val="20"/>
                <w:color w:val="auto"/>
              </w:rPr>
            </w:pPr>
            <w:r>
              <w:rPr>
                <w:rFonts w:ascii="Arial" w:cs="Arial" w:eastAsia="Arial" w:hAnsi="Arial"/>
                <w:sz w:val="14"/>
                <w:szCs w:val="14"/>
                <w:b w:val="1"/>
                <w:bCs w:val="1"/>
                <w:color w:val="auto"/>
              </w:rPr>
              <w:t>48265-3000</w:t>
            </w:r>
          </w:p>
        </w:tc>
        <w:tc>
          <w:tcPr>
            <w:tcW w:w="0" w:type="dxa"/>
            <w:vAlign w:val="bottom"/>
          </w:tcPr>
          <w:p>
            <w:pPr>
              <w:spacing w:after="0"/>
              <w:rPr>
                <w:sz w:val="1"/>
                <w:szCs w:val="1"/>
                <w:color w:val="auto"/>
              </w:rPr>
            </w:pPr>
          </w:p>
        </w:tc>
      </w:tr>
      <w:tr>
        <w:trPr>
          <w:trHeight w:val="182"/>
        </w:trPr>
        <w:tc>
          <w:tcPr>
            <w:tcW w:w="3180" w:type="dxa"/>
            <w:vAlign w:val="bottom"/>
          </w:tcPr>
          <w:p>
            <w:pPr>
              <w:jc w:val="center"/>
              <w:ind w:left="108"/>
              <w:spacing w:after="0"/>
              <w:rPr>
                <w:sz w:val="20"/>
                <w:szCs w:val="20"/>
                <w:color w:val="auto"/>
              </w:rPr>
            </w:pPr>
            <w:r>
              <w:rPr>
                <w:rFonts w:ascii="Arial" w:cs="Arial" w:eastAsia="Arial" w:hAnsi="Arial"/>
                <w:sz w:val="14"/>
                <w:szCs w:val="14"/>
                <w:color w:val="auto"/>
                <w:w w:val="95"/>
              </w:rPr>
              <w:t>(Address of principal executive offices)</w:t>
            </w:r>
          </w:p>
        </w:tc>
        <w:tc>
          <w:tcPr>
            <w:tcW w:w="2800" w:type="dxa"/>
            <w:vAlign w:val="bottom"/>
          </w:tcPr>
          <w:p>
            <w:pPr>
              <w:spacing w:after="0"/>
              <w:rPr>
                <w:sz w:val="15"/>
                <w:szCs w:val="15"/>
                <w:color w:val="auto"/>
              </w:rPr>
            </w:pPr>
          </w:p>
        </w:tc>
        <w:tc>
          <w:tcPr>
            <w:tcW w:w="2040" w:type="dxa"/>
            <w:vAlign w:val="bottom"/>
          </w:tcPr>
          <w:p>
            <w:pPr>
              <w:jc w:val="center"/>
              <w:ind w:right="64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57"/>
        </w:trPr>
        <w:tc>
          <w:tcPr>
            <w:tcW w:w="3180" w:type="dxa"/>
            <w:vAlign w:val="bottom"/>
          </w:tcPr>
          <w:p>
            <w:pPr>
              <w:spacing w:after="0"/>
              <w:rPr>
                <w:sz w:val="24"/>
                <w:szCs w:val="24"/>
                <w:color w:val="auto"/>
              </w:rPr>
            </w:pPr>
          </w:p>
        </w:tc>
        <w:tc>
          <w:tcPr>
            <w:tcW w:w="2800" w:type="dxa"/>
            <w:vAlign w:val="bottom"/>
          </w:tcPr>
          <w:p>
            <w:pPr>
              <w:jc w:val="center"/>
              <w:ind w:right="788"/>
              <w:spacing w:after="0"/>
              <w:rPr>
                <w:sz w:val="20"/>
                <w:szCs w:val="20"/>
                <w:color w:val="auto"/>
              </w:rPr>
            </w:pPr>
            <w:r>
              <w:rPr>
                <w:rFonts w:ascii="Arial" w:cs="Arial" w:eastAsia="Arial" w:hAnsi="Arial"/>
                <w:sz w:val="14"/>
                <w:szCs w:val="14"/>
                <w:color w:val="auto"/>
                <w:w w:val="93"/>
              </w:rPr>
              <w:t>(</w:t>
            </w:r>
            <w:r>
              <w:rPr>
                <w:rFonts w:ascii="Arial" w:cs="Arial" w:eastAsia="Arial" w:hAnsi="Arial"/>
                <w:sz w:val="14"/>
                <w:szCs w:val="14"/>
                <w:b w:val="1"/>
                <w:bCs w:val="1"/>
                <w:color w:val="auto"/>
                <w:w w:val="93"/>
              </w:rPr>
              <w:t>313</w:t>
            </w:r>
            <w:r>
              <w:rPr>
                <w:rFonts w:ascii="Arial" w:cs="Arial" w:eastAsia="Arial" w:hAnsi="Arial"/>
                <w:sz w:val="14"/>
                <w:szCs w:val="14"/>
                <w:color w:val="auto"/>
                <w:w w:val="93"/>
              </w:rPr>
              <w:t xml:space="preserve">) </w:t>
            </w:r>
            <w:r>
              <w:rPr>
                <w:rFonts w:ascii="Arial" w:cs="Arial" w:eastAsia="Arial" w:hAnsi="Arial"/>
                <w:sz w:val="14"/>
                <w:szCs w:val="14"/>
                <w:b w:val="1"/>
                <w:bCs w:val="1"/>
                <w:color w:val="auto"/>
                <w:w w:val="93"/>
              </w:rPr>
              <w:t>667-1500</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980" w:type="dxa"/>
            <w:vAlign w:val="bottom"/>
            <w:gridSpan w:val="2"/>
          </w:tcPr>
          <w:p>
            <w:pPr>
              <w:jc w:val="center"/>
              <w:ind w:left="2248"/>
              <w:spacing w:after="0"/>
              <w:rPr>
                <w:sz w:val="20"/>
                <w:szCs w:val="20"/>
                <w:color w:val="auto"/>
              </w:rPr>
            </w:pPr>
            <w:r>
              <w:rPr>
                <w:rFonts w:ascii="Arial" w:cs="Arial" w:eastAsia="Arial" w:hAnsi="Arial"/>
                <w:sz w:val="14"/>
                <w:szCs w:val="14"/>
                <w:color w:val="auto"/>
                <w:w w:val="91"/>
              </w:rPr>
              <w:t>(Registrant's telephone number, including area code)</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Not Applicable</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1" w:lineRule="exact"/>
        <w:rPr>
          <w:sz w:val="24"/>
          <w:szCs w:val="24"/>
          <w:color w:val="auto"/>
        </w:rPr>
      </w:pPr>
    </w:p>
    <w:p>
      <w:pPr>
        <w:ind w:left="4960"/>
        <w:spacing w:after="0"/>
        <w:rPr>
          <w:sz w:val="20"/>
          <w:szCs w:val="20"/>
          <w:color w:val="auto"/>
        </w:rPr>
      </w:pPr>
      <w:r>
        <w:rPr>
          <w:rFonts w:ascii="Arial" w:cs="Arial" w:eastAsia="Arial" w:hAnsi="Arial"/>
          <w:sz w:val="17"/>
          <w:szCs w:val="17"/>
          <w:color w:val="auto"/>
        </w:rPr>
        <w:t>__________________</w:t>
      </w:r>
    </w:p>
    <w:p>
      <w:pPr>
        <w:spacing w:after="0" w:line="176"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357" w:lineRule="exact"/>
        <w:rPr>
          <w:sz w:val="24"/>
          <w:szCs w:val="2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Written communications pursuant to Rule 425 under the Securities Act (17 CFR 230.425)</w:t>
      </w:r>
    </w:p>
    <w:p>
      <w:pPr>
        <w:spacing w:after="0" w:line="281" w:lineRule="exact"/>
        <w:rPr>
          <w:rFonts w:ascii="MS PGothic" w:cs="MS PGothic" w:eastAsia="MS PGothic" w:hAnsi="MS PGothic"/>
          <w:sz w:val="14"/>
          <w:szCs w:val="1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Soliciting material pursuant to Rule 14a-12 under the Exchange Act (17 CFR 240.14a-12)</w:t>
      </w:r>
    </w:p>
    <w:p>
      <w:pPr>
        <w:spacing w:after="0" w:line="281" w:lineRule="exact"/>
        <w:rPr>
          <w:rFonts w:ascii="MS PGothic" w:cs="MS PGothic" w:eastAsia="MS PGothic" w:hAnsi="MS PGothic"/>
          <w:sz w:val="14"/>
          <w:szCs w:val="1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14d-2(b) under the Exchange Act (17 CFR 240.14d-2(b))</w:t>
      </w:r>
    </w:p>
    <w:p>
      <w:pPr>
        <w:spacing w:after="0" w:line="281" w:lineRule="exact"/>
        <w:rPr>
          <w:rFonts w:ascii="MS PGothic" w:cs="MS PGothic" w:eastAsia="MS PGothic" w:hAnsi="MS PGothic"/>
          <w:sz w:val="14"/>
          <w:szCs w:val="1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13e-4(c) under the Exchange Act (17 CFR 240.13e-4(c))</w:t>
      </w:r>
    </w:p>
    <w:p>
      <w:pPr>
        <w:spacing w:after="0" w:line="77" w:lineRule="exact"/>
        <w:rPr>
          <w:sz w:val="24"/>
          <w:szCs w:val="24"/>
          <w:color w:val="auto"/>
        </w:rPr>
      </w:pPr>
    </w:p>
    <w:tbl>
      <w:tblPr>
        <w:tblLayout w:type="fixed"/>
        <w:tblInd w:w="1940" w:type="dxa"/>
        <w:tblCellMar>
          <w:top w:w="0" w:type="dxa"/>
          <w:left w:w="0" w:type="dxa"/>
          <w:bottom w:w="0" w:type="dxa"/>
          <w:right w:w="0" w:type="dxa"/>
        </w:tblCellMar>
      </w:tblPr>
      <w:tr>
        <w:trPr>
          <w:trHeight w:val="163"/>
        </w:trPr>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0" w:type="dxa"/>
            <w:vAlign w:val="bottom"/>
            <w:gridSpan w:val="3"/>
          </w:tcPr>
          <w:p>
            <w:pPr>
              <w:jc w:val="center"/>
              <w:ind w:left="275"/>
              <w:spacing w:after="0"/>
              <w:rPr>
                <w:sz w:val="20"/>
                <w:szCs w:val="20"/>
                <w:color w:val="auto"/>
              </w:rPr>
            </w:pPr>
            <w:r>
              <w:rPr>
                <w:rFonts w:ascii="Arial" w:cs="Arial" w:eastAsia="Arial" w:hAnsi="Arial"/>
                <w:sz w:val="13"/>
                <w:szCs w:val="13"/>
                <w:color w:val="auto"/>
                <w:w w:val="90"/>
              </w:rPr>
              <w:t>Securities registered pursuant to Section 12(b) of the Act:</w:t>
            </w:r>
          </w:p>
        </w:tc>
        <w:tc>
          <w:tcPr>
            <w:tcW w:w="3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53"/>
        </w:trPr>
        <w:tc>
          <w:tcPr>
            <w:tcW w:w="1620" w:type="dxa"/>
            <w:vAlign w:val="bottom"/>
            <w:gridSpan w:val="2"/>
          </w:tcPr>
          <w:p>
            <w:pPr>
              <w:jc w:val="center"/>
              <w:ind w:right="680"/>
              <w:spacing w:after="0"/>
              <w:rPr>
                <w:sz w:val="20"/>
                <w:szCs w:val="20"/>
                <w:color w:val="auto"/>
              </w:rPr>
            </w:pPr>
            <w:r>
              <w:rPr>
                <w:rFonts w:ascii="Arial" w:cs="Arial" w:eastAsia="Arial" w:hAnsi="Arial"/>
                <w:sz w:val="13"/>
                <w:szCs w:val="13"/>
                <w:color w:val="auto"/>
                <w:w w:val="90"/>
              </w:rPr>
              <w:t>Title of each class</w:t>
            </w:r>
          </w:p>
        </w:tc>
        <w:tc>
          <w:tcPr>
            <w:tcW w:w="4000" w:type="dxa"/>
            <w:vAlign w:val="bottom"/>
            <w:gridSpan w:val="3"/>
          </w:tcPr>
          <w:p>
            <w:pPr>
              <w:jc w:val="center"/>
              <w:ind w:left="295"/>
              <w:spacing w:after="0"/>
              <w:rPr>
                <w:sz w:val="20"/>
                <w:szCs w:val="20"/>
                <w:color w:val="auto"/>
              </w:rPr>
            </w:pPr>
            <w:r>
              <w:rPr>
                <w:rFonts w:ascii="Arial" w:cs="Arial" w:eastAsia="Arial" w:hAnsi="Arial"/>
                <w:sz w:val="13"/>
                <w:szCs w:val="13"/>
                <w:color w:val="auto"/>
                <w:w w:val="90"/>
              </w:rPr>
              <w:t>Trading Symbol(s)</w:t>
            </w:r>
          </w:p>
        </w:tc>
        <w:tc>
          <w:tcPr>
            <w:tcW w:w="2640" w:type="dxa"/>
            <w:vAlign w:val="bottom"/>
            <w:gridSpan w:val="2"/>
          </w:tcPr>
          <w:p>
            <w:pPr>
              <w:jc w:val="center"/>
              <w:ind w:left="295"/>
              <w:spacing w:after="0"/>
              <w:rPr>
                <w:sz w:val="20"/>
                <w:szCs w:val="20"/>
                <w:color w:val="auto"/>
              </w:rPr>
            </w:pPr>
            <w:r>
              <w:rPr>
                <w:rFonts w:ascii="Arial" w:cs="Arial" w:eastAsia="Arial" w:hAnsi="Arial"/>
                <w:sz w:val="13"/>
                <w:szCs w:val="13"/>
                <w:color w:val="auto"/>
                <w:w w:val="88"/>
              </w:rPr>
              <w:t>Name of each exchange on which registered</w:t>
            </w:r>
          </w:p>
        </w:tc>
      </w:tr>
      <w:tr>
        <w:trPr>
          <w:trHeight w:val="212"/>
        </w:trPr>
        <w:tc>
          <w:tcPr>
            <w:tcW w:w="9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9"/>
              </w:rPr>
              <w:t>Common Stock</w:t>
            </w:r>
          </w:p>
        </w:tc>
        <w:tc>
          <w:tcPr>
            <w:tcW w:w="6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5"/>
              </w:rPr>
              <w:t>GM</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0"/>
              </w:rPr>
              <w:t>New York Stock Exchange</w:t>
            </w:r>
          </w:p>
        </w:tc>
      </w:tr>
    </w:tbl>
    <w:p>
      <w:pPr>
        <w:spacing w:after="0" w:line="236" w:lineRule="exact"/>
        <w:rPr>
          <w:sz w:val="24"/>
          <w:szCs w:val="24"/>
          <w:color w:val="auto"/>
        </w:rPr>
      </w:pPr>
    </w:p>
    <w:p>
      <w:pPr>
        <w:ind w:right="520"/>
        <w:spacing w:after="0" w:line="164"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47" w:lineRule="exact"/>
        <w:rPr>
          <w:sz w:val="24"/>
          <w:szCs w:val="24"/>
          <w:color w:val="auto"/>
        </w:rPr>
      </w:pPr>
    </w:p>
    <w:p>
      <w:pPr>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29845</wp:posOffset>
            </wp:positionV>
            <wp:extent cx="729996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220"/>
          </w:cols>
          <w:pgMar w:left="220" w:top="941" w:right="45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188" w:lineRule="exact"/>
        <w:rPr>
          <w:sz w:val="20"/>
          <w:szCs w:val="20"/>
          <w:color w:val="auto"/>
        </w:rPr>
      </w:pPr>
    </w:p>
    <w:p>
      <w:pPr>
        <w:ind w:firstLine="129"/>
        <w:spacing w:after="0" w:line="288" w:lineRule="auto"/>
        <w:rPr>
          <w:sz w:val="20"/>
          <w:szCs w:val="20"/>
          <w:color w:val="auto"/>
        </w:rPr>
      </w:pPr>
      <w:r>
        <w:rPr>
          <w:rFonts w:ascii="Arial" w:cs="Arial" w:eastAsia="Arial" w:hAnsi="Arial"/>
          <w:sz w:val="14"/>
          <w:szCs w:val="14"/>
          <w:color w:val="auto"/>
        </w:rPr>
        <w:t>On August 1, 2019 General Motors Company (GM) issued a news release and supplemental materials on the subject of its 2019 second quarter earnings. The news release and supplemental materials are attached as Exhibit 99.1 and Exhibit 99.2.</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Charts furnished to securities analysts in connection with GM's 2019 second quarter earnings release are available on GM's website at www.gm.com/investors/earnings-releases.html.</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EXHIBIT</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Pr>
          <w:p>
            <w:pPr>
              <w:spacing w:after="0"/>
              <w:rPr>
                <w:sz w:val="20"/>
                <w:szCs w:val="20"/>
                <w:color w:val="auto"/>
              </w:rPr>
            </w:pPr>
            <w:r>
              <w:rPr>
                <w:rFonts w:ascii="Arial" w:cs="Arial" w:eastAsia="Arial" w:hAnsi="Arial"/>
                <w:sz w:val="14"/>
                <w:szCs w:val="14"/>
                <w:color w:val="auto"/>
                <w:w w:val="99"/>
              </w:rPr>
              <w:t>Exhibit</w:t>
            </w:r>
          </w:p>
        </w:tc>
        <w:tc>
          <w:tcPr>
            <w:tcW w:w="2440" w:type="dxa"/>
            <w:vAlign w:val="bottom"/>
          </w:tcPr>
          <w:p>
            <w:pPr>
              <w:spacing w:after="0"/>
              <w:rPr>
                <w:sz w:val="14"/>
                <w:szCs w:val="14"/>
                <w:color w:val="auto"/>
              </w:rPr>
            </w:pPr>
          </w:p>
        </w:tc>
        <w:tc>
          <w:tcPr>
            <w:tcW w:w="2460" w:type="dxa"/>
            <w:vAlign w:val="bottom"/>
            <w:gridSpan w:val="3"/>
          </w:tcPr>
          <w:p>
            <w:pPr>
              <w:spacing w:after="0"/>
              <w:rPr>
                <w:sz w:val="20"/>
                <w:szCs w:val="20"/>
                <w:color w:val="auto"/>
              </w:rPr>
            </w:pPr>
            <w:r>
              <w:rPr>
                <w:rFonts w:ascii="Arial" w:cs="Arial" w:eastAsia="Arial" w:hAnsi="Arial"/>
                <w:sz w:val="14"/>
                <w:szCs w:val="14"/>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4"/>
        </w:trPr>
        <w:tc>
          <w:tcPr>
            <w:tcW w:w="2880" w:type="dxa"/>
            <w:vAlign w:val="bottom"/>
            <w:gridSpan w:val="2"/>
          </w:tcPr>
          <w:p>
            <w:pPr>
              <w:spacing w:after="0"/>
              <w:rPr>
                <w:sz w:val="20"/>
                <w:szCs w:val="20"/>
                <w:color w:val="auto"/>
              </w:rPr>
            </w:pPr>
            <w:r>
              <w:rPr>
                <w:rFonts w:ascii="Arial" w:cs="Arial" w:eastAsia="Arial" w:hAnsi="Arial"/>
                <w:sz w:val="14"/>
                <w:szCs w:val="14"/>
                <w:color w:val="auto"/>
              </w:rPr>
              <w:t>Exhibit 99.1</w:t>
            </w:r>
          </w:p>
        </w:tc>
        <w:tc>
          <w:tcPr>
            <w:tcW w:w="2460" w:type="dxa"/>
            <w:vAlign w:val="bottom"/>
            <w:gridSpan w:val="3"/>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News Release Dated August 1, 2019</w:t>
              </w:r>
            </w:hyperlink>
          </w:p>
        </w:tc>
      </w:tr>
      <w:tr>
        <w:trPr>
          <w:trHeight w:val="20"/>
        </w:trPr>
        <w:tc>
          <w:tcPr>
            <w:tcW w:w="2880" w:type="dxa"/>
            <w:vAlign w:val="bottom"/>
            <w:gridSpan w:val="2"/>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880" w:type="dxa"/>
            <w:vAlign w:val="bottom"/>
            <w:gridSpan w:val="2"/>
          </w:tcPr>
          <w:p>
            <w:pPr>
              <w:spacing w:after="0"/>
              <w:rPr>
                <w:sz w:val="20"/>
                <w:szCs w:val="20"/>
                <w:color w:val="auto"/>
              </w:rPr>
            </w:pPr>
            <w:r>
              <w:rPr>
                <w:rFonts w:ascii="Arial" w:cs="Arial" w:eastAsia="Arial" w:hAnsi="Arial"/>
                <w:sz w:val="14"/>
                <w:szCs w:val="14"/>
                <w:color w:val="auto"/>
              </w:rPr>
              <w:t>Exhibit 99.2</w:t>
            </w:r>
          </w:p>
        </w:tc>
        <w:tc>
          <w:tcPr>
            <w:tcW w:w="2460" w:type="dxa"/>
            <w:vAlign w:val="bottom"/>
            <w:tcBorders>
              <w:bottom w:val="single" w:sz="8" w:color="0000FF"/>
            </w:tcBorders>
            <w:gridSpan w:val="3"/>
          </w:tcPr>
          <w:p>
            <w:pPr>
              <w:spacing w:after="0"/>
              <w:rPr>
                <w:rFonts w:ascii="Arial" w:cs="Arial" w:eastAsia="Arial" w:hAnsi="Arial"/>
                <w:sz w:val="14"/>
                <w:szCs w:val="14"/>
                <w:color w:val="0000FF"/>
                <w:w w:val="93"/>
              </w:rPr>
            </w:pPr>
            <w:hyperlink w:anchor="page8">
              <w:r>
                <w:rPr>
                  <w:rFonts w:ascii="Arial" w:cs="Arial" w:eastAsia="Arial" w:hAnsi="Arial"/>
                  <w:sz w:val="14"/>
                  <w:szCs w:val="14"/>
                  <w:color w:val="0000FF"/>
                  <w:w w:val="93"/>
                </w:rPr>
                <w:t>Financial Highlights Dated August 1, 2019</w:t>
              </w:r>
            </w:hyperlink>
          </w:p>
        </w:tc>
      </w:tr>
    </w:tbl>
    <w:p>
      <w:pPr>
        <w:sectPr>
          <w:pgSz w:w="11900" w:h="16838" w:orient="portrait"/>
          <w:cols w:equalWidth="0" w:num="1">
            <w:col w:w="11460"/>
          </w:cols>
          <w:pgMar w:left="220" w:top="491" w:right="2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33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8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Arial" w:cs="Arial" w:eastAsia="Arial" w:hAnsi="Arial"/>
                <w:sz w:val="14"/>
                <w:szCs w:val="14"/>
                <w:color w:val="auto"/>
              </w:rPr>
              <w:t>GENERAL MOTORS COMPANY (Registrant)</w:t>
            </w:r>
          </w:p>
        </w:tc>
        <w:tc>
          <w:tcPr>
            <w:tcW w:w="0" w:type="dxa"/>
            <w:vAlign w:val="bottom"/>
          </w:tcPr>
          <w:p>
            <w:pPr>
              <w:spacing w:after="0"/>
              <w:rPr>
                <w:sz w:val="1"/>
                <w:szCs w:val="1"/>
                <w:color w:val="auto"/>
              </w:rPr>
            </w:pPr>
          </w:p>
        </w:tc>
      </w:tr>
      <w:tr>
        <w:trPr>
          <w:trHeight w:val="560"/>
        </w:trPr>
        <w:tc>
          <w:tcPr>
            <w:tcW w:w="6180" w:type="dxa"/>
            <w:vAlign w:val="bottom"/>
          </w:tcPr>
          <w:p>
            <w:pPr>
              <w:ind w:left="5520"/>
              <w:spacing w:after="0"/>
              <w:rPr>
                <w:sz w:val="20"/>
                <w:szCs w:val="20"/>
                <w:color w:val="auto"/>
              </w:rPr>
            </w:pPr>
            <w:r>
              <w:rPr>
                <w:rFonts w:ascii="Arial" w:cs="Arial" w:eastAsia="Arial" w:hAnsi="Arial"/>
                <w:sz w:val="14"/>
                <w:szCs w:val="14"/>
                <w:color w:val="auto"/>
              </w:rPr>
              <w:t>By:</w:t>
            </w:r>
          </w:p>
        </w:tc>
        <w:tc>
          <w:tcPr>
            <w:tcW w:w="5260" w:type="dxa"/>
            <w:vAlign w:val="bottom"/>
          </w:tcPr>
          <w:p>
            <w:pPr>
              <w:ind w:left="20"/>
              <w:spacing w:after="0"/>
              <w:rPr>
                <w:sz w:val="20"/>
                <w:szCs w:val="20"/>
                <w:color w:val="auto"/>
              </w:rPr>
            </w:pPr>
            <w:r>
              <w:rPr>
                <w:rFonts w:ascii="Arial" w:cs="Arial" w:eastAsia="Arial" w:hAnsi="Arial"/>
                <w:sz w:val="14"/>
                <w:szCs w:val="14"/>
                <w:color w:val="auto"/>
              </w:rPr>
              <w:t>/s/ CHRISTOPHER T. HATTO</w:t>
            </w:r>
          </w:p>
        </w:tc>
        <w:tc>
          <w:tcPr>
            <w:tcW w:w="0" w:type="dxa"/>
            <w:vAlign w:val="bottom"/>
          </w:tcPr>
          <w:p>
            <w:pPr>
              <w:spacing w:after="0"/>
              <w:rPr>
                <w:sz w:val="1"/>
                <w:szCs w:val="1"/>
                <w:color w:val="auto"/>
              </w:rPr>
            </w:pPr>
          </w:p>
        </w:tc>
      </w:tr>
      <w:tr>
        <w:trPr>
          <w:trHeight w:val="23"/>
        </w:trPr>
        <w:tc>
          <w:tcPr>
            <w:tcW w:w="6180" w:type="dxa"/>
            <w:vAlign w:val="bottom"/>
            <w:vMerge w:val="restart"/>
          </w:tcPr>
          <w:p>
            <w:pPr>
              <w:spacing w:after="0"/>
              <w:rPr>
                <w:sz w:val="20"/>
                <w:szCs w:val="20"/>
                <w:color w:val="auto"/>
              </w:rPr>
            </w:pPr>
            <w:r>
              <w:rPr>
                <w:rFonts w:ascii="Arial" w:cs="Arial" w:eastAsia="Arial" w:hAnsi="Arial"/>
                <w:sz w:val="14"/>
                <w:szCs w:val="14"/>
                <w:color w:val="auto"/>
              </w:rPr>
              <w:t>Date: August 1, 2019</w:t>
            </w:r>
          </w:p>
        </w:tc>
        <w:tc>
          <w:tcPr>
            <w:tcW w:w="5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180" w:type="dxa"/>
            <w:vAlign w:val="bottom"/>
            <w:vMerge w:val="continue"/>
          </w:tcPr>
          <w:p>
            <w:pPr>
              <w:spacing w:after="0"/>
              <w:rPr>
                <w:sz w:val="15"/>
                <w:szCs w:val="15"/>
                <w:color w:val="auto"/>
              </w:rPr>
            </w:pPr>
          </w:p>
        </w:tc>
        <w:tc>
          <w:tcPr>
            <w:tcW w:w="5260" w:type="dxa"/>
            <w:vAlign w:val="bottom"/>
          </w:tcPr>
          <w:p>
            <w:pPr>
              <w:ind w:left="20"/>
              <w:spacing w:after="0"/>
              <w:rPr>
                <w:sz w:val="20"/>
                <w:szCs w:val="20"/>
                <w:color w:val="auto"/>
              </w:rPr>
            </w:pPr>
            <w:r>
              <w:rPr>
                <w:rFonts w:ascii="Arial" w:cs="Arial" w:eastAsia="Arial" w:hAnsi="Arial"/>
                <w:sz w:val="14"/>
                <w:szCs w:val="14"/>
                <w:color w:val="auto"/>
              </w:rPr>
              <w:t>Christopher T. Hatto, 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40"/>
          </w:cols>
          <w:pgMar w:left="240" w:top="664"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99.2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95" w:lineRule="exact"/>
        <w:rPr>
          <w:sz w:val="20"/>
          <w:szCs w:val="20"/>
          <w:color w:val="auto"/>
        </w:rPr>
      </w:pPr>
    </w:p>
    <w:p>
      <w:pPr>
        <w:jc w:val="both"/>
        <w:ind w:firstLine="129"/>
        <w:spacing w:after="0" w:line="244" w:lineRule="auto"/>
        <w:rPr>
          <w:sz w:val="20"/>
          <w:szCs w:val="20"/>
          <w:color w:val="auto"/>
        </w:rPr>
      </w:pPr>
      <w:r>
        <w:rPr>
          <w:rFonts w:ascii="Arial" w:cs="Arial" w:eastAsia="Arial" w:hAnsi="Arial"/>
          <w:sz w:val="13"/>
          <w:szCs w:val="13"/>
          <w:color w:val="auto"/>
        </w:rPr>
        <w:t>Unless otherwise indicated, General Motors Company's (GM) non-GAAP measures are related to our continuing operations and not our discontinued operations. GM's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45" w:lineRule="exact"/>
        <w:rPr>
          <w:sz w:val="20"/>
          <w:szCs w:val="20"/>
          <w:color w:val="auto"/>
        </w:rPr>
      </w:pPr>
    </w:p>
    <w:p>
      <w:pPr>
        <w:jc w:val="both"/>
        <w:ind w:firstLine="129"/>
        <w:spacing w:after="0" w:line="243"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32" w:lineRule="exact"/>
        <w:rPr>
          <w:sz w:val="20"/>
          <w:szCs w:val="20"/>
          <w:color w:val="auto"/>
        </w:rPr>
      </w:pPr>
    </w:p>
    <w:p>
      <w:pPr>
        <w:jc w:val="both"/>
        <w:ind w:firstLine="129"/>
        <w:spacing w:after="0" w:line="249" w:lineRule="auto"/>
        <w:rPr>
          <w:sz w:val="20"/>
          <w:szCs w:val="20"/>
          <w:color w:val="auto"/>
        </w:rPr>
      </w:pPr>
      <w:r>
        <w:rPr>
          <w:rFonts w:ascii="Arial" w:cs="Arial" w:eastAsia="Arial" w:hAnsi="Arial"/>
          <w:sz w:val="13"/>
          <w:szCs w:val="13"/>
          <w:b w:val="1"/>
          <w:bCs w:val="1"/>
          <w:i w:val="1"/>
          <w:iCs w:val="1"/>
          <w:color w:val="auto"/>
        </w:rPr>
        <w:t xml:space="preserve">EBIT-adjusted </w:t>
      </w:r>
      <w:r>
        <w:rPr>
          <w:rFonts w:ascii="Arial" w:cs="Arial" w:eastAsia="Arial" w:hAnsi="Arial"/>
          <w:sz w:val="13"/>
          <w:szCs w:val="13"/>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w:t>
      </w:r>
    </w:p>
    <w:p>
      <w:pPr>
        <w:spacing w:after="0" w:line="126" w:lineRule="exact"/>
        <w:rPr>
          <w:sz w:val="20"/>
          <w:szCs w:val="20"/>
          <w:color w:val="auto"/>
        </w:rPr>
      </w:pPr>
    </w:p>
    <w:p>
      <w:pPr>
        <w:jc w:val="both"/>
        <w:ind w:firstLine="129"/>
        <w:spacing w:after="0" w:line="253"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24" w:lineRule="exact"/>
        <w:rPr>
          <w:sz w:val="20"/>
          <w:szCs w:val="20"/>
          <w:color w:val="auto"/>
        </w:rPr>
      </w:pPr>
    </w:p>
    <w:p>
      <w:pPr>
        <w:jc w:val="both"/>
        <w:ind w:firstLine="129"/>
        <w:spacing w:after="0" w:line="259"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w:t>
      </w:r>
    </w:p>
    <w:p>
      <w:pPr>
        <w:spacing w:after="0" w:line="120" w:lineRule="exact"/>
        <w:rPr>
          <w:sz w:val="20"/>
          <w:szCs w:val="20"/>
          <w:color w:val="auto"/>
        </w:rPr>
      </w:pPr>
    </w:p>
    <w:p>
      <w:pPr>
        <w:jc w:val="both"/>
        <w:ind w:firstLine="129"/>
        <w:spacing w:after="0" w:line="253"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capital leases; average net pension and other postretirement benefits (OPEB) liabilities; and average automotive net income tax assets during the same period. Adjustments to the average equity balances exclude assets and liabilities classified as either assets held for sale or liabilities held for sale.</w:t>
      </w:r>
    </w:p>
    <w:p>
      <w:pPr>
        <w:spacing w:after="0" w:line="124" w:lineRule="exact"/>
        <w:rPr>
          <w:sz w:val="20"/>
          <w:szCs w:val="20"/>
          <w:color w:val="auto"/>
        </w:rPr>
      </w:pPr>
    </w:p>
    <w:p>
      <w:pPr>
        <w:jc w:val="both"/>
        <w:ind w:firstLine="129"/>
        <w:spacing w:after="0" w:line="253"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460"/>
          </w:cols>
          <w:pgMar w:left="220" w:top="118"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segment profit (loss) to Net income attributable to stockholders under U.S. GAAP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w:t>
            </w: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0"/>
                <w:szCs w:val="10"/>
                <w:b w:val="1"/>
                <w:bCs w:val="1"/>
                <w:color w:val="auto"/>
              </w:rPr>
              <w:t>June 30, 2019</w:t>
            </w:r>
          </w:p>
        </w:tc>
        <w:tc>
          <w:tcPr>
            <w:tcW w:w="26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0"/>
                <w:szCs w:val="10"/>
                <w:b w:val="1"/>
                <w:bCs w:val="1"/>
                <w:color w:val="auto"/>
              </w:rPr>
              <w:t>June 30, 2018</w:t>
            </w:r>
          </w:p>
        </w:tc>
        <w:tc>
          <w:tcPr>
            <w:tcW w:w="26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0"/>
                <w:szCs w:val="10"/>
                <w:b w:val="1"/>
                <w:bCs w:val="1"/>
                <w:color w:val="auto"/>
              </w:rPr>
              <w:t>June 30, 2019</w:t>
            </w:r>
          </w:p>
        </w:tc>
        <w:tc>
          <w:tcPr>
            <w:tcW w:w="400" w:type="dxa"/>
            <w:vAlign w:val="bottom"/>
          </w:tcPr>
          <w:p>
            <w:pPr>
              <w:spacing w:after="0"/>
              <w:rPr>
                <w:sz w:val="17"/>
                <w:szCs w:val="17"/>
                <w:color w:val="auto"/>
              </w:rPr>
            </w:pPr>
          </w:p>
        </w:tc>
        <w:tc>
          <w:tcPr>
            <w:tcW w:w="1060" w:type="dxa"/>
            <w:vAlign w:val="bottom"/>
          </w:tcPr>
          <w:p>
            <w:pPr>
              <w:jc w:val="right"/>
              <w:ind w:right="336"/>
              <w:spacing w:after="0"/>
              <w:rPr>
                <w:sz w:val="20"/>
                <w:szCs w:val="20"/>
                <w:color w:val="auto"/>
              </w:rPr>
            </w:pPr>
            <w:r>
              <w:rPr>
                <w:rFonts w:ascii="Arial" w:cs="Arial" w:eastAsia="Arial" w:hAnsi="Arial"/>
                <w:sz w:val="10"/>
                <w:szCs w:val="10"/>
                <w:b w:val="1"/>
                <w:bCs w:val="1"/>
                <w:color w:val="auto"/>
                <w:w w:val="98"/>
              </w:rPr>
              <w:t>June 30, 2018</w:t>
            </w: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Operating segments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 North America (GMNA)</w:t>
            </w: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4,903</w:t>
            </w:r>
          </w:p>
        </w:tc>
        <w:tc>
          <w:tcPr>
            <w:tcW w:w="0" w:type="dxa"/>
            <w:vAlign w:val="bottom"/>
          </w:tcPr>
          <w:p>
            <w:pPr>
              <w:spacing w:after="0"/>
              <w:rPr>
                <w:sz w:val="1"/>
                <w:szCs w:val="1"/>
                <w:color w:val="auto"/>
              </w:rPr>
            </w:pPr>
          </w:p>
        </w:tc>
      </w:tr>
      <w:tr>
        <w:trPr>
          <w:trHeight w:val="208"/>
        </w:trPr>
        <w:tc>
          <w:tcPr>
            <w:tcW w:w="5160" w:type="dxa"/>
            <w:vAlign w:val="bottom"/>
          </w:tcPr>
          <w:p>
            <w:pPr>
              <w:ind w:left="140"/>
              <w:spacing w:after="0"/>
              <w:rPr>
                <w:sz w:val="20"/>
                <w:szCs w:val="20"/>
                <w:color w:val="auto"/>
              </w:rPr>
            </w:pPr>
            <w:r>
              <w:rPr>
                <w:rFonts w:ascii="Arial" w:cs="Arial" w:eastAsia="Arial" w:hAnsi="Arial"/>
                <w:sz w:val="13"/>
                <w:szCs w:val="13"/>
                <w:color w:val="auto"/>
              </w:rPr>
              <w:t>GM International (GMI)</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332</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 Cruise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208"/>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GM Financial(a)</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536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895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979</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segments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3,231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3,195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5,348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5,894</w:t>
            </w:r>
          </w:p>
        </w:tc>
        <w:tc>
          <w:tcPr>
            <w:tcW w:w="0" w:type="dxa"/>
            <w:vAlign w:val="bottom"/>
          </w:tcPr>
          <w:p>
            <w:pPr>
              <w:spacing w:after="0"/>
              <w:rPr>
                <w:sz w:val="1"/>
                <w:szCs w:val="1"/>
                <w:color w:val="auto"/>
              </w:rPr>
            </w:pP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and eliminations(b)</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EBIT-adjusted</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3,012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3,192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5,322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5,802</w:t>
            </w: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Adjustments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Transformation activities(c)</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8"/>
        </w:trPr>
        <w:tc>
          <w:tcPr>
            <w:tcW w:w="5160" w:type="dxa"/>
            <w:vAlign w:val="bottom"/>
          </w:tcPr>
          <w:p>
            <w:pPr>
              <w:ind w:left="140"/>
              <w:spacing w:after="0"/>
              <w:rPr>
                <w:sz w:val="20"/>
                <w:szCs w:val="20"/>
                <w:color w:val="auto"/>
              </w:rPr>
            </w:pPr>
            <w:r>
              <w:rPr>
                <w:rFonts w:ascii="Arial" w:cs="Arial" w:eastAsia="Arial" w:hAnsi="Arial"/>
                <w:sz w:val="13"/>
                <w:szCs w:val="13"/>
                <w:color w:val="auto"/>
              </w:rPr>
              <w:t>GM Brazil indirect tax recoveries(d)</w:t>
            </w:r>
          </w:p>
        </w:tc>
        <w:tc>
          <w:tcPr>
            <w:tcW w:w="260" w:type="dxa"/>
            <w:vAlign w:val="bottom"/>
          </w:tcPr>
          <w:p>
            <w:pPr>
              <w:spacing w:after="0"/>
              <w:rPr>
                <w:sz w:val="18"/>
                <w:szCs w:val="18"/>
                <w:color w:val="auto"/>
              </w:rPr>
            </w:pP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Arial" w:cs="Arial" w:eastAsia="Arial" w:hAnsi="Arial"/>
                <w:sz w:val="13"/>
                <w:szCs w:val="13"/>
                <w:color w:val="auto"/>
              </w:rPr>
              <w:t>1,237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GMI restructuring(e)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w:t>
            </w:r>
          </w:p>
        </w:tc>
        <w:tc>
          <w:tcPr>
            <w:tcW w:w="0" w:type="dxa"/>
            <w:vAlign w:val="bottom"/>
          </w:tcPr>
          <w:p>
            <w:pPr>
              <w:spacing w:after="0"/>
              <w:rPr>
                <w:sz w:val="1"/>
                <w:szCs w:val="1"/>
                <w:color w:val="auto"/>
              </w:rPr>
            </w:pPr>
          </w:p>
        </w:tc>
      </w:tr>
      <w:tr>
        <w:trPr>
          <w:trHeight w:val="196"/>
        </w:trPr>
        <w:tc>
          <w:tcPr>
            <w:tcW w:w="516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(196)</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(1,138)</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income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Automotive interest expense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16"/>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(376)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(519)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(985)</w:t>
            </w:r>
          </w:p>
        </w:tc>
        <w:tc>
          <w:tcPr>
            <w:tcW w:w="0" w:type="dxa"/>
            <w:vAlign w:val="bottom"/>
          </w:tcPr>
          <w:p>
            <w:pPr>
              <w:spacing w:after="0"/>
              <w:rPr>
                <w:sz w:val="1"/>
                <w:szCs w:val="1"/>
                <w:color w:val="auto"/>
              </w:rPr>
            </w:pPr>
          </w:p>
        </w:tc>
      </w:tr>
      <w:tr>
        <w:trPr>
          <w:trHeight w:val="196"/>
        </w:trPr>
        <w:tc>
          <w:tcPr>
            <w:tcW w:w="5160" w:type="dxa"/>
            <w:vAlign w:val="bottom"/>
          </w:tcPr>
          <w:p>
            <w:pPr>
              <w:ind w:left="20"/>
              <w:spacing w:after="0"/>
              <w:rPr>
                <w:sz w:val="20"/>
                <w:szCs w:val="20"/>
                <w:color w:val="auto"/>
              </w:rPr>
            </w:pPr>
            <w:r>
              <w:rPr>
                <w:rFonts w:ascii="Arial" w:cs="Arial" w:eastAsia="Arial" w:hAnsi="Arial"/>
                <w:sz w:val="13"/>
                <w:szCs w:val="13"/>
                <w:color w:val="auto"/>
              </w:rPr>
              <w:t>Income from continuing operations(f)</w:t>
            </w:r>
          </w:p>
        </w:tc>
        <w:tc>
          <w:tcPr>
            <w:tcW w:w="260" w:type="dxa"/>
            <w:vAlign w:val="bottom"/>
          </w:tcPr>
          <w:p>
            <w:pPr>
              <w:spacing w:after="0"/>
              <w:rPr>
                <w:sz w:val="17"/>
                <w:szCs w:val="17"/>
                <w:color w:val="auto"/>
              </w:rPr>
            </w:pP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2,418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2,390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37"/>
              <w:spacing w:after="0"/>
              <w:rPr>
                <w:sz w:val="20"/>
                <w:szCs w:val="20"/>
                <w:color w:val="auto"/>
              </w:rPr>
            </w:pPr>
            <w:r>
              <w:rPr>
                <w:rFonts w:ascii="Arial" w:cs="Arial" w:eastAsia="Arial" w:hAnsi="Arial"/>
                <w:sz w:val="13"/>
                <w:szCs w:val="13"/>
                <w:color w:val="auto"/>
              </w:rPr>
              <w:t>4,575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3,506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discontinued operations, net of tax(g)</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88"/>
        </w:trPr>
        <w:tc>
          <w:tcPr>
            <w:tcW w:w="5160" w:type="dxa"/>
            <w:vAlign w:val="bottom"/>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2,418</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2,390</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4,575</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3,436</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1"/>
                <w:szCs w:val="11"/>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1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 Financial amounts represent earnings before income taxes-adjusted.</w:t>
      </w:r>
    </w:p>
    <w:p>
      <w:pPr>
        <w:spacing w:after="0" w:line="2" w:lineRule="exact"/>
        <w:rPr>
          <w:rFonts w:ascii="Arial" w:cs="Arial" w:eastAsia="Arial" w:hAnsi="Arial"/>
          <w:sz w:val="11"/>
          <w:szCs w:val="11"/>
          <w:color w:val="auto"/>
        </w:rPr>
      </w:pPr>
    </w:p>
    <w:p>
      <w:pPr>
        <w:ind w:left="260" w:hanging="254"/>
        <w:spacing w:after="0" w:line="245"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GM's automotive operations' interest income and interest expense, Maven, legacy costs from the Opel and Vauxhall businesses and certain other assets in Europe (the Opel/Vauxhall Business), which are primarily pension costs, corporate expenditures and certain nonsegment-specific revenues and expenses are recorded centrally in Corporate.</w:t>
      </w:r>
    </w:p>
    <w:p>
      <w:pPr>
        <w:jc w:val="both"/>
        <w:ind w:left="260" w:hanging="254"/>
        <w:spacing w:after="0" w:line="245"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supplier-related charges and accelerated depreciation in the three months ended June 30, 2019 and accelerated depreciation and supplier-related charges in the six months ended June 30, 2019.</w:t>
      </w:r>
    </w:p>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the unique events associated with decisions rendered by the Superior Judicial Court of Brazil resulting in retrospective recoveries of indirect taxes.</w:t>
      </w:r>
    </w:p>
    <w:p>
      <w:pPr>
        <w:spacing w:after="0" w:line="2" w:lineRule="exact"/>
        <w:rPr>
          <w:rFonts w:ascii="Arial" w:cs="Arial" w:eastAsia="Arial" w:hAnsi="Arial"/>
          <w:sz w:val="11"/>
          <w:szCs w:val="11"/>
          <w:color w:val="auto"/>
        </w:rPr>
      </w:pPr>
    </w:p>
    <w:p>
      <w:pPr>
        <w:ind w:left="260" w:hanging="254"/>
        <w:spacing w:after="0" w:line="245"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employee separation charges and asset impairments in Korea.</w:t>
      </w:r>
    </w:p>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Represents the results of the Opel/Vauxhall Business and our European financing subsidiaries and branches (the Fincos, and together with the Opel/Vauxhall Business, the European Business).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60"/>
          </w:cols>
          <w:pgMar w:left="220" w:top="470"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(loss) attributable to stockholders under U.S. GAAP to EBIT-adjusted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b w:val="1"/>
                <w:bCs w:val="1"/>
                <w:color w:val="auto"/>
              </w:rPr>
              <w:t>Three Months Ended</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15"/>
              <w:spacing w:after="0"/>
              <w:rPr>
                <w:sz w:val="20"/>
                <w:szCs w:val="20"/>
                <w:color w:val="auto"/>
              </w:rPr>
            </w:pPr>
            <w:r>
              <w:rPr>
                <w:rFonts w:ascii="Arial" w:cs="Arial" w:eastAsia="Arial" w:hAnsi="Arial"/>
                <w:sz w:val="10"/>
                <w:szCs w:val="10"/>
                <w:b w:val="1"/>
                <w:bCs w:val="1"/>
                <w:color w:val="auto"/>
              </w:rPr>
              <w:t>June 30,</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b w:val="1"/>
                <w:bCs w:val="1"/>
                <w:color w:val="auto"/>
              </w:rPr>
              <w:t>March 31,</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5"/>
          </w:tcPr>
          <w:p>
            <w:pPr>
              <w:ind w:left="340"/>
              <w:spacing w:after="0"/>
              <w:rPr>
                <w:sz w:val="20"/>
                <w:szCs w:val="20"/>
                <w:color w:val="auto"/>
              </w:rPr>
            </w:pPr>
            <w:r>
              <w:rPr>
                <w:rFonts w:ascii="Arial" w:cs="Arial" w:eastAsia="Arial" w:hAnsi="Arial"/>
                <w:sz w:val="10"/>
                <w:szCs w:val="10"/>
                <w:b w:val="1"/>
                <w:bCs w:val="1"/>
                <w:color w:val="auto"/>
              </w:rPr>
              <w:t>December 31,</w:t>
            </w:r>
          </w:p>
        </w:tc>
        <w:tc>
          <w:tcPr>
            <w:tcW w:w="180" w:type="dxa"/>
            <w:vAlign w:val="bottom"/>
          </w:tcPr>
          <w:p>
            <w:pPr>
              <w:spacing w:after="0"/>
              <w:rPr>
                <w:sz w:val="17"/>
                <w:szCs w:val="17"/>
                <w:color w:val="auto"/>
              </w:rPr>
            </w:pPr>
          </w:p>
        </w:tc>
        <w:tc>
          <w:tcPr>
            <w:tcW w:w="1500" w:type="dxa"/>
            <w:vAlign w:val="bottom"/>
            <w:gridSpan w:val="4"/>
          </w:tcPr>
          <w:p>
            <w:pPr>
              <w:jc w:val="right"/>
              <w:ind w:right="417"/>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2017</w:t>
            </w:r>
          </w:p>
        </w:tc>
        <w:tc>
          <w:tcPr>
            <w:tcW w:w="0" w:type="dxa"/>
            <w:vAlign w:val="bottom"/>
          </w:tcPr>
          <w:p>
            <w:pPr>
              <w:spacing w:after="0"/>
              <w:rPr>
                <w:sz w:val="1"/>
                <w:szCs w:val="1"/>
                <w:color w:val="auto"/>
              </w:rPr>
            </w:pPr>
          </w:p>
        </w:tc>
      </w:tr>
      <w:tr>
        <w:trPr>
          <w:trHeight w:val="191"/>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 attributable to stockholders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2,418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2,390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2,157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1,046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2,044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2,534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(2,981)</w:t>
            </w: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rPr>
                <w:sz w:val="20"/>
                <w:szCs w:val="20"/>
                <w:color w:val="auto"/>
              </w:rPr>
            </w:pPr>
            <w:r>
              <w:rPr>
                <w:rFonts w:ascii="Arial" w:cs="Arial" w:eastAsia="Arial" w:hAnsi="Arial"/>
                <w:sz w:val="11"/>
                <w:szCs w:val="11"/>
                <w:color w:val="auto"/>
              </w:rPr>
              <w:t>Loss from discontinued operations, net of tax</w:t>
            </w:r>
          </w:p>
        </w:tc>
        <w:tc>
          <w:tcPr>
            <w:tcW w:w="1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3,096</w:t>
            </w:r>
          </w:p>
        </w:tc>
        <w:tc>
          <w:tcPr>
            <w:tcW w:w="0" w:type="dxa"/>
            <w:vAlign w:val="bottom"/>
          </w:tcPr>
          <w:p>
            <w:pPr>
              <w:spacing w:after="0"/>
              <w:rPr>
                <w:sz w:val="1"/>
                <w:szCs w:val="1"/>
                <w:color w:val="auto"/>
              </w:rPr>
            </w:pPr>
          </w:p>
        </w:tc>
      </w:tr>
      <w:tr>
        <w:trPr>
          <w:trHeight w:val="199"/>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expense (benefit)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466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2,316</w:t>
            </w: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rPr>
                <w:sz w:val="20"/>
                <w:szCs w:val="20"/>
                <w:color w:val="auto"/>
              </w:rPr>
            </w:pPr>
            <w:r>
              <w:rPr>
                <w:rFonts w:ascii="Arial" w:cs="Arial" w:eastAsia="Arial" w:hAnsi="Arial"/>
                <w:sz w:val="11"/>
                <w:szCs w:val="11"/>
                <w:color w:val="auto"/>
              </w:rPr>
              <w:t>Automotive interest expense</w:t>
            </w:r>
          </w:p>
        </w:tc>
        <w:tc>
          <w:tcPr>
            <w:tcW w:w="18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99"/>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Automotive interest income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11"/>
        </w:trPr>
        <w:tc>
          <w:tcPr>
            <w:tcW w:w="42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Transformation activities(a)</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260" w:type="dxa"/>
            <w:vAlign w:val="bottom"/>
          </w:tcPr>
          <w:p>
            <w:pPr>
              <w:ind w:left="160"/>
              <w:spacing w:after="0"/>
              <w:rPr>
                <w:sz w:val="20"/>
                <w:szCs w:val="20"/>
                <w:color w:val="auto"/>
              </w:rPr>
            </w:pPr>
            <w:r>
              <w:rPr>
                <w:rFonts w:ascii="Arial" w:cs="Arial" w:eastAsia="Arial" w:hAnsi="Arial"/>
                <w:sz w:val="11"/>
                <w:szCs w:val="11"/>
                <w:color w:val="auto"/>
              </w:rPr>
              <w:t>GM Brazil indirect tax recoveries(b)</w:t>
            </w:r>
          </w:p>
        </w:tc>
        <w:tc>
          <w:tcPr>
            <w:tcW w:w="18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9"/>
        </w:trPr>
        <w:tc>
          <w:tcPr>
            <w:tcW w:w="42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GMI restructuring(c)</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942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26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Ignition switch recall and related legal matters(d)</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440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adjustments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942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rPr>
                <w:sz w:val="20"/>
                <w:szCs w:val="20"/>
                <w:color w:val="auto"/>
              </w:rPr>
            </w:pPr>
            <w:r>
              <w:rPr>
                <w:rFonts w:ascii="Arial" w:cs="Arial" w:eastAsia="Arial" w:hAnsi="Arial"/>
                <w:sz w:val="11"/>
                <w:szCs w:val="11"/>
                <w:color w:val="auto"/>
              </w:rPr>
              <w:t>EBIT-adjusted</w:t>
            </w: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3,012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3,192</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2,310</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2,610</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2,828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3,085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3,153</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2,523</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1"/>
                <w:szCs w:val="11"/>
                <w:color w:val="auto"/>
              </w:rPr>
              <w:t>________</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42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both"/>
        <w:ind w:left="260" w:hanging="254"/>
        <w:spacing w:after="0" w:line="245" w:lineRule="auto"/>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supplier-related charges and accelerated depreciation in the three months ended June 30, 2019, accelerated depreciation in the three months ended March 31, 2019 and employee separation charges and accelerated depreciation in the three months ended December 31, 2018.</w:t>
      </w:r>
    </w:p>
    <w:p>
      <w:pPr>
        <w:ind w:left="260" w:hanging="254"/>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the unique events associated with decisions rendered by the Superior Judicial Court of Brazil resulting in retrospective recoveries of indirect taxes.</w:t>
      </w:r>
    </w:p>
    <w:p>
      <w:pPr>
        <w:spacing w:after="0" w:line="2" w:lineRule="exact"/>
        <w:rPr>
          <w:rFonts w:ascii="Arial" w:cs="Arial" w:eastAsia="Arial" w:hAnsi="Arial"/>
          <w:sz w:val="11"/>
          <w:szCs w:val="11"/>
          <w:color w:val="auto"/>
        </w:rPr>
      </w:pPr>
    </w:p>
    <w:p>
      <w:pPr>
        <w:ind w:left="260" w:hanging="254"/>
        <w:spacing w:after="0" w:line="245" w:lineRule="auto"/>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employee separation charges and asset impairments in Korea.</w:t>
      </w:r>
    </w:p>
    <w:p>
      <w:pPr>
        <w:ind w:left="260" w:hanging="254"/>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the ignition switch recall, which included various investigations, inquiries and complaints from constituents.</w:t>
      </w:r>
    </w:p>
    <w:p>
      <w:pPr>
        <w:spacing w:after="0" w:line="13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diluted earnings per common share under U.S. GAAP to EPS-diluted-adjusted (dollars in millions, except per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ind w:left="240"/>
              <w:spacing w:after="0"/>
              <w:rPr>
                <w:sz w:val="20"/>
                <w:szCs w:val="20"/>
                <w:color w:val="auto"/>
              </w:rPr>
            </w:pPr>
            <w:r>
              <w:rPr>
                <w:rFonts w:ascii="Arial" w:cs="Arial" w:eastAsia="Arial" w:hAnsi="Arial"/>
                <w:sz w:val="10"/>
                <w:szCs w:val="10"/>
                <w:b w:val="1"/>
                <w:bCs w:val="1"/>
                <w:color w:val="auto"/>
              </w:rPr>
              <w:t>Three Months Ended</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Six Months Ended</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0"/>
                <w:szCs w:val="10"/>
                <w:b w:val="1"/>
                <w:bCs w:val="1"/>
                <w:color w:val="auto"/>
              </w:rPr>
              <w:t>June 30, 2019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0"/>
                <w:szCs w:val="10"/>
                <w:b w:val="1"/>
                <w:bCs w:val="1"/>
                <w:color w:val="auto"/>
              </w:rPr>
              <w:t>June 30, 2018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0"/>
                <w:szCs w:val="10"/>
                <w:b w:val="1"/>
                <w:bCs w:val="1"/>
                <w:color w:val="auto"/>
              </w:rPr>
              <w:t>June 30, 2019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0"/>
                <w:szCs w:val="10"/>
                <w:b w:val="1"/>
                <w:bCs w:val="1"/>
                <w:color w:val="auto"/>
              </w:rPr>
              <w:t>June 30, 2018</w:t>
            </w:r>
          </w:p>
        </w:tc>
        <w:tc>
          <w:tcPr>
            <w:tcW w:w="0" w:type="dxa"/>
            <w:vAlign w:val="bottom"/>
          </w:tcPr>
          <w:p>
            <w:pPr>
              <w:spacing w:after="0"/>
              <w:rPr>
                <w:sz w:val="1"/>
                <w:szCs w:val="1"/>
                <w:color w:val="auto"/>
              </w:rPr>
            </w:pPr>
          </w:p>
        </w:tc>
      </w:tr>
      <w:tr>
        <w:trPr>
          <w:trHeight w:val="204"/>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16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Per Share</w:t>
            </w:r>
          </w:p>
        </w:tc>
        <w:tc>
          <w:tcPr>
            <w:tcW w:w="180" w:type="dxa"/>
            <w:vAlign w:val="bottom"/>
          </w:tcPr>
          <w:p>
            <w:pPr>
              <w:spacing w:after="0"/>
              <w:rPr>
                <w:sz w:val="17"/>
                <w:szCs w:val="17"/>
                <w:color w:val="auto"/>
              </w:rPr>
            </w:pP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16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Per Share</w:t>
            </w:r>
          </w:p>
        </w:tc>
        <w:tc>
          <w:tcPr>
            <w:tcW w:w="16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Per Share</w:t>
            </w:r>
          </w:p>
        </w:tc>
        <w:tc>
          <w:tcPr>
            <w:tcW w:w="160" w:type="dxa"/>
            <w:vAlign w:val="bottom"/>
          </w:tcPr>
          <w:p>
            <w:pPr>
              <w:spacing w:after="0"/>
              <w:rPr>
                <w:sz w:val="17"/>
                <w:szCs w:val="17"/>
                <w:color w:val="auto"/>
              </w:rPr>
            </w:pPr>
          </w:p>
        </w:tc>
        <w:tc>
          <w:tcPr>
            <w:tcW w:w="74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17"/>
                <w:szCs w:val="17"/>
                <w:color w:val="auto"/>
              </w:rPr>
            </w:pPr>
          </w:p>
        </w:tc>
        <w:tc>
          <w:tcPr>
            <w:tcW w:w="640" w:type="dxa"/>
            <w:vAlign w:val="bottom"/>
          </w:tcPr>
          <w:p>
            <w:pPr>
              <w:jc w:val="right"/>
              <w:ind w:right="139"/>
              <w:spacing w:after="0"/>
              <w:rPr>
                <w:sz w:val="20"/>
                <w:szCs w:val="20"/>
                <w:color w:val="auto"/>
              </w:rPr>
            </w:pPr>
            <w:r>
              <w:rPr>
                <w:rFonts w:ascii="Arial" w:cs="Arial" w:eastAsia="Arial" w:hAnsi="Arial"/>
                <w:sz w:val="9"/>
                <w:szCs w:val="9"/>
                <w:b w:val="1"/>
                <w:bCs w:val="1"/>
                <w:color w:val="auto"/>
                <w:w w:val="99"/>
              </w:rPr>
              <w:t>Per Share</w:t>
            </w:r>
          </w:p>
        </w:tc>
        <w:tc>
          <w:tcPr>
            <w:tcW w:w="0" w:type="dxa"/>
            <w:vAlign w:val="bottom"/>
          </w:tcPr>
          <w:p>
            <w:pPr>
              <w:spacing w:after="0"/>
              <w:rPr>
                <w:sz w:val="1"/>
                <w:szCs w:val="1"/>
                <w:color w:val="auto"/>
              </w:rPr>
            </w:pPr>
          </w:p>
        </w:tc>
      </w:tr>
      <w:tr>
        <w:trPr>
          <w:trHeight w:val="204"/>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2,381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1.66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2,375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1.66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4,500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3.13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3,407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208"/>
        </w:trPr>
        <w:tc>
          <w:tcPr>
            <w:tcW w:w="4260" w:type="dxa"/>
            <w:vAlign w:val="bottom"/>
          </w:tcPr>
          <w:p>
            <w:pPr>
              <w:ind w:left="20"/>
              <w:spacing w:after="0"/>
              <w:rPr>
                <w:sz w:val="20"/>
                <w:szCs w:val="20"/>
                <w:color w:val="auto"/>
              </w:rPr>
            </w:pPr>
            <w:r>
              <w:rPr>
                <w:rFonts w:ascii="Arial" w:cs="Arial" w:eastAsia="Arial" w:hAnsi="Arial"/>
                <w:sz w:val="13"/>
                <w:szCs w:val="13"/>
                <w:color w:val="auto"/>
              </w:rPr>
              <w:t>Diluted loss per common share – discontinued operations</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0.14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(0.06)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1,138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0.80</w:t>
            </w:r>
          </w:p>
        </w:tc>
        <w:tc>
          <w:tcPr>
            <w:tcW w:w="0" w:type="dxa"/>
            <w:vAlign w:val="bottom"/>
          </w:tcPr>
          <w:p>
            <w:pPr>
              <w:spacing w:after="0"/>
              <w:rPr>
                <w:sz w:val="1"/>
                <w:szCs w:val="1"/>
                <w:color w:val="auto"/>
              </w:rPr>
            </w:pPr>
          </w:p>
        </w:tc>
      </w:tr>
      <w:tr>
        <w:trPr>
          <w:trHeight w:val="208"/>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Tax effect on adjustment(b)</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0.01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(0.03)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EPS-diluted-adjusted</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2,353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1.64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2,591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1.81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4,373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3.04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4,635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1"/>
                <w:szCs w:val="11"/>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2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60" w:hanging="254"/>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attributable to stockholders under U.S. GAAP for adjustment details.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60"/>
          </w:cols>
          <w:pgMar w:left="220" w:top="470" w:right="2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5"/>
          </w:tcPr>
          <w:p>
            <w:pPr>
              <w:ind w:left="260"/>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5"/>
          </w:tcPr>
          <w:p>
            <w:pPr>
              <w:ind w:left="340"/>
              <w:spacing w:after="0"/>
              <w:rPr>
                <w:sz w:val="20"/>
                <w:szCs w:val="20"/>
                <w:color w:val="auto"/>
              </w:rPr>
            </w:pPr>
            <w:r>
              <w:rPr>
                <w:rFonts w:ascii="Arial" w:cs="Arial" w:eastAsia="Arial" w:hAnsi="Arial"/>
                <w:sz w:val="10"/>
                <w:szCs w:val="10"/>
                <w:b w:val="1"/>
                <w:bCs w:val="1"/>
                <w:color w:val="auto"/>
              </w:rPr>
              <w:t>Six Months Ended</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June 30, 2019</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8"/>
              </w:rPr>
              <w:t>June 30, 2018</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June 30, 2019</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June 30, 2018</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1960" w:type="dxa"/>
            <w:vAlign w:val="bottom"/>
          </w:tcPr>
          <w:p>
            <w:pPr>
              <w:spacing w:after="0"/>
              <w:rPr>
                <w:sz w:val="8"/>
                <w:szCs w:val="8"/>
                <w:color w:val="auto"/>
              </w:rPr>
            </w:pP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Income before</w:t>
            </w:r>
          </w:p>
        </w:tc>
        <w:tc>
          <w:tcPr>
            <w:tcW w:w="100" w:type="dxa"/>
            <w:vAlign w:val="bottom"/>
          </w:tcPr>
          <w:p>
            <w:pPr>
              <w:spacing w:after="0"/>
              <w:rPr>
                <w:sz w:val="8"/>
                <w:szCs w:val="8"/>
                <w:color w:val="auto"/>
              </w:rPr>
            </w:pPr>
          </w:p>
        </w:tc>
        <w:tc>
          <w:tcPr>
            <w:tcW w:w="600" w:type="dxa"/>
            <w:vAlign w:val="bottom"/>
          </w:tcPr>
          <w:p>
            <w:pPr>
              <w:jc w:val="right"/>
              <w:ind w:right="68"/>
              <w:spacing w:after="0"/>
              <w:rPr>
                <w:sz w:val="20"/>
                <w:szCs w:val="20"/>
                <w:color w:val="auto"/>
              </w:rPr>
            </w:pPr>
            <w:r>
              <w:rPr>
                <w:rFonts w:ascii="Arial" w:cs="Arial" w:eastAsia="Arial" w:hAnsi="Arial"/>
                <w:sz w:val="9"/>
                <w:szCs w:val="9"/>
                <w:b w:val="1"/>
                <w:bCs w:val="1"/>
                <w:color w:val="auto"/>
                <w:w w:val="97"/>
              </w:rPr>
              <w:t>Income tax</w:t>
            </w:r>
          </w:p>
        </w:tc>
        <w:tc>
          <w:tcPr>
            <w:tcW w:w="120" w:type="dxa"/>
            <w:vAlign w:val="bottom"/>
          </w:tcPr>
          <w:p>
            <w:pPr>
              <w:spacing w:after="0"/>
              <w:rPr>
                <w:sz w:val="8"/>
                <w:szCs w:val="8"/>
                <w:color w:val="auto"/>
              </w:rPr>
            </w:pPr>
          </w:p>
        </w:tc>
        <w:tc>
          <w:tcPr>
            <w:tcW w:w="840" w:type="dxa"/>
            <w:vAlign w:val="bottom"/>
            <w:gridSpan w:val="2"/>
          </w:tcPr>
          <w:p>
            <w:pPr>
              <w:ind w:left="100"/>
              <w:spacing w:after="0"/>
              <w:rPr>
                <w:sz w:val="20"/>
                <w:szCs w:val="20"/>
                <w:color w:val="auto"/>
              </w:rPr>
            </w:pPr>
            <w:r>
              <w:rPr>
                <w:rFonts w:ascii="Arial" w:cs="Arial" w:eastAsia="Arial" w:hAnsi="Arial"/>
                <w:sz w:val="9"/>
                <w:szCs w:val="9"/>
                <w:b w:val="1"/>
                <w:bCs w:val="1"/>
                <w:color w:val="auto"/>
              </w:rPr>
              <w:t>Effective tax</w:t>
            </w: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Income before</w:t>
            </w:r>
          </w:p>
        </w:tc>
        <w:tc>
          <w:tcPr>
            <w:tcW w:w="100" w:type="dxa"/>
            <w:vAlign w:val="bottom"/>
          </w:tcPr>
          <w:p>
            <w:pPr>
              <w:spacing w:after="0"/>
              <w:rPr>
                <w:sz w:val="8"/>
                <w:szCs w:val="8"/>
                <w:color w:val="auto"/>
              </w:rPr>
            </w:pPr>
          </w:p>
        </w:tc>
        <w:tc>
          <w:tcPr>
            <w:tcW w:w="580" w:type="dxa"/>
            <w:vAlign w:val="bottom"/>
          </w:tcPr>
          <w:p>
            <w:pPr>
              <w:jc w:val="right"/>
              <w:ind w:right="68"/>
              <w:spacing w:after="0"/>
              <w:rPr>
                <w:sz w:val="20"/>
                <w:szCs w:val="20"/>
                <w:color w:val="auto"/>
              </w:rPr>
            </w:pPr>
            <w:r>
              <w:rPr>
                <w:rFonts w:ascii="Arial" w:cs="Arial" w:eastAsia="Arial" w:hAnsi="Arial"/>
                <w:sz w:val="9"/>
                <w:szCs w:val="9"/>
                <w:b w:val="1"/>
                <w:bCs w:val="1"/>
                <w:color w:val="auto"/>
                <w:w w:val="93"/>
              </w:rPr>
              <w:t>Income tax</w:t>
            </w:r>
          </w:p>
        </w:tc>
        <w:tc>
          <w:tcPr>
            <w:tcW w:w="1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Effective tax</w:t>
            </w:r>
          </w:p>
        </w:tc>
        <w:tc>
          <w:tcPr>
            <w:tcW w:w="780" w:type="dxa"/>
            <w:vAlign w:val="bottom"/>
            <w:gridSpan w:val="3"/>
          </w:tcPr>
          <w:p>
            <w:pPr>
              <w:ind w:left="40"/>
              <w:spacing w:after="0"/>
              <w:rPr>
                <w:sz w:val="20"/>
                <w:szCs w:val="20"/>
                <w:color w:val="auto"/>
              </w:rPr>
            </w:pPr>
            <w:r>
              <w:rPr>
                <w:rFonts w:ascii="Arial" w:cs="Arial" w:eastAsia="Arial" w:hAnsi="Arial"/>
                <w:sz w:val="9"/>
                <w:szCs w:val="9"/>
                <w:b w:val="1"/>
                <w:bCs w:val="1"/>
                <w:color w:val="auto"/>
              </w:rPr>
              <w:t>Income before</w:t>
            </w:r>
          </w:p>
        </w:tc>
        <w:tc>
          <w:tcPr>
            <w:tcW w:w="100" w:type="dxa"/>
            <w:vAlign w:val="bottom"/>
          </w:tcPr>
          <w:p>
            <w:pPr>
              <w:spacing w:after="0"/>
              <w:rPr>
                <w:sz w:val="8"/>
                <w:szCs w:val="8"/>
                <w:color w:val="auto"/>
              </w:rPr>
            </w:pP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Income tax</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Effective tax</w:t>
            </w:r>
          </w:p>
        </w:tc>
        <w:tc>
          <w:tcPr>
            <w:tcW w:w="780" w:type="dxa"/>
            <w:vAlign w:val="bottom"/>
            <w:gridSpan w:val="3"/>
          </w:tcPr>
          <w:p>
            <w:pPr>
              <w:ind w:left="40"/>
              <w:spacing w:after="0"/>
              <w:rPr>
                <w:sz w:val="20"/>
                <w:szCs w:val="20"/>
                <w:color w:val="auto"/>
              </w:rPr>
            </w:pPr>
            <w:r>
              <w:rPr>
                <w:rFonts w:ascii="Arial" w:cs="Arial" w:eastAsia="Arial" w:hAnsi="Arial"/>
                <w:sz w:val="9"/>
                <w:szCs w:val="9"/>
                <w:b w:val="1"/>
                <w:bCs w:val="1"/>
                <w:color w:val="auto"/>
              </w:rPr>
              <w:t>Income before</w:t>
            </w:r>
          </w:p>
        </w:tc>
        <w:tc>
          <w:tcPr>
            <w:tcW w:w="100" w:type="dxa"/>
            <w:vAlign w:val="bottom"/>
          </w:tcPr>
          <w:p>
            <w:pPr>
              <w:spacing w:after="0"/>
              <w:rPr>
                <w:sz w:val="8"/>
                <w:szCs w:val="8"/>
                <w:color w:val="auto"/>
              </w:rPr>
            </w:pP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Income tax</w:t>
            </w:r>
          </w:p>
        </w:tc>
        <w:tc>
          <w:tcPr>
            <w:tcW w:w="700" w:type="dxa"/>
            <w:vAlign w:val="bottom"/>
          </w:tcPr>
          <w:p>
            <w:pPr>
              <w:jc w:val="right"/>
              <w:ind w:right="50"/>
              <w:spacing w:after="0"/>
              <w:rPr>
                <w:sz w:val="20"/>
                <w:szCs w:val="20"/>
                <w:color w:val="auto"/>
              </w:rPr>
            </w:pPr>
            <w:r>
              <w:rPr>
                <w:rFonts w:ascii="Arial" w:cs="Arial" w:eastAsia="Arial" w:hAnsi="Arial"/>
                <w:sz w:val="9"/>
                <w:szCs w:val="9"/>
                <w:b w:val="1"/>
                <w:bCs w:val="1"/>
                <w:color w:val="auto"/>
              </w:rPr>
              <w:t>Effective tax</w:t>
            </w:r>
          </w:p>
        </w:tc>
        <w:tc>
          <w:tcPr>
            <w:tcW w:w="0" w:type="dxa"/>
            <w:vAlign w:val="bottom"/>
          </w:tcPr>
          <w:p>
            <w:pPr>
              <w:spacing w:after="0"/>
              <w:rPr>
                <w:sz w:val="1"/>
                <w:szCs w:val="1"/>
                <w:color w:val="auto"/>
              </w:rPr>
            </w:pPr>
          </w:p>
        </w:tc>
      </w:tr>
      <w:tr>
        <w:trPr>
          <w:trHeight w:val="123"/>
        </w:trPr>
        <w:tc>
          <w:tcPr>
            <w:tcW w:w="19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9"/>
                <w:szCs w:val="9"/>
                <w:b w:val="1"/>
                <w:bCs w:val="1"/>
                <w:color w:val="auto"/>
              </w:rPr>
              <w:t>income taxes</w:t>
            </w: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9"/>
                <w:szCs w:val="9"/>
                <w:b w:val="1"/>
                <w:bCs w:val="1"/>
                <w:color w:val="auto"/>
              </w:rPr>
              <w:t>expense</w:t>
            </w:r>
          </w:p>
        </w:tc>
        <w:tc>
          <w:tcPr>
            <w:tcW w:w="1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9"/>
                <w:szCs w:val="9"/>
                <w:b w:val="1"/>
                <w:bCs w:val="1"/>
                <w:color w:val="auto"/>
              </w:rPr>
              <w:t>rate</w:t>
            </w:r>
          </w:p>
        </w:tc>
        <w:tc>
          <w:tcPr>
            <w:tcW w:w="12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9"/>
                <w:szCs w:val="9"/>
                <w:b w:val="1"/>
                <w:bCs w:val="1"/>
                <w:color w:val="auto"/>
              </w:rPr>
              <w:t>income taxes</w:t>
            </w: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9"/>
                <w:szCs w:val="9"/>
                <w:b w:val="1"/>
                <w:bCs w:val="1"/>
                <w:color w:val="auto"/>
              </w:rPr>
              <w:t>expense</w:t>
            </w:r>
          </w:p>
        </w:tc>
        <w:tc>
          <w:tcPr>
            <w:tcW w:w="10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9"/>
                <w:szCs w:val="9"/>
                <w:b w:val="1"/>
                <w:bCs w:val="1"/>
                <w:color w:val="auto"/>
              </w:rPr>
              <w:t>rate</w:t>
            </w:r>
          </w:p>
        </w:tc>
        <w:tc>
          <w:tcPr>
            <w:tcW w:w="1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9"/>
                <w:szCs w:val="9"/>
                <w:b w:val="1"/>
                <w:bCs w:val="1"/>
                <w:color w:val="auto"/>
              </w:rPr>
              <w:t>income taxes</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9"/>
                <w:szCs w:val="9"/>
                <w:b w:val="1"/>
                <w:bCs w:val="1"/>
                <w:color w:val="auto"/>
              </w:rPr>
              <w:t>expense</w:t>
            </w:r>
          </w:p>
        </w:tc>
        <w:tc>
          <w:tcPr>
            <w:tcW w:w="10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9"/>
                <w:szCs w:val="9"/>
                <w:b w:val="1"/>
                <w:bCs w:val="1"/>
                <w:color w:val="auto"/>
              </w:rPr>
              <w:t>rate</w:t>
            </w:r>
          </w:p>
        </w:tc>
        <w:tc>
          <w:tcPr>
            <w:tcW w:w="1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9"/>
                <w:szCs w:val="9"/>
                <w:b w:val="1"/>
                <w:bCs w:val="1"/>
                <w:color w:val="auto"/>
              </w:rPr>
              <w:t>income taxes</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9"/>
                <w:szCs w:val="9"/>
                <w:b w:val="1"/>
                <w:bCs w:val="1"/>
                <w:color w:val="auto"/>
              </w:rPr>
              <w:t>expense</w:t>
            </w:r>
          </w:p>
        </w:tc>
        <w:tc>
          <w:tcPr>
            <w:tcW w:w="10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9"/>
                <w:szCs w:val="9"/>
                <w:b w:val="1"/>
                <w:bCs w:val="1"/>
                <w:color w:val="auto"/>
              </w:rPr>
              <w:t>rate</w:t>
            </w:r>
          </w:p>
        </w:tc>
        <w:tc>
          <w:tcPr>
            <w:tcW w:w="0" w:type="dxa"/>
            <w:vAlign w:val="bottom"/>
          </w:tcPr>
          <w:p>
            <w:pPr>
              <w:spacing w:after="0"/>
              <w:rPr>
                <w:sz w:val="1"/>
                <w:szCs w:val="1"/>
                <w:color w:val="auto"/>
              </w:rPr>
            </w:pPr>
          </w:p>
        </w:tc>
      </w:tr>
      <w:tr>
        <w:trPr>
          <w:trHeight w:val="204"/>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2,927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524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2,885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519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5,209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661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4,461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985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w:t>
            </w:r>
          </w:p>
        </w:tc>
        <w:tc>
          <w:tcPr>
            <w:tcW w:w="0" w:type="dxa"/>
            <w:vAlign w:val="bottom"/>
          </w:tcPr>
          <w:p>
            <w:pPr>
              <w:spacing w:after="0"/>
              <w:rPr>
                <w:sz w:val="1"/>
                <w:szCs w:val="1"/>
                <w:color w:val="auto"/>
              </w:rPr>
            </w:pPr>
          </w:p>
        </w:tc>
      </w:tr>
      <w:tr>
        <w:trPr>
          <w:trHeight w:val="211"/>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Adjustments(a)</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237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(83)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1,179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ETR-adjusted</w:t>
            </w:r>
          </w:p>
        </w:tc>
        <w:tc>
          <w:tcPr>
            <w:tcW w:w="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2,911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1"/>
                <w:szCs w:val="11"/>
                <w:color w:val="auto"/>
              </w:rPr>
              <w:t>533</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3,122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1"/>
                <w:szCs w:val="11"/>
                <w:color w:val="auto"/>
              </w:rPr>
              <w:t>499</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16.0%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5,126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1"/>
                <w:szCs w:val="11"/>
                <w:color w:val="auto"/>
              </w:rPr>
              <w:t>702</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5,640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1"/>
                <w:szCs w:val="11"/>
                <w:color w:val="auto"/>
              </w:rPr>
              <w:t>965</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20"/>
        </w:trPr>
        <w:tc>
          <w:tcPr>
            <w:tcW w:w="1960" w:type="dxa"/>
            <w:vAlign w:val="bottom"/>
            <w:vMerge w:val="restart"/>
          </w:tcPr>
          <w:p>
            <w:pPr>
              <w:jc w:val="right"/>
              <w:ind w:right="1377"/>
              <w:spacing w:after="0"/>
              <w:rPr>
                <w:sz w:val="20"/>
                <w:szCs w:val="20"/>
                <w:color w:val="auto"/>
              </w:rPr>
            </w:pPr>
            <w:r>
              <w:rPr>
                <w:rFonts w:ascii="Arial" w:cs="Arial" w:eastAsia="Arial" w:hAnsi="Arial"/>
                <w:sz w:val="11"/>
                <w:szCs w:val="11"/>
                <w:color w:val="auto"/>
              </w:rPr>
              <w:t>________</w:t>
            </w: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9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both"/>
        <w:ind w:left="260" w:hanging="254"/>
        <w:spacing w:after="0" w:line="256" w:lineRule="auto"/>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attributable to stockholders under U.S. GAAP for adjustment details. Net income attributable to noncontrolling interests included for these adjustments is insignificant in the three and six months ended June 30, 2019 and $41 million in the three and six months ended June 30, 2018. The tax effect of each adjustment is determined based on the tax laws and valuation allowance status of the jurisdiction to which the adjustment relates.</w:t>
      </w:r>
    </w:p>
    <w:p>
      <w:pPr>
        <w:spacing w:after="0" w:line="110" w:lineRule="exact"/>
        <w:rPr>
          <w:sz w:val="20"/>
          <w:szCs w:val="20"/>
          <w:color w:val="auto"/>
        </w:rPr>
      </w:pPr>
    </w:p>
    <w:p>
      <w:pPr>
        <w:ind w:firstLine="129"/>
        <w:spacing w:after="0" w:line="251" w:lineRule="auto"/>
        <w:rPr>
          <w:sz w:val="20"/>
          <w:szCs w:val="20"/>
          <w:color w:val="auto"/>
        </w:rPr>
      </w:pPr>
      <w:r>
        <w:rPr>
          <w:rFonts w:ascii="Arial" w:cs="Arial" w:eastAsia="Arial" w:hAnsi="Arial"/>
          <w:sz w:val="13"/>
          <w:szCs w:val="13"/>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84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Four Quarters Ended</w:t>
            </w:r>
          </w:p>
        </w:tc>
        <w:tc>
          <w:tcPr>
            <w:tcW w:w="1260" w:type="dxa"/>
            <w:vAlign w:val="bottom"/>
            <w:tcBorders>
              <w:bottom w:val="single" w:sz="8" w:color="auto"/>
            </w:tcBorders>
          </w:tcPr>
          <w:p>
            <w:pPr>
              <w:spacing w:after="0"/>
              <w:rPr>
                <w:sz w:val="12"/>
                <w:szCs w:val="12"/>
                <w:color w:val="auto"/>
              </w:rPr>
            </w:pPr>
          </w:p>
        </w:tc>
      </w:tr>
      <w:tr>
        <w:trPr>
          <w:trHeight w:val="206"/>
        </w:trPr>
        <w:tc>
          <w:tcPr>
            <w:tcW w:w="78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2019</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0"/>
                <w:szCs w:val="10"/>
                <w:b w:val="1"/>
                <w:bCs w:val="1"/>
                <w:color w:val="auto"/>
              </w:rPr>
              <w:t>June 30, 2018</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260" w:type="dxa"/>
            <w:vAlign w:val="bottom"/>
            <w:shd w:val="clear" w:color="auto" w:fill="CCEEFF"/>
          </w:tcPr>
          <w:p>
            <w:pPr>
              <w:jc w:val="right"/>
              <w:ind w:right="1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(4.7)</w:t>
            </w:r>
          </w:p>
        </w:tc>
      </w:tr>
      <w:tr>
        <w:trPr>
          <w:trHeight w:val="208"/>
        </w:trPr>
        <w:tc>
          <w:tcPr>
            <w:tcW w:w="7840" w:type="dxa"/>
            <w:vAlign w:val="bottom"/>
          </w:tcPr>
          <w:p>
            <w:pPr>
              <w:ind w:left="20"/>
              <w:spacing w:after="0"/>
              <w:rPr>
                <w:sz w:val="20"/>
                <w:szCs w:val="20"/>
                <w:color w:val="auto"/>
              </w:rPr>
            </w:pPr>
            <w:r>
              <w:rPr>
                <w:rFonts w:ascii="Arial" w:cs="Arial" w:eastAsia="Arial" w:hAnsi="Arial"/>
                <w:sz w:val="13"/>
                <w:szCs w:val="13"/>
                <w:color w:val="auto"/>
              </w:rPr>
              <w:t>Average equity(a)</w:t>
            </w:r>
          </w:p>
        </w:tc>
        <w:tc>
          <w:tcPr>
            <w:tcW w:w="1260" w:type="dxa"/>
            <w:vAlign w:val="bottom"/>
          </w:tcPr>
          <w:p>
            <w:pPr>
              <w:jc w:val="right"/>
              <w:ind w:right="110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79"/>
              <w:spacing w:after="0"/>
              <w:rPr>
                <w:sz w:val="20"/>
                <w:szCs w:val="20"/>
                <w:color w:val="auto"/>
              </w:rPr>
            </w:pPr>
            <w:r>
              <w:rPr>
                <w:rFonts w:ascii="Arial" w:cs="Arial" w:eastAsia="Arial" w:hAnsi="Arial"/>
                <w:sz w:val="13"/>
                <w:szCs w:val="13"/>
                <w:color w:val="auto"/>
              </w:rPr>
              <w:t>41.1</w:t>
            </w:r>
          </w:p>
        </w:tc>
        <w:tc>
          <w:tcPr>
            <w:tcW w:w="100" w:type="dxa"/>
            <w:vAlign w:val="bottom"/>
          </w:tcPr>
          <w:p>
            <w:pPr>
              <w:spacing w:after="0"/>
              <w:rPr>
                <w:sz w:val="18"/>
                <w:szCs w:val="18"/>
                <w:color w:val="auto"/>
              </w:rPr>
            </w:pPr>
          </w:p>
        </w:tc>
        <w:tc>
          <w:tcPr>
            <w:tcW w:w="520" w:type="dxa"/>
            <w:vAlign w:val="bottom"/>
          </w:tcPr>
          <w:p>
            <w:pPr>
              <w:jc w:val="right"/>
              <w:ind w:right="35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9"/>
              <w:spacing w:after="0"/>
              <w:rPr>
                <w:sz w:val="20"/>
                <w:szCs w:val="20"/>
                <w:color w:val="auto"/>
              </w:rPr>
            </w:pPr>
            <w:r>
              <w:rPr>
                <w:rFonts w:ascii="Arial" w:cs="Arial" w:eastAsia="Arial" w:hAnsi="Arial"/>
                <w:sz w:val="13"/>
                <w:szCs w:val="13"/>
                <w:color w:val="auto"/>
              </w:rPr>
              <w:t>37.2</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ROE</w:t>
            </w: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r>
      <w:tr>
        <w:trPr>
          <w:trHeight w:val="133"/>
        </w:trPr>
        <w:tc>
          <w:tcPr>
            <w:tcW w:w="7840" w:type="dxa"/>
            <w:vAlign w:val="bottom"/>
          </w:tcPr>
          <w:p>
            <w:pPr>
              <w:jc w:val="right"/>
              <w:ind w:right="7257"/>
              <w:spacing w:after="0"/>
              <w:rPr>
                <w:sz w:val="20"/>
                <w:szCs w:val="20"/>
                <w:color w:val="auto"/>
              </w:rPr>
            </w:pPr>
            <w:r>
              <w:rPr>
                <w:rFonts w:ascii="Arial" w:cs="Arial" w:eastAsia="Arial" w:hAnsi="Arial"/>
                <w:sz w:val="11"/>
                <w:szCs w:val="11"/>
                <w:color w:val="auto"/>
              </w:rPr>
              <w:t>________</w:t>
            </w: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r>
    </w:tbl>
    <w:p>
      <w:pPr>
        <w:ind w:left="260" w:hanging="254"/>
        <w:spacing w:after="0"/>
        <w:tabs>
          <w:tab w:leader="none" w:pos="26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Net income (loss) attributable to stockholders.</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8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Four Quarters Ended</w:t>
            </w:r>
          </w:p>
        </w:tc>
        <w:tc>
          <w:tcPr>
            <w:tcW w:w="1240" w:type="dxa"/>
            <w:vAlign w:val="bottom"/>
            <w:tcBorders>
              <w:bottom w:val="single" w:sz="8" w:color="auto"/>
            </w:tcBorders>
          </w:tcPr>
          <w:p>
            <w:pPr>
              <w:spacing w:after="0"/>
              <w:rPr>
                <w:sz w:val="12"/>
                <w:szCs w:val="12"/>
                <w:color w:val="auto"/>
              </w:rPr>
            </w:pPr>
          </w:p>
        </w:tc>
      </w:tr>
      <w:tr>
        <w:trPr>
          <w:trHeight w:val="206"/>
        </w:trPr>
        <w:tc>
          <w:tcPr>
            <w:tcW w:w="78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0"/>
                <w:szCs w:val="10"/>
                <w:b w:val="1"/>
                <w:bCs w:val="1"/>
                <w:color w:val="auto"/>
              </w:rPr>
              <w:t>June 30, 2018</w:t>
            </w:r>
          </w:p>
        </w:tc>
      </w:tr>
      <w:tr>
        <w:trPr>
          <w:trHeight w:val="191"/>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EBIT-adjusted(a)</w:t>
            </w:r>
          </w:p>
        </w:tc>
        <w:tc>
          <w:tcPr>
            <w:tcW w:w="1240" w:type="dxa"/>
            <w:vAlign w:val="bottom"/>
            <w:shd w:val="clear" w:color="auto" w:fill="CCEEFF"/>
          </w:tcPr>
          <w:p>
            <w:pPr>
              <w:jc w:val="right"/>
              <w:ind w:right="1079"/>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11.4</w:t>
            </w:r>
          </w:p>
        </w:tc>
      </w:tr>
      <w:tr>
        <w:trPr>
          <w:trHeight w:val="186"/>
        </w:trPr>
        <w:tc>
          <w:tcPr>
            <w:tcW w:w="7880" w:type="dxa"/>
            <w:vAlign w:val="bottom"/>
          </w:tcPr>
          <w:p>
            <w:pPr>
              <w:ind w:left="20"/>
              <w:spacing w:after="0"/>
              <w:rPr>
                <w:sz w:val="20"/>
                <w:szCs w:val="20"/>
                <w:color w:val="auto"/>
              </w:rPr>
            </w:pPr>
            <w:r>
              <w:rPr>
                <w:rFonts w:ascii="Arial" w:cs="Arial" w:eastAsia="Arial" w:hAnsi="Arial"/>
                <w:sz w:val="13"/>
                <w:szCs w:val="13"/>
                <w:color w:val="auto"/>
              </w:rPr>
              <w:t>Average equity(b)</w:t>
            </w:r>
          </w:p>
        </w:tc>
        <w:tc>
          <w:tcPr>
            <w:tcW w:w="1240" w:type="dxa"/>
            <w:vAlign w:val="bottom"/>
          </w:tcPr>
          <w:p>
            <w:pPr>
              <w:jc w:val="right"/>
              <w:ind w:right="1079"/>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41.1</w:t>
            </w:r>
          </w:p>
        </w:tc>
        <w:tc>
          <w:tcPr>
            <w:tcW w:w="100" w:type="dxa"/>
            <w:vAlign w:val="bottom"/>
          </w:tcPr>
          <w:p>
            <w:pPr>
              <w:spacing w:after="0"/>
              <w:rPr>
                <w:sz w:val="16"/>
                <w:szCs w:val="16"/>
                <w:color w:val="auto"/>
              </w:rPr>
            </w:pPr>
          </w:p>
        </w:tc>
        <w:tc>
          <w:tcPr>
            <w:tcW w:w="50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77"/>
              <w:spacing w:after="0"/>
              <w:rPr>
                <w:sz w:val="20"/>
                <w:szCs w:val="20"/>
                <w:color w:val="auto"/>
              </w:rPr>
            </w:pPr>
            <w:r>
              <w:rPr>
                <w:rFonts w:ascii="Arial" w:cs="Arial" w:eastAsia="Arial" w:hAnsi="Arial"/>
                <w:sz w:val="13"/>
                <w:szCs w:val="13"/>
                <w:color w:val="auto"/>
              </w:rPr>
              <w:t>37.2</w:t>
            </w:r>
          </w:p>
        </w:tc>
      </w:tr>
      <w:tr>
        <w:trPr>
          <w:trHeight w:val="202"/>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13.5</w:t>
            </w:r>
          </w:p>
        </w:tc>
      </w:tr>
      <w:tr>
        <w:trPr>
          <w:trHeight w:val="186"/>
        </w:trPr>
        <w:tc>
          <w:tcPr>
            <w:tcW w:w="7880" w:type="dxa"/>
            <w:vAlign w:val="bottom"/>
          </w:tcPr>
          <w:p>
            <w:pPr>
              <w:ind w:left="20"/>
              <w:spacing w:after="0"/>
              <w:rPr>
                <w:sz w:val="20"/>
                <w:szCs w:val="20"/>
                <w:color w:val="auto"/>
              </w:rPr>
            </w:pPr>
            <w:r>
              <w:rPr>
                <w:rFonts w:ascii="Arial" w:cs="Arial" w:eastAsia="Arial" w:hAnsi="Arial"/>
                <w:sz w:val="13"/>
                <w:szCs w:val="13"/>
                <w:color w:val="auto"/>
              </w:rPr>
              <w:t>Add: Average automotive net pension &amp; OPEB liability</w:t>
            </w:r>
          </w:p>
        </w:tc>
        <w:tc>
          <w:tcPr>
            <w:tcW w:w="1240" w:type="dxa"/>
            <w:vAlign w:val="bottom"/>
          </w:tcPr>
          <w:p>
            <w:pPr>
              <w:spacing w:after="0"/>
              <w:rPr>
                <w:sz w:val="16"/>
                <w:szCs w:val="16"/>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color w:val="auto"/>
              </w:rPr>
              <w:t>19.9</w:t>
            </w:r>
          </w:p>
        </w:tc>
      </w:tr>
      <w:tr>
        <w:trPr>
          <w:trHeight w:val="194"/>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Average automotive and other net income tax asset</w:t>
            </w:r>
          </w:p>
        </w:tc>
        <w:tc>
          <w:tcPr>
            <w:tcW w:w="12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(23.1)</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(24.5)</w:t>
            </w:r>
          </w:p>
        </w:tc>
      </w:tr>
      <w:tr>
        <w:trPr>
          <w:trHeight w:val="230"/>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ROIC-adjusted average net assets</w:t>
            </w:r>
          </w:p>
        </w:tc>
        <w:tc>
          <w:tcPr>
            <w:tcW w:w="1240" w:type="dxa"/>
            <w:vAlign w:val="bottom"/>
            <w:tcBorders>
              <w:bottom w:val="single" w:sz="8" w:color="auto"/>
            </w:tcBorders>
          </w:tcPr>
          <w:p>
            <w:pPr>
              <w:jc w:val="right"/>
              <w:ind w:right="1079"/>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49.8</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ind w:right="335"/>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46.1</w:t>
            </w:r>
          </w:p>
        </w:tc>
      </w:tr>
      <w:tr>
        <w:trPr>
          <w:trHeight w:val="169"/>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ROIC-adjusted</w:t>
            </w:r>
          </w:p>
        </w:tc>
        <w:tc>
          <w:tcPr>
            <w:tcW w:w="12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r>
      <w:tr>
        <w:trPr>
          <w:trHeight w:val="133"/>
        </w:trPr>
        <w:tc>
          <w:tcPr>
            <w:tcW w:w="7880" w:type="dxa"/>
            <w:vAlign w:val="bottom"/>
          </w:tcPr>
          <w:p>
            <w:pPr>
              <w:spacing w:after="0"/>
              <w:rPr>
                <w:sz w:val="20"/>
                <w:szCs w:val="20"/>
                <w:color w:val="auto"/>
              </w:rPr>
            </w:pPr>
            <w:r>
              <w:rPr>
                <w:rFonts w:ascii="Arial" w:cs="Arial" w:eastAsia="Arial" w:hAnsi="Arial"/>
                <w:sz w:val="11"/>
                <w:szCs w:val="11"/>
                <w:color w:val="auto"/>
              </w:rPr>
              <w:t>________</w:t>
            </w:r>
          </w:p>
        </w:tc>
        <w:tc>
          <w:tcPr>
            <w:tcW w:w="1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ind w:left="260" w:hanging="254"/>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EBIT-adjusted.</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EBIT-adjusted.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60"/>
          </w:cols>
          <w:pgMar w:left="220" w:top="470"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automotive cash provided by operating activities from continuing operations under U.S. GAAP to adjusted automotive free cash flow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4"/>
          </w:tcPr>
          <w:p>
            <w:pPr>
              <w:jc w:val="right"/>
              <w:ind w:right="977"/>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w:t>
            </w:r>
          </w:p>
        </w:tc>
        <w:tc>
          <w:tcPr>
            <w:tcW w:w="1060" w:type="dxa"/>
            <w:vAlign w:val="bottom"/>
            <w:tcBorders>
              <w:bottom w:val="single" w:sz="8" w:color="auto"/>
            </w:tcBorders>
          </w:tcPr>
          <w:p>
            <w:pPr>
              <w:spacing w:after="0"/>
              <w:rPr>
                <w:sz w:val="12"/>
                <w:szCs w:val="12"/>
                <w:color w:val="auto"/>
              </w:rPr>
            </w:pPr>
          </w:p>
        </w:tc>
      </w:tr>
      <w:tr>
        <w:trPr>
          <w:trHeight w:val="206"/>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0"/>
                <w:szCs w:val="10"/>
                <w:b w:val="1"/>
                <w:bCs w:val="1"/>
                <w:color w:val="auto"/>
              </w:rPr>
              <w:t>June 30, 2019</w:t>
            </w:r>
          </w:p>
        </w:tc>
        <w:tc>
          <w:tcPr>
            <w:tcW w:w="26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0"/>
                <w:szCs w:val="10"/>
                <w:b w:val="1"/>
                <w:bCs w:val="1"/>
                <w:color w:val="auto"/>
              </w:rPr>
              <w:t>June 30, 2018</w:t>
            </w:r>
          </w:p>
        </w:tc>
        <w:tc>
          <w:tcPr>
            <w:tcW w:w="26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0"/>
                <w:szCs w:val="10"/>
                <w:b w:val="1"/>
                <w:bCs w:val="1"/>
                <w:color w:val="auto"/>
              </w:rPr>
              <w:t>June 30, 2019</w:t>
            </w:r>
          </w:p>
        </w:tc>
        <w:tc>
          <w:tcPr>
            <w:tcW w:w="400" w:type="dxa"/>
            <w:vAlign w:val="bottom"/>
          </w:tcPr>
          <w:p>
            <w:pPr>
              <w:spacing w:after="0"/>
              <w:rPr>
                <w:sz w:val="17"/>
                <w:szCs w:val="17"/>
                <w:color w:val="auto"/>
              </w:rPr>
            </w:pPr>
          </w:p>
        </w:tc>
        <w:tc>
          <w:tcPr>
            <w:tcW w:w="1060" w:type="dxa"/>
            <w:vAlign w:val="bottom"/>
          </w:tcPr>
          <w:p>
            <w:pPr>
              <w:jc w:val="right"/>
              <w:ind w:right="337"/>
              <w:spacing w:after="0"/>
              <w:rPr>
                <w:sz w:val="20"/>
                <w:szCs w:val="20"/>
                <w:color w:val="auto"/>
              </w:rPr>
            </w:pPr>
            <w:r>
              <w:rPr>
                <w:rFonts w:ascii="Arial" w:cs="Arial" w:eastAsia="Arial" w:hAnsi="Arial"/>
                <w:sz w:val="10"/>
                <w:szCs w:val="10"/>
                <w:b w:val="1"/>
                <w:bCs w:val="1"/>
                <w:color w:val="auto"/>
                <w:w w:val="98"/>
              </w:rPr>
              <w:t>June 30, 2018</w:t>
            </w:r>
          </w:p>
        </w:tc>
      </w:tr>
      <w:tr>
        <w:trPr>
          <w:trHeight w:val="20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automotive cash provided by operating activities</w:t>
            </w: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3,813</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3,986</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1,606</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2,923</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Less: Capital expenditures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(2,065)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(3,428)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(4,305)</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Transformation activities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Add: GMI restructuring</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676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676</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GM Brazil indirect tax recoveries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90"/>
        </w:trPr>
        <w:tc>
          <w:tcPr>
            <w:tcW w:w="5160" w:type="dxa"/>
            <w:vAlign w:val="bottom"/>
          </w:tcPr>
          <w:p>
            <w:pPr>
              <w:ind w:left="20"/>
              <w:spacing w:after="0"/>
              <w:rPr>
                <w:sz w:val="20"/>
                <w:szCs w:val="20"/>
                <w:color w:val="auto"/>
              </w:rPr>
            </w:pPr>
            <w:r>
              <w:rPr>
                <w:rFonts w:ascii="Arial" w:cs="Arial" w:eastAsia="Arial" w:hAnsi="Arial"/>
                <w:sz w:val="13"/>
                <w:szCs w:val="13"/>
                <w:color w:val="auto"/>
              </w:rPr>
              <w:t>Adjusted automotive free cash flow</w:t>
            </w: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3"/>
                <w:szCs w:val="13"/>
                <w:color w:val="auto"/>
              </w:rPr>
              <w:t>2,534</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2,597</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(1,342)</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(706)</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Total</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6"/>
              </w:rPr>
              <w:t>GM</w:t>
            </w: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22"/>
        </w:trPr>
        <w:tc>
          <w:tcPr>
            <w:tcW w:w="2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GMNA</w:t>
            </w:r>
          </w:p>
        </w:tc>
        <w:tc>
          <w:tcPr>
            <w:tcW w:w="200" w:type="dxa"/>
            <w:vAlign w:val="bottom"/>
          </w:tcPr>
          <w:p>
            <w:pPr>
              <w:spacing w:after="0"/>
              <w:rPr>
                <w:sz w:val="10"/>
                <w:szCs w:val="10"/>
                <w:color w:val="auto"/>
              </w:rPr>
            </w:pPr>
          </w:p>
        </w:tc>
        <w:tc>
          <w:tcPr>
            <w:tcW w:w="740" w:type="dxa"/>
            <w:vAlign w:val="bottom"/>
            <w:gridSpan w:val="2"/>
          </w:tcPr>
          <w:p>
            <w:pPr>
              <w:ind w:left="140"/>
              <w:spacing w:after="0"/>
              <w:rPr>
                <w:sz w:val="20"/>
                <w:szCs w:val="20"/>
                <w:color w:val="auto"/>
              </w:rPr>
            </w:pPr>
            <w:r>
              <w:rPr>
                <w:rFonts w:ascii="Arial" w:cs="Arial" w:eastAsia="Arial" w:hAnsi="Arial"/>
                <w:sz w:val="9"/>
                <w:szCs w:val="9"/>
                <w:b w:val="1"/>
                <w:bCs w:val="1"/>
                <w:color w:val="auto"/>
              </w:rPr>
              <w:t>GMI</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Corporate</w:t>
            </w:r>
          </w:p>
        </w:tc>
        <w:tc>
          <w:tcPr>
            <w:tcW w:w="140" w:type="dxa"/>
            <w:vAlign w:val="bottom"/>
          </w:tcPr>
          <w:p>
            <w:pPr>
              <w:spacing w:after="0"/>
              <w:rPr>
                <w:sz w:val="10"/>
                <w:szCs w:val="10"/>
                <w:color w:val="auto"/>
              </w:rPr>
            </w:pP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Eliminations</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Automotive</w:t>
            </w:r>
          </w:p>
        </w:tc>
        <w:tc>
          <w:tcPr>
            <w:tcW w:w="10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GM Cruise</w:t>
            </w:r>
          </w:p>
        </w:tc>
        <w:tc>
          <w:tcPr>
            <w:tcW w:w="14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7"/>
              </w:rPr>
              <w:t>Financial</w:t>
            </w:r>
          </w:p>
        </w:tc>
        <w:tc>
          <w:tcPr>
            <w:tcW w:w="1380" w:type="dxa"/>
            <w:vAlign w:val="bottom"/>
            <w:gridSpan w:val="3"/>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180" w:type="dxa"/>
            <w:vAlign w:val="bottom"/>
          </w:tcPr>
          <w:p>
            <w:pPr>
              <w:spacing w:after="0"/>
              <w:rPr>
                <w:sz w:val="10"/>
                <w:szCs w:val="10"/>
                <w:color w:val="auto"/>
              </w:rPr>
            </w:pPr>
          </w:p>
        </w:tc>
        <w:tc>
          <w:tcPr>
            <w:tcW w:w="600" w:type="dxa"/>
            <w:vAlign w:val="bottom"/>
          </w:tcPr>
          <w:p>
            <w:pPr>
              <w:jc w:val="right"/>
              <w:ind w:right="251"/>
              <w:spacing w:after="0"/>
              <w:rPr>
                <w:sz w:val="20"/>
                <w:szCs w:val="20"/>
                <w:color w:val="auto"/>
              </w:rPr>
            </w:pPr>
            <w:r>
              <w:rPr>
                <w:rFonts w:ascii="Arial" w:cs="Arial" w:eastAsia="Arial" w:hAnsi="Arial"/>
                <w:sz w:val="9"/>
                <w:szCs w:val="9"/>
                <w:b w:val="1"/>
                <w:bCs w:val="1"/>
                <w:color w:val="auto"/>
              </w:rPr>
              <w:t>Total</w:t>
            </w:r>
          </w:p>
        </w:tc>
      </w:tr>
      <w:tr>
        <w:trPr>
          <w:trHeight w:val="207"/>
        </w:trPr>
        <w:tc>
          <w:tcPr>
            <w:tcW w:w="2760" w:type="dxa"/>
            <w:vAlign w:val="bottom"/>
          </w:tcPr>
          <w:p>
            <w:pPr>
              <w:ind w:left="20"/>
              <w:spacing w:after="0"/>
              <w:rPr>
                <w:sz w:val="20"/>
                <w:szCs w:val="20"/>
                <w:color w:val="auto"/>
              </w:rPr>
            </w:pPr>
            <w:r>
              <w:rPr>
                <w:rFonts w:ascii="Arial" w:cs="Arial" w:eastAsia="Arial" w:hAnsi="Arial"/>
                <w:sz w:val="9"/>
                <w:szCs w:val="9"/>
                <w:b w:val="1"/>
                <w:bCs w:val="1"/>
                <w:color w:val="auto"/>
              </w:rPr>
              <w:t>Three Months Ended June 30, 2019</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24"/>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28,324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4,047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32,425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3,639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36,060</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1,268</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166</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1,435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1,462</w:t>
            </w:r>
          </w:p>
        </w:tc>
      </w:tr>
      <w:tr>
        <w:trPr>
          <w:trHeight w:val="179"/>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1,409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1,541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1,848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3,396</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11</w:t>
            </w:r>
          </w:p>
        </w:tc>
      </w:tr>
      <w:tr>
        <w:trPr>
          <w:trHeight w:val="179"/>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income(a)</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233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271</w:t>
            </w:r>
          </w:p>
        </w:tc>
      </w:tr>
      <w:tr>
        <w:trPr>
          <w:trHeight w:val="365"/>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Total</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6"/>
              </w:rPr>
              <w:t>GM</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22"/>
        </w:trPr>
        <w:tc>
          <w:tcPr>
            <w:tcW w:w="2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GMNA</w:t>
            </w:r>
          </w:p>
        </w:tc>
        <w:tc>
          <w:tcPr>
            <w:tcW w:w="200" w:type="dxa"/>
            <w:vAlign w:val="bottom"/>
          </w:tcPr>
          <w:p>
            <w:pPr>
              <w:spacing w:after="0"/>
              <w:rPr>
                <w:sz w:val="10"/>
                <w:szCs w:val="10"/>
                <w:color w:val="auto"/>
              </w:rPr>
            </w:pPr>
          </w:p>
        </w:tc>
        <w:tc>
          <w:tcPr>
            <w:tcW w:w="740" w:type="dxa"/>
            <w:vAlign w:val="bottom"/>
            <w:gridSpan w:val="2"/>
          </w:tcPr>
          <w:p>
            <w:pPr>
              <w:ind w:left="140"/>
              <w:spacing w:after="0"/>
              <w:rPr>
                <w:sz w:val="20"/>
                <w:szCs w:val="20"/>
                <w:color w:val="auto"/>
              </w:rPr>
            </w:pPr>
            <w:r>
              <w:rPr>
                <w:rFonts w:ascii="Arial" w:cs="Arial" w:eastAsia="Arial" w:hAnsi="Arial"/>
                <w:sz w:val="9"/>
                <w:szCs w:val="9"/>
                <w:b w:val="1"/>
                <w:bCs w:val="1"/>
                <w:color w:val="auto"/>
              </w:rPr>
              <w:t>GMI</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Corporate</w:t>
            </w:r>
          </w:p>
        </w:tc>
        <w:tc>
          <w:tcPr>
            <w:tcW w:w="140" w:type="dxa"/>
            <w:vAlign w:val="bottom"/>
          </w:tcPr>
          <w:p>
            <w:pPr>
              <w:spacing w:after="0"/>
              <w:rPr>
                <w:sz w:val="10"/>
                <w:szCs w:val="10"/>
                <w:color w:val="auto"/>
              </w:rPr>
            </w:pP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Eliminations</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Automotive</w:t>
            </w:r>
          </w:p>
        </w:tc>
        <w:tc>
          <w:tcPr>
            <w:tcW w:w="10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GM Cruise</w:t>
            </w:r>
          </w:p>
        </w:tc>
        <w:tc>
          <w:tcPr>
            <w:tcW w:w="14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7"/>
              </w:rPr>
              <w:t>Financial</w:t>
            </w:r>
          </w:p>
        </w:tc>
        <w:tc>
          <w:tcPr>
            <w:tcW w:w="220" w:type="dxa"/>
            <w:vAlign w:val="bottom"/>
          </w:tcPr>
          <w:p>
            <w:pPr>
              <w:spacing w:after="0"/>
              <w:rPr>
                <w:sz w:val="10"/>
                <w:szCs w:val="10"/>
                <w:color w:val="auto"/>
              </w:rPr>
            </w:pPr>
          </w:p>
        </w:tc>
        <w:tc>
          <w:tcPr>
            <w:tcW w:w="1160" w:type="dxa"/>
            <w:vAlign w:val="bottom"/>
            <w:gridSpan w:val="2"/>
          </w:tcPr>
          <w:p>
            <w:pPr>
              <w:ind w:left="160"/>
              <w:spacing w:after="0"/>
              <w:rPr>
                <w:sz w:val="20"/>
                <w:szCs w:val="20"/>
                <w:color w:val="auto"/>
              </w:rPr>
            </w:pPr>
            <w:r>
              <w:rPr>
                <w:rFonts w:ascii="Arial" w:cs="Arial" w:eastAsia="Arial" w:hAnsi="Arial"/>
                <w:sz w:val="9"/>
                <w:szCs w:val="9"/>
                <w:b w:val="1"/>
                <w:bCs w:val="1"/>
                <w:color w:val="auto"/>
              </w:rPr>
              <w:t>Eliminations</w:t>
            </w:r>
          </w:p>
        </w:tc>
        <w:tc>
          <w:tcPr>
            <w:tcW w:w="180" w:type="dxa"/>
            <w:vAlign w:val="bottom"/>
          </w:tcPr>
          <w:p>
            <w:pPr>
              <w:spacing w:after="0"/>
              <w:rPr>
                <w:sz w:val="10"/>
                <w:szCs w:val="10"/>
                <w:color w:val="auto"/>
              </w:rPr>
            </w:pPr>
          </w:p>
        </w:tc>
        <w:tc>
          <w:tcPr>
            <w:tcW w:w="600" w:type="dxa"/>
            <w:vAlign w:val="bottom"/>
          </w:tcPr>
          <w:p>
            <w:pPr>
              <w:jc w:val="right"/>
              <w:ind w:right="251"/>
              <w:spacing w:after="0"/>
              <w:rPr>
                <w:sz w:val="20"/>
                <w:szCs w:val="20"/>
                <w:color w:val="auto"/>
              </w:rPr>
            </w:pPr>
            <w:r>
              <w:rPr>
                <w:rFonts w:ascii="Arial" w:cs="Arial" w:eastAsia="Arial" w:hAnsi="Arial"/>
                <w:sz w:val="9"/>
                <w:szCs w:val="9"/>
                <w:b w:val="1"/>
                <w:bCs w:val="1"/>
                <w:color w:val="auto"/>
              </w:rPr>
              <w:t>Total</w:t>
            </w:r>
          </w:p>
        </w:tc>
      </w:tr>
      <w:tr>
        <w:trPr>
          <w:trHeight w:val="207"/>
        </w:trPr>
        <w:tc>
          <w:tcPr>
            <w:tcW w:w="2760" w:type="dxa"/>
            <w:vAlign w:val="bottom"/>
          </w:tcPr>
          <w:p>
            <w:pPr>
              <w:ind w:left="20"/>
              <w:spacing w:after="0"/>
              <w:rPr>
                <w:sz w:val="20"/>
                <w:szCs w:val="20"/>
                <w:color w:val="auto"/>
              </w:rPr>
            </w:pPr>
            <w:r>
              <w:rPr>
                <w:rFonts w:ascii="Arial" w:cs="Arial" w:eastAsia="Arial" w:hAnsi="Arial"/>
                <w:sz w:val="9"/>
                <w:szCs w:val="9"/>
                <w:b w:val="1"/>
                <w:bCs w:val="1"/>
                <w:color w:val="auto"/>
              </w:rPr>
              <w:t>Three Months Ended June 30, 2018</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24"/>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28,501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4,758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33,309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3,488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36,760</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1,835</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229</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2,065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14</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2,079</w:t>
            </w:r>
          </w:p>
        </w:tc>
      </w:tr>
      <w:tr>
        <w:trPr>
          <w:trHeight w:val="179"/>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1,114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1,264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1,833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3,099</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28</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30</w:t>
            </w:r>
          </w:p>
        </w:tc>
      </w:tr>
      <w:tr>
        <w:trPr>
          <w:trHeight w:val="222"/>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income(a)</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637</w:t>
            </w:r>
          </w:p>
        </w:tc>
      </w:tr>
      <w:tr>
        <w:trPr>
          <w:trHeight w:val="365"/>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Total</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6"/>
              </w:rPr>
              <w:t>GM</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22"/>
        </w:trPr>
        <w:tc>
          <w:tcPr>
            <w:tcW w:w="2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GMNA</w:t>
            </w:r>
          </w:p>
        </w:tc>
        <w:tc>
          <w:tcPr>
            <w:tcW w:w="200" w:type="dxa"/>
            <w:vAlign w:val="bottom"/>
          </w:tcPr>
          <w:p>
            <w:pPr>
              <w:spacing w:after="0"/>
              <w:rPr>
                <w:sz w:val="10"/>
                <w:szCs w:val="10"/>
                <w:color w:val="auto"/>
              </w:rPr>
            </w:pPr>
          </w:p>
        </w:tc>
        <w:tc>
          <w:tcPr>
            <w:tcW w:w="740" w:type="dxa"/>
            <w:vAlign w:val="bottom"/>
            <w:gridSpan w:val="2"/>
          </w:tcPr>
          <w:p>
            <w:pPr>
              <w:ind w:left="140"/>
              <w:spacing w:after="0"/>
              <w:rPr>
                <w:sz w:val="20"/>
                <w:szCs w:val="20"/>
                <w:color w:val="auto"/>
              </w:rPr>
            </w:pPr>
            <w:r>
              <w:rPr>
                <w:rFonts w:ascii="Arial" w:cs="Arial" w:eastAsia="Arial" w:hAnsi="Arial"/>
                <w:sz w:val="9"/>
                <w:szCs w:val="9"/>
                <w:b w:val="1"/>
                <w:bCs w:val="1"/>
                <w:color w:val="auto"/>
              </w:rPr>
              <w:t>GMI</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Corporate</w:t>
            </w:r>
          </w:p>
        </w:tc>
        <w:tc>
          <w:tcPr>
            <w:tcW w:w="140" w:type="dxa"/>
            <w:vAlign w:val="bottom"/>
          </w:tcPr>
          <w:p>
            <w:pPr>
              <w:spacing w:after="0"/>
              <w:rPr>
                <w:sz w:val="10"/>
                <w:szCs w:val="10"/>
                <w:color w:val="auto"/>
              </w:rPr>
            </w:pP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Eliminations</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Automotive</w:t>
            </w:r>
          </w:p>
        </w:tc>
        <w:tc>
          <w:tcPr>
            <w:tcW w:w="10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GM Cruise</w:t>
            </w:r>
          </w:p>
        </w:tc>
        <w:tc>
          <w:tcPr>
            <w:tcW w:w="14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7"/>
              </w:rPr>
              <w:t>Financial</w:t>
            </w:r>
          </w:p>
        </w:tc>
        <w:tc>
          <w:tcPr>
            <w:tcW w:w="1380" w:type="dxa"/>
            <w:vAlign w:val="bottom"/>
            <w:gridSpan w:val="3"/>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180" w:type="dxa"/>
            <w:vAlign w:val="bottom"/>
          </w:tcPr>
          <w:p>
            <w:pPr>
              <w:spacing w:after="0"/>
              <w:rPr>
                <w:sz w:val="10"/>
                <w:szCs w:val="10"/>
                <w:color w:val="auto"/>
              </w:rPr>
            </w:pPr>
          </w:p>
        </w:tc>
        <w:tc>
          <w:tcPr>
            <w:tcW w:w="600" w:type="dxa"/>
            <w:vAlign w:val="bottom"/>
          </w:tcPr>
          <w:p>
            <w:pPr>
              <w:jc w:val="right"/>
              <w:ind w:right="251"/>
              <w:spacing w:after="0"/>
              <w:rPr>
                <w:sz w:val="20"/>
                <w:szCs w:val="20"/>
                <w:color w:val="auto"/>
              </w:rPr>
            </w:pPr>
            <w:r>
              <w:rPr>
                <w:rFonts w:ascii="Arial" w:cs="Arial" w:eastAsia="Arial" w:hAnsi="Arial"/>
                <w:sz w:val="9"/>
                <w:szCs w:val="9"/>
                <w:b w:val="1"/>
                <w:bCs w:val="1"/>
                <w:color w:val="auto"/>
              </w:rPr>
              <w:t>Total</w:t>
            </w:r>
          </w:p>
        </w:tc>
      </w:tr>
      <w:tr>
        <w:trPr>
          <w:trHeight w:val="207"/>
        </w:trPr>
        <w:tc>
          <w:tcPr>
            <w:tcW w:w="2760" w:type="dxa"/>
            <w:vAlign w:val="bottom"/>
          </w:tcPr>
          <w:p>
            <w:pPr>
              <w:ind w:left="20"/>
              <w:spacing w:after="0"/>
              <w:rPr>
                <w:sz w:val="20"/>
                <w:szCs w:val="20"/>
                <w:color w:val="auto"/>
              </w:rPr>
            </w:pPr>
            <w:r>
              <w:rPr>
                <w:rFonts w:ascii="Arial" w:cs="Arial" w:eastAsia="Arial" w:hAnsi="Arial"/>
                <w:sz w:val="9"/>
                <w:szCs w:val="9"/>
                <w:b w:val="1"/>
                <w:bCs w:val="1"/>
                <w:color w:val="auto"/>
              </w:rPr>
              <w:t>Six Months Ended June 30, 2019</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24"/>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55,689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7,897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63,686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7,259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70,938</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2,969</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458</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4"/>
                <w:szCs w:val="14"/>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3,428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23</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25</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3,476</w:t>
            </w:r>
          </w:p>
        </w:tc>
      </w:tr>
      <w:tr>
        <w:trPr>
          <w:trHeight w:val="179"/>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3,478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246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3,749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3,747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7,505</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18</w:t>
            </w:r>
          </w:p>
        </w:tc>
      </w:tr>
      <w:tr>
        <w:trPr>
          <w:trHeight w:val="179"/>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income(a)</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607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87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685</w:t>
            </w:r>
          </w:p>
        </w:tc>
      </w:tr>
      <w:tr>
        <w:trPr>
          <w:trHeight w:val="365"/>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Total</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6"/>
              </w:rPr>
              <w:t>GM</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22"/>
        </w:trPr>
        <w:tc>
          <w:tcPr>
            <w:tcW w:w="2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GMNA</w:t>
            </w:r>
          </w:p>
        </w:tc>
        <w:tc>
          <w:tcPr>
            <w:tcW w:w="200" w:type="dxa"/>
            <w:vAlign w:val="bottom"/>
          </w:tcPr>
          <w:p>
            <w:pPr>
              <w:spacing w:after="0"/>
              <w:rPr>
                <w:sz w:val="10"/>
                <w:szCs w:val="10"/>
                <w:color w:val="auto"/>
              </w:rPr>
            </w:pPr>
          </w:p>
        </w:tc>
        <w:tc>
          <w:tcPr>
            <w:tcW w:w="740" w:type="dxa"/>
            <w:vAlign w:val="bottom"/>
            <w:gridSpan w:val="2"/>
          </w:tcPr>
          <w:p>
            <w:pPr>
              <w:ind w:left="140"/>
              <w:spacing w:after="0"/>
              <w:rPr>
                <w:sz w:val="20"/>
                <w:szCs w:val="20"/>
                <w:color w:val="auto"/>
              </w:rPr>
            </w:pPr>
            <w:r>
              <w:rPr>
                <w:rFonts w:ascii="Arial" w:cs="Arial" w:eastAsia="Arial" w:hAnsi="Arial"/>
                <w:sz w:val="9"/>
                <w:szCs w:val="9"/>
                <w:b w:val="1"/>
                <w:bCs w:val="1"/>
                <w:color w:val="auto"/>
              </w:rPr>
              <w:t>GMI</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Corporate</w:t>
            </w:r>
          </w:p>
        </w:tc>
        <w:tc>
          <w:tcPr>
            <w:tcW w:w="140" w:type="dxa"/>
            <w:vAlign w:val="bottom"/>
          </w:tcPr>
          <w:p>
            <w:pPr>
              <w:spacing w:after="0"/>
              <w:rPr>
                <w:sz w:val="10"/>
                <w:szCs w:val="10"/>
                <w:color w:val="auto"/>
              </w:rPr>
            </w:pP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Eliminations</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Automotive</w:t>
            </w:r>
          </w:p>
        </w:tc>
        <w:tc>
          <w:tcPr>
            <w:tcW w:w="10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GM Cruise</w:t>
            </w:r>
          </w:p>
        </w:tc>
        <w:tc>
          <w:tcPr>
            <w:tcW w:w="14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7"/>
              </w:rPr>
              <w:t>Financial</w:t>
            </w:r>
          </w:p>
        </w:tc>
        <w:tc>
          <w:tcPr>
            <w:tcW w:w="220" w:type="dxa"/>
            <w:vAlign w:val="bottom"/>
          </w:tcPr>
          <w:p>
            <w:pPr>
              <w:spacing w:after="0"/>
              <w:rPr>
                <w:sz w:val="10"/>
                <w:szCs w:val="10"/>
                <w:color w:val="auto"/>
              </w:rPr>
            </w:pPr>
          </w:p>
        </w:tc>
        <w:tc>
          <w:tcPr>
            <w:tcW w:w="1160" w:type="dxa"/>
            <w:vAlign w:val="bottom"/>
            <w:gridSpan w:val="2"/>
          </w:tcPr>
          <w:p>
            <w:pPr>
              <w:ind w:left="160"/>
              <w:spacing w:after="0"/>
              <w:rPr>
                <w:sz w:val="20"/>
                <w:szCs w:val="20"/>
                <w:color w:val="auto"/>
              </w:rPr>
            </w:pPr>
            <w:r>
              <w:rPr>
                <w:rFonts w:ascii="Arial" w:cs="Arial" w:eastAsia="Arial" w:hAnsi="Arial"/>
                <w:sz w:val="9"/>
                <w:szCs w:val="9"/>
                <w:b w:val="1"/>
                <w:bCs w:val="1"/>
                <w:color w:val="auto"/>
              </w:rPr>
              <w:t>Eliminations</w:t>
            </w:r>
          </w:p>
        </w:tc>
        <w:tc>
          <w:tcPr>
            <w:tcW w:w="180" w:type="dxa"/>
            <w:vAlign w:val="bottom"/>
          </w:tcPr>
          <w:p>
            <w:pPr>
              <w:spacing w:after="0"/>
              <w:rPr>
                <w:sz w:val="10"/>
                <w:szCs w:val="10"/>
                <w:color w:val="auto"/>
              </w:rPr>
            </w:pPr>
          </w:p>
        </w:tc>
        <w:tc>
          <w:tcPr>
            <w:tcW w:w="600" w:type="dxa"/>
            <w:vAlign w:val="bottom"/>
          </w:tcPr>
          <w:p>
            <w:pPr>
              <w:jc w:val="right"/>
              <w:ind w:right="251"/>
              <w:spacing w:after="0"/>
              <w:rPr>
                <w:sz w:val="20"/>
                <w:szCs w:val="20"/>
                <w:color w:val="auto"/>
              </w:rPr>
            </w:pPr>
            <w:r>
              <w:rPr>
                <w:rFonts w:ascii="Arial" w:cs="Arial" w:eastAsia="Arial" w:hAnsi="Arial"/>
                <w:sz w:val="9"/>
                <w:szCs w:val="9"/>
                <w:b w:val="1"/>
                <w:bCs w:val="1"/>
                <w:color w:val="auto"/>
              </w:rPr>
              <w:t>Total</w:t>
            </w:r>
          </w:p>
        </w:tc>
      </w:tr>
      <w:tr>
        <w:trPr>
          <w:trHeight w:val="207"/>
        </w:trPr>
        <w:tc>
          <w:tcPr>
            <w:tcW w:w="2760" w:type="dxa"/>
            <w:vAlign w:val="bottom"/>
          </w:tcPr>
          <w:p>
            <w:pPr>
              <w:ind w:left="20"/>
              <w:spacing w:after="0"/>
              <w:rPr>
                <w:sz w:val="20"/>
                <w:szCs w:val="20"/>
                <w:color w:val="auto"/>
              </w:rPr>
            </w:pPr>
            <w:r>
              <w:rPr>
                <w:rFonts w:ascii="Arial" w:cs="Arial" w:eastAsia="Arial" w:hAnsi="Arial"/>
                <w:sz w:val="9"/>
                <w:szCs w:val="9"/>
                <w:b w:val="1"/>
                <w:bCs w:val="1"/>
                <w:color w:val="auto"/>
              </w:rPr>
              <w:t>Six Months Ended June 30, 2018</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24"/>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56,319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9,606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66,024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6,899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72,859</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3,899</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391</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16</w:t>
            </w:r>
          </w:p>
        </w:tc>
        <w:tc>
          <w:tcPr>
            <w:tcW w:w="120" w:type="dxa"/>
            <w:vAlign w:val="bottom"/>
          </w:tcPr>
          <w:p>
            <w:pPr>
              <w:spacing w:after="0"/>
              <w:rPr>
                <w:sz w:val="14"/>
                <w:szCs w:val="14"/>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4,305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34</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4,351</w:t>
            </w:r>
          </w:p>
        </w:tc>
      </w:tr>
      <w:tr>
        <w:trPr>
          <w:trHeight w:val="179"/>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2,223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2,537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3,656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6,196</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53</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461</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514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514</w:t>
            </w:r>
          </w:p>
        </w:tc>
      </w:tr>
      <w:tr>
        <w:trPr>
          <w:trHeight w:val="179"/>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income(a)</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1,183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1,188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1,285</w:t>
            </w:r>
          </w:p>
        </w:tc>
      </w:tr>
      <w:tr>
        <w:trPr>
          <w:trHeight w:val="125"/>
        </w:trPr>
        <w:tc>
          <w:tcPr>
            <w:tcW w:w="2760" w:type="dxa"/>
            <w:vAlign w:val="bottom"/>
          </w:tcPr>
          <w:p>
            <w:pPr>
              <w:spacing w:after="0" w:line="125" w:lineRule="exact"/>
              <w:rPr>
                <w:sz w:val="20"/>
                <w:szCs w:val="20"/>
                <w:color w:val="auto"/>
              </w:rPr>
            </w:pPr>
            <w:r>
              <w:rPr>
                <w:rFonts w:ascii="Arial" w:cs="Arial" w:eastAsia="Arial" w:hAnsi="Arial"/>
                <w:sz w:val="11"/>
                <w:szCs w:val="11"/>
                <w:color w:val="auto"/>
              </w:rPr>
              <w:t>________</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r>
    </w:tbl>
    <w:p>
      <w:pPr>
        <w:ind w:left="260" w:hanging="254"/>
        <w:spacing w:after="0"/>
        <w:tabs>
          <w:tab w:leader="none" w:pos="260" w:val="left"/>
        </w:tabs>
        <w:numPr>
          <w:ilvl w:val="0"/>
          <w:numId w:val="8"/>
        </w:numPr>
        <w:rPr>
          <w:rFonts w:ascii="Arial" w:cs="Arial" w:eastAsia="Arial" w:hAnsi="Arial"/>
          <w:sz w:val="10"/>
          <w:szCs w:val="10"/>
          <w:color w:val="auto"/>
        </w:rPr>
      </w:pPr>
      <w:r>
        <w:rPr>
          <w:rFonts w:ascii="Arial" w:cs="Arial" w:eastAsia="Arial" w:hAnsi="Arial"/>
          <w:sz w:val="10"/>
          <w:szCs w:val="10"/>
          <w:color w:val="auto"/>
        </w:rPr>
        <w:t>Includes Automotive China equity income of $235 million and $592 million in the three months ended June 30, 2019 and 2018 and $611 million and $1.2 billion in the six months ended June 30, 2019 and 2018.</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60"/>
          </w:cols>
          <w:pgMar w:left="220" w:top="470" w:right="2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168" w:lineRule="exact"/>
        <w:rPr>
          <w:sz w:val="20"/>
          <w:szCs w:val="20"/>
          <w:color w:val="auto"/>
        </w:rPr>
      </w:pPr>
    </w:p>
    <w:p>
      <w:pPr>
        <w:jc w:val="both"/>
        <w:ind w:firstLine="129"/>
        <w:spacing w:after="0" w:line="251"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w:t>
      </w:r>
    </w:p>
    <w:p>
      <w:pPr>
        <w:spacing w:after="0" w:line="140" w:lineRule="exact"/>
        <w:rPr>
          <w:sz w:val="20"/>
          <w:szCs w:val="20"/>
          <w:color w:val="auto"/>
        </w:rPr>
      </w:pPr>
    </w:p>
    <w:p>
      <w:pPr>
        <w:jc w:val="both"/>
        <w:ind w:firstLine="129"/>
        <w:spacing w:after="0" w:line="246"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six months ended June 30, 2019, 34.1% of our wholesale vehicle sales volume was generated outside the U.S. The following table summarizes wholesale vehicle sales by automotive segment (vehicles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260" w:type="dxa"/>
            <w:vAlign w:val="bottom"/>
          </w:tcPr>
          <w:p>
            <w:pPr>
              <w:spacing w:after="0"/>
              <w:rPr>
                <w:sz w:val="12"/>
                <w:szCs w:val="12"/>
                <w:color w:val="auto"/>
              </w:rPr>
            </w:pPr>
          </w:p>
        </w:tc>
        <w:tc>
          <w:tcPr>
            <w:tcW w:w="2320" w:type="dxa"/>
            <w:vAlign w:val="bottom"/>
            <w:tcBorders>
              <w:bottom w:val="single" w:sz="8" w:color="auto"/>
            </w:tcBorders>
            <w:gridSpan w:val="3"/>
          </w:tcPr>
          <w:p>
            <w:pPr>
              <w:ind w:left="1280"/>
              <w:spacing w:after="0"/>
              <w:rPr>
                <w:sz w:val="20"/>
                <w:szCs w:val="20"/>
                <w:color w:val="auto"/>
              </w:rPr>
            </w:pPr>
            <w:r>
              <w:rPr>
                <w:rFonts w:ascii="Arial" w:cs="Arial" w:eastAsia="Arial" w:hAnsi="Arial"/>
                <w:sz w:val="10"/>
                <w:szCs w:val="10"/>
                <w:b w:val="1"/>
                <w:bCs w:val="1"/>
                <w:color w:val="auto"/>
              </w:rPr>
              <w:t>Three Months Ended</w:t>
            </w:r>
          </w:p>
        </w:tc>
        <w:tc>
          <w:tcPr>
            <w:tcW w:w="1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Borders>
              <w:bottom w:val="single" w:sz="8" w:color="auto"/>
            </w:tcBorders>
            <w:gridSpan w:val="3"/>
          </w:tcPr>
          <w:p>
            <w:pPr>
              <w:ind w:left="1340"/>
              <w:spacing w:after="0"/>
              <w:rPr>
                <w:sz w:val="20"/>
                <w:szCs w:val="20"/>
                <w:color w:val="auto"/>
              </w:rPr>
            </w:pPr>
            <w:r>
              <w:rPr>
                <w:rFonts w:ascii="Arial" w:cs="Arial" w:eastAsia="Arial" w:hAnsi="Arial"/>
                <w:sz w:val="10"/>
                <w:szCs w:val="10"/>
                <w:b w:val="1"/>
                <w:bCs w:val="1"/>
                <w:color w:val="auto"/>
              </w:rPr>
              <w:t>Six Months Ended</w:t>
            </w:r>
          </w:p>
        </w:tc>
        <w:tc>
          <w:tcPr>
            <w:tcW w:w="1240" w:type="dxa"/>
            <w:vAlign w:val="bottom"/>
            <w:tcBorders>
              <w:bottom w:val="single" w:sz="8" w:color="auto"/>
            </w:tcBorders>
          </w:tcPr>
          <w:p>
            <w:pPr>
              <w:spacing w:after="0"/>
              <w:rPr>
                <w:sz w:val="12"/>
                <w:szCs w:val="12"/>
                <w:color w:val="auto"/>
              </w:rPr>
            </w:pPr>
          </w:p>
        </w:tc>
      </w:tr>
      <w:tr>
        <w:trPr>
          <w:trHeight w:val="196"/>
        </w:trPr>
        <w:tc>
          <w:tcPr>
            <w:tcW w:w="4260" w:type="dxa"/>
            <w:vAlign w:val="bottom"/>
          </w:tcPr>
          <w:p>
            <w:pPr>
              <w:spacing w:after="0"/>
              <w:rPr>
                <w:sz w:val="17"/>
                <w:szCs w:val="17"/>
                <w:color w:val="auto"/>
              </w:rPr>
            </w:pPr>
          </w:p>
        </w:tc>
        <w:tc>
          <w:tcPr>
            <w:tcW w:w="2320" w:type="dxa"/>
            <w:vAlign w:val="bottom"/>
            <w:gridSpan w:val="3"/>
          </w:tcPr>
          <w:p>
            <w:pPr>
              <w:ind w:left="520"/>
              <w:spacing w:after="0"/>
              <w:rPr>
                <w:sz w:val="20"/>
                <w:szCs w:val="20"/>
                <w:color w:val="auto"/>
              </w:rPr>
            </w:pPr>
            <w:r>
              <w:rPr>
                <w:rFonts w:ascii="Arial" w:cs="Arial" w:eastAsia="Arial" w:hAnsi="Arial"/>
                <w:sz w:val="10"/>
                <w:szCs w:val="10"/>
                <w:b w:val="1"/>
                <w:bCs w:val="1"/>
                <w:color w:val="auto"/>
              </w:rPr>
              <w:t>June 30, 2019</w:t>
            </w:r>
          </w:p>
        </w:tc>
        <w:tc>
          <w:tcPr>
            <w:tcW w:w="1360" w:type="dxa"/>
            <w:vAlign w:val="bottom"/>
            <w:gridSpan w:val="2"/>
          </w:tcPr>
          <w:p>
            <w:pPr>
              <w:ind w:left="60"/>
              <w:spacing w:after="0"/>
              <w:rPr>
                <w:sz w:val="20"/>
                <w:szCs w:val="20"/>
                <w:color w:val="auto"/>
              </w:rPr>
            </w:pPr>
            <w:r>
              <w:rPr>
                <w:rFonts w:ascii="Arial" w:cs="Arial" w:eastAsia="Arial" w:hAnsi="Arial"/>
                <w:sz w:val="10"/>
                <w:szCs w:val="10"/>
                <w:b w:val="1"/>
                <w:bCs w:val="1"/>
                <w:color w:val="auto"/>
              </w:rPr>
              <w:t>June 30, 2018</w:t>
            </w:r>
          </w:p>
        </w:tc>
        <w:tc>
          <w:tcPr>
            <w:tcW w:w="2280" w:type="dxa"/>
            <w:vAlign w:val="bottom"/>
            <w:gridSpan w:val="3"/>
          </w:tcPr>
          <w:p>
            <w:pPr>
              <w:ind w:left="520"/>
              <w:spacing w:after="0"/>
              <w:rPr>
                <w:sz w:val="20"/>
                <w:szCs w:val="20"/>
                <w:color w:val="auto"/>
              </w:rPr>
            </w:pPr>
            <w:r>
              <w:rPr>
                <w:rFonts w:ascii="Arial" w:cs="Arial" w:eastAsia="Arial" w:hAnsi="Arial"/>
                <w:sz w:val="10"/>
                <w:szCs w:val="10"/>
                <w:b w:val="1"/>
                <w:bCs w:val="1"/>
                <w:color w:val="auto"/>
              </w:rPr>
              <w:t>June 30, 2019</w:t>
            </w:r>
          </w:p>
        </w:tc>
        <w:tc>
          <w:tcPr>
            <w:tcW w:w="1240" w:type="dxa"/>
            <w:vAlign w:val="bottom"/>
          </w:tcPr>
          <w:p>
            <w:pPr>
              <w:jc w:val="right"/>
              <w:ind w:right="459"/>
              <w:spacing w:after="0"/>
              <w:rPr>
                <w:sz w:val="20"/>
                <w:szCs w:val="20"/>
                <w:color w:val="auto"/>
              </w:rPr>
            </w:pPr>
            <w:r>
              <w:rPr>
                <w:rFonts w:ascii="Arial" w:cs="Arial" w:eastAsia="Arial" w:hAnsi="Arial"/>
                <w:sz w:val="10"/>
                <w:szCs w:val="10"/>
                <w:b w:val="1"/>
                <w:bCs w:val="1"/>
                <w:color w:val="auto"/>
              </w:rPr>
              <w:t>June 30, 2018</w:t>
            </w:r>
          </w:p>
        </w:tc>
      </w:tr>
      <w:tr>
        <w:trPr>
          <w:trHeight w:val="191"/>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17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870</w:t>
            </w: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923</w:t>
            </w:r>
          </w:p>
        </w:tc>
        <w:tc>
          <w:tcPr>
            <w:tcW w:w="12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1,729</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1,816</w:t>
            </w:r>
          </w:p>
        </w:tc>
      </w:tr>
      <w:tr>
        <w:trPr>
          <w:trHeight w:val="186"/>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72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rPr>
              <w:t>259</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281</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rPr>
              <w:t>495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547</w:t>
            </w:r>
          </w:p>
        </w:tc>
      </w:tr>
      <w:tr>
        <w:trPr>
          <w:trHeight w:val="19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7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1,129</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1,204</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2,224</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2,363</w:t>
            </w:r>
          </w:p>
        </w:tc>
      </w:tr>
      <w:tr>
        <w:trPr>
          <w:trHeight w:val="20"/>
        </w:trPr>
        <w:tc>
          <w:tcPr>
            <w:tcW w:w="4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60"/>
          </w:cols>
          <w:pgMar w:left="220" w:top="470" w:right="2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95" w:lineRule="exact"/>
        <w:rPr>
          <w:sz w:val="20"/>
          <w:szCs w:val="20"/>
          <w:color w:val="auto"/>
        </w:rPr>
      </w:pPr>
    </w:p>
    <w:p>
      <w:pPr>
        <w:jc w:val="both"/>
        <w:ind w:firstLine="129"/>
        <w:spacing w:after="0" w:line="268" w:lineRule="auto"/>
        <w:rPr>
          <w:sz w:val="20"/>
          <w:szCs w:val="20"/>
          <w:color w:val="auto"/>
        </w:rPr>
      </w:pPr>
      <w:r>
        <w:rPr>
          <w:rFonts w:ascii="Arial" w:cs="Arial" w:eastAsia="Arial" w:hAnsi="Arial"/>
          <w:sz w:val="12"/>
          <w:szCs w:val="12"/>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160" w:type="dxa"/>
            <w:vAlign w:val="bottom"/>
          </w:tcPr>
          <w:p>
            <w:pPr>
              <w:spacing w:after="0"/>
              <w:rPr>
                <w:sz w:val="12"/>
                <w:szCs w:val="12"/>
                <w:color w:val="auto"/>
              </w:rPr>
            </w:pPr>
          </w:p>
        </w:tc>
        <w:tc>
          <w:tcPr>
            <w:tcW w:w="312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1980" w:type="dxa"/>
            <w:vAlign w:val="bottom"/>
            <w:tcBorders>
              <w:bottom w:val="single" w:sz="8" w:color="auto"/>
            </w:tcBorders>
            <w:gridSpan w:val="3"/>
          </w:tcPr>
          <w:p>
            <w:pPr>
              <w:ind w:left="1100"/>
              <w:spacing w:after="0"/>
              <w:rPr>
                <w:sz w:val="20"/>
                <w:szCs w:val="20"/>
                <w:color w:val="auto"/>
              </w:rPr>
            </w:pPr>
            <w:r>
              <w:rPr>
                <w:rFonts w:ascii="Arial" w:cs="Arial" w:eastAsia="Arial" w:hAnsi="Arial"/>
                <w:sz w:val="10"/>
                <w:szCs w:val="10"/>
                <w:b w:val="1"/>
                <w:bCs w:val="1"/>
                <w:color w:val="auto"/>
                <w:w w:val="99"/>
              </w:rPr>
              <w:t>Six Months Ended</w:t>
            </w:r>
          </w:p>
        </w:tc>
        <w:tc>
          <w:tcPr>
            <w:tcW w:w="1080" w:type="dxa"/>
            <w:vAlign w:val="bottom"/>
            <w:tcBorders>
              <w:bottom w:val="single" w:sz="8" w:color="auto"/>
            </w:tcBorders>
          </w:tcPr>
          <w:p>
            <w:pPr>
              <w:spacing w:after="0"/>
              <w:rPr>
                <w:sz w:val="12"/>
                <w:szCs w:val="12"/>
                <w:color w:val="auto"/>
              </w:rPr>
            </w:pPr>
          </w:p>
        </w:tc>
      </w:tr>
      <w:tr>
        <w:trPr>
          <w:trHeight w:val="193"/>
        </w:trPr>
        <w:tc>
          <w:tcPr>
            <w:tcW w:w="5160" w:type="dxa"/>
            <w:vAlign w:val="bottom"/>
          </w:tcPr>
          <w:p>
            <w:pPr>
              <w:spacing w:after="0"/>
              <w:rPr>
                <w:sz w:val="16"/>
                <w:szCs w:val="16"/>
                <w:color w:val="auto"/>
              </w:rPr>
            </w:pPr>
          </w:p>
        </w:tc>
        <w:tc>
          <w:tcPr>
            <w:tcW w:w="1620" w:type="dxa"/>
            <w:vAlign w:val="bottom"/>
            <w:gridSpan w:val="2"/>
          </w:tcPr>
          <w:p>
            <w:pPr>
              <w:ind w:left="440"/>
              <w:spacing w:after="0"/>
              <w:rPr>
                <w:sz w:val="20"/>
                <w:szCs w:val="20"/>
                <w:color w:val="auto"/>
              </w:rPr>
            </w:pPr>
            <w:r>
              <w:rPr>
                <w:rFonts w:ascii="Arial" w:cs="Arial" w:eastAsia="Arial" w:hAnsi="Arial"/>
                <w:sz w:val="10"/>
                <w:szCs w:val="10"/>
                <w:b w:val="1"/>
                <w:bCs w:val="1"/>
                <w:color w:val="auto"/>
              </w:rPr>
              <w:t>June 30, 2019</w:t>
            </w:r>
          </w:p>
        </w:tc>
        <w:tc>
          <w:tcPr>
            <w:tcW w:w="1620" w:type="dxa"/>
            <w:vAlign w:val="bottom"/>
            <w:gridSpan w:val="2"/>
          </w:tcPr>
          <w:p>
            <w:pPr>
              <w:ind w:left="420"/>
              <w:spacing w:after="0"/>
              <w:rPr>
                <w:sz w:val="20"/>
                <w:szCs w:val="20"/>
                <w:color w:val="auto"/>
              </w:rPr>
            </w:pPr>
            <w:r>
              <w:rPr>
                <w:rFonts w:ascii="Arial" w:cs="Arial" w:eastAsia="Arial" w:hAnsi="Arial"/>
                <w:sz w:val="10"/>
                <w:szCs w:val="10"/>
                <w:b w:val="1"/>
                <w:bCs w:val="1"/>
                <w:color w:val="auto"/>
              </w:rPr>
              <w:t>June 30, 2018</w:t>
            </w:r>
          </w:p>
        </w:tc>
        <w:tc>
          <w:tcPr>
            <w:tcW w:w="1980" w:type="dxa"/>
            <w:vAlign w:val="bottom"/>
            <w:gridSpan w:val="3"/>
          </w:tcPr>
          <w:p>
            <w:pPr>
              <w:ind w:left="420"/>
              <w:spacing w:after="0"/>
              <w:rPr>
                <w:sz w:val="20"/>
                <w:szCs w:val="20"/>
                <w:color w:val="auto"/>
              </w:rPr>
            </w:pPr>
            <w:r>
              <w:rPr>
                <w:rFonts w:ascii="Arial" w:cs="Arial" w:eastAsia="Arial" w:hAnsi="Arial"/>
                <w:sz w:val="10"/>
                <w:szCs w:val="10"/>
                <w:b w:val="1"/>
                <w:bCs w:val="1"/>
                <w:color w:val="auto"/>
              </w:rPr>
              <w:t>June 30, 2019</w:t>
            </w:r>
          </w:p>
        </w:tc>
        <w:tc>
          <w:tcPr>
            <w:tcW w:w="1080" w:type="dxa"/>
            <w:vAlign w:val="bottom"/>
          </w:tcPr>
          <w:p>
            <w:pPr>
              <w:jc w:val="right"/>
              <w:ind w:right="336"/>
              <w:spacing w:after="0"/>
              <w:rPr>
                <w:sz w:val="20"/>
                <w:szCs w:val="20"/>
                <w:color w:val="auto"/>
              </w:rPr>
            </w:pPr>
            <w:r>
              <w:rPr>
                <w:rFonts w:ascii="Arial" w:cs="Arial" w:eastAsia="Arial" w:hAnsi="Arial"/>
                <w:sz w:val="10"/>
                <w:szCs w:val="10"/>
                <w:b w:val="1"/>
                <w:bCs w:val="1"/>
                <w:color w:val="auto"/>
              </w:rPr>
              <w:t>June 30, 2018</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Chevrolet – Cars</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247</w:t>
            </w: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Chevrolet – Trucks</w:t>
            </w:r>
          </w:p>
        </w:tc>
        <w:tc>
          <w:tcPr>
            <w:tcW w:w="1500" w:type="dxa"/>
            <w:vAlign w:val="bottom"/>
          </w:tcPr>
          <w:p>
            <w:pPr>
              <w:jc w:val="right"/>
              <w:ind w:right="57"/>
              <w:spacing w:after="0"/>
              <w:rPr>
                <w:sz w:val="20"/>
                <w:szCs w:val="20"/>
                <w:color w:val="auto"/>
              </w:rPr>
            </w:pPr>
            <w:r>
              <w:rPr>
                <w:rFonts w:ascii="Arial" w:cs="Arial" w:eastAsia="Arial" w:hAnsi="Arial"/>
                <w:sz w:val="13"/>
                <w:szCs w:val="13"/>
                <w:color w:val="auto"/>
              </w:rPr>
              <w:t>248</w:t>
            </w:r>
          </w:p>
        </w:tc>
        <w:tc>
          <w:tcPr>
            <w:tcW w:w="120" w:type="dxa"/>
            <w:vAlign w:val="bottom"/>
          </w:tcPr>
          <w:p>
            <w:pPr>
              <w:spacing w:after="0"/>
              <w:rPr>
                <w:sz w:val="18"/>
                <w:szCs w:val="18"/>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261</w:t>
            </w:r>
          </w:p>
        </w:tc>
        <w:tc>
          <w:tcPr>
            <w:tcW w:w="120" w:type="dxa"/>
            <w:vAlign w:val="bottom"/>
          </w:tcPr>
          <w:p>
            <w:pPr>
              <w:spacing w:after="0"/>
              <w:rPr>
                <w:sz w:val="18"/>
                <w:szCs w:val="18"/>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446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484</w:t>
            </w: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Chevrolet – Crossovers</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288</w:t>
            </w: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Cadillac</w:t>
            </w:r>
          </w:p>
        </w:tc>
        <w:tc>
          <w:tcPr>
            <w:tcW w:w="1500" w:type="dxa"/>
            <w:vAlign w:val="bottom"/>
          </w:tcPr>
          <w:p>
            <w:pPr>
              <w:jc w:val="right"/>
              <w:ind w:right="57"/>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8"/>
                <w:szCs w:val="18"/>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8"/>
                <w:szCs w:val="18"/>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76</w:t>
            </w: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Buick</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110</w:t>
            </w:r>
          </w:p>
        </w:tc>
      </w:tr>
      <w:tr>
        <w:trPr>
          <w:trHeight w:val="208"/>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GMC</w:t>
            </w:r>
          </w:p>
        </w:tc>
        <w:tc>
          <w:tcPr>
            <w:tcW w:w="1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153</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138</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269</w:t>
            </w:r>
          </w:p>
        </w:tc>
      </w:tr>
      <w:tr>
        <w:trPr>
          <w:trHeight w:val="20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United States</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747</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758</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1,412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1,474</w:t>
            </w: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129</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154</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265</w:t>
            </w:r>
          </w:p>
        </w:tc>
      </w:tr>
      <w:tr>
        <w:trPr>
          <w:trHeight w:val="20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North America</w:t>
            </w:r>
          </w:p>
        </w:tc>
        <w:tc>
          <w:tcPr>
            <w:tcW w:w="15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876</w:t>
            </w:r>
          </w:p>
        </w:tc>
        <w:tc>
          <w:tcPr>
            <w:tcW w:w="12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912</w:t>
            </w:r>
          </w:p>
        </w:tc>
        <w:tc>
          <w:tcPr>
            <w:tcW w:w="12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1,651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1,739</w:t>
            </w:r>
          </w:p>
        </w:tc>
      </w:tr>
      <w:tr>
        <w:trPr>
          <w:trHeight w:val="198"/>
        </w:trPr>
        <w:tc>
          <w:tcPr>
            <w:tcW w:w="5160" w:type="dxa"/>
            <w:vAlign w:val="bottom"/>
          </w:tcPr>
          <w:p>
            <w:pPr>
              <w:ind w:left="20"/>
              <w:spacing w:after="0"/>
              <w:rPr>
                <w:sz w:val="20"/>
                <w:szCs w:val="20"/>
                <w:color w:val="auto"/>
              </w:rPr>
            </w:pPr>
            <w:r>
              <w:rPr>
                <w:rFonts w:ascii="Arial" w:cs="Arial" w:eastAsia="Arial" w:hAnsi="Arial"/>
                <w:sz w:val="13"/>
                <w:szCs w:val="13"/>
                <w:color w:val="auto"/>
              </w:rPr>
              <w:t>Asia/Pacific, Middle East and Africa</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Chevrolet</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447</w:t>
            </w: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Wuling</w:t>
            </w:r>
          </w:p>
        </w:tc>
        <w:tc>
          <w:tcPr>
            <w:tcW w:w="1500" w:type="dxa"/>
            <w:vAlign w:val="bottom"/>
          </w:tcPr>
          <w:p>
            <w:pPr>
              <w:jc w:val="right"/>
              <w:ind w:right="57"/>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18"/>
                <w:szCs w:val="18"/>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252</w:t>
            </w:r>
          </w:p>
        </w:tc>
        <w:tc>
          <w:tcPr>
            <w:tcW w:w="120" w:type="dxa"/>
            <w:vAlign w:val="bottom"/>
          </w:tcPr>
          <w:p>
            <w:pPr>
              <w:spacing w:after="0"/>
              <w:rPr>
                <w:sz w:val="18"/>
                <w:szCs w:val="18"/>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517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541</w:t>
            </w: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Buick</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502</w:t>
            </w: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Baojun</w:t>
            </w:r>
          </w:p>
        </w:tc>
        <w:tc>
          <w:tcPr>
            <w:tcW w:w="1500" w:type="dxa"/>
            <w:vAlign w:val="bottom"/>
          </w:tcPr>
          <w:p>
            <w:pPr>
              <w:jc w:val="right"/>
              <w:ind w:right="57"/>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18"/>
                <w:szCs w:val="18"/>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18"/>
                <w:szCs w:val="18"/>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443</w:t>
            </w: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Cadillac</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108</w:t>
            </w:r>
          </w:p>
        </w:tc>
      </w:tr>
      <w:tr>
        <w:trPr>
          <w:trHeight w:val="208"/>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w:t>
            </w:r>
          </w:p>
        </w:tc>
        <w:tc>
          <w:tcPr>
            <w:tcW w:w="1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27</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51</w:t>
            </w:r>
          </w:p>
        </w:tc>
      </w:tr>
      <w:tr>
        <w:trPr>
          <w:trHeight w:val="20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Asia/Pacific, Middle East and Africa</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900</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989</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1,847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2,092</w:t>
            </w: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163</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164</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331</w:t>
            </w: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1,939</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2,065</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3,816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4,162</w:t>
            </w: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Europe</w:t>
            </w:r>
          </w:p>
        </w:tc>
        <w:tc>
          <w:tcPr>
            <w:tcW w:w="1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w:t>
            </w:r>
          </w:p>
        </w:tc>
      </w:tr>
      <w:tr>
        <w:trPr>
          <w:trHeight w:val="19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5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1,940</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2,066</w:t>
            </w: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3,818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4,164</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_______</w:t>
      </w:r>
    </w:p>
    <w:p>
      <w:pPr>
        <w:spacing w:after="0" w:line="3"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color w:val="auto"/>
        </w:rPr>
        <w:t>(a)</w:t>
        <w:tab/>
        <w:t>Primarily Chevrolet.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60"/>
          </w:cols>
          <w:pgMar w:left="220" w:top="470" w:right="2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6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20" w:type="dxa"/>
            <w:vAlign w:val="bottom"/>
            <w:tcBorders>
              <w:bottom w:val="single" w:sz="8" w:color="auto"/>
            </w:tcBorders>
            <w:gridSpan w:val="6"/>
          </w:tcPr>
          <w:p>
            <w:pPr>
              <w:ind w:left="1080"/>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gridSpan w:val="2"/>
          </w:tcPr>
          <w:p>
            <w:pPr>
              <w:spacing w:after="0"/>
              <w:rPr>
                <w:sz w:val="12"/>
                <w:szCs w:val="12"/>
                <w:color w:val="auto"/>
              </w:rPr>
            </w:pPr>
          </w:p>
        </w:tc>
        <w:tc>
          <w:tcPr>
            <w:tcW w:w="1980" w:type="dxa"/>
            <w:vAlign w:val="bottom"/>
            <w:tcBorders>
              <w:bottom w:val="single" w:sz="8" w:color="auto"/>
            </w:tcBorders>
            <w:gridSpan w:val="5"/>
          </w:tcPr>
          <w:p>
            <w:pPr>
              <w:ind w:left="1100"/>
              <w:spacing w:after="0"/>
              <w:rPr>
                <w:sz w:val="20"/>
                <w:szCs w:val="20"/>
                <w:color w:val="auto"/>
              </w:rPr>
            </w:pPr>
            <w:r>
              <w:rPr>
                <w:rFonts w:ascii="Arial" w:cs="Arial" w:eastAsia="Arial" w:hAnsi="Arial"/>
                <w:sz w:val="10"/>
                <w:szCs w:val="10"/>
                <w:b w:val="1"/>
                <w:bCs w:val="1"/>
                <w:color w:val="auto"/>
                <w:w w:val="99"/>
              </w:rPr>
              <w:t>Six Months Ended</w:t>
            </w:r>
          </w:p>
        </w:tc>
        <w:tc>
          <w:tcPr>
            <w:tcW w:w="1080" w:type="dxa"/>
            <w:vAlign w:val="bottom"/>
            <w:tcBorders>
              <w:bottom w:val="single" w:sz="8" w:color="auto"/>
            </w:tcBorders>
          </w:tcPr>
          <w:p>
            <w:pPr>
              <w:spacing w:after="0"/>
              <w:rPr>
                <w:sz w:val="12"/>
                <w:szCs w:val="12"/>
                <w:color w:val="auto"/>
              </w:rPr>
            </w:pPr>
          </w:p>
        </w:tc>
      </w:tr>
      <w:tr>
        <w:trPr>
          <w:trHeight w:val="206"/>
        </w:trPr>
        <w:tc>
          <w:tcPr>
            <w:tcW w:w="5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4"/>
          </w:tcPr>
          <w:p>
            <w:pPr>
              <w:ind w:left="440"/>
              <w:spacing w:after="0"/>
              <w:rPr>
                <w:sz w:val="20"/>
                <w:szCs w:val="20"/>
                <w:color w:val="auto"/>
              </w:rPr>
            </w:pPr>
            <w:r>
              <w:rPr>
                <w:rFonts w:ascii="Arial" w:cs="Arial" w:eastAsia="Arial" w:hAnsi="Arial"/>
                <w:sz w:val="10"/>
                <w:szCs w:val="10"/>
                <w:b w:val="1"/>
                <w:bCs w:val="1"/>
                <w:color w:val="auto"/>
              </w:rPr>
              <w:t>June 30, 2019</w:t>
            </w:r>
          </w:p>
        </w:tc>
        <w:tc>
          <w:tcPr>
            <w:tcW w:w="1620" w:type="dxa"/>
            <w:vAlign w:val="bottom"/>
            <w:gridSpan w:val="4"/>
          </w:tcPr>
          <w:p>
            <w:pPr>
              <w:ind w:left="420"/>
              <w:spacing w:after="0"/>
              <w:rPr>
                <w:sz w:val="20"/>
                <w:szCs w:val="20"/>
                <w:color w:val="auto"/>
              </w:rPr>
            </w:pPr>
            <w:r>
              <w:rPr>
                <w:rFonts w:ascii="Arial" w:cs="Arial" w:eastAsia="Arial" w:hAnsi="Arial"/>
                <w:sz w:val="10"/>
                <w:szCs w:val="10"/>
                <w:b w:val="1"/>
                <w:bCs w:val="1"/>
                <w:color w:val="auto"/>
              </w:rPr>
              <w:t>June 30, 2018</w:t>
            </w:r>
          </w:p>
        </w:tc>
        <w:tc>
          <w:tcPr>
            <w:tcW w:w="1980" w:type="dxa"/>
            <w:vAlign w:val="bottom"/>
            <w:gridSpan w:val="5"/>
          </w:tcPr>
          <w:p>
            <w:pPr>
              <w:ind w:left="420"/>
              <w:spacing w:after="0"/>
              <w:rPr>
                <w:sz w:val="20"/>
                <w:szCs w:val="20"/>
                <w:color w:val="auto"/>
              </w:rPr>
            </w:pPr>
            <w:r>
              <w:rPr>
                <w:rFonts w:ascii="Arial" w:cs="Arial" w:eastAsia="Arial" w:hAnsi="Arial"/>
                <w:sz w:val="10"/>
                <w:szCs w:val="10"/>
                <w:b w:val="1"/>
                <w:bCs w:val="1"/>
                <w:color w:val="auto"/>
              </w:rPr>
              <w:t>June 30, 2019</w:t>
            </w:r>
          </w:p>
        </w:tc>
        <w:tc>
          <w:tcPr>
            <w:tcW w:w="1080" w:type="dxa"/>
            <w:vAlign w:val="bottom"/>
          </w:tcPr>
          <w:p>
            <w:pPr>
              <w:jc w:val="right"/>
              <w:ind w:right="337"/>
              <w:spacing w:after="0"/>
              <w:rPr>
                <w:sz w:val="20"/>
                <w:szCs w:val="20"/>
                <w:color w:val="auto"/>
              </w:rPr>
            </w:pPr>
            <w:r>
              <w:rPr>
                <w:rFonts w:ascii="Arial" w:cs="Arial" w:eastAsia="Arial" w:hAnsi="Arial"/>
                <w:sz w:val="10"/>
                <w:szCs w:val="10"/>
                <w:b w:val="1"/>
                <w:bCs w:val="1"/>
                <w:color w:val="auto"/>
              </w:rPr>
              <w:t>June 30, 2018</w:t>
            </w:r>
          </w:p>
        </w:tc>
      </w:tr>
      <w:tr>
        <w:trPr>
          <w:trHeight w:val="191"/>
        </w:trPr>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14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372</w:t>
            </w: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754</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868</w:t>
            </w:r>
          </w:p>
        </w:tc>
      </w:tr>
      <w:tr>
        <w:trPr>
          <w:trHeight w:val="174"/>
        </w:trPr>
        <w:tc>
          <w:tcPr>
            <w:tcW w:w="5160" w:type="dxa"/>
            <w:vAlign w:val="bottom"/>
            <w:gridSpan w:val="2"/>
          </w:tcPr>
          <w:p>
            <w:pPr>
              <w:ind w:left="20"/>
              <w:spacing w:after="0"/>
              <w:rPr>
                <w:sz w:val="20"/>
                <w:szCs w:val="20"/>
                <w:color w:val="auto"/>
              </w:rPr>
            </w:pPr>
            <w:r>
              <w:rPr>
                <w:rFonts w:ascii="Arial" w:cs="Arial" w:eastAsia="Arial" w:hAnsi="Arial"/>
                <w:sz w:val="13"/>
                <w:szCs w:val="13"/>
                <w:color w:val="auto"/>
              </w:rPr>
              <w:t>SAIC GM Wuling Automobile Co., Ltd. and FAW-GM Light Duty Commercial Vehicle Co.,</w:t>
            </w: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55"/>
        </w:trPr>
        <w:tc>
          <w:tcPr>
            <w:tcW w:w="5160" w:type="dxa"/>
            <w:vAlign w:val="bottom"/>
            <w:gridSpan w:val="2"/>
          </w:tcPr>
          <w:p>
            <w:pPr>
              <w:ind w:left="160"/>
              <w:spacing w:after="0"/>
              <w:rPr>
                <w:sz w:val="20"/>
                <w:szCs w:val="20"/>
                <w:color w:val="auto"/>
              </w:rPr>
            </w:pPr>
            <w:r>
              <w:rPr>
                <w:rFonts w:ascii="Arial" w:cs="Arial" w:eastAsia="Arial" w:hAnsi="Arial"/>
                <w:sz w:val="13"/>
                <w:szCs w:val="13"/>
                <w:color w:val="auto"/>
              </w:rPr>
              <w:t>Ltd.</w:t>
            </w:r>
          </w:p>
        </w:tc>
        <w:tc>
          <w:tcPr>
            <w:tcW w:w="1460" w:type="dxa"/>
            <w:vAlign w:val="bottom"/>
          </w:tcPr>
          <w:p>
            <w:pPr>
              <w:jc w:val="right"/>
              <w:ind w:right="19"/>
              <w:spacing w:after="0"/>
              <w:rPr>
                <w:sz w:val="20"/>
                <w:szCs w:val="20"/>
                <w:color w:val="auto"/>
              </w:rPr>
            </w:pPr>
            <w:r>
              <w:rPr>
                <w:rFonts w:ascii="Arial" w:cs="Arial" w:eastAsia="Arial" w:hAnsi="Arial"/>
                <w:sz w:val="13"/>
                <w:szCs w:val="13"/>
                <w:color w:val="auto"/>
              </w:rPr>
              <w:t>382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447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jc w:val="right"/>
              <w:ind w:right="19"/>
              <w:spacing w:after="0"/>
              <w:rPr>
                <w:sz w:val="20"/>
                <w:szCs w:val="20"/>
                <w:color w:val="auto"/>
              </w:rPr>
            </w:pPr>
            <w:r>
              <w:rPr>
                <w:rFonts w:ascii="Arial" w:cs="Arial" w:eastAsia="Arial" w:hAnsi="Arial"/>
                <w:sz w:val="13"/>
                <w:szCs w:val="13"/>
                <w:color w:val="auto"/>
              </w:rPr>
              <w:t>814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976</w:t>
            </w:r>
          </w:p>
        </w:tc>
      </w:tr>
      <w:tr>
        <w:trPr>
          <w:trHeight w:val="505"/>
        </w:trPr>
        <w:tc>
          <w:tcPr>
            <w:tcW w:w="5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right"/>
              <w:ind w:right="977"/>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1080"/>
              <w:spacing w:after="0"/>
              <w:rPr>
                <w:sz w:val="20"/>
                <w:szCs w:val="20"/>
                <w:color w:val="auto"/>
              </w:rPr>
            </w:pPr>
            <w:r>
              <w:rPr>
                <w:rFonts w:ascii="Arial" w:cs="Arial" w:eastAsia="Arial" w:hAnsi="Arial"/>
                <w:sz w:val="10"/>
                <w:szCs w:val="10"/>
                <w:b w:val="1"/>
                <w:bCs w:val="1"/>
                <w:color w:val="auto"/>
              </w:rPr>
              <w:t>Six Months Ended</w:t>
            </w:r>
          </w:p>
        </w:tc>
        <w:tc>
          <w:tcPr>
            <w:tcW w:w="1080" w:type="dxa"/>
            <w:vAlign w:val="bottom"/>
            <w:tcBorders>
              <w:bottom w:val="single" w:sz="8" w:color="auto"/>
            </w:tcBorders>
          </w:tcPr>
          <w:p>
            <w:pPr>
              <w:spacing w:after="0"/>
              <w:rPr>
                <w:sz w:val="24"/>
                <w:szCs w:val="24"/>
                <w:color w:val="auto"/>
              </w:rPr>
            </w:pPr>
          </w:p>
        </w:tc>
      </w:tr>
      <w:tr>
        <w:trPr>
          <w:trHeight w:val="206"/>
        </w:trPr>
        <w:tc>
          <w:tcPr>
            <w:tcW w:w="5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79"/>
              <w:spacing w:after="0"/>
              <w:rPr>
                <w:sz w:val="20"/>
                <w:szCs w:val="20"/>
                <w:color w:val="auto"/>
              </w:rPr>
            </w:pPr>
            <w:r>
              <w:rPr>
                <w:rFonts w:ascii="Arial" w:cs="Arial" w:eastAsia="Arial" w:hAnsi="Arial"/>
                <w:sz w:val="10"/>
                <w:szCs w:val="10"/>
                <w:b w:val="1"/>
                <w:bCs w:val="1"/>
                <w:color w:val="auto"/>
              </w:rPr>
              <w:t>June 30, 2019</w:t>
            </w:r>
          </w:p>
        </w:tc>
        <w:tc>
          <w:tcPr>
            <w:tcW w:w="100" w:type="dxa"/>
            <w:vAlign w:val="bottom"/>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57"/>
              <w:spacing w:after="0"/>
              <w:rPr>
                <w:sz w:val="20"/>
                <w:szCs w:val="20"/>
                <w:color w:val="auto"/>
              </w:rPr>
            </w:pPr>
            <w:r>
              <w:rPr>
                <w:rFonts w:ascii="Arial" w:cs="Arial" w:eastAsia="Arial" w:hAnsi="Arial"/>
                <w:sz w:val="10"/>
                <w:szCs w:val="10"/>
                <w:b w:val="1"/>
                <w:bCs w:val="1"/>
                <w:color w:val="auto"/>
              </w:rPr>
              <w:t>June 30, 2018</w:t>
            </w:r>
          </w:p>
        </w:tc>
        <w:tc>
          <w:tcPr>
            <w:tcW w:w="120" w:type="dxa"/>
            <w:vAlign w:val="bottom"/>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0"/>
                <w:szCs w:val="10"/>
                <w:b w:val="1"/>
                <w:bCs w:val="1"/>
                <w:color w:val="auto"/>
              </w:rPr>
              <w:t>June 30, 2019</w:t>
            </w:r>
          </w:p>
        </w:tc>
        <w:tc>
          <w:tcPr>
            <w:tcW w:w="120" w:type="dxa"/>
            <w:vAlign w:val="bottom"/>
            <w:gridSpan w:val="2"/>
          </w:tcPr>
          <w:p>
            <w:pPr>
              <w:spacing w:after="0"/>
              <w:rPr>
                <w:sz w:val="17"/>
                <w:szCs w:val="17"/>
                <w:color w:val="auto"/>
              </w:rPr>
            </w:pPr>
          </w:p>
        </w:tc>
        <w:tc>
          <w:tcPr>
            <w:tcW w:w="420" w:type="dxa"/>
            <w:vAlign w:val="bottom"/>
            <w:tcBorders>
              <w:bottom w:val="single" w:sz="8" w:color="auto"/>
            </w:tcBorders>
            <w:gridSpan w:val="2"/>
          </w:tcPr>
          <w:p>
            <w:pPr>
              <w:spacing w:after="0"/>
              <w:rPr>
                <w:sz w:val="17"/>
                <w:szCs w:val="17"/>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0"/>
                <w:szCs w:val="10"/>
                <w:b w:val="1"/>
                <w:bCs w:val="1"/>
                <w:color w:val="auto"/>
                <w:w w:val="98"/>
              </w:rPr>
              <w:t>June 30, 2018</w:t>
            </w:r>
          </w:p>
        </w:tc>
      </w:tr>
      <w:tr>
        <w:trPr>
          <w:trHeight w:val="205"/>
        </w:trPr>
        <w:tc>
          <w:tcPr>
            <w:tcW w:w="5160" w:type="dxa"/>
            <w:vAlign w:val="bottom"/>
            <w:gridSpan w:val="2"/>
          </w:tcPr>
          <w:p>
            <w:pPr>
              <w:ind w:left="20"/>
              <w:spacing w:after="0"/>
              <w:rPr>
                <w:sz w:val="20"/>
                <w:szCs w:val="20"/>
                <w:color w:val="auto"/>
              </w:rPr>
            </w:pPr>
            <w:r>
              <w:rPr>
                <w:rFonts w:ascii="Arial" w:cs="Arial" w:eastAsia="Arial" w:hAnsi="Arial"/>
                <w:sz w:val="13"/>
                <w:szCs w:val="13"/>
                <w:color w:val="auto"/>
              </w:rPr>
              <w:t>Market Share</w:t>
            </w: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3"/>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United States – Cars</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r>
      <w:tr>
        <w:trPr>
          <w:trHeight w:val="208"/>
        </w:trPr>
        <w:tc>
          <w:tcPr>
            <w:tcW w:w="5160" w:type="dxa"/>
            <w:vAlign w:val="bottom"/>
            <w:gridSpan w:val="2"/>
          </w:tcPr>
          <w:p>
            <w:pPr>
              <w:ind w:left="160"/>
              <w:spacing w:after="0"/>
              <w:rPr>
                <w:sz w:val="20"/>
                <w:szCs w:val="20"/>
                <w:color w:val="auto"/>
              </w:rPr>
            </w:pPr>
            <w:r>
              <w:rPr>
                <w:rFonts w:ascii="Arial" w:cs="Arial" w:eastAsia="Arial" w:hAnsi="Arial"/>
                <w:sz w:val="13"/>
                <w:szCs w:val="13"/>
                <w:color w:val="auto"/>
              </w:rPr>
              <w:t>United States – Trucks(a)</w:t>
            </w:r>
          </w:p>
        </w:tc>
        <w:tc>
          <w:tcPr>
            <w:tcW w:w="1460" w:type="dxa"/>
            <w:vAlign w:val="bottom"/>
          </w:tcPr>
          <w:p>
            <w:pPr>
              <w:jc w:val="right"/>
              <w:spacing w:after="0"/>
              <w:rPr>
                <w:sz w:val="20"/>
                <w:szCs w:val="20"/>
                <w:color w:val="auto"/>
              </w:rPr>
            </w:pPr>
            <w:r>
              <w:rPr>
                <w:rFonts w:ascii="Arial" w:cs="Arial" w:eastAsia="Arial" w:hAnsi="Arial"/>
                <w:sz w:val="13"/>
                <w:szCs w:val="13"/>
                <w:color w:val="auto"/>
              </w:rPr>
              <w:t>30.1%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33.6%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32.8%</w:t>
            </w:r>
          </w:p>
        </w:tc>
      </w:tr>
      <w:tr>
        <w:trPr>
          <w:trHeight w:val="223"/>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United States – Crossovers(a)</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r>
      <w:tr>
        <w:trPr>
          <w:trHeight w:val="186"/>
        </w:trPr>
        <w:tc>
          <w:tcPr>
            <w:tcW w:w="5160" w:type="dxa"/>
            <w:vAlign w:val="bottom"/>
            <w:gridSpan w:val="2"/>
          </w:tcPr>
          <w:p>
            <w:pPr>
              <w:ind w:left="160"/>
              <w:spacing w:after="0"/>
              <w:rPr>
                <w:sz w:val="20"/>
                <w:szCs w:val="20"/>
                <w:color w:val="auto"/>
              </w:rPr>
            </w:pPr>
            <w:r>
              <w:rPr>
                <w:rFonts w:ascii="Arial" w:cs="Arial" w:eastAsia="Arial" w:hAnsi="Arial"/>
                <w:sz w:val="13"/>
                <w:szCs w:val="13"/>
                <w:color w:val="auto"/>
              </w:rPr>
              <w:t>Total United States</w:t>
            </w:r>
          </w:p>
        </w:tc>
        <w:tc>
          <w:tcPr>
            <w:tcW w:w="1460" w:type="dxa"/>
            <w:vAlign w:val="bottom"/>
          </w:tcPr>
          <w:p>
            <w:pPr>
              <w:jc w:val="right"/>
              <w:spacing w:after="0"/>
              <w:rPr>
                <w:sz w:val="20"/>
                <w:szCs w:val="20"/>
                <w:color w:val="auto"/>
              </w:rPr>
            </w:pPr>
            <w:r>
              <w:rPr>
                <w:rFonts w:ascii="Arial" w:cs="Arial" w:eastAsia="Arial" w:hAnsi="Arial"/>
                <w:sz w:val="13"/>
                <w:szCs w:val="13"/>
                <w:color w:val="auto"/>
              </w:rPr>
              <w:t>16.3%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16.5%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16.3%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16.7%</w:t>
            </w:r>
          </w:p>
        </w:tc>
      </w:tr>
      <w:tr>
        <w:trPr>
          <w:trHeight w:val="202"/>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Total North America</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r>
      <w:tr>
        <w:trPr>
          <w:trHeight w:val="186"/>
        </w:trPr>
        <w:tc>
          <w:tcPr>
            <w:tcW w:w="5160" w:type="dxa"/>
            <w:vAlign w:val="bottom"/>
            <w:gridSpan w:val="2"/>
          </w:tcPr>
          <w:p>
            <w:pPr>
              <w:ind w:left="160"/>
              <w:spacing w:after="0"/>
              <w:rPr>
                <w:sz w:val="20"/>
                <w:szCs w:val="20"/>
                <w:color w:val="auto"/>
              </w:rPr>
            </w:pPr>
            <w:r>
              <w:rPr>
                <w:rFonts w:ascii="Arial" w:cs="Arial" w:eastAsia="Arial" w:hAnsi="Arial"/>
                <w:sz w:val="13"/>
                <w:szCs w:val="13"/>
                <w:color w:val="auto"/>
              </w:rPr>
              <w:t>Total Asia/Pacific, Middle East and Africa</w:t>
            </w:r>
          </w:p>
        </w:tc>
        <w:tc>
          <w:tcPr>
            <w:tcW w:w="1460" w:type="dxa"/>
            <w:vAlign w:val="bottom"/>
          </w:tcPr>
          <w:p>
            <w:pPr>
              <w:jc w:val="right"/>
              <w:spacing w:after="0"/>
              <w:rPr>
                <w:sz w:val="20"/>
                <w:szCs w:val="20"/>
                <w:color w:val="auto"/>
              </w:rPr>
            </w:pPr>
            <w:r>
              <w:rPr>
                <w:rFonts w:ascii="Arial" w:cs="Arial" w:eastAsia="Arial" w:hAnsi="Arial"/>
                <w:sz w:val="13"/>
                <w:szCs w:val="13"/>
                <w:color w:val="auto"/>
              </w:rPr>
              <w:t>7.8%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202"/>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Total South America</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186"/>
        </w:trPr>
        <w:tc>
          <w:tcPr>
            <w:tcW w:w="5160" w:type="dxa"/>
            <w:vAlign w:val="bottom"/>
            <w:gridSpan w:val="2"/>
          </w:tcPr>
          <w:p>
            <w:pPr>
              <w:ind w:left="20"/>
              <w:spacing w:after="0"/>
              <w:rPr>
                <w:sz w:val="20"/>
                <w:szCs w:val="20"/>
                <w:color w:val="auto"/>
              </w:rPr>
            </w:pPr>
            <w:r>
              <w:rPr>
                <w:rFonts w:ascii="Arial" w:cs="Arial" w:eastAsia="Arial" w:hAnsi="Arial"/>
                <w:sz w:val="13"/>
                <w:szCs w:val="13"/>
                <w:color w:val="auto"/>
              </w:rPr>
              <w:t>Total GM Market</w:t>
            </w:r>
          </w:p>
        </w:tc>
        <w:tc>
          <w:tcPr>
            <w:tcW w:w="1460" w:type="dxa"/>
            <w:vAlign w:val="bottom"/>
          </w:tcPr>
          <w:p>
            <w:pPr>
              <w:jc w:val="right"/>
              <w:spacing w:after="0"/>
              <w:rPr>
                <w:sz w:val="20"/>
                <w:szCs w:val="20"/>
                <w:color w:val="auto"/>
              </w:rPr>
            </w:pPr>
            <w:r>
              <w:rPr>
                <w:rFonts w:ascii="Arial" w:cs="Arial" w:eastAsia="Arial" w:hAnsi="Arial"/>
                <w:sz w:val="13"/>
                <w:szCs w:val="13"/>
                <w:color w:val="auto"/>
              </w:rPr>
              <w:t>10.7%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11.1%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11.3%</w:t>
            </w:r>
          </w:p>
        </w:tc>
      </w:tr>
      <w:tr>
        <w:trPr>
          <w:trHeight w:val="202"/>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r>
      <w:tr>
        <w:trPr>
          <w:trHeight w:val="129"/>
        </w:trPr>
        <w:tc>
          <w:tcPr>
            <w:tcW w:w="5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United States fleet sales as a percentage of retail vehicle sales</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r>
      <w:tr>
        <w:trPr>
          <w:trHeight w:val="129"/>
        </w:trPr>
        <w:tc>
          <w:tcPr>
            <w:tcW w:w="5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North America capacity two shift utilization</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100.9%</w:t>
            </w:r>
          </w:p>
        </w:tc>
      </w:tr>
      <w:tr>
        <w:trPr>
          <w:trHeight w:val="133"/>
        </w:trPr>
        <w:tc>
          <w:tcPr>
            <w:tcW w:w="5100" w:type="dxa"/>
            <w:vAlign w:val="bottom"/>
          </w:tcPr>
          <w:p>
            <w:pPr>
              <w:spacing w:after="0"/>
              <w:rPr>
                <w:sz w:val="20"/>
                <w:szCs w:val="20"/>
                <w:color w:val="auto"/>
              </w:rPr>
            </w:pPr>
            <w:r>
              <w:rPr>
                <w:rFonts w:ascii="Arial" w:cs="Arial" w:eastAsia="Arial" w:hAnsi="Arial"/>
                <w:sz w:val="11"/>
                <w:szCs w:val="11"/>
                <w:color w:val="auto"/>
              </w:rPr>
              <w:t>________</w:t>
            </w: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r>
    </w:tbl>
    <w:p>
      <w:pPr>
        <w:ind w:left="260" w:hanging="254"/>
        <w:spacing w:after="0"/>
        <w:tabs>
          <w:tab w:leader="none" w:pos="260" w:val="left"/>
        </w:tabs>
        <w:numPr>
          <w:ilvl w:val="0"/>
          <w:numId w:val="9"/>
        </w:numPr>
        <w:rPr>
          <w:rFonts w:ascii="Arial" w:cs="Arial" w:eastAsia="Arial" w:hAnsi="Arial"/>
          <w:sz w:val="11"/>
          <w:szCs w:val="11"/>
          <w:color w:val="auto"/>
        </w:rPr>
      </w:pPr>
      <w:r>
        <w:rPr>
          <w:rFonts w:ascii="Arial" w:cs="Arial" w:eastAsia="Arial" w:hAnsi="Arial"/>
          <w:sz w:val="11"/>
          <w:szCs w:val="11"/>
          <w:color w:val="auto"/>
        </w:rPr>
        <w:t>Certain industry vehicles have been reclassified between these vehicle segments. GM vehicles were not impacted by this change. The prior period has been recast to reflect the changes.</w:t>
      </w:r>
    </w:p>
    <w:p>
      <w:pPr>
        <w:spacing w:after="0" w:line="200" w:lineRule="exact"/>
        <w:rPr>
          <w:rFonts w:ascii="Arial" w:cs="Arial" w:eastAsia="Arial" w:hAnsi="Arial"/>
          <w:sz w:val="11"/>
          <w:szCs w:val="11"/>
          <w:color w:val="auto"/>
        </w:rPr>
      </w:pPr>
    </w:p>
    <w:p>
      <w:pPr>
        <w:spacing w:after="0" w:line="296" w:lineRule="exact"/>
        <w:rPr>
          <w:rFonts w:ascii="Arial" w:cs="Arial" w:eastAsia="Arial" w:hAnsi="Arial"/>
          <w:sz w:val="11"/>
          <w:szCs w:val="11"/>
          <w:color w:val="auto"/>
        </w:rPr>
      </w:pPr>
    </w:p>
    <w:p>
      <w:pPr>
        <w:ind w:left="5700"/>
        <w:spacing w:after="0"/>
        <w:rPr>
          <w:rFonts w:ascii="Arial" w:cs="Arial" w:eastAsia="Arial" w:hAnsi="Arial"/>
          <w:sz w:val="11"/>
          <w:szCs w:val="11"/>
          <w:color w:val="auto"/>
        </w:rPr>
      </w:pPr>
      <w:r>
        <w:rPr>
          <w:rFonts w:ascii="Arial" w:cs="Arial" w:eastAsia="Arial" w:hAnsi="Arial"/>
          <w:sz w:val="13"/>
          <w:szCs w:val="13"/>
          <w:color w:val="auto"/>
        </w:rPr>
        <w:t>8</w:t>
      </w:r>
    </w:p>
    <w:p>
      <w:pPr>
        <w:sectPr>
          <w:pgSz w:w="11900" w:h="16838" w:orient="portrait"/>
          <w:cols w:equalWidth="0" w:num="1">
            <w:col w:w="11460"/>
          </w:cols>
          <w:pgMar w:left="220" w:top="470" w:right="2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5"/>
          </w:tcPr>
          <w:p>
            <w:pPr>
              <w:ind w:left="20"/>
              <w:spacing w:after="0"/>
              <w:rPr>
                <w:sz w:val="20"/>
                <w:szCs w:val="20"/>
                <w:color w:val="auto"/>
              </w:rPr>
            </w:pPr>
            <w:r>
              <w:rPr>
                <w:rFonts w:ascii="Arial" w:cs="Arial" w:eastAsia="Arial" w:hAnsi="Arial"/>
                <w:sz w:val="9"/>
                <w:szCs w:val="9"/>
                <w:b w:val="1"/>
                <w:bCs w:val="1"/>
                <w:color w:val="auto"/>
              </w:rPr>
              <w:t>Three Months Ended June 30, 2019</w:t>
            </w: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gridSpan w:val="8"/>
          </w:tcPr>
          <w:p>
            <w:pPr>
              <w:ind w:left="360"/>
              <w:spacing w:after="0"/>
              <w:rPr>
                <w:sz w:val="20"/>
                <w:szCs w:val="20"/>
                <w:color w:val="auto"/>
              </w:rPr>
            </w:pPr>
            <w:r>
              <w:rPr>
                <w:rFonts w:ascii="Arial" w:cs="Arial" w:eastAsia="Arial" w:hAnsi="Arial"/>
                <w:sz w:val="9"/>
                <w:szCs w:val="9"/>
                <w:b w:val="1"/>
                <w:bCs w:val="1"/>
                <w:color w:val="auto"/>
              </w:rPr>
              <w:t>Three Months Ended June 30, 2018</w:t>
            </w: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17"/>
                <w:szCs w:val="17"/>
                <w:color w:val="auto"/>
              </w:rPr>
            </w:pPr>
          </w:p>
        </w:tc>
        <w:tc>
          <w:tcPr>
            <w:tcW w:w="580" w:type="dxa"/>
            <w:vAlign w:val="bottom"/>
          </w:tcPr>
          <w:p>
            <w:pPr>
              <w:jc w:val="right"/>
              <w:ind w:right="86"/>
              <w:spacing w:after="0"/>
              <w:rPr>
                <w:sz w:val="20"/>
                <w:szCs w:val="20"/>
                <w:color w:val="auto"/>
              </w:rPr>
            </w:pPr>
            <w:r>
              <w:rPr>
                <w:rFonts w:ascii="Arial" w:cs="Arial" w:eastAsia="Arial" w:hAnsi="Arial"/>
                <w:sz w:val="9"/>
                <w:szCs w:val="9"/>
                <w:b w:val="1"/>
                <w:bCs w:val="1"/>
                <w:color w:val="auto"/>
                <w:w w:val="93"/>
              </w:rPr>
              <w:t>GM Cruise</w:t>
            </w:r>
          </w:p>
        </w:tc>
        <w:tc>
          <w:tcPr>
            <w:tcW w:w="120" w:type="dxa"/>
            <w:vAlign w:val="bottom"/>
          </w:tcPr>
          <w:p>
            <w:pPr>
              <w:spacing w:after="0"/>
              <w:rPr>
                <w:sz w:val="17"/>
                <w:szCs w:val="17"/>
                <w:color w:val="auto"/>
              </w:rPr>
            </w:pPr>
          </w:p>
        </w:tc>
        <w:tc>
          <w:tcPr>
            <w:tcW w:w="820" w:type="dxa"/>
            <w:vAlign w:val="bottom"/>
            <w:gridSpan w:val="3"/>
          </w:tcPr>
          <w:p>
            <w:pPr>
              <w:ind w:left="80"/>
              <w:spacing w:after="0"/>
              <w:rPr>
                <w:sz w:val="20"/>
                <w:szCs w:val="20"/>
                <w:color w:val="auto"/>
              </w:rPr>
            </w:pPr>
            <w:r>
              <w:rPr>
                <w:rFonts w:ascii="Arial" w:cs="Arial" w:eastAsia="Arial" w:hAnsi="Arial"/>
                <w:sz w:val="9"/>
                <w:szCs w:val="9"/>
                <w:b w:val="1"/>
                <w:bCs w:val="1"/>
                <w:color w:val="auto"/>
              </w:rPr>
              <w:t>GM Financial</w:t>
            </w:r>
          </w:p>
        </w:tc>
        <w:tc>
          <w:tcPr>
            <w:tcW w:w="1420" w:type="dxa"/>
            <w:vAlign w:val="bottom"/>
            <w:gridSpan w:val="3"/>
          </w:tcPr>
          <w:p>
            <w:pPr>
              <w:ind w:left="40"/>
              <w:spacing w:after="0"/>
              <w:rPr>
                <w:sz w:val="20"/>
                <w:szCs w:val="20"/>
                <w:color w:val="auto"/>
              </w:rPr>
            </w:pPr>
            <w:r>
              <w:rPr>
                <w:rFonts w:ascii="Arial" w:cs="Arial" w:eastAsia="Arial" w:hAnsi="Arial"/>
                <w:sz w:val="9"/>
                <w:szCs w:val="9"/>
                <w:b w:val="1"/>
                <w:bCs w:val="1"/>
                <w:color w:val="auto"/>
              </w:rPr>
              <w:t>Reclassifications/Eliminations</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Combined</w:t>
            </w:r>
          </w:p>
        </w:tc>
        <w:tc>
          <w:tcPr>
            <w:tcW w:w="1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Automotive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GM Cruise</w:t>
            </w:r>
          </w:p>
        </w:tc>
        <w:tc>
          <w:tcPr>
            <w:tcW w:w="780" w:type="dxa"/>
            <w:vAlign w:val="bottom"/>
            <w:gridSpan w:val="3"/>
          </w:tcPr>
          <w:p>
            <w:pPr>
              <w:ind w:left="60"/>
              <w:spacing w:after="0"/>
              <w:rPr>
                <w:sz w:val="20"/>
                <w:szCs w:val="20"/>
                <w:color w:val="auto"/>
              </w:rPr>
            </w:pPr>
            <w:r>
              <w:rPr>
                <w:rFonts w:ascii="Arial" w:cs="Arial" w:eastAsia="Arial" w:hAnsi="Arial"/>
                <w:sz w:val="9"/>
                <w:szCs w:val="9"/>
                <w:b w:val="1"/>
                <w:bCs w:val="1"/>
                <w:color w:val="auto"/>
              </w:rPr>
              <w:t>GM Financial</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Eliminations</w:t>
            </w:r>
          </w:p>
        </w:tc>
        <w:tc>
          <w:tcPr>
            <w:tcW w:w="120" w:type="dxa"/>
            <w:vAlign w:val="bottom"/>
          </w:tcPr>
          <w:p>
            <w:pPr>
              <w:spacing w:after="0"/>
              <w:rPr>
                <w:sz w:val="17"/>
                <w:szCs w:val="17"/>
                <w:color w:val="auto"/>
              </w:rPr>
            </w:pPr>
          </w:p>
        </w:tc>
        <w:tc>
          <w:tcPr>
            <w:tcW w:w="660" w:type="dxa"/>
            <w:vAlign w:val="bottom"/>
          </w:tcPr>
          <w:p>
            <w:pPr>
              <w:jc w:val="right"/>
              <w:ind w:right="126"/>
              <w:spacing w:after="0"/>
              <w:rPr>
                <w:sz w:val="20"/>
                <w:szCs w:val="20"/>
                <w:color w:val="auto"/>
              </w:rPr>
            </w:pPr>
            <w:r>
              <w:rPr>
                <w:rFonts w:ascii="Arial" w:cs="Arial" w:eastAsia="Arial" w:hAnsi="Arial"/>
                <w:sz w:val="9"/>
                <w:szCs w:val="9"/>
                <w:b w:val="1"/>
                <w:bCs w:val="1"/>
                <w:color w:val="auto"/>
              </w:rPr>
              <w:t>Combined</w:t>
            </w:r>
          </w:p>
        </w:tc>
        <w:tc>
          <w:tcPr>
            <w:tcW w:w="0" w:type="dxa"/>
            <w:vAlign w:val="bottom"/>
          </w:tcPr>
          <w:p>
            <w:pPr>
              <w:spacing w:after="0"/>
              <w:rPr>
                <w:sz w:val="1"/>
                <w:szCs w:val="1"/>
                <w:color w:val="auto"/>
              </w:rPr>
            </w:pPr>
          </w:p>
        </w:tc>
      </w:tr>
      <w:tr>
        <w:trPr>
          <w:trHeight w:val="127"/>
        </w:trPr>
        <w:tc>
          <w:tcPr>
            <w:tcW w:w="2080" w:type="dxa"/>
            <w:vAlign w:val="bottom"/>
          </w:tcPr>
          <w:p>
            <w:pPr>
              <w:ind w:left="20"/>
              <w:spacing w:after="0"/>
              <w:rPr>
                <w:sz w:val="20"/>
                <w:szCs w:val="20"/>
                <w:color w:val="auto"/>
              </w:rPr>
            </w:pPr>
            <w:r>
              <w:rPr>
                <w:rFonts w:ascii="Arial" w:cs="Arial" w:eastAsia="Arial" w:hAnsi="Arial"/>
                <w:sz w:val="10"/>
                <w:szCs w:val="10"/>
                <w:b w:val="1"/>
                <w:bCs w:val="1"/>
                <w:color w:val="auto"/>
              </w:rPr>
              <w:t>Net sales and revenue</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Automotive</w:t>
            </w:r>
          </w:p>
        </w:tc>
        <w:tc>
          <w:tcPr>
            <w:tcW w:w="16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32,425</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30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(25)</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32,425</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33,309</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180" w:type="dxa"/>
            <w:vAlign w:val="bottom"/>
            <w:vMerge w:val="restart"/>
            <w:shd w:val="clear" w:color="auto" w:fill="CCEEFF"/>
          </w:tcPr>
          <w:p>
            <w:pPr>
              <w:jc w:val="right"/>
              <w:ind w:right="50"/>
              <w:spacing w:after="0"/>
              <w:rPr>
                <w:sz w:val="20"/>
                <w:szCs w:val="20"/>
                <w:color w:val="auto"/>
              </w:rPr>
            </w:pPr>
            <w:r>
              <w:rPr>
                <w:rFonts w:ascii="Arial" w:cs="Arial" w:eastAsia="Arial" w:hAnsi="Arial"/>
                <w:sz w:val="11"/>
                <w:szCs w:val="11"/>
                <w:color w:val="auto"/>
                <w:w w:val="97"/>
              </w:rPr>
              <w:t>$</w:t>
            </w: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(34)</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33,275</w:t>
            </w:r>
          </w:p>
        </w:tc>
        <w:tc>
          <w:tcPr>
            <w:tcW w:w="0" w:type="dxa"/>
            <w:vAlign w:val="bottom"/>
          </w:tcPr>
          <w:p>
            <w:pPr>
              <w:spacing w:after="0"/>
              <w:rPr>
                <w:sz w:val="1"/>
                <w:szCs w:val="1"/>
                <w:color w:val="auto"/>
              </w:rPr>
            </w:pPr>
          </w:p>
        </w:tc>
      </w:tr>
      <w:tr>
        <w:trPr>
          <w:trHeight w:val="78"/>
        </w:trPr>
        <w:tc>
          <w:tcPr>
            <w:tcW w:w="20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300" w:type="dxa"/>
            <w:vAlign w:val="bottom"/>
            <w:gridSpan w:val="2"/>
            <w:vMerge w:val="continue"/>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60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80" w:type="dxa"/>
            <w:vAlign w:val="bottom"/>
          </w:tcPr>
          <w:p>
            <w:pPr>
              <w:ind w:left="140"/>
              <w:spacing w:after="0"/>
              <w:rPr>
                <w:sz w:val="20"/>
                <w:szCs w:val="20"/>
                <w:color w:val="auto"/>
              </w:rPr>
            </w:pPr>
            <w:r>
              <w:rPr>
                <w:rFonts w:ascii="Arial" w:cs="Arial" w:eastAsia="Arial" w:hAnsi="Arial"/>
                <w:sz w:val="10"/>
                <w:szCs w:val="10"/>
                <w:color w:val="auto"/>
              </w:rPr>
              <w:t>GM Financial</w:t>
            </w:r>
          </w:p>
        </w:tc>
        <w:tc>
          <w:tcPr>
            <w:tcW w:w="160" w:type="dxa"/>
            <w:vAlign w:val="bottom"/>
          </w:tcPr>
          <w:p>
            <w:pPr>
              <w:spacing w:after="0"/>
              <w:rPr>
                <w:sz w:val="11"/>
                <w:szCs w:val="11"/>
                <w:color w:val="auto"/>
              </w:rPr>
            </w:pPr>
          </w:p>
        </w:tc>
        <w:tc>
          <w:tcPr>
            <w:tcW w:w="7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vMerge w:val="restart"/>
          </w:tcPr>
          <w:p>
            <w:pPr>
              <w:jc w:val="right"/>
              <w:ind w:right="63"/>
              <w:spacing w:after="0"/>
              <w:rPr>
                <w:sz w:val="20"/>
                <w:szCs w:val="20"/>
                <w:color w:val="auto"/>
              </w:rPr>
            </w:pPr>
            <w:r>
              <w:rPr>
                <w:rFonts w:ascii="Arial" w:cs="Arial" w:eastAsia="Arial" w:hAnsi="Arial"/>
                <w:sz w:val="11"/>
                <w:szCs w:val="11"/>
                <w:color w:val="auto"/>
              </w:rPr>
              <w:t>3,639</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vMerge w:val="restart"/>
          </w:tcPr>
          <w:p>
            <w:pPr>
              <w:jc w:val="right"/>
              <w:ind w:right="23"/>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3,635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ind w:left="34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restart"/>
          </w:tcPr>
          <w:p>
            <w:pPr>
              <w:jc w:val="right"/>
              <w:ind w:right="43"/>
              <w:spacing w:after="0"/>
              <w:rPr>
                <w:sz w:val="20"/>
                <w:szCs w:val="20"/>
                <w:color w:val="auto"/>
              </w:rPr>
            </w:pPr>
            <w:r>
              <w:rPr>
                <w:rFonts w:ascii="Arial" w:cs="Arial" w:eastAsia="Arial" w:hAnsi="Arial"/>
                <w:sz w:val="11"/>
                <w:szCs w:val="11"/>
                <w:color w:val="auto"/>
              </w:rPr>
              <w:t>3,488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3,485</w:t>
            </w:r>
          </w:p>
        </w:tc>
        <w:tc>
          <w:tcPr>
            <w:tcW w:w="0" w:type="dxa"/>
            <w:vAlign w:val="bottom"/>
          </w:tcPr>
          <w:p>
            <w:pPr>
              <w:spacing w:after="0"/>
              <w:rPr>
                <w:sz w:val="1"/>
                <w:szCs w:val="1"/>
                <w:color w:val="auto"/>
              </w:rPr>
            </w:pPr>
          </w:p>
        </w:tc>
      </w:tr>
      <w:tr>
        <w:trPr>
          <w:trHeight w:val="73"/>
        </w:trPr>
        <w:tc>
          <w:tcPr>
            <w:tcW w:w="20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Total net sales and revenue</w:t>
            </w: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32,425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3,639</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(29)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36,060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33,309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3,488</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36,760</w:t>
            </w:r>
          </w:p>
        </w:tc>
        <w:tc>
          <w:tcPr>
            <w:tcW w:w="0" w:type="dxa"/>
            <w:vAlign w:val="bottom"/>
          </w:tcPr>
          <w:p>
            <w:pPr>
              <w:spacing w:after="0"/>
              <w:rPr>
                <w:sz w:val="1"/>
                <w:szCs w:val="1"/>
                <w:color w:val="auto"/>
              </w:rPr>
            </w:pPr>
          </w:p>
        </w:tc>
      </w:tr>
      <w:tr>
        <w:trPr>
          <w:trHeight w:val="78"/>
        </w:trPr>
        <w:tc>
          <w:tcPr>
            <w:tcW w:w="20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60960</wp:posOffset>
            </wp:positionV>
            <wp:extent cx="727456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ectPr>
          <w:pgSz w:w="11900" w:h="16838" w:orient="portrait"/>
          <w:cols w:equalWidth="0" w:num="1">
            <w:col w:w="11460"/>
          </w:cols>
          <w:pgMar w:left="220" w:top="470" w:right="219" w:bottom="1440" w:gutter="0" w:footer="0" w:header="0"/>
        </w:sectPr>
      </w:pPr>
    </w:p>
    <w:p>
      <w:pPr>
        <w:spacing w:after="0" w:line="113"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Automotive and other cost of sales</w:t>
      </w:r>
    </w:p>
    <w:p>
      <w:pPr>
        <w:spacing w:after="0" w:line="101" w:lineRule="exact"/>
        <w:rPr>
          <w:sz w:val="20"/>
          <w:szCs w:val="20"/>
          <w:color w:val="auto"/>
        </w:rPr>
      </w:pPr>
    </w:p>
    <w:p>
      <w:pPr>
        <w:ind w:left="260" w:right="140" w:hanging="128"/>
        <w:spacing w:after="0" w:line="238" w:lineRule="auto"/>
        <w:rPr>
          <w:sz w:val="20"/>
          <w:szCs w:val="20"/>
          <w:color w:val="auto"/>
        </w:rPr>
      </w:pPr>
      <w:r>
        <w:rPr>
          <w:rFonts w:ascii="Arial" w:cs="Arial" w:eastAsia="Arial" w:hAnsi="Arial"/>
          <w:sz w:val="10"/>
          <w:szCs w:val="10"/>
          <w:color w:val="auto"/>
        </w:rPr>
        <w:t>GM Financial interest, operating and other expenses</w:t>
      </w:r>
    </w:p>
    <w:p>
      <w:pPr>
        <w:spacing w:after="0" w:line="31" w:lineRule="exact"/>
        <w:rPr>
          <w:sz w:val="20"/>
          <w:szCs w:val="20"/>
          <w:color w:val="auto"/>
        </w:rPr>
      </w:pPr>
    </w:p>
    <w:p>
      <w:pPr>
        <w:ind w:left="260" w:right="160" w:hanging="128"/>
        <w:spacing w:after="0" w:line="238" w:lineRule="auto"/>
        <w:rPr>
          <w:sz w:val="20"/>
          <w:szCs w:val="20"/>
          <w:color w:val="auto"/>
        </w:rPr>
      </w:pPr>
      <w:r>
        <w:rPr>
          <w:rFonts w:ascii="Arial" w:cs="Arial" w:eastAsia="Arial" w:hAnsi="Arial"/>
          <w:sz w:val="10"/>
          <w:szCs w:val="10"/>
          <w:color w:val="auto"/>
        </w:rPr>
        <w:t>Automotive and other selling, general and administrative expense</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Total costs and expenses</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Operating income (loss)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0"/>
          <w:szCs w:val="10"/>
          <w:color w:val="auto"/>
        </w:rPr>
        <w:t>Automotive interest expense</w:t>
      </w:r>
    </w:p>
    <w:p>
      <w:pPr>
        <w:spacing w:after="0" w:line="101" w:lineRule="exact"/>
        <w:rPr>
          <w:sz w:val="20"/>
          <w:szCs w:val="20"/>
          <w:color w:val="auto"/>
        </w:rPr>
      </w:pPr>
    </w:p>
    <w:p>
      <w:pPr>
        <w:ind w:left="160" w:right="340" w:hanging="128"/>
        <w:spacing w:after="0" w:line="238" w:lineRule="auto"/>
        <w:rPr>
          <w:sz w:val="20"/>
          <w:szCs w:val="20"/>
          <w:color w:val="auto"/>
        </w:rPr>
      </w:pPr>
      <w:r>
        <w:rPr>
          <w:rFonts w:ascii="Arial" w:cs="Arial" w:eastAsia="Arial" w:hAnsi="Arial"/>
          <w:sz w:val="10"/>
          <w:szCs w:val="10"/>
          <w:color w:val="auto"/>
        </w:rPr>
        <w:t>Interest income and other non-operating income, net</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1820" w:type="dxa"/>
            <w:vAlign w:val="bottom"/>
          </w:tcPr>
          <w:p>
            <w:pPr>
              <w:spacing w:after="0"/>
              <w:rPr>
                <w:sz w:val="20"/>
                <w:szCs w:val="20"/>
                <w:color w:val="auto"/>
              </w:rPr>
            </w:pPr>
            <w:r>
              <w:rPr>
                <w:rFonts w:ascii="Arial" w:cs="Arial" w:eastAsia="Arial" w:hAnsi="Arial"/>
                <w:sz w:val="10"/>
                <w:szCs w:val="10"/>
                <w:color w:val="auto"/>
              </w:rPr>
              <w:t>Equity income</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0"/>
                <w:szCs w:val="10"/>
                <w:color w:val="auto"/>
              </w:rPr>
              <w:t>Income (loss) before income taxes</w:t>
            </w: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9"/>
        </w:trPr>
        <w:tc>
          <w:tcPr>
            <w:tcW w:w="18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820" w:type="dxa"/>
            <w:vAlign w:val="bottom"/>
          </w:tcPr>
          <w:p>
            <w:pPr>
              <w:spacing w:after="0"/>
              <w:rPr>
                <w:sz w:val="20"/>
                <w:szCs w:val="20"/>
                <w:color w:val="auto"/>
              </w:rPr>
            </w:pPr>
            <w:r>
              <w:rPr>
                <w:rFonts w:ascii="Arial" w:cs="Arial" w:eastAsia="Arial" w:hAnsi="Arial"/>
                <w:sz w:val="10"/>
                <w:szCs w:val="10"/>
                <w:color w:val="auto"/>
              </w:rPr>
              <w:t>Income tax expense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0"/>
                <w:szCs w:val="10"/>
                <w:color w:val="auto"/>
              </w:rPr>
              <w:t>Income from continuing operations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0" w:right="140"/>
        <w:spacing w:after="0" w:line="449" w:lineRule="auto"/>
        <w:rPr>
          <w:sz w:val="20"/>
          <w:szCs w:val="20"/>
          <w:color w:val="auto"/>
        </w:rPr>
      </w:pPr>
      <w:r>
        <w:rPr>
          <w:rFonts w:ascii="Arial" w:cs="Arial" w:eastAsia="Arial" w:hAnsi="Arial"/>
          <w:sz w:val="10"/>
          <w:szCs w:val="10"/>
          <w:color w:val="auto"/>
        </w:rPr>
        <w:t xml:space="preserve">Loss from discontinued operations, net of tax </w:t>
      </w:r>
      <w:r>
        <w:rPr>
          <w:rFonts w:ascii="Arial" w:cs="Arial" w:eastAsia="Arial" w:hAnsi="Arial"/>
          <w:sz w:val="10"/>
          <w:szCs w:val="10"/>
          <w:b w:val="1"/>
          <w:bCs w:val="1"/>
          <w:color w:val="auto"/>
        </w:rPr>
        <w:t>Net income</w:t>
      </w:r>
    </w:p>
    <w:p>
      <w:pPr>
        <w:spacing w:after="0" w:line="1" w:lineRule="exact"/>
        <w:rPr>
          <w:sz w:val="20"/>
          <w:szCs w:val="20"/>
          <w:color w:val="auto"/>
        </w:rPr>
      </w:pPr>
    </w:p>
    <w:p>
      <w:pPr>
        <w:ind w:left="160" w:right="480" w:hanging="128"/>
        <w:spacing w:after="0" w:line="238" w:lineRule="auto"/>
        <w:rPr>
          <w:sz w:val="20"/>
          <w:szCs w:val="20"/>
          <w:color w:val="auto"/>
        </w:rPr>
      </w:pPr>
      <w:r>
        <w:rPr>
          <w:rFonts w:ascii="Arial" w:cs="Arial" w:eastAsia="Arial" w:hAnsi="Arial"/>
          <w:sz w:val="10"/>
          <w:szCs w:val="10"/>
          <w:color w:val="auto"/>
        </w:rPr>
        <w:t>Net loss attributable to noncontrolling interests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Net income attributable to stockholders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jc w:val="right"/>
              <w:ind w:right="183"/>
              <w:spacing w:after="0"/>
              <w:rPr>
                <w:sz w:val="20"/>
                <w:szCs w:val="20"/>
                <w:color w:val="auto"/>
              </w:rPr>
            </w:pPr>
            <w:r>
              <w:rPr>
                <w:rFonts w:ascii="Arial" w:cs="Arial" w:eastAsia="Arial" w:hAnsi="Arial"/>
                <w:sz w:val="11"/>
                <w:szCs w:val="11"/>
                <w:color w:val="auto"/>
                <w:w w:val="94"/>
              </w:rPr>
              <w:t>28,036</w:t>
            </w:r>
          </w:p>
        </w:tc>
        <w:tc>
          <w:tcPr>
            <w:tcW w:w="220" w:type="dxa"/>
            <w:vAlign w:val="bottom"/>
          </w:tcPr>
          <w:p>
            <w:pPr>
              <w:spacing w:after="0"/>
              <w:rPr>
                <w:sz w:val="11"/>
                <w:szCs w:val="11"/>
                <w:color w:val="auto"/>
              </w:rPr>
            </w:pPr>
          </w:p>
        </w:tc>
        <w:tc>
          <w:tcPr>
            <w:tcW w:w="480" w:type="dxa"/>
            <w:vAlign w:val="bottom"/>
          </w:tcPr>
          <w:p>
            <w:pPr>
              <w:jc w:val="right"/>
              <w:ind w:right="63"/>
              <w:spacing w:after="0"/>
              <w:rPr>
                <w:sz w:val="20"/>
                <w:szCs w:val="20"/>
                <w:color w:val="auto"/>
              </w:rPr>
            </w:pPr>
            <w:r>
              <w:rPr>
                <w:rFonts w:ascii="Arial" w:cs="Arial" w:eastAsia="Arial" w:hAnsi="Arial"/>
                <w:sz w:val="11"/>
                <w:szCs w:val="11"/>
                <w:color w:val="auto"/>
              </w:rPr>
              <w:t>292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28,327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29,948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right"/>
              <w:ind w:right="43"/>
              <w:spacing w:after="0"/>
              <w:rPr>
                <w:sz w:val="20"/>
                <w:szCs w:val="20"/>
                <w:color w:val="auto"/>
              </w:rPr>
            </w:pPr>
            <w:r>
              <w:rPr>
                <w:rFonts w:ascii="Arial" w:cs="Arial" w:eastAsia="Arial" w:hAnsi="Arial"/>
                <w:sz w:val="11"/>
                <w:szCs w:val="11"/>
                <w:color w:val="auto"/>
              </w:rPr>
              <w:t>157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30,071</w:t>
            </w:r>
          </w:p>
        </w:tc>
      </w:tr>
      <w:tr>
        <w:trPr>
          <w:trHeight w:val="259"/>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2"/>
                <w:szCs w:val="22"/>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3,145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3,144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2"/>
                <w:szCs w:val="22"/>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2,997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2,996</w:t>
            </w:r>
          </w:p>
        </w:tc>
      </w:tr>
      <w:tr>
        <w:trPr>
          <w:trHeight w:val="263"/>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2,055</w:t>
            </w:r>
          </w:p>
        </w:tc>
        <w:tc>
          <w:tcPr>
            <w:tcW w:w="220" w:type="dxa"/>
            <w:vAlign w:val="bottom"/>
          </w:tcPr>
          <w:p>
            <w:pPr>
              <w:spacing w:after="0"/>
              <w:rPr>
                <w:sz w:val="22"/>
                <w:szCs w:val="22"/>
                <w:color w:val="auto"/>
              </w:rPr>
            </w:pPr>
          </w:p>
        </w:tc>
        <w:tc>
          <w:tcPr>
            <w:tcW w:w="480" w:type="dxa"/>
            <w:vAlign w:val="bottom"/>
          </w:tcPr>
          <w:p>
            <w:pPr>
              <w:jc w:val="right"/>
              <w:ind w:right="63"/>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22"/>
                <w:szCs w:val="22"/>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2,102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2,219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2"/>
                <w:szCs w:val="22"/>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2,216</w:t>
            </w:r>
          </w:p>
        </w:tc>
      </w:tr>
      <w:tr>
        <w:trPr>
          <w:trHeight w:val="196"/>
        </w:trPr>
        <w:tc>
          <w:tcPr>
            <w:tcW w:w="580" w:type="dxa"/>
            <w:vAlign w:val="bottom"/>
          </w:tcPr>
          <w:p>
            <w:pPr>
              <w:jc w:val="right"/>
              <w:ind w:right="183"/>
              <w:spacing w:after="0"/>
              <w:rPr>
                <w:sz w:val="20"/>
                <w:szCs w:val="20"/>
                <w:color w:val="auto"/>
              </w:rPr>
            </w:pPr>
            <w:r>
              <w:rPr>
                <w:rFonts w:ascii="Arial" w:cs="Arial" w:eastAsia="Arial" w:hAnsi="Arial"/>
                <w:sz w:val="11"/>
                <w:szCs w:val="11"/>
                <w:color w:val="auto"/>
                <w:w w:val="94"/>
              </w:rPr>
              <w:t>30,091</w:t>
            </w:r>
          </w:p>
        </w:tc>
        <w:tc>
          <w:tcPr>
            <w:tcW w:w="2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339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3,145</w:t>
            </w:r>
          </w:p>
        </w:tc>
        <w:tc>
          <w:tcPr>
            <w:tcW w:w="12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33,573</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32,167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2,997</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35,283</w:t>
            </w:r>
          </w:p>
        </w:tc>
      </w:tr>
      <w:tr>
        <w:trPr>
          <w:trHeight w:val="191"/>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2,334</w:t>
            </w:r>
          </w:p>
        </w:tc>
        <w:tc>
          <w:tcPr>
            <w:tcW w:w="220" w:type="dxa"/>
            <w:vAlign w:val="bottom"/>
          </w:tcPr>
          <w:p>
            <w:pPr>
              <w:spacing w:after="0"/>
              <w:rPr>
                <w:sz w:val="16"/>
                <w:szCs w:val="16"/>
                <w:color w:val="auto"/>
              </w:rPr>
            </w:pPr>
          </w:p>
        </w:tc>
        <w:tc>
          <w:tcPr>
            <w:tcW w:w="480" w:type="dxa"/>
            <w:vAlign w:val="bottom"/>
          </w:tcPr>
          <w:p>
            <w:pPr>
              <w:jc w:val="right"/>
              <w:ind w:right="23"/>
              <w:spacing w:after="0"/>
              <w:rPr>
                <w:sz w:val="20"/>
                <w:szCs w:val="20"/>
                <w:color w:val="auto"/>
              </w:rPr>
            </w:pPr>
            <w:r>
              <w:rPr>
                <w:rFonts w:ascii="Arial" w:cs="Arial" w:eastAsia="Arial" w:hAnsi="Arial"/>
                <w:sz w:val="11"/>
                <w:szCs w:val="11"/>
                <w:color w:val="auto"/>
              </w:rPr>
              <w:t>(314)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494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2,487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1,142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491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1,477</w:t>
            </w:r>
          </w:p>
        </w:tc>
      </w:tr>
      <w:tr>
        <w:trPr>
          <w:trHeight w:val="216"/>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195</w:t>
            </w:r>
          </w:p>
        </w:tc>
        <w:tc>
          <w:tcPr>
            <w:tcW w:w="2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195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161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8"/>
                <w:szCs w:val="18"/>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159</w:t>
            </w:r>
          </w:p>
        </w:tc>
      </w:tr>
      <w:tr>
        <w:trPr>
          <w:trHeight w:val="259"/>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320</w:t>
            </w:r>
          </w:p>
        </w:tc>
        <w:tc>
          <w:tcPr>
            <w:tcW w:w="220" w:type="dxa"/>
            <w:vAlign w:val="bottom"/>
          </w:tcPr>
          <w:p>
            <w:pPr>
              <w:spacing w:after="0"/>
              <w:rPr>
                <w:sz w:val="22"/>
                <w:szCs w:val="22"/>
                <w:color w:val="auto"/>
              </w:rPr>
            </w:pPr>
          </w:p>
        </w:tc>
        <w:tc>
          <w:tcPr>
            <w:tcW w:w="480" w:type="dxa"/>
            <w:vAlign w:val="bottom"/>
          </w:tcPr>
          <w:p>
            <w:pPr>
              <w:jc w:val="right"/>
              <w:ind w:right="63"/>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22"/>
                <w:szCs w:val="22"/>
                <w:color w:val="auto"/>
              </w:rPr>
            </w:pPr>
          </w:p>
        </w:tc>
        <w:tc>
          <w:tcPr>
            <w:tcW w:w="740" w:type="dxa"/>
            <w:vAlign w:val="bottom"/>
          </w:tcPr>
          <w:p>
            <w:pPr>
              <w:jc w:val="right"/>
              <w:ind w:right="63"/>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364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931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2"/>
                <w:szCs w:val="2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930</w:t>
            </w:r>
          </w:p>
        </w:tc>
      </w:tr>
      <w:tr>
        <w:trPr>
          <w:trHeight w:val="220"/>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229</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271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592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637</w:t>
            </w:r>
          </w:p>
        </w:tc>
      </w:tr>
      <w:tr>
        <w:trPr>
          <w:trHeight w:val="191"/>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2,688</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23"/>
              <w:spacing w:after="0"/>
              <w:rPr>
                <w:sz w:val="20"/>
                <w:szCs w:val="20"/>
                <w:color w:val="auto"/>
              </w:rPr>
            </w:pPr>
            <w:r>
              <w:rPr>
                <w:rFonts w:ascii="Arial" w:cs="Arial" w:eastAsia="Arial" w:hAnsi="Arial"/>
                <w:sz w:val="11"/>
                <w:szCs w:val="11"/>
                <w:color w:val="auto"/>
              </w:rPr>
              <w:t>(293)</w:t>
            </w:r>
          </w:p>
        </w:tc>
        <w:tc>
          <w:tcPr>
            <w:tcW w:w="120" w:type="dxa"/>
            <w:vAlign w:val="bottom"/>
          </w:tcPr>
          <w:p>
            <w:pPr>
              <w:spacing w:after="0"/>
              <w:rPr>
                <w:sz w:val="16"/>
                <w:szCs w:val="16"/>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536</w:t>
            </w:r>
          </w:p>
        </w:tc>
        <w:tc>
          <w:tcPr>
            <w:tcW w:w="120" w:type="dxa"/>
            <w:vAlign w:val="bottom"/>
          </w:tcPr>
          <w:p>
            <w:pPr>
              <w:spacing w:after="0"/>
              <w:rPr>
                <w:sz w:val="16"/>
                <w:szCs w:val="16"/>
                <w:color w:val="auto"/>
              </w:rPr>
            </w:pP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2,927</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2,504</w:t>
            </w:r>
          </w:p>
        </w:tc>
        <w:tc>
          <w:tcPr>
            <w:tcW w:w="100" w:type="dxa"/>
            <w:vAlign w:val="bottom"/>
          </w:tcPr>
          <w:p>
            <w:pPr>
              <w:spacing w:after="0"/>
              <w:rPr>
                <w:sz w:val="16"/>
                <w:szCs w:val="16"/>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(155)</w:t>
            </w:r>
          </w:p>
        </w:tc>
        <w:tc>
          <w:tcPr>
            <w:tcW w:w="120" w:type="dxa"/>
            <w:vAlign w:val="bottom"/>
          </w:tcPr>
          <w:p>
            <w:pPr>
              <w:spacing w:after="0"/>
              <w:rPr>
                <w:sz w:val="16"/>
                <w:szCs w:val="16"/>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536</w:t>
            </w:r>
          </w:p>
        </w:tc>
        <w:tc>
          <w:tcPr>
            <w:tcW w:w="120" w:type="dxa"/>
            <w:vAlign w:val="bottom"/>
          </w:tcPr>
          <w:p>
            <w:pPr>
              <w:spacing w:after="0"/>
              <w:rPr>
                <w:sz w:val="16"/>
                <w:szCs w:val="16"/>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86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2,885</w:t>
            </w:r>
          </w:p>
        </w:tc>
      </w:tr>
      <w:tr>
        <w:trPr>
          <w:trHeight w:val="220"/>
        </w:trPr>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524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519</w:t>
            </w:r>
          </w:p>
        </w:tc>
      </w:tr>
      <w:tr>
        <w:trPr>
          <w:trHeight w:val="191"/>
        </w:trPr>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2,403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2,366</w:t>
            </w:r>
          </w:p>
        </w:tc>
      </w:tr>
      <w:tr>
        <w:trPr>
          <w:trHeight w:val="220"/>
        </w:trPr>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r>
      <w:tr>
        <w:trPr>
          <w:trHeight w:val="191"/>
        </w:trPr>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2,403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2,366</w:t>
            </w:r>
          </w:p>
        </w:tc>
      </w:tr>
      <w:tr>
        <w:trPr>
          <w:trHeight w:val="263"/>
        </w:trPr>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24</w:t>
            </w:r>
          </w:p>
        </w:tc>
      </w:tr>
      <w:tr>
        <w:trPr>
          <w:trHeight w:val="185"/>
        </w:trPr>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2,418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2,390</w:t>
            </w:r>
          </w:p>
        </w:tc>
      </w:tr>
      <w:tr>
        <w:trPr>
          <w:trHeight w:val="20"/>
        </w:trPr>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-1874520</wp:posOffset>
            </wp:positionV>
            <wp:extent cx="7274560" cy="1861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18611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380"/>
            <w:col w:w="8920"/>
          </w:cols>
          <w:pgMar w:left="220" w:top="470" w:right="21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income attributable to common</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2,381</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45"/>
              <w:spacing w:after="0"/>
              <w:rPr>
                <w:sz w:val="20"/>
                <w:szCs w:val="20"/>
                <w:color w:val="auto"/>
              </w:rPr>
            </w:pPr>
            <w:r>
              <w:rPr>
                <w:rFonts w:ascii="Arial" w:cs="Arial" w:eastAsia="Arial" w:hAnsi="Arial"/>
                <w:sz w:val="11"/>
                <w:szCs w:val="11"/>
                <w:color w:val="auto"/>
              </w:rPr>
              <w:t>2,375</w:t>
            </w:r>
          </w:p>
        </w:tc>
        <w:tc>
          <w:tcPr>
            <w:tcW w:w="0" w:type="dxa"/>
            <w:vAlign w:val="bottom"/>
          </w:tcPr>
          <w:p>
            <w:pPr>
              <w:spacing w:after="0"/>
              <w:rPr>
                <w:sz w:val="1"/>
                <w:szCs w:val="1"/>
                <w:color w:val="auto"/>
              </w:rPr>
            </w:pPr>
          </w:p>
        </w:tc>
      </w:tr>
      <w:tr>
        <w:trPr>
          <w:trHeight w:val="146"/>
        </w:trPr>
        <w:tc>
          <w:tcPr>
            <w:tcW w:w="1880" w:type="dxa"/>
            <w:vAlign w:val="bottom"/>
            <w:shd w:val="clear" w:color="auto" w:fill="CCEEFF"/>
          </w:tcPr>
          <w:p>
            <w:pPr>
              <w:ind w:left="160"/>
              <w:spacing w:after="0"/>
              <w:rPr>
                <w:sz w:val="20"/>
                <w:szCs w:val="20"/>
                <w:color w:val="auto"/>
              </w:rPr>
            </w:pPr>
            <w:r>
              <w:rPr>
                <w:rFonts w:ascii="Arial" w:cs="Arial" w:eastAsia="Arial" w:hAnsi="Arial"/>
                <w:sz w:val="10"/>
                <w:szCs w:val="10"/>
                <w:b w:val="1"/>
                <w:bCs w:val="1"/>
                <w:color w:val="auto"/>
              </w:rPr>
              <w:t>stockholders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1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9"/>
                <w:szCs w:val="9"/>
                <w:b w:val="1"/>
                <w:bCs w:val="1"/>
                <w:color w:val="auto"/>
              </w:rPr>
              <w:t>Six Months Ended June 30, 2019</w:t>
            </w: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right"/>
              <w:ind w:right="586"/>
              <w:spacing w:after="0"/>
              <w:rPr>
                <w:sz w:val="20"/>
                <w:szCs w:val="20"/>
                <w:color w:val="auto"/>
              </w:rPr>
            </w:pPr>
            <w:r>
              <w:rPr>
                <w:rFonts w:ascii="Arial" w:cs="Arial" w:eastAsia="Arial" w:hAnsi="Arial"/>
                <w:sz w:val="9"/>
                <w:szCs w:val="9"/>
                <w:b w:val="1"/>
                <w:bCs w:val="1"/>
                <w:color w:val="auto"/>
                <w:w w:val="96"/>
              </w:rPr>
              <w:t>Six Months Ended June 30, 2018</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Automotive</w:t>
            </w:r>
          </w:p>
        </w:tc>
        <w:tc>
          <w:tcPr>
            <w:tcW w:w="100" w:type="dxa"/>
            <w:vAlign w:val="bottom"/>
          </w:tcPr>
          <w:p>
            <w:pPr>
              <w:spacing w:after="0"/>
              <w:rPr>
                <w:sz w:val="17"/>
                <w:szCs w:val="17"/>
                <w:color w:val="auto"/>
              </w:rPr>
            </w:pPr>
          </w:p>
        </w:tc>
        <w:tc>
          <w:tcPr>
            <w:tcW w:w="540" w:type="dxa"/>
            <w:vAlign w:val="bottom"/>
          </w:tcPr>
          <w:p>
            <w:pPr>
              <w:jc w:val="right"/>
              <w:ind w:right="46"/>
              <w:spacing w:after="0"/>
              <w:rPr>
                <w:sz w:val="20"/>
                <w:szCs w:val="20"/>
                <w:color w:val="auto"/>
              </w:rPr>
            </w:pPr>
            <w:r>
              <w:rPr>
                <w:rFonts w:ascii="Arial" w:cs="Arial" w:eastAsia="Arial" w:hAnsi="Arial"/>
                <w:sz w:val="9"/>
                <w:szCs w:val="9"/>
                <w:b w:val="1"/>
                <w:bCs w:val="1"/>
                <w:color w:val="auto"/>
                <w:w w:val="93"/>
              </w:rPr>
              <w:t>GM Cruise</w:t>
            </w:r>
          </w:p>
        </w:tc>
        <w:tc>
          <w:tcPr>
            <w:tcW w:w="120" w:type="dxa"/>
            <w:vAlign w:val="bottom"/>
          </w:tcPr>
          <w:p>
            <w:pPr>
              <w:spacing w:after="0"/>
              <w:rPr>
                <w:sz w:val="17"/>
                <w:szCs w:val="17"/>
                <w:color w:val="auto"/>
              </w:rPr>
            </w:pP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GM Financial</w:t>
            </w:r>
          </w:p>
        </w:tc>
        <w:tc>
          <w:tcPr>
            <w:tcW w:w="1480" w:type="dxa"/>
            <w:vAlign w:val="bottom"/>
            <w:gridSpan w:val="3"/>
          </w:tcPr>
          <w:p>
            <w:pPr>
              <w:ind w:left="40"/>
              <w:spacing w:after="0"/>
              <w:rPr>
                <w:sz w:val="20"/>
                <w:szCs w:val="20"/>
                <w:color w:val="auto"/>
              </w:rPr>
            </w:pPr>
            <w:r>
              <w:rPr>
                <w:rFonts w:ascii="Arial" w:cs="Arial" w:eastAsia="Arial" w:hAnsi="Arial"/>
                <w:sz w:val="9"/>
                <w:szCs w:val="9"/>
                <w:b w:val="1"/>
                <w:bCs w:val="1"/>
                <w:color w:val="auto"/>
              </w:rPr>
              <w:t>Reclassifications/Eliminations</w:t>
            </w:r>
          </w:p>
        </w:tc>
        <w:tc>
          <w:tcPr>
            <w:tcW w:w="940" w:type="dxa"/>
            <w:vAlign w:val="bottom"/>
            <w:gridSpan w:val="3"/>
          </w:tcPr>
          <w:p>
            <w:pPr>
              <w:jc w:val="right"/>
              <w:ind w:right="340"/>
              <w:spacing w:after="0"/>
              <w:rPr>
                <w:sz w:val="20"/>
                <w:szCs w:val="20"/>
                <w:color w:val="auto"/>
              </w:rPr>
            </w:pPr>
            <w:r>
              <w:rPr>
                <w:rFonts w:ascii="Arial" w:cs="Arial" w:eastAsia="Arial" w:hAnsi="Arial"/>
                <w:sz w:val="9"/>
                <w:szCs w:val="9"/>
                <w:b w:val="1"/>
                <w:bCs w:val="1"/>
                <w:color w:val="auto"/>
              </w:rPr>
              <w:t>Combined</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Automotive</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9"/>
                <w:szCs w:val="9"/>
                <w:b w:val="1"/>
                <w:bCs w:val="1"/>
                <w:color w:val="auto"/>
                <w:w w:val="93"/>
              </w:rPr>
              <w:t>GM Cruise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GM Financial</w:t>
            </w:r>
          </w:p>
        </w:tc>
        <w:tc>
          <w:tcPr>
            <w:tcW w:w="160" w:type="dxa"/>
            <w:vAlign w:val="bottom"/>
          </w:tcPr>
          <w:p>
            <w:pPr>
              <w:spacing w:after="0"/>
              <w:rPr>
                <w:sz w:val="17"/>
                <w:szCs w:val="17"/>
                <w:color w:val="auto"/>
              </w:rPr>
            </w:pPr>
          </w:p>
        </w:tc>
        <w:tc>
          <w:tcPr>
            <w:tcW w:w="760" w:type="dxa"/>
            <w:vAlign w:val="bottom"/>
          </w:tcPr>
          <w:p>
            <w:pPr>
              <w:jc w:val="right"/>
              <w:ind w:right="146"/>
              <w:spacing w:after="0"/>
              <w:rPr>
                <w:sz w:val="20"/>
                <w:szCs w:val="20"/>
                <w:color w:val="auto"/>
              </w:rPr>
            </w:pPr>
            <w:r>
              <w:rPr>
                <w:rFonts w:ascii="Arial" w:cs="Arial" w:eastAsia="Arial" w:hAnsi="Arial"/>
                <w:sz w:val="9"/>
                <w:szCs w:val="9"/>
                <w:b w:val="1"/>
                <w:bCs w:val="1"/>
                <w:color w:val="auto"/>
              </w:rPr>
              <w:t>Eliminations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25"/>
              <w:spacing w:after="0"/>
              <w:rPr>
                <w:sz w:val="20"/>
                <w:szCs w:val="20"/>
                <w:color w:val="auto"/>
              </w:rPr>
            </w:pPr>
            <w:r>
              <w:rPr>
                <w:rFonts w:ascii="Arial" w:cs="Arial" w:eastAsia="Arial" w:hAnsi="Arial"/>
                <w:sz w:val="9"/>
                <w:szCs w:val="9"/>
                <w:b w:val="1"/>
                <w:bCs w:val="1"/>
                <w:color w:val="auto"/>
                <w:w w:val="99"/>
              </w:rPr>
              <w:t>Combined</w:t>
            </w:r>
          </w:p>
        </w:tc>
        <w:tc>
          <w:tcPr>
            <w:tcW w:w="0" w:type="dxa"/>
            <w:vAlign w:val="bottom"/>
          </w:tcPr>
          <w:p>
            <w:pPr>
              <w:spacing w:after="0"/>
              <w:rPr>
                <w:sz w:val="1"/>
                <w:szCs w:val="1"/>
                <w:color w:val="auto"/>
              </w:rPr>
            </w:pPr>
          </w:p>
        </w:tc>
      </w:tr>
      <w:tr>
        <w:trPr>
          <w:trHeight w:val="127"/>
        </w:trPr>
        <w:tc>
          <w:tcPr>
            <w:tcW w:w="1880" w:type="dxa"/>
            <w:vAlign w:val="bottom"/>
          </w:tcPr>
          <w:p>
            <w:pPr>
              <w:ind w:left="20"/>
              <w:spacing w:after="0"/>
              <w:rPr>
                <w:sz w:val="20"/>
                <w:szCs w:val="20"/>
                <w:color w:val="auto"/>
              </w:rPr>
            </w:pPr>
            <w:r>
              <w:rPr>
                <w:rFonts w:ascii="Arial" w:cs="Arial" w:eastAsia="Arial" w:hAnsi="Arial"/>
                <w:sz w:val="10"/>
                <w:szCs w:val="10"/>
                <w:b w:val="1"/>
                <w:bCs w:val="1"/>
                <w:color w:val="auto"/>
              </w:rPr>
              <w:t>Net sales and revenue</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Automotive</w:t>
            </w: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63,686</w:t>
            </w:r>
          </w:p>
        </w:tc>
        <w:tc>
          <w:tcPr>
            <w:tcW w:w="1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c>
          <w:tcPr>
            <w:tcW w:w="280" w:type="dxa"/>
            <w:vAlign w:val="bottom"/>
            <w:gridSpan w:val="2"/>
            <w:vMerge w:val="restart"/>
            <w:shd w:val="clear" w:color="auto" w:fill="CCEEFF"/>
          </w:tcPr>
          <w:p>
            <w:pPr>
              <w:jc w:val="right"/>
              <w:ind w:right="37"/>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610"/>
              <w:spacing w:after="0"/>
              <w:rPr>
                <w:sz w:val="20"/>
                <w:szCs w:val="20"/>
                <w:color w:val="auto"/>
              </w:rPr>
            </w:pPr>
            <w:r>
              <w:rPr>
                <w:rFonts w:ascii="Arial" w:cs="Arial" w:eastAsia="Arial" w:hAnsi="Arial"/>
                <w:sz w:val="11"/>
                <w:szCs w:val="11"/>
                <w:color w:val="auto"/>
                <w:w w:val="97"/>
              </w:rPr>
              <w:t>$</w:t>
            </w:r>
          </w:p>
        </w:tc>
        <w:tc>
          <w:tcPr>
            <w:tcW w:w="5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(50)</w:t>
            </w:r>
          </w:p>
        </w:tc>
        <w:tc>
          <w:tcPr>
            <w:tcW w:w="1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w:t>
            </w:r>
          </w:p>
        </w:tc>
        <w:tc>
          <w:tcPr>
            <w:tcW w:w="4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63,686</w:t>
            </w:r>
          </w:p>
        </w:tc>
        <w:tc>
          <w:tcPr>
            <w:tcW w:w="16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66,024</w:t>
            </w:r>
          </w:p>
        </w:tc>
        <w:tc>
          <w:tcPr>
            <w:tcW w:w="1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40" w:type="dxa"/>
            <w:vAlign w:val="bottom"/>
            <w:gridSpan w:val="3"/>
            <w:vMerge w:val="restart"/>
            <w:shd w:val="clear" w:color="auto" w:fill="CCEEFF"/>
          </w:tcPr>
          <w:p>
            <w:pPr>
              <w:jc w:val="right"/>
              <w:ind w:right="57"/>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(58)</w:t>
            </w:r>
          </w:p>
        </w:tc>
        <w:tc>
          <w:tcPr>
            <w:tcW w:w="3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45"/>
              <w:spacing w:after="0"/>
              <w:rPr>
                <w:sz w:val="20"/>
                <w:szCs w:val="20"/>
                <w:color w:val="auto"/>
              </w:rPr>
            </w:pPr>
            <w:r>
              <w:rPr>
                <w:rFonts w:ascii="Arial" w:cs="Arial" w:eastAsia="Arial" w:hAnsi="Arial"/>
                <w:sz w:val="11"/>
                <w:szCs w:val="11"/>
                <w:color w:val="auto"/>
              </w:rPr>
              <w:t>65,966</w:t>
            </w:r>
          </w:p>
        </w:tc>
        <w:tc>
          <w:tcPr>
            <w:tcW w:w="0" w:type="dxa"/>
            <w:vAlign w:val="bottom"/>
          </w:tcPr>
          <w:p>
            <w:pPr>
              <w:spacing w:after="0"/>
              <w:rPr>
                <w:sz w:val="1"/>
                <w:szCs w:val="1"/>
                <w:color w:val="auto"/>
              </w:rPr>
            </w:pPr>
          </w:p>
        </w:tc>
      </w:tr>
      <w:tr>
        <w:trPr>
          <w:trHeight w:val="78"/>
        </w:trPr>
        <w:tc>
          <w:tcPr>
            <w:tcW w:w="18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28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440" w:type="dxa"/>
            <w:vAlign w:val="bottom"/>
            <w:gridSpan w:val="3"/>
            <w:vMerge w:val="continue"/>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300" w:type="dxa"/>
            <w:vAlign w:val="bottom"/>
            <w:gridSpan w:val="2"/>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880" w:type="dxa"/>
            <w:vAlign w:val="bottom"/>
          </w:tcPr>
          <w:p>
            <w:pPr>
              <w:ind w:left="140"/>
              <w:spacing w:after="0"/>
              <w:rPr>
                <w:sz w:val="20"/>
                <w:szCs w:val="20"/>
                <w:color w:val="auto"/>
              </w:rPr>
            </w:pPr>
            <w:r>
              <w:rPr>
                <w:rFonts w:ascii="Arial" w:cs="Arial" w:eastAsia="Arial" w:hAnsi="Arial"/>
                <w:sz w:val="10"/>
                <w:szCs w:val="10"/>
                <w:color w:val="auto"/>
              </w:rPr>
              <w:t>GM Financial</w:t>
            </w:r>
          </w:p>
        </w:tc>
        <w:tc>
          <w:tcPr>
            <w:tcW w:w="140" w:type="dxa"/>
            <w:vAlign w:val="bottom"/>
          </w:tcPr>
          <w:p>
            <w:pPr>
              <w:spacing w:after="0"/>
              <w:rPr>
                <w:sz w:val="11"/>
                <w:szCs w:val="11"/>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right"/>
              <w:ind w:right="43"/>
              <w:spacing w:after="0"/>
              <w:rPr>
                <w:sz w:val="20"/>
                <w:szCs w:val="20"/>
                <w:color w:val="auto"/>
              </w:rPr>
            </w:pPr>
            <w:r>
              <w:rPr>
                <w:rFonts w:ascii="Arial" w:cs="Arial" w:eastAsia="Arial" w:hAnsi="Arial"/>
                <w:sz w:val="11"/>
                <w:szCs w:val="11"/>
                <w:color w:val="auto"/>
              </w:rPr>
              <w:t>7,259</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vMerge w:val="restart"/>
          </w:tcPr>
          <w:p>
            <w:pPr>
              <w:jc w:val="right"/>
              <w:ind w:right="63"/>
              <w:spacing w:after="0"/>
              <w:rPr>
                <w:sz w:val="20"/>
                <w:szCs w:val="20"/>
                <w:color w:val="auto"/>
              </w:rPr>
            </w:pPr>
            <w:r>
              <w:rPr>
                <w:rFonts w:ascii="Arial" w:cs="Arial" w:eastAsia="Arial" w:hAnsi="Arial"/>
                <w:sz w:val="11"/>
                <w:szCs w:val="11"/>
                <w:color w:val="auto"/>
              </w:rPr>
              <w:t>(7)</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restart"/>
          </w:tcPr>
          <w:p>
            <w:pPr>
              <w:jc w:val="right"/>
              <w:ind w:right="63"/>
              <w:spacing w:after="0"/>
              <w:rPr>
                <w:sz w:val="20"/>
                <w:szCs w:val="20"/>
                <w:color w:val="auto"/>
              </w:rPr>
            </w:pPr>
            <w:r>
              <w:rPr>
                <w:rFonts w:ascii="Arial" w:cs="Arial" w:eastAsia="Arial" w:hAnsi="Arial"/>
                <w:sz w:val="11"/>
                <w:szCs w:val="11"/>
                <w:color w:val="auto"/>
              </w:rPr>
              <w:t>7,252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restart"/>
          </w:tcPr>
          <w:p>
            <w:pPr>
              <w:jc w:val="right"/>
              <w:ind w:right="63"/>
              <w:spacing w:after="0"/>
              <w:rPr>
                <w:sz w:val="20"/>
                <w:szCs w:val="20"/>
                <w:color w:val="auto"/>
              </w:rPr>
            </w:pPr>
            <w:r>
              <w:rPr>
                <w:rFonts w:ascii="Arial" w:cs="Arial" w:eastAsia="Arial" w:hAnsi="Arial"/>
                <w:sz w:val="11"/>
                <w:szCs w:val="11"/>
                <w:color w:val="auto"/>
              </w:rPr>
              <w:t>6,899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45"/>
              <w:spacing w:after="0"/>
              <w:rPr>
                <w:sz w:val="20"/>
                <w:szCs w:val="20"/>
                <w:color w:val="auto"/>
              </w:rPr>
            </w:pPr>
            <w:r>
              <w:rPr>
                <w:rFonts w:ascii="Arial" w:cs="Arial" w:eastAsia="Arial" w:hAnsi="Arial"/>
                <w:sz w:val="11"/>
                <w:szCs w:val="11"/>
                <w:color w:val="auto"/>
              </w:rPr>
              <w:t>6,893</w:t>
            </w:r>
          </w:p>
        </w:tc>
        <w:tc>
          <w:tcPr>
            <w:tcW w:w="0" w:type="dxa"/>
            <w:vAlign w:val="bottom"/>
          </w:tcPr>
          <w:p>
            <w:pPr>
              <w:spacing w:after="0"/>
              <w:rPr>
                <w:sz w:val="1"/>
                <w:szCs w:val="1"/>
                <w:color w:val="auto"/>
              </w:rPr>
            </w:pPr>
          </w:p>
        </w:tc>
      </w:tr>
      <w:tr>
        <w:trPr>
          <w:trHeight w:val="73"/>
        </w:trPr>
        <w:tc>
          <w:tcPr>
            <w:tcW w:w="1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8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Total net sales and revenue</w:t>
            </w: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63,686</w:t>
            </w: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7,259</w:t>
            </w:r>
          </w:p>
        </w:tc>
        <w:tc>
          <w:tcPr>
            <w:tcW w:w="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(57)</w:t>
            </w:r>
          </w:p>
        </w:tc>
        <w:tc>
          <w:tcPr>
            <w:tcW w:w="1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70,938</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66,024</w:t>
            </w: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6,899</w:t>
            </w: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(64)</w:t>
            </w: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ind w:right="45"/>
              <w:spacing w:after="0"/>
              <w:rPr>
                <w:sz w:val="20"/>
                <w:szCs w:val="20"/>
                <w:color w:val="auto"/>
              </w:rPr>
            </w:pPr>
            <w:r>
              <w:rPr>
                <w:rFonts w:ascii="Arial" w:cs="Arial" w:eastAsia="Arial" w:hAnsi="Arial"/>
                <w:sz w:val="11"/>
                <w:szCs w:val="11"/>
                <w:color w:val="auto"/>
              </w:rPr>
              <w:t>72,859</w:t>
            </w:r>
          </w:p>
        </w:tc>
        <w:tc>
          <w:tcPr>
            <w:tcW w:w="0" w:type="dxa"/>
            <w:vAlign w:val="bottom"/>
          </w:tcPr>
          <w:p>
            <w:pPr>
              <w:spacing w:after="0"/>
              <w:rPr>
                <w:sz w:val="1"/>
                <w:szCs w:val="1"/>
                <w:color w:val="auto"/>
              </w:rPr>
            </w:pPr>
          </w:p>
        </w:tc>
      </w:tr>
      <w:tr>
        <w:trPr>
          <w:trHeight w:val="78"/>
        </w:trPr>
        <w:tc>
          <w:tcPr>
            <w:tcW w:w="1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60960</wp:posOffset>
            </wp:positionV>
            <wp:extent cx="727456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ectPr>
          <w:pgSz w:w="11900" w:h="16838" w:orient="portrait"/>
          <w:cols w:equalWidth="0" w:num="1">
            <w:col w:w="11460"/>
          </w:cols>
          <w:pgMar w:left="220" w:top="470" w:right="219" w:bottom="1440" w:gutter="0" w:footer="0" w:header="0"/>
          <w:type w:val="continuous"/>
        </w:sectPr>
      </w:pPr>
    </w:p>
    <w:p>
      <w:pPr>
        <w:spacing w:after="0" w:line="113"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Automotive and other cost of sales</w:t>
      </w:r>
    </w:p>
    <w:p>
      <w:pPr>
        <w:spacing w:after="0" w:line="101" w:lineRule="exact"/>
        <w:rPr>
          <w:sz w:val="20"/>
          <w:szCs w:val="20"/>
          <w:color w:val="auto"/>
        </w:rPr>
      </w:pPr>
    </w:p>
    <w:p>
      <w:pPr>
        <w:ind w:left="260" w:right="60" w:hanging="128"/>
        <w:spacing w:after="0" w:line="238" w:lineRule="auto"/>
        <w:rPr>
          <w:sz w:val="20"/>
          <w:szCs w:val="20"/>
          <w:color w:val="auto"/>
        </w:rPr>
      </w:pPr>
      <w:r>
        <w:rPr>
          <w:rFonts w:ascii="Arial" w:cs="Arial" w:eastAsia="Arial" w:hAnsi="Arial"/>
          <w:sz w:val="10"/>
          <w:szCs w:val="10"/>
          <w:color w:val="auto"/>
        </w:rPr>
        <w:t>GM Financial interest, operating and other expenses</w:t>
      </w:r>
    </w:p>
    <w:p>
      <w:pPr>
        <w:spacing w:after="0" w:line="31" w:lineRule="exact"/>
        <w:rPr>
          <w:sz w:val="20"/>
          <w:szCs w:val="20"/>
          <w:color w:val="auto"/>
        </w:rPr>
      </w:pPr>
    </w:p>
    <w:p>
      <w:pPr>
        <w:ind w:left="260" w:right="20" w:hanging="128"/>
        <w:spacing w:after="0" w:line="238" w:lineRule="auto"/>
        <w:rPr>
          <w:sz w:val="20"/>
          <w:szCs w:val="20"/>
          <w:color w:val="auto"/>
        </w:rPr>
      </w:pPr>
      <w:r>
        <w:rPr>
          <w:rFonts w:ascii="Arial" w:cs="Arial" w:eastAsia="Arial" w:hAnsi="Arial"/>
          <w:sz w:val="10"/>
          <w:szCs w:val="10"/>
          <w:color w:val="auto"/>
        </w:rPr>
        <w:t>Automotive and other selling, general and administrative expense</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Total costs and expenses</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Operating income (loss)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0"/>
          <w:szCs w:val="10"/>
          <w:color w:val="auto"/>
        </w:rPr>
        <w:t>Automotive interest expense</w:t>
      </w:r>
    </w:p>
    <w:p>
      <w:pPr>
        <w:spacing w:after="0" w:line="101" w:lineRule="exact"/>
        <w:rPr>
          <w:sz w:val="20"/>
          <w:szCs w:val="20"/>
          <w:color w:val="auto"/>
        </w:rPr>
      </w:pPr>
    </w:p>
    <w:p>
      <w:pPr>
        <w:ind w:left="160" w:hanging="128"/>
        <w:spacing w:after="0" w:line="238" w:lineRule="auto"/>
        <w:rPr>
          <w:sz w:val="20"/>
          <w:szCs w:val="20"/>
          <w:color w:val="auto"/>
        </w:rPr>
      </w:pPr>
      <w:r>
        <w:rPr>
          <w:rFonts w:ascii="Arial" w:cs="Arial" w:eastAsia="Arial" w:hAnsi="Arial"/>
          <w:sz w:val="10"/>
          <w:szCs w:val="10"/>
          <w:color w:val="auto"/>
        </w:rPr>
        <w:t>Interest income and other non-operating income, net</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0"/>
          <w:szCs w:val="10"/>
          <w:color w:val="auto"/>
        </w:rPr>
        <w:t>Equity income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60" w:type="dxa"/>
            <w:vAlign w:val="bottom"/>
          </w:tcPr>
          <w:p>
            <w:pPr>
              <w:jc w:val="right"/>
              <w:ind w:right="43"/>
              <w:spacing w:after="0"/>
              <w:rPr>
                <w:sz w:val="20"/>
                <w:szCs w:val="20"/>
                <w:color w:val="auto"/>
              </w:rPr>
            </w:pPr>
            <w:r>
              <w:rPr>
                <w:rFonts w:ascii="Arial" w:cs="Arial" w:eastAsia="Arial" w:hAnsi="Arial"/>
                <w:sz w:val="11"/>
                <w:szCs w:val="11"/>
                <w:color w:val="auto"/>
              </w:rPr>
              <w:t>56,071</w:t>
            </w:r>
          </w:p>
        </w:tc>
        <w:tc>
          <w:tcPr>
            <w:tcW w:w="180" w:type="dxa"/>
            <w:vAlign w:val="bottom"/>
          </w:tcPr>
          <w:p>
            <w:pPr>
              <w:spacing w:after="0"/>
              <w:rPr>
                <w:sz w:val="11"/>
                <w:szCs w:val="11"/>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487</w:t>
            </w:r>
          </w:p>
        </w:tc>
        <w:tc>
          <w:tcPr>
            <w:tcW w:w="12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63"/>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1"/>
                <w:szCs w:val="11"/>
                <w:color w:val="auto"/>
              </w:rPr>
            </w:pP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56,556</w:t>
            </w:r>
          </w:p>
        </w:tc>
        <w:tc>
          <w:tcPr>
            <w:tcW w:w="160" w:type="dxa"/>
            <w:vAlign w:val="bottom"/>
          </w:tcPr>
          <w:p>
            <w:pPr>
              <w:spacing w:after="0"/>
              <w:rPr>
                <w:sz w:val="11"/>
                <w:szCs w:val="11"/>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60,009</w:t>
            </w:r>
          </w:p>
        </w:tc>
        <w:tc>
          <w:tcPr>
            <w:tcW w:w="180" w:type="dxa"/>
            <w:vAlign w:val="bottom"/>
          </w:tcPr>
          <w:p>
            <w:pPr>
              <w:spacing w:after="0"/>
              <w:rPr>
                <w:sz w:val="11"/>
                <w:szCs w:val="11"/>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305</w:t>
            </w:r>
          </w:p>
        </w:tc>
        <w:tc>
          <w:tcPr>
            <w:tcW w:w="18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(59)</w:t>
            </w:r>
          </w:p>
        </w:tc>
        <w:tc>
          <w:tcPr>
            <w:tcW w:w="180" w:type="dxa"/>
            <w:vAlign w:val="bottom"/>
          </w:tcPr>
          <w:p>
            <w:pPr>
              <w:spacing w:after="0"/>
              <w:rPr>
                <w:sz w:val="11"/>
                <w:szCs w:val="11"/>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60,255</w:t>
            </w:r>
          </w:p>
        </w:tc>
      </w:tr>
      <w:tr>
        <w:trPr>
          <w:trHeight w:val="259"/>
        </w:trPr>
        <w:tc>
          <w:tcPr>
            <w:tcW w:w="10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6,451</w:t>
            </w:r>
          </w:p>
        </w:tc>
        <w:tc>
          <w:tcPr>
            <w:tcW w:w="180" w:type="dxa"/>
            <w:vAlign w:val="bottom"/>
          </w:tcPr>
          <w:p>
            <w:pPr>
              <w:spacing w:after="0"/>
              <w:rPr>
                <w:sz w:val="22"/>
                <w:szCs w:val="22"/>
                <w:color w:val="auto"/>
              </w:rPr>
            </w:pPr>
          </w:p>
        </w:tc>
        <w:tc>
          <w:tcPr>
            <w:tcW w:w="132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22"/>
                <w:szCs w:val="22"/>
                <w:color w:val="auto"/>
              </w:rPr>
            </w:pP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6,450</w:t>
            </w:r>
          </w:p>
        </w:tc>
        <w:tc>
          <w:tcPr>
            <w:tcW w:w="160" w:type="dxa"/>
            <w:vAlign w:val="bottom"/>
          </w:tcPr>
          <w:p>
            <w:pPr>
              <w:spacing w:after="0"/>
              <w:rPr>
                <w:sz w:val="22"/>
                <w:szCs w:val="2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6,017</w:t>
            </w:r>
          </w:p>
        </w:tc>
        <w:tc>
          <w:tcPr>
            <w:tcW w:w="160" w:type="dxa"/>
            <w:vAlign w:val="bottom"/>
          </w:tcPr>
          <w:p>
            <w:pPr>
              <w:spacing w:after="0"/>
              <w:rPr>
                <w:sz w:val="22"/>
                <w:szCs w:val="22"/>
                <w:color w:val="auto"/>
              </w:rPr>
            </w:pP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22"/>
                <w:szCs w:val="22"/>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6,010</w:t>
            </w:r>
          </w:p>
        </w:tc>
      </w:tr>
      <w:tr>
        <w:trPr>
          <w:trHeight w:val="263"/>
        </w:trPr>
        <w:tc>
          <w:tcPr>
            <w:tcW w:w="860" w:type="dxa"/>
            <w:vAlign w:val="bottom"/>
          </w:tcPr>
          <w:p>
            <w:pPr>
              <w:jc w:val="right"/>
              <w:ind w:right="43"/>
              <w:spacing w:after="0"/>
              <w:rPr>
                <w:sz w:val="20"/>
                <w:szCs w:val="20"/>
                <w:color w:val="auto"/>
              </w:rPr>
            </w:pPr>
            <w:r>
              <w:rPr>
                <w:rFonts w:ascii="Arial" w:cs="Arial" w:eastAsia="Arial" w:hAnsi="Arial"/>
                <w:sz w:val="11"/>
                <w:szCs w:val="11"/>
                <w:color w:val="auto"/>
              </w:rPr>
              <w:t>4,135</w:t>
            </w:r>
          </w:p>
        </w:tc>
        <w:tc>
          <w:tcPr>
            <w:tcW w:w="180" w:type="dxa"/>
            <w:vAlign w:val="bottom"/>
          </w:tcPr>
          <w:p>
            <w:pPr>
              <w:spacing w:after="0"/>
              <w:rPr>
                <w:sz w:val="22"/>
                <w:szCs w:val="22"/>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4,201</w:t>
            </w:r>
          </w:p>
        </w:tc>
        <w:tc>
          <w:tcPr>
            <w:tcW w:w="160" w:type="dxa"/>
            <w:vAlign w:val="bottom"/>
          </w:tcPr>
          <w:p>
            <w:pPr>
              <w:spacing w:after="0"/>
              <w:rPr>
                <w:sz w:val="22"/>
                <w:szCs w:val="22"/>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4,573</w:t>
            </w:r>
          </w:p>
        </w:tc>
        <w:tc>
          <w:tcPr>
            <w:tcW w:w="180" w:type="dxa"/>
            <w:vAlign w:val="bottom"/>
          </w:tcPr>
          <w:p>
            <w:pPr>
              <w:spacing w:after="0"/>
              <w:rPr>
                <w:sz w:val="22"/>
                <w:szCs w:val="22"/>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15</w:t>
            </w:r>
          </w:p>
        </w:tc>
        <w:tc>
          <w:tcPr>
            <w:tcW w:w="18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4,588</w:t>
            </w:r>
          </w:p>
        </w:tc>
      </w:tr>
      <w:tr>
        <w:trPr>
          <w:trHeight w:val="196"/>
        </w:trPr>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60,206</w:t>
            </w:r>
          </w:p>
        </w:tc>
        <w:tc>
          <w:tcPr>
            <w:tcW w:w="1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553</w:t>
            </w:r>
          </w:p>
        </w:tc>
        <w:tc>
          <w:tcPr>
            <w:tcW w:w="1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6,451</w:t>
            </w:r>
          </w:p>
        </w:tc>
        <w:tc>
          <w:tcPr>
            <w:tcW w:w="18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67,207</w:t>
            </w:r>
          </w:p>
        </w:tc>
        <w:tc>
          <w:tcPr>
            <w:tcW w:w="1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64,582</w:t>
            </w:r>
          </w:p>
        </w:tc>
        <w:tc>
          <w:tcPr>
            <w:tcW w:w="1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320</w:t>
            </w:r>
          </w:p>
        </w:tc>
        <w:tc>
          <w:tcPr>
            <w:tcW w:w="1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6,017</w:t>
            </w:r>
          </w:p>
        </w:tc>
        <w:tc>
          <w:tcPr>
            <w:tcW w:w="1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(66)</w:t>
            </w:r>
          </w:p>
        </w:tc>
        <w:tc>
          <w:tcPr>
            <w:tcW w:w="1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70,853</w:t>
            </w:r>
          </w:p>
        </w:tc>
      </w:tr>
      <w:tr>
        <w:trPr>
          <w:trHeight w:val="191"/>
        </w:trPr>
        <w:tc>
          <w:tcPr>
            <w:tcW w:w="860" w:type="dxa"/>
            <w:vAlign w:val="bottom"/>
          </w:tcPr>
          <w:p>
            <w:pPr>
              <w:jc w:val="right"/>
              <w:ind w:right="43"/>
              <w:spacing w:after="0"/>
              <w:rPr>
                <w:sz w:val="20"/>
                <w:szCs w:val="20"/>
                <w:color w:val="auto"/>
              </w:rPr>
            </w:pPr>
            <w:r>
              <w:rPr>
                <w:rFonts w:ascii="Arial" w:cs="Arial" w:eastAsia="Arial" w:hAnsi="Arial"/>
                <w:sz w:val="11"/>
                <w:szCs w:val="11"/>
                <w:color w:val="auto"/>
              </w:rPr>
              <w:t>3,480</w:t>
            </w:r>
          </w:p>
        </w:tc>
        <w:tc>
          <w:tcPr>
            <w:tcW w:w="180" w:type="dxa"/>
            <w:vAlign w:val="bottom"/>
          </w:tcPr>
          <w:p>
            <w:pPr>
              <w:spacing w:after="0"/>
              <w:rPr>
                <w:sz w:val="16"/>
                <w:szCs w:val="16"/>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(503)</w:t>
            </w:r>
          </w:p>
        </w:tc>
        <w:tc>
          <w:tcPr>
            <w:tcW w:w="120" w:type="dxa"/>
            <w:vAlign w:val="bottom"/>
          </w:tcPr>
          <w:p>
            <w:pPr>
              <w:spacing w:after="0"/>
              <w:rPr>
                <w:sz w:val="16"/>
                <w:szCs w:val="16"/>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808</w:t>
            </w:r>
          </w:p>
        </w:tc>
        <w:tc>
          <w:tcPr>
            <w:tcW w:w="180" w:type="dxa"/>
            <w:vAlign w:val="bottom"/>
          </w:tcPr>
          <w:p>
            <w:pPr>
              <w:spacing w:after="0"/>
              <w:rPr>
                <w:sz w:val="16"/>
                <w:szCs w:val="16"/>
                <w:color w:val="auto"/>
              </w:rPr>
            </w:pPr>
          </w:p>
        </w:tc>
        <w:tc>
          <w:tcPr>
            <w:tcW w:w="1320" w:type="dxa"/>
            <w:vAlign w:val="bottom"/>
          </w:tcPr>
          <w:p>
            <w:pPr>
              <w:jc w:val="right"/>
              <w:ind w:right="63"/>
              <w:spacing w:after="0"/>
              <w:rPr>
                <w:sz w:val="20"/>
                <w:szCs w:val="20"/>
                <w:color w:val="auto"/>
              </w:rPr>
            </w:pPr>
            <w:r>
              <w:rPr>
                <w:rFonts w:ascii="Arial" w:cs="Arial" w:eastAsia="Arial" w:hAnsi="Arial"/>
                <w:sz w:val="11"/>
                <w:szCs w:val="11"/>
                <w:color w:val="auto"/>
              </w:rPr>
              <w:t>(54)</w:t>
            </w:r>
          </w:p>
        </w:tc>
        <w:tc>
          <w:tcPr>
            <w:tcW w:w="160" w:type="dxa"/>
            <w:vAlign w:val="bottom"/>
          </w:tcPr>
          <w:p>
            <w:pPr>
              <w:spacing w:after="0"/>
              <w:rPr>
                <w:sz w:val="16"/>
                <w:szCs w:val="16"/>
                <w:color w:val="auto"/>
              </w:rPr>
            </w:pP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3,731</w:t>
            </w:r>
          </w:p>
        </w:tc>
        <w:tc>
          <w:tcPr>
            <w:tcW w:w="160" w:type="dxa"/>
            <w:vAlign w:val="bottom"/>
          </w:tcPr>
          <w:p>
            <w:pPr>
              <w:spacing w:after="0"/>
              <w:rPr>
                <w:sz w:val="16"/>
                <w:szCs w:val="16"/>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1,442</w:t>
            </w:r>
          </w:p>
        </w:tc>
        <w:tc>
          <w:tcPr>
            <w:tcW w:w="180" w:type="dxa"/>
            <w:vAlign w:val="bottom"/>
          </w:tcPr>
          <w:p>
            <w:pPr>
              <w:spacing w:after="0"/>
              <w:rPr>
                <w:sz w:val="16"/>
                <w:szCs w:val="16"/>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(320)</w:t>
            </w:r>
          </w:p>
        </w:tc>
        <w:tc>
          <w:tcPr>
            <w:tcW w:w="180" w:type="dxa"/>
            <w:vAlign w:val="bottom"/>
          </w:tcPr>
          <w:p>
            <w:pPr>
              <w:spacing w:after="0"/>
              <w:rPr>
                <w:sz w:val="16"/>
                <w:szCs w:val="16"/>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882</w:t>
            </w:r>
          </w:p>
        </w:tc>
        <w:tc>
          <w:tcPr>
            <w:tcW w:w="160" w:type="dxa"/>
            <w:vAlign w:val="bottom"/>
          </w:tcPr>
          <w:p>
            <w:pPr>
              <w:spacing w:after="0"/>
              <w:rPr>
                <w:sz w:val="16"/>
                <w:szCs w:val="16"/>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6"/>
                <w:szCs w:val="16"/>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2,006</w:t>
            </w:r>
          </w:p>
        </w:tc>
      </w:tr>
      <w:tr>
        <w:trPr>
          <w:trHeight w:val="216"/>
        </w:trPr>
        <w:tc>
          <w:tcPr>
            <w:tcW w:w="860" w:type="dxa"/>
            <w:vAlign w:val="bottom"/>
          </w:tcPr>
          <w:p>
            <w:pPr>
              <w:jc w:val="right"/>
              <w:ind w:right="43"/>
              <w:spacing w:after="0"/>
              <w:rPr>
                <w:sz w:val="20"/>
                <w:szCs w:val="20"/>
                <w:color w:val="auto"/>
              </w:rPr>
            </w:pPr>
            <w:r>
              <w:rPr>
                <w:rFonts w:ascii="Arial" w:cs="Arial" w:eastAsia="Arial" w:hAnsi="Arial"/>
                <w:sz w:val="11"/>
                <w:szCs w:val="11"/>
                <w:color w:val="auto"/>
              </w:rPr>
              <w:t>379</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63"/>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18"/>
                <w:szCs w:val="18"/>
                <w:color w:val="auto"/>
              </w:rPr>
            </w:pP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376</w:t>
            </w:r>
          </w:p>
        </w:tc>
        <w:tc>
          <w:tcPr>
            <w:tcW w:w="1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313</w:t>
            </w:r>
          </w:p>
        </w:tc>
        <w:tc>
          <w:tcPr>
            <w:tcW w:w="180" w:type="dxa"/>
            <w:vAlign w:val="bottom"/>
          </w:tcPr>
          <w:p>
            <w:pPr>
              <w:spacing w:after="0"/>
              <w:rPr>
                <w:sz w:val="18"/>
                <w:szCs w:val="18"/>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309</w:t>
            </w:r>
          </w:p>
        </w:tc>
      </w:tr>
      <w:tr>
        <w:trPr>
          <w:trHeight w:val="259"/>
        </w:trPr>
        <w:tc>
          <w:tcPr>
            <w:tcW w:w="860" w:type="dxa"/>
            <w:vAlign w:val="bottom"/>
          </w:tcPr>
          <w:p>
            <w:pPr>
              <w:jc w:val="right"/>
              <w:ind w:right="43"/>
              <w:spacing w:after="0"/>
              <w:rPr>
                <w:sz w:val="20"/>
                <w:szCs w:val="20"/>
                <w:color w:val="auto"/>
              </w:rPr>
            </w:pPr>
            <w:r>
              <w:rPr>
                <w:rFonts w:ascii="Arial" w:cs="Arial" w:eastAsia="Arial" w:hAnsi="Arial"/>
                <w:sz w:val="11"/>
                <w:szCs w:val="11"/>
                <w:color w:val="auto"/>
              </w:rPr>
              <w:t>1,088</w:t>
            </w:r>
          </w:p>
        </w:tc>
        <w:tc>
          <w:tcPr>
            <w:tcW w:w="180" w:type="dxa"/>
            <w:vAlign w:val="bottom"/>
          </w:tcPr>
          <w:p>
            <w:pPr>
              <w:spacing w:after="0"/>
              <w:rPr>
                <w:sz w:val="22"/>
                <w:szCs w:val="22"/>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103"/>
              <w:spacing w:after="0"/>
              <w:rPr>
                <w:sz w:val="20"/>
                <w:szCs w:val="20"/>
                <w:color w:val="auto"/>
              </w:rPr>
            </w:pPr>
            <w:r>
              <w:rPr>
                <w:rFonts w:ascii="Arial" w:cs="Arial" w:eastAsia="Arial" w:hAnsi="Arial"/>
                <w:sz w:val="11"/>
                <w:szCs w:val="11"/>
                <w:color w:val="auto"/>
              </w:rPr>
              <w:t>36</w:t>
            </w:r>
          </w:p>
        </w:tc>
        <w:tc>
          <w:tcPr>
            <w:tcW w:w="160" w:type="dxa"/>
            <w:vAlign w:val="bottom"/>
          </w:tcPr>
          <w:p>
            <w:pPr>
              <w:spacing w:after="0"/>
              <w:rPr>
                <w:sz w:val="22"/>
                <w:szCs w:val="22"/>
                <w:color w:val="auto"/>
              </w:rPr>
            </w:pP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1,169</w:t>
            </w:r>
          </w:p>
        </w:tc>
        <w:tc>
          <w:tcPr>
            <w:tcW w:w="160" w:type="dxa"/>
            <w:vAlign w:val="bottom"/>
          </w:tcPr>
          <w:p>
            <w:pPr>
              <w:spacing w:after="0"/>
              <w:rPr>
                <w:sz w:val="22"/>
                <w:szCs w:val="22"/>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1,480</w:t>
            </w:r>
          </w:p>
        </w:tc>
        <w:tc>
          <w:tcPr>
            <w:tcW w:w="18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22"/>
                <w:szCs w:val="22"/>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1,479</w:t>
            </w:r>
          </w:p>
        </w:tc>
      </w:tr>
      <w:tr>
        <w:trPr>
          <w:trHeight w:val="216"/>
        </w:trPr>
        <w:tc>
          <w:tcPr>
            <w:tcW w:w="860" w:type="dxa"/>
            <w:vAlign w:val="bottom"/>
          </w:tcPr>
          <w:p>
            <w:pPr>
              <w:jc w:val="right"/>
              <w:ind w:right="43"/>
              <w:spacing w:after="0"/>
              <w:rPr>
                <w:sz w:val="20"/>
                <w:szCs w:val="20"/>
                <w:color w:val="auto"/>
              </w:rPr>
            </w:pPr>
            <w:r>
              <w:rPr>
                <w:rFonts w:ascii="Arial" w:cs="Arial" w:eastAsia="Arial" w:hAnsi="Arial"/>
                <w:sz w:val="11"/>
                <w:szCs w:val="11"/>
                <w:color w:val="auto"/>
              </w:rPr>
              <w:t>598</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87</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685</w:t>
            </w:r>
          </w:p>
        </w:tc>
        <w:tc>
          <w:tcPr>
            <w:tcW w:w="1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1,188</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97</w:t>
            </w: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1,285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-869315</wp:posOffset>
            </wp:positionV>
            <wp:extent cx="7274560" cy="164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164465"/>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-568325</wp:posOffset>
            </wp:positionV>
            <wp:extent cx="72745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-294640</wp:posOffset>
            </wp:positionV>
            <wp:extent cx="7274560" cy="164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1644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820" w:space="60"/>
            <w:col w:w="9580"/>
          </w:cols>
          <w:pgMar w:left="220" w:top="470" w:right="21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Income (loss) before income taxes</w:t>
            </w:r>
          </w:p>
        </w:tc>
        <w:tc>
          <w:tcPr>
            <w:tcW w:w="280" w:type="dxa"/>
            <w:vAlign w:val="bottom"/>
            <w:tcBorders>
              <w:top w:val="single" w:sz="8" w:color="auto"/>
            </w:tcBorders>
            <w:vMerge w:val="restart"/>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4,787</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(458)</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895</w:t>
            </w:r>
          </w:p>
        </w:tc>
        <w:tc>
          <w:tcPr>
            <w:tcW w:w="1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vMerge w:val="restart"/>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(15)</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5,209</w:t>
            </w:r>
          </w:p>
        </w:tc>
        <w:tc>
          <w:tcPr>
            <w:tcW w:w="160" w:type="dxa"/>
            <w:vAlign w:val="bottom"/>
            <w:tcBorders>
              <w:top w:val="single" w:sz="8" w:color="CCEEFF"/>
            </w:tcBorders>
            <w:vMerge w:val="restart"/>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3,797</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(321)</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979</w:t>
            </w: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vMerge w:val="restart"/>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6</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4,461</w:t>
            </w:r>
          </w:p>
        </w:tc>
        <w:tc>
          <w:tcPr>
            <w:tcW w:w="0" w:type="dxa"/>
            <w:vAlign w:val="bottom"/>
          </w:tcPr>
          <w:p>
            <w:pPr>
              <w:spacing w:after="0"/>
              <w:rPr>
                <w:sz w:val="1"/>
                <w:szCs w:val="1"/>
                <w:color w:val="auto"/>
              </w:rPr>
            </w:pPr>
          </w:p>
        </w:tc>
      </w:tr>
      <w:tr>
        <w:trPr>
          <w:trHeight w:val="64"/>
        </w:trPr>
        <w:tc>
          <w:tcPr>
            <w:tcW w:w="18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5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880" w:type="dxa"/>
            <w:vAlign w:val="bottom"/>
          </w:tcPr>
          <w:p>
            <w:pPr>
              <w:ind w:left="20"/>
              <w:spacing w:after="0"/>
              <w:rPr>
                <w:sz w:val="20"/>
                <w:szCs w:val="20"/>
                <w:color w:val="auto"/>
              </w:rPr>
            </w:pPr>
            <w:r>
              <w:rPr>
                <w:rFonts w:ascii="Arial" w:cs="Arial" w:eastAsia="Arial" w:hAnsi="Arial"/>
                <w:sz w:val="10"/>
                <w:szCs w:val="10"/>
                <w:color w:val="auto"/>
              </w:rPr>
              <w:t>Income tax expense</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ind w:right="63"/>
              <w:spacing w:after="0"/>
              <w:rPr>
                <w:sz w:val="20"/>
                <w:szCs w:val="20"/>
                <w:color w:val="auto"/>
              </w:rPr>
            </w:pPr>
            <w:r>
              <w:rPr>
                <w:rFonts w:ascii="Arial" w:cs="Arial" w:eastAsia="Arial" w:hAnsi="Arial"/>
                <w:sz w:val="11"/>
                <w:szCs w:val="11"/>
                <w:color w:val="auto"/>
              </w:rPr>
              <w:t>661</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restart"/>
          </w:tcPr>
          <w:p>
            <w:pPr>
              <w:jc w:val="right"/>
              <w:ind w:right="43"/>
              <w:spacing w:after="0"/>
              <w:rPr>
                <w:sz w:val="20"/>
                <w:szCs w:val="20"/>
                <w:color w:val="auto"/>
              </w:rPr>
            </w:pPr>
            <w:r>
              <w:rPr>
                <w:rFonts w:ascii="Arial" w:cs="Arial" w:eastAsia="Arial" w:hAnsi="Arial"/>
                <w:sz w:val="11"/>
                <w:szCs w:val="11"/>
                <w:color w:val="auto"/>
              </w:rPr>
              <w:t>985</w:t>
            </w:r>
          </w:p>
        </w:tc>
        <w:tc>
          <w:tcPr>
            <w:tcW w:w="0" w:type="dxa"/>
            <w:vAlign w:val="bottom"/>
          </w:tcPr>
          <w:p>
            <w:pPr>
              <w:spacing w:after="0"/>
              <w:rPr>
                <w:sz w:val="1"/>
                <w:szCs w:val="1"/>
                <w:color w:val="auto"/>
              </w:rPr>
            </w:pPr>
          </w:p>
        </w:tc>
      </w:tr>
      <w:tr>
        <w:trPr>
          <w:trHeight w:val="73"/>
        </w:trPr>
        <w:tc>
          <w:tcPr>
            <w:tcW w:w="188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54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from continuing operations</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4,548</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3,476</w:t>
            </w:r>
          </w:p>
        </w:tc>
        <w:tc>
          <w:tcPr>
            <w:tcW w:w="0" w:type="dxa"/>
            <w:vAlign w:val="bottom"/>
          </w:tcPr>
          <w:p>
            <w:pPr>
              <w:spacing w:after="0"/>
              <w:rPr>
                <w:sz w:val="1"/>
                <w:szCs w:val="1"/>
                <w:color w:val="auto"/>
              </w:rPr>
            </w:pPr>
          </w:p>
        </w:tc>
      </w:tr>
      <w:tr>
        <w:trPr>
          <w:trHeight w:val="78"/>
        </w:trPr>
        <w:tc>
          <w:tcPr>
            <w:tcW w:w="1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1880" w:type="dxa"/>
            <w:vAlign w:val="bottom"/>
          </w:tcPr>
          <w:p>
            <w:pPr>
              <w:ind w:left="20"/>
              <w:spacing w:after="0"/>
              <w:rPr>
                <w:sz w:val="20"/>
                <w:szCs w:val="20"/>
                <w:color w:val="auto"/>
              </w:rPr>
            </w:pPr>
            <w:r>
              <w:rPr>
                <w:rFonts w:ascii="Arial" w:cs="Arial" w:eastAsia="Arial" w:hAnsi="Arial"/>
                <w:sz w:val="10"/>
                <w:szCs w:val="10"/>
                <w:color w:val="auto"/>
              </w:rPr>
              <w:t>Loss from discontinued operations, net</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vMerge w:val="restart"/>
          </w:tcPr>
          <w:p>
            <w:pPr>
              <w:jc w:val="right"/>
              <w:ind w:right="43"/>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30"/>
        </w:trPr>
        <w:tc>
          <w:tcPr>
            <w:tcW w:w="1880" w:type="dxa"/>
            <w:vAlign w:val="bottom"/>
            <w:tcBorders>
              <w:bottom w:val="single" w:sz="8" w:color="CCEEFF"/>
            </w:tcBorders>
          </w:tcPr>
          <w:p>
            <w:pPr>
              <w:ind w:left="160"/>
              <w:spacing w:after="0"/>
              <w:rPr>
                <w:sz w:val="20"/>
                <w:szCs w:val="20"/>
                <w:color w:val="auto"/>
              </w:rPr>
            </w:pPr>
            <w:r>
              <w:rPr>
                <w:rFonts w:ascii="Arial" w:cs="Arial" w:eastAsia="Arial" w:hAnsi="Arial"/>
                <w:sz w:val="10"/>
                <w:szCs w:val="10"/>
                <w:color w:val="auto"/>
              </w:rPr>
              <w:t>of tax</w:t>
            </w:r>
          </w:p>
        </w:tc>
        <w:tc>
          <w:tcPr>
            <w:tcW w:w="2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income</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4,548</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3,406</w:t>
            </w:r>
          </w:p>
        </w:tc>
        <w:tc>
          <w:tcPr>
            <w:tcW w:w="0" w:type="dxa"/>
            <w:vAlign w:val="bottom"/>
          </w:tcPr>
          <w:p>
            <w:pPr>
              <w:spacing w:after="0"/>
              <w:rPr>
                <w:sz w:val="1"/>
                <w:szCs w:val="1"/>
                <w:color w:val="auto"/>
              </w:rPr>
            </w:pPr>
          </w:p>
        </w:tc>
      </w:tr>
      <w:tr>
        <w:trPr>
          <w:trHeight w:val="78"/>
        </w:trPr>
        <w:tc>
          <w:tcPr>
            <w:tcW w:w="1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1880" w:type="dxa"/>
            <w:vAlign w:val="bottom"/>
          </w:tcPr>
          <w:p>
            <w:pPr>
              <w:ind w:left="20"/>
              <w:spacing w:after="0"/>
              <w:rPr>
                <w:sz w:val="20"/>
                <w:szCs w:val="20"/>
                <w:color w:val="auto"/>
              </w:rPr>
            </w:pPr>
            <w:r>
              <w:rPr>
                <w:rFonts w:ascii="Arial" w:cs="Arial" w:eastAsia="Arial" w:hAnsi="Arial"/>
                <w:sz w:val="10"/>
                <w:szCs w:val="10"/>
                <w:color w:val="auto"/>
              </w:rPr>
              <w:t>Net loss attributable to noncontrolling</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restart"/>
          </w:tcPr>
          <w:p>
            <w:pPr>
              <w:jc w:val="right"/>
              <w:ind w:right="63"/>
              <w:spacing w:after="0"/>
              <w:rPr>
                <w:sz w:val="20"/>
                <w:szCs w:val="20"/>
                <w:color w:val="auto"/>
              </w:rPr>
            </w:pPr>
            <w:r>
              <w:rPr>
                <w:rFonts w:ascii="Arial" w:cs="Arial" w:eastAsia="Arial" w:hAnsi="Arial"/>
                <w:sz w:val="11"/>
                <w:szCs w:val="11"/>
                <w:color w:val="auto"/>
              </w:rPr>
              <w:t>27</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vMerge w:val="restart"/>
          </w:tcPr>
          <w:p>
            <w:pPr>
              <w:jc w:val="right"/>
              <w:ind w:right="43"/>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30"/>
        </w:trPr>
        <w:tc>
          <w:tcPr>
            <w:tcW w:w="1880" w:type="dxa"/>
            <w:vAlign w:val="bottom"/>
            <w:tcBorders>
              <w:bottom w:val="single" w:sz="8" w:color="CCEEFF"/>
            </w:tcBorders>
          </w:tcPr>
          <w:p>
            <w:pPr>
              <w:ind w:left="160"/>
              <w:spacing w:after="0"/>
              <w:rPr>
                <w:sz w:val="20"/>
                <w:szCs w:val="20"/>
                <w:color w:val="auto"/>
              </w:rPr>
            </w:pPr>
            <w:r>
              <w:rPr>
                <w:rFonts w:ascii="Arial" w:cs="Arial" w:eastAsia="Arial" w:hAnsi="Arial"/>
                <w:sz w:val="10"/>
                <w:szCs w:val="10"/>
                <w:color w:val="auto"/>
              </w:rPr>
              <w:t>interests</w:t>
            </w:r>
          </w:p>
        </w:tc>
        <w:tc>
          <w:tcPr>
            <w:tcW w:w="2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880" w:type="dxa"/>
            <w:vAlign w:val="bottom"/>
            <w:shd w:val="clear" w:color="auto" w:fill="CCEEFF"/>
          </w:tcPr>
          <w:p>
            <w:pPr>
              <w:ind w:left="20"/>
              <w:spacing w:after="0" w:line="97" w:lineRule="exact"/>
              <w:rPr>
                <w:sz w:val="20"/>
                <w:szCs w:val="20"/>
                <w:color w:val="auto"/>
              </w:rPr>
            </w:pPr>
            <w:r>
              <w:rPr>
                <w:rFonts w:ascii="Arial" w:cs="Arial" w:eastAsia="Arial" w:hAnsi="Arial"/>
                <w:sz w:val="10"/>
                <w:szCs w:val="10"/>
                <w:b w:val="1"/>
                <w:bCs w:val="1"/>
                <w:color w:val="auto"/>
              </w:rPr>
              <w:t>Net income attributable to</w:t>
            </w:r>
          </w:p>
        </w:tc>
        <w:tc>
          <w:tcPr>
            <w:tcW w:w="2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1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4,575</w:t>
            </w: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9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3,436</w:t>
            </w:r>
          </w:p>
        </w:tc>
        <w:tc>
          <w:tcPr>
            <w:tcW w:w="0" w:type="dxa"/>
            <w:vAlign w:val="bottom"/>
          </w:tcPr>
          <w:p>
            <w:pPr>
              <w:spacing w:after="0"/>
              <w:rPr>
                <w:sz w:val="1"/>
                <w:szCs w:val="1"/>
                <w:color w:val="auto"/>
              </w:rPr>
            </w:pPr>
          </w:p>
        </w:tc>
      </w:tr>
      <w:tr>
        <w:trPr>
          <w:trHeight w:val="134"/>
        </w:trPr>
        <w:tc>
          <w:tcPr>
            <w:tcW w:w="1880" w:type="dxa"/>
            <w:vAlign w:val="bottom"/>
            <w:shd w:val="clear" w:color="auto" w:fill="CCEEFF"/>
          </w:tcPr>
          <w:p>
            <w:pPr>
              <w:ind w:left="160"/>
              <w:spacing w:after="0"/>
              <w:rPr>
                <w:sz w:val="20"/>
                <w:szCs w:val="20"/>
                <w:color w:val="auto"/>
              </w:rPr>
            </w:pPr>
            <w:r>
              <w:rPr>
                <w:rFonts w:ascii="Arial" w:cs="Arial" w:eastAsia="Arial" w:hAnsi="Arial"/>
                <w:sz w:val="10"/>
                <w:szCs w:val="10"/>
                <w:b w:val="1"/>
                <w:bCs w:val="1"/>
                <w:color w:val="auto"/>
              </w:rPr>
              <w:t>stockholders</w:t>
            </w: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80" w:type="dxa"/>
            <w:vAlign w:val="bottom"/>
            <w:gridSpan w:val="3"/>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gridSpan w:val="3"/>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880" w:type="dxa"/>
            <w:vAlign w:val="bottom"/>
            <w:shd w:val="clear" w:color="auto" w:fill="CCEEFF"/>
          </w:tcPr>
          <w:p>
            <w:pPr>
              <w:ind w:left="20"/>
              <w:spacing w:after="0" w:line="113" w:lineRule="exact"/>
              <w:rPr>
                <w:sz w:val="20"/>
                <w:szCs w:val="20"/>
                <w:color w:val="auto"/>
              </w:rPr>
            </w:pPr>
            <w:r>
              <w:rPr>
                <w:rFonts w:ascii="Arial" w:cs="Arial" w:eastAsia="Arial" w:hAnsi="Arial"/>
                <w:sz w:val="10"/>
                <w:szCs w:val="10"/>
                <w:b w:val="1"/>
                <w:bCs w:val="1"/>
                <w:color w:val="auto"/>
              </w:rPr>
              <w:t>Net income attributable to common</w:t>
            </w:r>
          </w:p>
        </w:tc>
        <w:tc>
          <w:tcPr>
            <w:tcW w:w="2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4,500</w:t>
            </w: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9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3,407</w:t>
            </w:r>
          </w:p>
        </w:tc>
        <w:tc>
          <w:tcPr>
            <w:tcW w:w="0" w:type="dxa"/>
            <w:vAlign w:val="bottom"/>
          </w:tcPr>
          <w:p>
            <w:pPr>
              <w:spacing w:after="0"/>
              <w:rPr>
                <w:sz w:val="1"/>
                <w:szCs w:val="1"/>
                <w:color w:val="auto"/>
              </w:rPr>
            </w:pPr>
          </w:p>
        </w:tc>
      </w:tr>
      <w:tr>
        <w:trPr>
          <w:trHeight w:val="146"/>
        </w:trPr>
        <w:tc>
          <w:tcPr>
            <w:tcW w:w="1880" w:type="dxa"/>
            <w:vAlign w:val="bottom"/>
            <w:shd w:val="clear" w:color="auto" w:fill="CCEEFF"/>
          </w:tcPr>
          <w:p>
            <w:pPr>
              <w:ind w:left="160"/>
              <w:spacing w:after="0"/>
              <w:rPr>
                <w:sz w:val="20"/>
                <w:szCs w:val="20"/>
                <w:color w:val="auto"/>
              </w:rPr>
            </w:pPr>
            <w:r>
              <w:rPr>
                <w:rFonts w:ascii="Arial" w:cs="Arial" w:eastAsia="Arial" w:hAnsi="Arial"/>
                <w:sz w:val="10"/>
                <w:szCs w:val="10"/>
                <w:b w:val="1"/>
                <w:bCs w:val="1"/>
                <w:color w:val="auto"/>
              </w:rPr>
              <w:t>stockholders</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3"/>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60"/>
          </w:cols>
          <w:pgMar w:left="220" w:top="470" w:right="21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basic and diluted earnings (loss) per share (in millions,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w:t>
            </w:r>
          </w:p>
        </w:tc>
        <w:tc>
          <w:tcPr>
            <w:tcW w:w="1060" w:type="dxa"/>
            <w:vAlign w:val="bottom"/>
            <w:tcBorders>
              <w:bottom w:val="single" w:sz="8" w:color="auto"/>
            </w:tcBorders>
          </w:tcPr>
          <w:p>
            <w:pPr>
              <w:spacing w:after="0"/>
              <w:rPr>
                <w:sz w:val="12"/>
                <w:szCs w:val="12"/>
                <w:color w:val="auto"/>
              </w:rPr>
            </w:pPr>
          </w:p>
        </w:tc>
      </w:tr>
      <w:tr>
        <w:trPr>
          <w:trHeight w:val="13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80"/>
              <w:spacing w:after="0"/>
              <w:rPr>
                <w:sz w:val="20"/>
                <w:szCs w:val="20"/>
                <w:color w:val="auto"/>
              </w:rPr>
            </w:pPr>
            <w:r>
              <w:rPr>
                <w:rFonts w:ascii="Arial" w:cs="Arial" w:eastAsia="Arial" w:hAnsi="Arial"/>
                <w:sz w:val="10"/>
                <w:szCs w:val="10"/>
                <w:b w:val="1"/>
                <w:bCs w:val="1"/>
                <w:color w:val="auto"/>
              </w:rPr>
              <w:t>June 30, 2019</w:t>
            </w:r>
          </w:p>
        </w:tc>
        <w:tc>
          <w:tcPr>
            <w:tcW w:w="260" w:type="dxa"/>
            <w:vAlign w:val="bottom"/>
          </w:tcPr>
          <w:p>
            <w:pPr>
              <w:spacing w:after="0"/>
              <w:rPr>
                <w:sz w:val="12"/>
                <w:szCs w:val="12"/>
                <w:color w:val="auto"/>
              </w:rPr>
            </w:pPr>
          </w:p>
        </w:tc>
        <w:tc>
          <w:tcPr>
            <w:tcW w:w="1360" w:type="dxa"/>
            <w:vAlign w:val="bottom"/>
            <w:gridSpan w:val="2"/>
          </w:tcPr>
          <w:p>
            <w:pPr>
              <w:ind w:left="160"/>
              <w:spacing w:after="0"/>
              <w:rPr>
                <w:sz w:val="20"/>
                <w:szCs w:val="20"/>
                <w:color w:val="auto"/>
              </w:rPr>
            </w:pPr>
            <w:r>
              <w:rPr>
                <w:rFonts w:ascii="Arial" w:cs="Arial" w:eastAsia="Arial" w:hAnsi="Arial"/>
                <w:sz w:val="10"/>
                <w:szCs w:val="10"/>
                <w:b w:val="1"/>
                <w:bCs w:val="1"/>
                <w:color w:val="auto"/>
              </w:rPr>
              <w:t>June 30, 2018</w:t>
            </w:r>
          </w:p>
        </w:tc>
        <w:tc>
          <w:tcPr>
            <w:tcW w:w="260" w:type="dxa"/>
            <w:vAlign w:val="bottom"/>
          </w:tcPr>
          <w:p>
            <w:pPr>
              <w:spacing w:after="0"/>
              <w:rPr>
                <w:sz w:val="12"/>
                <w:szCs w:val="12"/>
                <w:color w:val="auto"/>
              </w:rPr>
            </w:pPr>
          </w:p>
        </w:tc>
        <w:tc>
          <w:tcPr>
            <w:tcW w:w="1340" w:type="dxa"/>
            <w:vAlign w:val="bottom"/>
            <w:gridSpan w:val="2"/>
          </w:tcPr>
          <w:p>
            <w:pPr>
              <w:ind w:left="160"/>
              <w:spacing w:after="0"/>
              <w:rPr>
                <w:sz w:val="20"/>
                <w:szCs w:val="20"/>
                <w:color w:val="auto"/>
              </w:rPr>
            </w:pPr>
            <w:r>
              <w:rPr>
                <w:rFonts w:ascii="Arial" w:cs="Arial" w:eastAsia="Arial" w:hAnsi="Arial"/>
                <w:sz w:val="10"/>
                <w:szCs w:val="10"/>
                <w:b w:val="1"/>
                <w:bCs w:val="1"/>
                <w:color w:val="auto"/>
              </w:rPr>
              <w:t>June 30, 2019</w:t>
            </w:r>
          </w:p>
        </w:tc>
        <w:tc>
          <w:tcPr>
            <w:tcW w:w="400" w:type="dxa"/>
            <w:vAlign w:val="bottom"/>
          </w:tcPr>
          <w:p>
            <w:pPr>
              <w:spacing w:after="0"/>
              <w:rPr>
                <w:sz w:val="12"/>
                <w:szCs w:val="12"/>
                <w:color w:val="auto"/>
              </w:rPr>
            </w:pPr>
          </w:p>
        </w:tc>
        <w:tc>
          <w:tcPr>
            <w:tcW w:w="1060" w:type="dxa"/>
            <w:vAlign w:val="bottom"/>
          </w:tcPr>
          <w:p>
            <w:pPr>
              <w:jc w:val="right"/>
              <w:ind w:right="336"/>
              <w:spacing w:after="0"/>
              <w:rPr>
                <w:sz w:val="20"/>
                <w:szCs w:val="20"/>
                <w:color w:val="auto"/>
              </w:rPr>
            </w:pPr>
            <w:r>
              <w:rPr>
                <w:rFonts w:ascii="Arial" w:cs="Arial" w:eastAsia="Arial" w:hAnsi="Arial"/>
                <w:sz w:val="10"/>
                <w:szCs w:val="10"/>
                <w:b w:val="1"/>
                <w:bCs w:val="1"/>
                <w:color w:val="auto"/>
                <w:w w:val="98"/>
              </w:rPr>
              <w:t>June 30, 2018</w:t>
            </w:r>
          </w:p>
        </w:tc>
      </w:tr>
      <w:tr>
        <w:trPr>
          <w:trHeight w:val="189"/>
        </w:trPr>
        <w:tc>
          <w:tcPr>
            <w:tcW w:w="5160" w:type="dxa"/>
            <w:vAlign w:val="bottom"/>
          </w:tcPr>
          <w:p>
            <w:pPr>
              <w:ind w:left="20"/>
              <w:spacing w:after="0"/>
              <w:rPr>
                <w:sz w:val="20"/>
                <w:szCs w:val="20"/>
                <w:color w:val="auto"/>
              </w:rPr>
            </w:pPr>
            <w:r>
              <w:rPr>
                <w:rFonts w:ascii="Arial" w:cs="Arial" w:eastAsia="Arial" w:hAnsi="Arial"/>
                <w:sz w:val="11"/>
                <w:szCs w:val="11"/>
                <w:b w:val="1"/>
                <w:bCs w:val="1"/>
                <w:color w:val="auto"/>
              </w:rPr>
              <w:t>Basic earnings per share</w:t>
            </w: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199"/>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Income from continuing operations(a)</w:t>
            </w: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2,390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4,575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3,506</w:t>
            </w:r>
          </w:p>
        </w:tc>
      </w:tr>
      <w:tr>
        <w:trPr>
          <w:trHeight w:val="189"/>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Less: cumulative dividends on subsidiary preferred stock</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r>
      <w:tr>
        <w:trPr>
          <w:trHeight w:val="189"/>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Income from continuing operations attributable to common stockholders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2,381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2,375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4,500</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3,477</w:t>
            </w:r>
          </w:p>
        </w:tc>
      </w:tr>
      <w:tr>
        <w:trPr>
          <w:trHeight w:val="189"/>
        </w:trPr>
        <w:tc>
          <w:tcPr>
            <w:tcW w:w="5160" w:type="dxa"/>
            <w:vAlign w:val="bottom"/>
          </w:tcPr>
          <w:p>
            <w:pPr>
              <w:ind w:left="140"/>
              <w:spacing w:after="0"/>
              <w:rPr>
                <w:sz w:val="20"/>
                <w:szCs w:val="20"/>
                <w:color w:val="auto"/>
              </w:rPr>
            </w:pPr>
            <w:r>
              <w:rPr>
                <w:rFonts w:ascii="Arial" w:cs="Arial" w:eastAsia="Arial" w:hAnsi="Arial"/>
                <w:sz w:val="11"/>
                <w:szCs w:val="11"/>
                <w:color w:val="auto"/>
              </w:rPr>
              <w:t>Loss from discontinued operations, net of tax</w:t>
            </w:r>
          </w:p>
        </w:tc>
        <w:tc>
          <w:tcPr>
            <w:tcW w:w="26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70</w:t>
            </w:r>
          </w:p>
        </w:tc>
      </w:tr>
      <w:tr>
        <w:trPr>
          <w:trHeight w:val="189"/>
        </w:trPr>
        <w:tc>
          <w:tcPr>
            <w:tcW w:w="5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income attributable to common stockholders</w:t>
            </w: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2,381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2,375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4,500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3,407</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1,420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1,410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1,419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1,409</w:t>
            </w:r>
          </w:p>
        </w:tc>
      </w:tr>
      <w:tr>
        <w:trPr>
          <w:trHeight w:val="216"/>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4"/>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 earnings per common share – continuing operations</w:t>
            </w: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2.47</w:t>
            </w:r>
          </w:p>
        </w:tc>
      </w:tr>
      <w:tr>
        <w:trPr>
          <w:trHeight w:val="189"/>
        </w:trPr>
        <w:tc>
          <w:tcPr>
            <w:tcW w:w="5160" w:type="dxa"/>
            <w:vAlign w:val="bottom"/>
          </w:tcPr>
          <w:p>
            <w:pPr>
              <w:ind w:left="140"/>
              <w:spacing w:after="0"/>
              <w:rPr>
                <w:sz w:val="20"/>
                <w:szCs w:val="20"/>
                <w:color w:val="auto"/>
              </w:rPr>
            </w:pPr>
            <w:r>
              <w:rPr>
                <w:rFonts w:ascii="Arial" w:cs="Arial" w:eastAsia="Arial" w:hAnsi="Arial"/>
                <w:sz w:val="11"/>
                <w:szCs w:val="11"/>
                <w:color w:val="auto"/>
              </w:rPr>
              <w:t>Basic loss per common share – discontinued operations</w:t>
            </w: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0.05</w:t>
            </w:r>
          </w:p>
        </w:tc>
      </w:tr>
      <w:tr>
        <w:trPr>
          <w:trHeight w:val="199"/>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 earnings per common share</w:t>
            </w: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2.42</w:t>
            </w:r>
          </w:p>
        </w:tc>
      </w:tr>
      <w:tr>
        <w:trPr>
          <w:trHeight w:val="189"/>
        </w:trPr>
        <w:tc>
          <w:tcPr>
            <w:tcW w:w="5160" w:type="dxa"/>
            <w:vAlign w:val="bottom"/>
          </w:tcPr>
          <w:p>
            <w:pPr>
              <w:ind w:left="20"/>
              <w:spacing w:after="0"/>
              <w:rPr>
                <w:sz w:val="20"/>
                <w:szCs w:val="20"/>
                <w:color w:val="auto"/>
              </w:rPr>
            </w:pPr>
            <w:r>
              <w:rPr>
                <w:rFonts w:ascii="Arial" w:cs="Arial" w:eastAsia="Arial" w:hAnsi="Arial"/>
                <w:sz w:val="11"/>
                <w:szCs w:val="11"/>
                <w:b w:val="1"/>
                <w:bCs w:val="1"/>
                <w:color w:val="auto"/>
              </w:rPr>
              <w:t>Diluted earnings per share</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9"/>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Income from continuing operations attributable to common stockholders – diluted(a)</w:t>
            </w: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2,381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2,375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4,500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3,477</w:t>
            </w:r>
          </w:p>
        </w:tc>
      </w:tr>
      <w:tr>
        <w:trPr>
          <w:trHeight w:val="189"/>
        </w:trPr>
        <w:tc>
          <w:tcPr>
            <w:tcW w:w="5160" w:type="dxa"/>
            <w:vAlign w:val="bottom"/>
          </w:tcPr>
          <w:p>
            <w:pPr>
              <w:ind w:left="140"/>
              <w:spacing w:after="0"/>
              <w:rPr>
                <w:sz w:val="20"/>
                <w:szCs w:val="20"/>
                <w:color w:val="auto"/>
              </w:rPr>
            </w:pPr>
            <w:r>
              <w:rPr>
                <w:rFonts w:ascii="Arial" w:cs="Arial" w:eastAsia="Arial" w:hAnsi="Arial"/>
                <w:sz w:val="11"/>
                <w:szCs w:val="11"/>
                <w:color w:val="auto"/>
              </w:rPr>
              <w:t>Loss from discontinued operations, net of tax – diluted</w:t>
            </w: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70</w:t>
            </w:r>
          </w:p>
        </w:tc>
      </w:tr>
      <w:tr>
        <w:trPr>
          <w:trHeight w:val="199"/>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 attributable to common stockholders – diluted</w:t>
            </w: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2,381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2,375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4,500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3,407</w:t>
            </w: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 – diluted</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1,431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1,430</w:t>
            </w: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 earnings per common share – continuing operations</w:t>
            </w: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3.13</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2.43</w:t>
            </w:r>
          </w:p>
        </w:tc>
      </w:tr>
      <w:tr>
        <w:trPr>
          <w:trHeight w:val="189"/>
        </w:trPr>
        <w:tc>
          <w:tcPr>
            <w:tcW w:w="5160" w:type="dxa"/>
            <w:vAlign w:val="bottom"/>
          </w:tcPr>
          <w:p>
            <w:pPr>
              <w:ind w:left="140"/>
              <w:spacing w:after="0"/>
              <w:rPr>
                <w:sz w:val="20"/>
                <w:szCs w:val="20"/>
                <w:color w:val="auto"/>
              </w:rPr>
            </w:pPr>
            <w:r>
              <w:rPr>
                <w:rFonts w:ascii="Arial" w:cs="Arial" w:eastAsia="Arial" w:hAnsi="Arial"/>
                <w:sz w:val="11"/>
                <w:szCs w:val="11"/>
                <w:color w:val="auto"/>
              </w:rPr>
              <w:t>Diluted loss per common share – discontinued operations</w:t>
            </w: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0.05</w:t>
            </w:r>
          </w:p>
        </w:tc>
      </w:tr>
      <w:tr>
        <w:trPr>
          <w:trHeight w:val="199"/>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 earnings per common share</w:t>
            </w: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2.38</w:t>
            </w:r>
          </w:p>
        </w:tc>
      </w:tr>
      <w:tr>
        <w:trPr>
          <w:trHeight w:val="185"/>
        </w:trPr>
        <w:tc>
          <w:tcPr>
            <w:tcW w:w="5160" w:type="dxa"/>
            <w:vAlign w:val="bottom"/>
          </w:tcPr>
          <w:p>
            <w:pPr>
              <w:ind w:left="140"/>
              <w:spacing w:after="0"/>
              <w:rPr>
                <w:sz w:val="20"/>
                <w:szCs w:val="20"/>
                <w:color w:val="auto"/>
              </w:rPr>
            </w:pPr>
            <w:r>
              <w:rPr>
                <w:rFonts w:ascii="Arial" w:cs="Arial" w:eastAsia="Arial" w:hAnsi="Arial"/>
                <w:sz w:val="11"/>
                <w:szCs w:val="11"/>
                <w:color w:val="auto"/>
              </w:rPr>
              <w:t>Potentially dilutive securities(b)</w:t>
            </w:r>
          </w:p>
        </w:tc>
        <w:tc>
          <w:tcPr>
            <w:tcW w:w="260" w:type="dxa"/>
            <w:vAlign w:val="bottom"/>
          </w:tcPr>
          <w:p>
            <w:pPr>
              <w:spacing w:after="0"/>
              <w:rPr>
                <w:sz w:val="16"/>
                <w:szCs w:val="16"/>
                <w:color w:val="auto"/>
              </w:rPr>
            </w:pP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4</w:t>
            </w:r>
          </w:p>
        </w:tc>
      </w:tr>
      <w:tr>
        <w:trPr>
          <w:trHeight w:val="142"/>
        </w:trPr>
        <w:tc>
          <w:tcPr>
            <w:tcW w:w="5160" w:type="dxa"/>
            <w:vAlign w:val="bottom"/>
          </w:tcPr>
          <w:p>
            <w:pPr>
              <w:spacing w:after="0"/>
              <w:rPr>
                <w:sz w:val="20"/>
                <w:szCs w:val="20"/>
                <w:color w:val="auto"/>
              </w:rPr>
            </w:pPr>
            <w:r>
              <w:rPr>
                <w:rFonts w:ascii="Arial" w:cs="Arial" w:eastAsia="Arial" w:hAnsi="Arial"/>
                <w:sz w:val="11"/>
                <w:szCs w:val="11"/>
                <w:color w:val="auto"/>
              </w:rPr>
              <w:t>__________</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r>
    </w:tbl>
    <w:p>
      <w:pPr>
        <w:ind w:left="260" w:hanging="254"/>
        <w:spacing w:after="0"/>
        <w:tabs>
          <w:tab w:leader="none" w:pos="2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and Restricted Stock Units were excluded from the computation of diluted EPS because the securities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60"/>
          </w:cols>
          <w:pgMar w:left="220" w:top="470" w:right="2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Combining Balance Sheet Information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(Unaudited)(a)</w:t>
      </w:r>
    </w:p>
    <w:p>
      <w:pPr>
        <w:spacing w:after="0" w:line="192" w:lineRule="exact"/>
        <w:rPr>
          <w:sz w:val="20"/>
          <w:szCs w:val="20"/>
          <w:color w:val="auto"/>
        </w:rPr>
      </w:pPr>
    </w:p>
    <w:tbl>
      <w:tblPr>
        <w:tblLayout w:type="fixed"/>
        <w:tblInd w:w="2420" w:type="dxa"/>
        <w:tblCellMar>
          <w:top w:w="0" w:type="dxa"/>
          <w:left w:w="0" w:type="dxa"/>
          <w:bottom w:w="0" w:type="dxa"/>
          <w:right w:w="0" w:type="dxa"/>
        </w:tblCellMar>
      </w:tblPr>
      <w:tr>
        <w:trPr>
          <w:trHeight w:val="123"/>
        </w:trPr>
        <w:tc>
          <w:tcPr>
            <w:tcW w:w="8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9"/>
                <w:szCs w:val="9"/>
                <w:b w:val="1"/>
                <w:bCs w:val="1"/>
                <w:color w:val="auto"/>
                <w:w w:val="95"/>
              </w:rPr>
              <w:t>June 30, 2019</w:t>
            </w:r>
          </w:p>
        </w:tc>
        <w:tc>
          <w:tcPr>
            <w:tcW w:w="1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2"/>
          </w:tcPr>
          <w:p>
            <w:pPr>
              <w:ind w:left="300"/>
              <w:spacing w:after="0"/>
              <w:rPr>
                <w:sz w:val="20"/>
                <w:szCs w:val="20"/>
                <w:color w:val="auto"/>
              </w:rPr>
            </w:pPr>
            <w:r>
              <w:rPr>
                <w:rFonts w:ascii="Arial" w:cs="Arial" w:eastAsia="Arial" w:hAnsi="Arial"/>
                <w:sz w:val="9"/>
                <w:szCs w:val="9"/>
                <w:b w:val="1"/>
                <w:bCs w:val="1"/>
                <w:color w:val="auto"/>
              </w:rPr>
              <w:t>December 31, 2018</w:t>
            </w:r>
          </w:p>
        </w:tc>
        <w:tc>
          <w:tcPr>
            <w:tcW w:w="740" w:type="dxa"/>
            <w:vAlign w:val="bottom"/>
            <w:tcBorders>
              <w:bottom w:val="single" w:sz="8" w:color="auto"/>
            </w:tcBorders>
          </w:tcPr>
          <w:p>
            <w:pPr>
              <w:spacing w:after="0"/>
              <w:rPr>
                <w:sz w:val="10"/>
                <w:szCs w:val="10"/>
                <w:color w:val="auto"/>
              </w:rPr>
            </w:pPr>
          </w:p>
        </w:tc>
      </w:tr>
      <w:tr>
        <w:trPr>
          <w:trHeight w:val="203"/>
        </w:trPr>
        <w:tc>
          <w:tcPr>
            <w:tcW w:w="820" w:type="dxa"/>
            <w:vAlign w:val="bottom"/>
          </w:tcPr>
          <w:p>
            <w:pPr>
              <w:ind w:left="220"/>
              <w:spacing w:after="0"/>
              <w:rPr>
                <w:sz w:val="20"/>
                <w:szCs w:val="20"/>
                <w:color w:val="auto"/>
              </w:rPr>
            </w:pPr>
            <w:r>
              <w:rPr>
                <w:rFonts w:ascii="Arial" w:cs="Arial" w:eastAsia="Arial" w:hAnsi="Arial"/>
                <w:sz w:val="7"/>
                <w:szCs w:val="7"/>
                <w:b w:val="1"/>
                <w:bCs w:val="1"/>
                <w:color w:val="auto"/>
              </w:rPr>
              <w:t>Automotive</w:t>
            </w:r>
          </w:p>
        </w:tc>
        <w:tc>
          <w:tcPr>
            <w:tcW w:w="800" w:type="dxa"/>
            <w:vAlign w:val="bottom"/>
          </w:tcPr>
          <w:p>
            <w:pPr>
              <w:ind w:left="220"/>
              <w:spacing w:after="0"/>
              <w:rPr>
                <w:sz w:val="20"/>
                <w:szCs w:val="20"/>
                <w:color w:val="auto"/>
              </w:rPr>
            </w:pPr>
            <w:r>
              <w:rPr>
                <w:rFonts w:ascii="Arial" w:cs="Arial" w:eastAsia="Arial" w:hAnsi="Arial"/>
                <w:sz w:val="7"/>
                <w:szCs w:val="7"/>
                <w:b w:val="1"/>
                <w:bCs w:val="1"/>
                <w:color w:val="auto"/>
              </w:rPr>
              <w:t>GM Cruise</w:t>
            </w:r>
          </w:p>
        </w:tc>
        <w:tc>
          <w:tcPr>
            <w:tcW w:w="960" w:type="dxa"/>
            <w:vAlign w:val="bottom"/>
          </w:tcPr>
          <w:p>
            <w:pPr>
              <w:ind w:left="200"/>
              <w:spacing w:after="0"/>
              <w:rPr>
                <w:sz w:val="20"/>
                <w:szCs w:val="20"/>
                <w:color w:val="auto"/>
              </w:rPr>
            </w:pPr>
            <w:r>
              <w:rPr>
                <w:rFonts w:ascii="Arial" w:cs="Arial" w:eastAsia="Arial" w:hAnsi="Arial"/>
                <w:sz w:val="7"/>
                <w:szCs w:val="7"/>
                <w:b w:val="1"/>
                <w:bCs w:val="1"/>
                <w:color w:val="auto"/>
              </w:rPr>
              <w:t>GM Financial</w:t>
            </w:r>
          </w:p>
        </w:tc>
        <w:tc>
          <w:tcPr>
            <w:tcW w:w="1200" w:type="dxa"/>
            <w:vAlign w:val="bottom"/>
          </w:tcPr>
          <w:p>
            <w:pPr>
              <w:spacing w:after="0"/>
              <w:rPr>
                <w:sz w:val="20"/>
                <w:szCs w:val="20"/>
                <w:color w:val="auto"/>
              </w:rPr>
            </w:pPr>
            <w:r>
              <w:rPr>
                <w:rFonts w:ascii="Arial" w:cs="Arial" w:eastAsia="Arial" w:hAnsi="Arial"/>
                <w:sz w:val="7"/>
                <w:szCs w:val="7"/>
                <w:b w:val="1"/>
                <w:bCs w:val="1"/>
                <w:color w:val="auto"/>
              </w:rPr>
              <w:t>Reclassifications/Eliminations</w:t>
            </w:r>
          </w:p>
        </w:tc>
        <w:tc>
          <w:tcPr>
            <w:tcW w:w="860" w:type="dxa"/>
            <w:vAlign w:val="bottom"/>
            <w:gridSpan w:val="2"/>
          </w:tcPr>
          <w:p>
            <w:pPr>
              <w:ind w:left="180"/>
              <w:spacing w:after="0"/>
              <w:rPr>
                <w:sz w:val="20"/>
                <w:szCs w:val="20"/>
                <w:color w:val="auto"/>
              </w:rPr>
            </w:pPr>
            <w:r>
              <w:rPr>
                <w:rFonts w:ascii="Arial" w:cs="Arial" w:eastAsia="Arial" w:hAnsi="Arial"/>
                <w:sz w:val="7"/>
                <w:szCs w:val="7"/>
                <w:b w:val="1"/>
                <w:bCs w:val="1"/>
                <w:color w:val="auto"/>
              </w:rPr>
              <w:t>Combined</w:t>
            </w:r>
          </w:p>
        </w:tc>
        <w:tc>
          <w:tcPr>
            <w:tcW w:w="780" w:type="dxa"/>
            <w:vAlign w:val="bottom"/>
          </w:tcPr>
          <w:p>
            <w:pPr>
              <w:ind w:left="200"/>
              <w:spacing w:after="0"/>
              <w:rPr>
                <w:sz w:val="20"/>
                <w:szCs w:val="20"/>
                <w:color w:val="auto"/>
              </w:rPr>
            </w:pPr>
            <w:r>
              <w:rPr>
                <w:rFonts w:ascii="Arial" w:cs="Arial" w:eastAsia="Arial" w:hAnsi="Arial"/>
                <w:sz w:val="7"/>
                <w:szCs w:val="7"/>
                <w:b w:val="1"/>
                <w:bCs w:val="1"/>
                <w:color w:val="auto"/>
              </w:rPr>
              <w:t>Automotive</w:t>
            </w:r>
          </w:p>
        </w:tc>
        <w:tc>
          <w:tcPr>
            <w:tcW w:w="740" w:type="dxa"/>
            <w:vAlign w:val="bottom"/>
          </w:tcPr>
          <w:p>
            <w:pPr>
              <w:ind w:left="200"/>
              <w:spacing w:after="0"/>
              <w:rPr>
                <w:sz w:val="20"/>
                <w:szCs w:val="20"/>
                <w:color w:val="auto"/>
              </w:rPr>
            </w:pPr>
            <w:r>
              <w:rPr>
                <w:rFonts w:ascii="Arial" w:cs="Arial" w:eastAsia="Arial" w:hAnsi="Arial"/>
                <w:sz w:val="7"/>
                <w:szCs w:val="7"/>
                <w:b w:val="1"/>
                <w:bCs w:val="1"/>
                <w:color w:val="auto"/>
              </w:rPr>
              <w:t>GM Cruise</w:t>
            </w:r>
          </w:p>
        </w:tc>
        <w:tc>
          <w:tcPr>
            <w:tcW w:w="800" w:type="dxa"/>
            <w:vAlign w:val="bottom"/>
          </w:tcPr>
          <w:p>
            <w:pPr>
              <w:ind w:left="200"/>
              <w:spacing w:after="0"/>
              <w:rPr>
                <w:sz w:val="20"/>
                <w:szCs w:val="20"/>
                <w:color w:val="auto"/>
              </w:rPr>
            </w:pPr>
            <w:r>
              <w:rPr>
                <w:rFonts w:ascii="Arial" w:cs="Arial" w:eastAsia="Arial" w:hAnsi="Arial"/>
                <w:sz w:val="7"/>
                <w:szCs w:val="7"/>
                <w:b w:val="1"/>
                <w:bCs w:val="1"/>
                <w:color w:val="auto"/>
              </w:rPr>
              <w:t>GM Financial</w:t>
            </w:r>
          </w:p>
        </w:tc>
        <w:tc>
          <w:tcPr>
            <w:tcW w:w="1340" w:type="dxa"/>
            <w:vAlign w:val="bottom"/>
          </w:tcPr>
          <w:p>
            <w:pPr>
              <w:ind w:left="140"/>
              <w:spacing w:after="0"/>
              <w:rPr>
                <w:sz w:val="20"/>
                <w:szCs w:val="20"/>
                <w:color w:val="auto"/>
              </w:rPr>
            </w:pPr>
            <w:r>
              <w:rPr>
                <w:rFonts w:ascii="Arial" w:cs="Arial" w:eastAsia="Arial" w:hAnsi="Arial"/>
                <w:sz w:val="7"/>
                <w:szCs w:val="7"/>
                <w:b w:val="1"/>
                <w:bCs w:val="1"/>
                <w:color w:val="auto"/>
              </w:rPr>
              <w:t>Reclassifications/Eliminations</w:t>
            </w:r>
          </w:p>
        </w:tc>
        <w:tc>
          <w:tcPr>
            <w:tcW w:w="740" w:type="dxa"/>
            <w:vAlign w:val="bottom"/>
          </w:tcPr>
          <w:p>
            <w:pPr>
              <w:ind w:left="180"/>
              <w:spacing w:after="0"/>
              <w:rPr>
                <w:sz w:val="20"/>
                <w:szCs w:val="20"/>
                <w:color w:val="auto"/>
              </w:rPr>
            </w:pPr>
            <w:r>
              <w:rPr>
                <w:rFonts w:ascii="Arial" w:cs="Arial" w:eastAsia="Arial" w:hAnsi="Arial"/>
                <w:sz w:val="7"/>
                <w:szCs w:val="7"/>
                <w:b w:val="1"/>
                <w:bCs w:val="1"/>
                <w:color w:val="auto"/>
              </w:rPr>
              <w:t>Combined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7620</wp:posOffset>
            </wp:positionV>
            <wp:extent cx="574167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1670" cy="698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0"/>
          <w:szCs w:val="10"/>
          <w:b w:val="1"/>
          <w:bCs w:val="1"/>
          <w:color w:val="auto"/>
        </w:rPr>
        <w:t>ASSETS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60960</wp:posOffset>
            </wp:positionV>
            <wp:extent cx="72745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ectPr>
          <w:pgSz w:w="11900" w:h="16838" w:orient="portrait"/>
          <w:cols w:equalWidth="0" w:num="1">
            <w:col w:w="11460"/>
          </w:cols>
          <w:pgMar w:left="220" w:top="470" w:right="219" w:bottom="1440" w:gutter="0" w:footer="0" w:header="0"/>
        </w:sectPr>
      </w:pPr>
    </w:p>
    <w:p>
      <w:pPr>
        <w:spacing w:after="0" w:line="113"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Cash and cash equivalents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Marketable securities(b)</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Accounts and notes receivable, net(c)</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GM Financial receivables, net(d)</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Inventories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Other current assets(e)</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Total current assets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Non-current Assets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
        </w:trPr>
        <w:tc>
          <w:tcPr>
            <w:tcW w:w="240" w:type="dxa"/>
            <w:vAlign w:val="bottom"/>
          </w:tcPr>
          <w:p>
            <w:pPr>
              <w:jc w:val="right"/>
              <w:ind w:right="11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11,390</w:t>
            </w:r>
          </w:p>
        </w:tc>
        <w:tc>
          <w:tcPr>
            <w:tcW w:w="120" w:type="dxa"/>
            <w:vAlign w:val="bottom"/>
          </w:tcPr>
          <w:p>
            <w:pPr>
              <w:spacing w:after="0"/>
              <w:rPr>
                <w:sz w:val="10"/>
                <w:szCs w:val="10"/>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   2,088</w:t>
            </w:r>
          </w:p>
        </w:tc>
        <w:tc>
          <w:tcPr>
            <w:tcW w:w="120" w:type="dxa"/>
            <w:vAlign w:val="bottom"/>
          </w:tcPr>
          <w:p>
            <w:pPr>
              <w:spacing w:after="0"/>
              <w:rPr>
                <w:sz w:val="10"/>
                <w:szCs w:val="10"/>
                <w:color w:val="auto"/>
              </w:rPr>
            </w:pPr>
          </w:p>
        </w:tc>
        <w:tc>
          <w:tcPr>
            <w:tcW w:w="240" w:type="dxa"/>
            <w:vAlign w:val="bottom"/>
          </w:tcPr>
          <w:p>
            <w:pPr>
              <w:jc w:val="right"/>
              <w:ind w:right="11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3,594</w:t>
            </w:r>
          </w:p>
        </w:tc>
        <w:tc>
          <w:tcPr>
            <w:tcW w:w="100" w:type="dxa"/>
            <w:vAlign w:val="bottom"/>
          </w:tcPr>
          <w:p>
            <w:pPr>
              <w:spacing w:after="0"/>
              <w:rPr>
                <w:sz w:val="10"/>
                <w:szCs w:val="10"/>
                <w:color w:val="auto"/>
              </w:rPr>
            </w:pPr>
          </w:p>
        </w:tc>
        <w:tc>
          <w:tcPr>
            <w:tcW w:w="380" w:type="dxa"/>
            <w:vAlign w:val="bottom"/>
          </w:tcPr>
          <w:p>
            <w:pPr>
              <w:jc w:val="right"/>
              <w:ind w:right="25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17,072</w:t>
            </w:r>
          </w:p>
        </w:tc>
        <w:tc>
          <w:tcPr>
            <w:tcW w:w="120" w:type="dxa"/>
            <w:vAlign w:val="bottom"/>
          </w:tcPr>
          <w:p>
            <w:pPr>
              <w:spacing w:after="0"/>
              <w:rPr>
                <w:sz w:val="10"/>
                <w:szCs w:val="10"/>
                <w:color w:val="auto"/>
              </w:rPr>
            </w:pPr>
          </w:p>
        </w:tc>
        <w:tc>
          <w:tcPr>
            <w:tcW w:w="22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13,670</w:t>
            </w:r>
          </w:p>
        </w:tc>
        <w:tc>
          <w:tcPr>
            <w:tcW w:w="10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  2,291</w:t>
            </w:r>
          </w:p>
        </w:tc>
        <w:tc>
          <w:tcPr>
            <w:tcW w:w="100" w:type="dxa"/>
            <w:vAlign w:val="bottom"/>
          </w:tcPr>
          <w:p>
            <w:pPr>
              <w:spacing w:after="0"/>
              <w:rPr>
                <w:sz w:val="10"/>
                <w:szCs w:val="10"/>
                <w:color w:val="auto"/>
              </w:rPr>
            </w:pPr>
          </w:p>
        </w:tc>
        <w:tc>
          <w:tcPr>
            <w:tcW w:w="240" w:type="dxa"/>
            <w:vAlign w:val="bottom"/>
          </w:tcPr>
          <w:p>
            <w:pPr>
              <w:jc w:val="right"/>
              <w:ind w:right="11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70"/>
              <w:spacing w:after="0"/>
              <w:rPr>
                <w:sz w:val="20"/>
                <w:szCs w:val="20"/>
                <w:color w:val="auto"/>
              </w:rPr>
            </w:pPr>
            <w:r>
              <w:rPr>
                <w:rFonts w:ascii="Arial" w:cs="Arial" w:eastAsia="Arial" w:hAnsi="Arial"/>
                <w:sz w:val="10"/>
                <w:szCs w:val="10"/>
                <w:color w:val="auto"/>
              </w:rPr>
              <w:t>4,883</w:t>
            </w:r>
          </w:p>
        </w:tc>
        <w:tc>
          <w:tcPr>
            <w:tcW w:w="100" w:type="dxa"/>
            <w:vAlign w:val="bottom"/>
          </w:tcPr>
          <w:p>
            <w:pPr>
              <w:spacing w:after="0"/>
              <w:rPr>
                <w:sz w:val="10"/>
                <w:szCs w:val="10"/>
                <w:color w:val="auto"/>
              </w:rPr>
            </w:pPr>
          </w:p>
        </w:tc>
        <w:tc>
          <w:tcPr>
            <w:tcW w:w="380" w:type="dxa"/>
            <w:vAlign w:val="bottom"/>
          </w:tcPr>
          <w:p>
            <w:pPr>
              <w:jc w:val="right"/>
              <w:ind w:right="25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20,844</w:t>
            </w:r>
          </w:p>
        </w:tc>
      </w:tr>
      <w:tr>
        <w:trPr>
          <w:trHeight w:val="216"/>
        </w:trPr>
        <w:tc>
          <w:tcPr>
            <w:tcW w:w="24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6,147</w:t>
            </w:r>
          </w:p>
        </w:tc>
        <w:tc>
          <w:tcPr>
            <w:tcW w:w="12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982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7,049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5,966</w:t>
            </w:r>
          </w:p>
        </w:tc>
        <w:tc>
          <w:tcPr>
            <w:tcW w:w="1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5,966</w:t>
            </w:r>
          </w:p>
        </w:tc>
      </w:tr>
      <w:tr>
        <w:trPr>
          <w:trHeight w:val="216"/>
        </w:trPr>
        <w:tc>
          <w:tcPr>
            <w:tcW w:w="24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10,068</w:t>
            </w:r>
          </w:p>
        </w:tc>
        <w:tc>
          <w:tcPr>
            <w:tcW w:w="12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1,077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(794)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10,362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5,916</w:t>
            </w:r>
          </w:p>
        </w:tc>
        <w:tc>
          <w:tcPr>
            <w:tcW w:w="1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0"/>
                <w:szCs w:val="10"/>
                <w:color w:val="auto"/>
              </w:rPr>
              <w:t>1,430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(798)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6,549</w:t>
            </w:r>
          </w:p>
        </w:tc>
      </w:tr>
      <w:tr>
        <w:trPr>
          <w:trHeight w:val="216"/>
        </w:trPr>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28,473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(548)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27,925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0"/>
                <w:szCs w:val="10"/>
                <w:color w:val="auto"/>
              </w:rPr>
              <w:t>27,367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(517)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26,850</w:t>
            </w:r>
          </w:p>
        </w:tc>
      </w:tr>
      <w:tr>
        <w:trPr>
          <w:trHeight w:val="216"/>
        </w:trPr>
        <w:tc>
          <w:tcPr>
            <w:tcW w:w="24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11,447</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11,447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9,816</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9,816</w:t>
            </w:r>
          </w:p>
        </w:tc>
      </w:tr>
      <w:tr>
        <w:trPr>
          <w:trHeight w:val="222"/>
        </w:trPr>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3,036</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4,406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7,451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1,619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3,640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5,268</w:t>
            </w:r>
          </w:p>
        </w:tc>
      </w:tr>
      <w:tr>
        <w:trPr>
          <w:trHeight w:val="189"/>
        </w:trPr>
        <w:tc>
          <w:tcPr>
            <w:tcW w:w="240" w:type="dxa"/>
            <w:vAlign w:val="bottom"/>
          </w:tcPr>
          <w:p>
            <w:pPr>
              <w:spacing w:after="0"/>
              <w:rPr>
                <w:sz w:val="16"/>
                <w:szCs w:val="16"/>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42,089</w:t>
            </w:r>
          </w:p>
        </w:tc>
        <w:tc>
          <w:tcPr>
            <w:tcW w:w="120" w:type="dxa"/>
            <w:vAlign w:val="bottom"/>
          </w:tcPr>
          <w:p>
            <w:pPr>
              <w:spacing w:after="0"/>
              <w:rPr>
                <w:sz w:val="16"/>
                <w:szCs w:val="16"/>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3,096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37,549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(1,430)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81,306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36,987</w:t>
            </w:r>
          </w:p>
        </w:tc>
        <w:tc>
          <w:tcPr>
            <w:tcW w:w="100" w:type="dxa"/>
            <w:vAlign w:val="bottom"/>
          </w:tcPr>
          <w:p>
            <w:pPr>
              <w:spacing w:after="0"/>
              <w:rPr>
                <w:sz w:val="16"/>
                <w:szCs w:val="16"/>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2,411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ind w:right="70"/>
              <w:spacing w:after="0"/>
              <w:rPr>
                <w:sz w:val="20"/>
                <w:szCs w:val="20"/>
                <w:color w:val="auto"/>
              </w:rPr>
            </w:pPr>
            <w:r>
              <w:rPr>
                <w:rFonts w:ascii="Arial" w:cs="Arial" w:eastAsia="Arial" w:hAnsi="Arial"/>
                <w:sz w:val="10"/>
                <w:szCs w:val="10"/>
                <w:color w:val="auto"/>
              </w:rPr>
              <w:t>37,320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(1,425)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75,293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-675640</wp:posOffset>
            </wp:positionV>
            <wp:extent cx="72745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-401320</wp:posOffset>
            </wp:positionV>
            <wp:extent cx="72745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-127635</wp:posOffset>
            </wp:positionV>
            <wp:extent cx="72745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1820" w:space="600"/>
            <w:col w:w="9040"/>
          </w:cols>
          <w:pgMar w:left="220" w:top="470" w:right="21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GM Financial receivables, net(d)</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26,315</w:t>
            </w: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(51)</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26,264</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25,145</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(62)</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25,083</w:t>
            </w:r>
          </w:p>
        </w:tc>
        <w:tc>
          <w:tcPr>
            <w:tcW w:w="0" w:type="dxa"/>
            <w:vAlign w:val="bottom"/>
          </w:tcPr>
          <w:p>
            <w:pPr>
              <w:spacing w:after="0"/>
              <w:rPr>
                <w:sz w:val="1"/>
                <w:szCs w:val="1"/>
                <w:color w:val="auto"/>
              </w:rPr>
            </w:pPr>
          </w:p>
        </w:tc>
      </w:tr>
      <w:tr>
        <w:trPr>
          <w:trHeight w:val="75"/>
        </w:trPr>
        <w:tc>
          <w:tcPr>
            <w:tcW w:w="24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420" w:type="dxa"/>
            <w:vAlign w:val="bottom"/>
          </w:tcPr>
          <w:p>
            <w:pPr>
              <w:ind w:left="140"/>
              <w:spacing w:after="0"/>
              <w:rPr>
                <w:sz w:val="20"/>
                <w:szCs w:val="20"/>
                <w:color w:val="auto"/>
              </w:rPr>
            </w:pPr>
            <w:r>
              <w:rPr>
                <w:rFonts w:ascii="Arial" w:cs="Arial" w:eastAsia="Arial" w:hAnsi="Arial"/>
                <w:sz w:val="10"/>
                <w:szCs w:val="10"/>
                <w:color w:val="auto"/>
              </w:rPr>
              <w:t>Equity in net assets of nonconsolidated affiliates</w:t>
            </w:r>
          </w:p>
        </w:tc>
        <w:tc>
          <w:tcPr>
            <w:tcW w:w="820" w:type="dxa"/>
            <w:vAlign w:val="bottom"/>
            <w:vMerge w:val="restart"/>
          </w:tcPr>
          <w:p>
            <w:pPr>
              <w:jc w:val="right"/>
              <w:ind w:right="70"/>
              <w:spacing w:after="0"/>
              <w:rPr>
                <w:sz w:val="20"/>
                <w:szCs w:val="20"/>
                <w:color w:val="auto"/>
              </w:rPr>
            </w:pPr>
            <w:r>
              <w:rPr>
                <w:rFonts w:ascii="Arial" w:cs="Arial" w:eastAsia="Arial" w:hAnsi="Arial"/>
                <w:sz w:val="10"/>
                <w:szCs w:val="10"/>
                <w:color w:val="auto"/>
              </w:rPr>
              <w:t>6,894</w:t>
            </w:r>
          </w:p>
        </w:tc>
        <w:tc>
          <w:tcPr>
            <w:tcW w:w="120" w:type="dxa"/>
            <w:vAlign w:val="bottom"/>
          </w:tcPr>
          <w:p>
            <w:pPr>
              <w:spacing w:after="0"/>
              <w:rPr>
                <w:sz w:val="11"/>
                <w:szCs w:val="11"/>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vMerge w:val="restart"/>
          </w:tcPr>
          <w:p>
            <w:pPr>
              <w:jc w:val="right"/>
              <w:ind w:right="70"/>
              <w:spacing w:after="0"/>
              <w:rPr>
                <w:sz w:val="20"/>
                <w:szCs w:val="20"/>
                <w:color w:val="auto"/>
              </w:rPr>
            </w:pPr>
            <w:r>
              <w:rPr>
                <w:rFonts w:ascii="Arial" w:cs="Arial" w:eastAsia="Arial" w:hAnsi="Arial"/>
                <w:sz w:val="10"/>
                <w:szCs w:val="10"/>
                <w:color w:val="auto"/>
              </w:rPr>
              <w:t>1,446</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8,340</w:t>
            </w:r>
          </w:p>
        </w:tc>
        <w:tc>
          <w:tcPr>
            <w:tcW w:w="120" w:type="dxa"/>
            <w:vAlign w:val="bottom"/>
          </w:tcPr>
          <w:p>
            <w:pPr>
              <w:spacing w:after="0"/>
              <w:rPr>
                <w:sz w:val="11"/>
                <w:szCs w:val="11"/>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7,860</w:t>
            </w:r>
          </w:p>
        </w:tc>
        <w:tc>
          <w:tcPr>
            <w:tcW w:w="100" w:type="dxa"/>
            <w:vAlign w:val="bottom"/>
          </w:tcPr>
          <w:p>
            <w:pPr>
              <w:spacing w:after="0"/>
              <w:rPr>
                <w:sz w:val="11"/>
                <w:szCs w:val="11"/>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800" w:type="dxa"/>
            <w:vAlign w:val="bottom"/>
            <w:vMerge w:val="restart"/>
          </w:tcPr>
          <w:p>
            <w:pPr>
              <w:jc w:val="right"/>
              <w:ind w:right="70"/>
              <w:spacing w:after="0"/>
              <w:rPr>
                <w:sz w:val="20"/>
                <w:szCs w:val="20"/>
                <w:color w:val="auto"/>
              </w:rPr>
            </w:pPr>
            <w:r>
              <w:rPr>
                <w:rFonts w:ascii="Arial" w:cs="Arial" w:eastAsia="Arial" w:hAnsi="Arial"/>
                <w:sz w:val="10"/>
                <w:szCs w:val="10"/>
                <w:color w:val="auto"/>
              </w:rPr>
              <w:t>1,355</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9,215</w:t>
            </w:r>
          </w:p>
        </w:tc>
        <w:tc>
          <w:tcPr>
            <w:tcW w:w="0" w:type="dxa"/>
            <w:vAlign w:val="bottom"/>
          </w:tcPr>
          <w:p>
            <w:pPr>
              <w:spacing w:after="0"/>
              <w:rPr>
                <w:sz w:val="1"/>
                <w:szCs w:val="1"/>
                <w:color w:val="auto"/>
              </w:rPr>
            </w:pPr>
          </w:p>
        </w:tc>
      </w:tr>
      <w:tr>
        <w:trPr>
          <w:trHeight w:val="71"/>
        </w:trPr>
        <w:tc>
          <w:tcPr>
            <w:tcW w:w="2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Property, net</w:t>
            </w: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37,826</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123</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239</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38,188</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38,464</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43</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251</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38,758</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420" w:type="dxa"/>
            <w:vAlign w:val="bottom"/>
          </w:tcPr>
          <w:p>
            <w:pPr>
              <w:ind w:left="140"/>
              <w:spacing w:after="0"/>
              <w:rPr>
                <w:sz w:val="20"/>
                <w:szCs w:val="20"/>
                <w:color w:val="auto"/>
              </w:rPr>
            </w:pPr>
            <w:r>
              <w:rPr>
                <w:rFonts w:ascii="Arial" w:cs="Arial" w:eastAsia="Arial" w:hAnsi="Arial"/>
                <w:sz w:val="10"/>
                <w:szCs w:val="10"/>
                <w:color w:val="auto"/>
              </w:rPr>
              <w:t>Goodwill and intangible assets, net</w:t>
            </w:r>
          </w:p>
        </w:tc>
        <w:tc>
          <w:tcPr>
            <w:tcW w:w="820" w:type="dxa"/>
            <w:vAlign w:val="bottom"/>
            <w:vMerge w:val="restart"/>
          </w:tcPr>
          <w:p>
            <w:pPr>
              <w:jc w:val="right"/>
              <w:ind w:right="70"/>
              <w:spacing w:after="0"/>
              <w:rPr>
                <w:sz w:val="20"/>
                <w:szCs w:val="20"/>
                <w:color w:val="auto"/>
              </w:rPr>
            </w:pPr>
            <w:r>
              <w:rPr>
                <w:rFonts w:ascii="Arial" w:cs="Arial" w:eastAsia="Arial" w:hAnsi="Arial"/>
                <w:sz w:val="10"/>
                <w:szCs w:val="10"/>
                <w:color w:val="auto"/>
              </w:rPr>
              <w:t>3,429</w:t>
            </w:r>
          </w:p>
        </w:tc>
        <w:tc>
          <w:tcPr>
            <w:tcW w:w="120" w:type="dxa"/>
            <w:vAlign w:val="bottom"/>
          </w:tcPr>
          <w:p>
            <w:pPr>
              <w:spacing w:after="0"/>
              <w:rPr>
                <w:sz w:val="11"/>
                <w:szCs w:val="11"/>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670</w:t>
            </w:r>
          </w:p>
        </w:tc>
        <w:tc>
          <w:tcPr>
            <w:tcW w:w="120" w:type="dxa"/>
            <w:vAlign w:val="bottom"/>
          </w:tcPr>
          <w:p>
            <w:pPr>
              <w:spacing w:after="0"/>
              <w:rPr>
                <w:sz w:val="11"/>
                <w:szCs w:val="11"/>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0"/>
                <w:szCs w:val="10"/>
                <w:color w:val="auto"/>
              </w:rPr>
              <w:t>1,358</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5,457</w:t>
            </w:r>
          </w:p>
        </w:tc>
        <w:tc>
          <w:tcPr>
            <w:tcW w:w="120" w:type="dxa"/>
            <w:vAlign w:val="bottom"/>
          </w:tcPr>
          <w:p>
            <w:pPr>
              <w:spacing w:after="0"/>
              <w:rPr>
                <w:sz w:val="11"/>
                <w:szCs w:val="11"/>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3,552</w:t>
            </w:r>
          </w:p>
        </w:tc>
        <w:tc>
          <w:tcPr>
            <w:tcW w:w="100" w:type="dxa"/>
            <w:vAlign w:val="bottom"/>
          </w:tcPr>
          <w:p>
            <w:pPr>
              <w:spacing w:after="0"/>
              <w:rPr>
                <w:sz w:val="11"/>
                <w:szCs w:val="11"/>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0"/>
                <w:szCs w:val="10"/>
                <w:color w:val="auto"/>
              </w:rPr>
              <w:t>671</w:t>
            </w:r>
          </w:p>
        </w:tc>
        <w:tc>
          <w:tcPr>
            <w:tcW w:w="100" w:type="dxa"/>
            <w:vAlign w:val="bottom"/>
          </w:tcPr>
          <w:p>
            <w:pPr>
              <w:spacing w:after="0"/>
              <w:rPr>
                <w:sz w:val="11"/>
                <w:szCs w:val="11"/>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0"/>
                <w:szCs w:val="10"/>
                <w:color w:val="auto"/>
              </w:rPr>
              <w:t>1,356</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5,579</w:t>
            </w:r>
          </w:p>
        </w:tc>
        <w:tc>
          <w:tcPr>
            <w:tcW w:w="0" w:type="dxa"/>
            <w:vAlign w:val="bottom"/>
          </w:tcPr>
          <w:p>
            <w:pPr>
              <w:spacing w:after="0"/>
              <w:rPr>
                <w:sz w:val="1"/>
                <w:szCs w:val="1"/>
                <w:color w:val="auto"/>
              </w:rPr>
            </w:pPr>
          </w:p>
        </w:tc>
      </w:tr>
      <w:tr>
        <w:trPr>
          <w:trHeight w:val="71"/>
        </w:trPr>
        <w:tc>
          <w:tcPr>
            <w:tcW w:w="2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Equipment on operating leases, net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42,938</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42,938</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43,559</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43,559</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420" w:type="dxa"/>
            <w:vAlign w:val="bottom"/>
          </w:tcPr>
          <w:p>
            <w:pPr>
              <w:ind w:left="140"/>
              <w:spacing w:after="0"/>
              <w:rPr>
                <w:sz w:val="20"/>
                <w:szCs w:val="20"/>
                <w:color w:val="auto"/>
              </w:rPr>
            </w:pPr>
            <w:r>
              <w:rPr>
                <w:rFonts w:ascii="Arial" w:cs="Arial" w:eastAsia="Arial" w:hAnsi="Arial"/>
                <w:sz w:val="10"/>
                <w:szCs w:val="10"/>
                <w:color w:val="auto"/>
              </w:rPr>
              <w:t>Deferred income taxes</w:t>
            </w:r>
          </w:p>
        </w:tc>
        <w:tc>
          <w:tcPr>
            <w:tcW w:w="820" w:type="dxa"/>
            <w:vAlign w:val="bottom"/>
            <w:vMerge w:val="restart"/>
          </w:tcPr>
          <w:p>
            <w:pPr>
              <w:jc w:val="right"/>
              <w:ind w:right="70"/>
              <w:spacing w:after="0"/>
              <w:rPr>
                <w:sz w:val="20"/>
                <w:szCs w:val="20"/>
                <w:color w:val="auto"/>
              </w:rPr>
            </w:pPr>
            <w:r>
              <w:rPr>
                <w:rFonts w:ascii="Arial" w:cs="Arial" w:eastAsia="Arial" w:hAnsi="Arial"/>
                <w:sz w:val="10"/>
                <w:szCs w:val="10"/>
                <w:color w:val="auto"/>
              </w:rPr>
              <w:t>23,857</w:t>
            </w:r>
          </w:p>
        </w:tc>
        <w:tc>
          <w:tcPr>
            <w:tcW w:w="120" w:type="dxa"/>
            <w:vAlign w:val="bottom"/>
          </w:tcPr>
          <w:p>
            <w:pPr>
              <w:spacing w:after="0"/>
              <w:rPr>
                <w:sz w:val="11"/>
                <w:szCs w:val="11"/>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199</w:t>
            </w:r>
          </w:p>
        </w:tc>
        <w:tc>
          <w:tcPr>
            <w:tcW w:w="120" w:type="dxa"/>
            <w:vAlign w:val="bottom"/>
          </w:tcPr>
          <w:p>
            <w:pPr>
              <w:spacing w:after="0"/>
              <w:rPr>
                <w:sz w:val="11"/>
                <w:szCs w:val="11"/>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0"/>
                <w:szCs w:val="10"/>
                <w:color w:val="auto"/>
              </w:rPr>
              <w:t>(69)</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23,987</w:t>
            </w:r>
          </w:p>
        </w:tc>
        <w:tc>
          <w:tcPr>
            <w:tcW w:w="120" w:type="dxa"/>
            <w:vAlign w:val="bottom"/>
          </w:tcPr>
          <w:p>
            <w:pPr>
              <w:spacing w:after="0"/>
              <w:rPr>
                <w:sz w:val="11"/>
                <w:szCs w:val="11"/>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23,935</w:t>
            </w:r>
          </w:p>
        </w:tc>
        <w:tc>
          <w:tcPr>
            <w:tcW w:w="100" w:type="dxa"/>
            <w:vAlign w:val="bottom"/>
          </w:tcPr>
          <w:p>
            <w:pPr>
              <w:spacing w:after="0"/>
              <w:rPr>
                <w:sz w:val="11"/>
                <w:szCs w:val="11"/>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0"/>
                <w:szCs w:val="10"/>
                <w:color w:val="auto"/>
              </w:rPr>
              <w:t>70</w:t>
            </w:r>
          </w:p>
        </w:tc>
        <w:tc>
          <w:tcPr>
            <w:tcW w:w="100" w:type="dxa"/>
            <w:vAlign w:val="bottom"/>
          </w:tcPr>
          <w:p>
            <w:pPr>
              <w:spacing w:after="0"/>
              <w:rPr>
                <w:sz w:val="11"/>
                <w:szCs w:val="11"/>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0"/>
                <w:szCs w:val="10"/>
                <w:color w:val="auto"/>
              </w:rPr>
              <w:t>77</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24,082</w:t>
            </w:r>
          </w:p>
        </w:tc>
        <w:tc>
          <w:tcPr>
            <w:tcW w:w="0" w:type="dxa"/>
            <w:vAlign w:val="bottom"/>
          </w:tcPr>
          <w:p>
            <w:pPr>
              <w:spacing w:after="0"/>
              <w:rPr>
                <w:sz w:val="1"/>
                <w:szCs w:val="1"/>
                <w:color w:val="auto"/>
              </w:rPr>
            </w:pPr>
          </w:p>
        </w:tc>
      </w:tr>
      <w:tr>
        <w:trPr>
          <w:trHeight w:val="71"/>
        </w:trPr>
        <w:tc>
          <w:tcPr>
            <w:tcW w:w="2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assets</w:t>
            </w: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6,252</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123</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933</w:t>
            </w: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(52)</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7,257</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4,880</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890</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5,770</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420" w:type="dxa"/>
            <w:vAlign w:val="bottom"/>
          </w:tcPr>
          <w:p>
            <w:pPr>
              <w:ind w:left="140"/>
              <w:spacing w:after="0"/>
              <w:rPr>
                <w:sz w:val="20"/>
                <w:szCs w:val="20"/>
                <w:color w:val="auto"/>
              </w:rPr>
            </w:pPr>
            <w:r>
              <w:rPr>
                <w:rFonts w:ascii="Arial" w:cs="Arial" w:eastAsia="Arial" w:hAnsi="Arial"/>
                <w:sz w:val="10"/>
                <w:szCs w:val="10"/>
                <w:color w:val="auto"/>
              </w:rPr>
              <w:t>Total non-current assets</w:t>
            </w:r>
          </w:p>
        </w:tc>
        <w:tc>
          <w:tcPr>
            <w:tcW w:w="8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78,258</w:t>
            </w:r>
          </w:p>
        </w:tc>
        <w:tc>
          <w:tcPr>
            <w:tcW w:w="120" w:type="dxa"/>
            <w:vAlign w:val="bottom"/>
          </w:tcPr>
          <w:p>
            <w:pPr>
              <w:spacing w:after="0"/>
              <w:rPr>
                <w:sz w:val="10"/>
                <w:szCs w:val="10"/>
                <w:color w:val="auto"/>
              </w:rPr>
            </w:pPr>
          </w:p>
        </w:tc>
        <w:tc>
          <w:tcPr>
            <w:tcW w:w="5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1,116</w:t>
            </w:r>
          </w:p>
        </w:tc>
        <w:tc>
          <w:tcPr>
            <w:tcW w:w="120" w:type="dxa"/>
            <w:vAlign w:val="bottom"/>
          </w:tcPr>
          <w:p>
            <w:pPr>
              <w:spacing w:after="0"/>
              <w:rPr>
                <w:sz w:val="10"/>
                <w:szCs w:val="10"/>
                <w:color w:val="auto"/>
              </w:rPr>
            </w:pPr>
          </w:p>
        </w:tc>
        <w:tc>
          <w:tcPr>
            <w:tcW w:w="8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73,161</w:t>
            </w:r>
          </w:p>
        </w:tc>
        <w:tc>
          <w:tcPr>
            <w:tcW w:w="100" w:type="dxa"/>
            <w:vAlign w:val="bottom"/>
          </w:tcPr>
          <w:p>
            <w:pPr>
              <w:spacing w:after="0"/>
              <w:rPr>
                <w:sz w:val="10"/>
                <w:szCs w:val="10"/>
                <w:color w:val="auto"/>
              </w:rPr>
            </w:pPr>
          </w:p>
        </w:tc>
        <w:tc>
          <w:tcPr>
            <w:tcW w:w="10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(103)</w:t>
            </w:r>
          </w:p>
        </w:tc>
        <w:tc>
          <w:tcPr>
            <w:tcW w:w="100" w:type="dxa"/>
            <w:vAlign w:val="bottom"/>
          </w:tcPr>
          <w:p>
            <w:pPr>
              <w:spacing w:after="0"/>
              <w:rPr>
                <w:sz w:val="10"/>
                <w:szCs w:val="10"/>
                <w:color w:val="auto"/>
              </w:rPr>
            </w:pPr>
          </w:p>
        </w:tc>
        <w:tc>
          <w:tcPr>
            <w:tcW w:w="7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152,431</w:t>
            </w:r>
          </w:p>
        </w:tc>
        <w:tc>
          <w:tcPr>
            <w:tcW w:w="120" w:type="dxa"/>
            <w:vAlign w:val="bottom"/>
          </w:tcPr>
          <w:p>
            <w:pPr>
              <w:spacing w:after="0"/>
              <w:rPr>
                <w:sz w:val="10"/>
                <w:szCs w:val="10"/>
                <w:color w:val="auto"/>
              </w:rPr>
            </w:pPr>
          </w:p>
        </w:tc>
        <w:tc>
          <w:tcPr>
            <w:tcW w:w="7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78,691</w:t>
            </w:r>
          </w:p>
        </w:tc>
        <w:tc>
          <w:tcPr>
            <w:tcW w:w="100" w:type="dxa"/>
            <w:vAlign w:val="bottom"/>
          </w:tcPr>
          <w:p>
            <w:pPr>
              <w:spacing w:after="0"/>
              <w:rPr>
                <w:sz w:val="10"/>
                <w:szCs w:val="10"/>
                <w:color w:val="auto"/>
              </w:rPr>
            </w:pPr>
          </w:p>
        </w:tc>
        <w:tc>
          <w:tcPr>
            <w:tcW w:w="5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784</w:t>
            </w:r>
          </w:p>
        </w:tc>
        <w:tc>
          <w:tcPr>
            <w:tcW w:w="100" w:type="dxa"/>
            <w:vAlign w:val="bottom"/>
          </w:tcPr>
          <w:p>
            <w:pPr>
              <w:spacing w:after="0"/>
              <w:rPr>
                <w:sz w:val="10"/>
                <w:szCs w:val="10"/>
                <w:color w:val="auto"/>
              </w:rPr>
            </w:pPr>
          </w:p>
        </w:tc>
        <w:tc>
          <w:tcPr>
            <w:tcW w:w="80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72,633</w:t>
            </w:r>
          </w:p>
        </w:tc>
        <w:tc>
          <w:tcPr>
            <w:tcW w:w="100" w:type="dxa"/>
            <w:vAlign w:val="bottom"/>
          </w:tcPr>
          <w:p>
            <w:pPr>
              <w:spacing w:after="0"/>
              <w:rPr>
                <w:sz w:val="10"/>
                <w:szCs w:val="10"/>
                <w:color w:val="auto"/>
              </w:rPr>
            </w:pPr>
          </w:p>
        </w:tc>
        <w:tc>
          <w:tcPr>
            <w:tcW w:w="10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(62)</w:t>
            </w:r>
          </w:p>
        </w:tc>
        <w:tc>
          <w:tcPr>
            <w:tcW w:w="120" w:type="dxa"/>
            <w:vAlign w:val="bottom"/>
          </w:tcPr>
          <w:p>
            <w:pPr>
              <w:spacing w:after="0"/>
              <w:rPr>
                <w:sz w:val="10"/>
                <w:szCs w:val="10"/>
                <w:color w:val="auto"/>
              </w:rPr>
            </w:pPr>
          </w:p>
        </w:tc>
        <w:tc>
          <w:tcPr>
            <w:tcW w:w="7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152,046</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745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ectPr>
          <w:pgSz w:w="11900" w:h="16838" w:orient="portrait"/>
          <w:cols w:equalWidth="0" w:num="1">
            <w:col w:w="11460"/>
          </w:cols>
          <w:pgMar w:left="220" w:top="470" w:right="219" w:bottom="1440" w:gutter="0" w:footer="0" w:header="0"/>
          <w:type w:val="continuous"/>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Total Assets</w:t>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0"/>
          <w:szCs w:val="10"/>
          <w:b w:val="1"/>
          <w:bCs w:val="1"/>
          <w:color w:val="auto"/>
        </w:rPr>
        <w:t>LIABILITIES AND EQUITY</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Current Liabilities</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Accounts payable (principally trade)(c)</w:t>
      </w:r>
    </w:p>
    <w:p>
      <w:pPr>
        <w:spacing w:after="0" w:line="101" w:lineRule="exact"/>
        <w:rPr>
          <w:sz w:val="20"/>
          <w:szCs w:val="20"/>
          <w:color w:val="auto"/>
        </w:rPr>
      </w:pPr>
    </w:p>
    <w:p>
      <w:pPr>
        <w:ind w:left="260" w:hanging="128"/>
        <w:spacing w:after="0" w:line="238" w:lineRule="auto"/>
        <w:rPr>
          <w:sz w:val="20"/>
          <w:szCs w:val="20"/>
          <w:color w:val="auto"/>
        </w:rPr>
      </w:pPr>
      <w:r>
        <w:rPr>
          <w:rFonts w:ascii="Arial" w:cs="Arial" w:eastAsia="Arial" w:hAnsi="Arial"/>
          <w:sz w:val="10"/>
          <w:szCs w:val="10"/>
          <w:color w:val="auto"/>
        </w:rPr>
        <w:t>Short-term debt and current portion of long-term debt</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0"/>
          <w:szCs w:val="10"/>
          <w:color w:val="auto"/>
        </w:rPr>
        <w:t>Automotive(d)</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0"/>
          <w:szCs w:val="10"/>
          <w:color w:val="auto"/>
        </w:rPr>
        <w:t>GM Financial</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Accrued liabilities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Total current liabilities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Non-current Liabilities</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0"/>
          <w:szCs w:val="10"/>
          <w:color w:val="auto"/>
        </w:rPr>
        <w:t>Long-term debt</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0"/>
          <w:szCs w:val="10"/>
          <w:color w:val="auto"/>
        </w:rPr>
        <w:t>Automotive(d)</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0"/>
          <w:szCs w:val="10"/>
          <w:color w:val="auto"/>
        </w:rPr>
        <w:t>GM Financial</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Postretirement benefits other than pensions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Pensions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Other liabilities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Total non-current liabilities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Total Liabilities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Commitments and contingencies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Equity</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0"/>
          <w:szCs w:val="10"/>
          <w:color w:val="auto"/>
        </w:rPr>
        <w:t>Common stock, $0.01 par value</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Preferred stock, $0.01 par value</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0"/>
          <w:szCs w:val="10"/>
          <w:color w:val="auto"/>
        </w:rPr>
        <w:t>Additional paid-in capital(b)(f)</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Retained earnings(b)</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Accumulated other comprehensive loss</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Total stockholders’ equity</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Noncontrolling interests(f)</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Total Equity</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8"/>
        </w:trPr>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120,347</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4,212</w:t>
            </w: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110,711</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(1,533)</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233,737</w:t>
            </w: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115,678</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3,195</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109,953</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(1,487)</w:t>
            </w: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227,339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612"/>
        </w:trPr>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22,834</w:t>
            </w:r>
          </w:p>
        </w:tc>
        <w:tc>
          <w:tcPr>
            <w:tcW w:w="120" w:type="dxa"/>
            <w:vAlign w:val="bottom"/>
          </w:tcPr>
          <w:p>
            <w:pPr>
              <w:spacing w:after="0"/>
              <w:rPr>
                <w:sz w:val="24"/>
                <w:szCs w:val="2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41</w:t>
            </w:r>
          </w:p>
        </w:tc>
        <w:tc>
          <w:tcPr>
            <w:tcW w:w="120" w:type="dxa"/>
            <w:vAlign w:val="bottom"/>
          </w:tcPr>
          <w:p>
            <w:pPr>
              <w:spacing w:after="0"/>
              <w:rPr>
                <w:sz w:val="24"/>
                <w:szCs w:val="2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656</w:t>
            </w:r>
          </w:p>
        </w:tc>
        <w:tc>
          <w:tcPr>
            <w:tcW w:w="100" w:type="dxa"/>
            <w:vAlign w:val="bottom"/>
          </w:tcPr>
          <w:p>
            <w:pPr>
              <w:spacing w:after="0"/>
              <w:rPr>
                <w:sz w:val="24"/>
                <w:szCs w:val="24"/>
                <w:color w:val="auto"/>
              </w:rPr>
            </w:pPr>
          </w:p>
        </w:tc>
        <w:tc>
          <w:tcPr>
            <w:tcW w:w="380" w:type="dxa"/>
            <w:vAlign w:val="bottom"/>
          </w:tcPr>
          <w:p>
            <w:pPr>
              <w:jc w:val="right"/>
              <w:ind w:right="25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(815)</w:t>
            </w:r>
          </w:p>
        </w:tc>
        <w:tc>
          <w:tcPr>
            <w:tcW w:w="100" w:type="dxa"/>
            <w:vAlign w:val="bottom"/>
          </w:tcPr>
          <w:p>
            <w:pPr>
              <w:spacing w:after="0"/>
              <w:rPr>
                <w:sz w:val="24"/>
                <w:szCs w:val="2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22,717</w:t>
            </w:r>
          </w:p>
        </w:tc>
        <w:tc>
          <w:tcPr>
            <w:tcW w:w="120" w:type="dxa"/>
            <w:vAlign w:val="bottom"/>
          </w:tcPr>
          <w:p>
            <w:pPr>
              <w:spacing w:after="0"/>
              <w:rPr>
                <w:sz w:val="24"/>
                <w:szCs w:val="2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22,359</w:t>
            </w:r>
          </w:p>
        </w:tc>
        <w:tc>
          <w:tcPr>
            <w:tcW w:w="100" w:type="dxa"/>
            <w:vAlign w:val="bottom"/>
          </w:tcPr>
          <w:p>
            <w:pPr>
              <w:spacing w:after="0"/>
              <w:rPr>
                <w:sz w:val="24"/>
                <w:szCs w:val="2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24"/>
                <w:szCs w:val="2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707</w:t>
            </w:r>
          </w:p>
        </w:tc>
        <w:tc>
          <w:tcPr>
            <w:tcW w:w="100" w:type="dxa"/>
            <w:vAlign w:val="bottom"/>
          </w:tcPr>
          <w:p>
            <w:pPr>
              <w:spacing w:after="0"/>
              <w:rPr>
                <w:sz w:val="24"/>
                <w:szCs w:val="24"/>
                <w:color w:val="auto"/>
              </w:rPr>
            </w:pPr>
          </w:p>
        </w:tc>
        <w:tc>
          <w:tcPr>
            <w:tcW w:w="380" w:type="dxa"/>
            <w:vAlign w:val="bottom"/>
          </w:tcPr>
          <w:p>
            <w:pPr>
              <w:jc w:val="right"/>
              <w:ind w:right="25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(797)</w:t>
            </w:r>
          </w:p>
        </w:tc>
        <w:tc>
          <w:tcPr>
            <w:tcW w:w="120" w:type="dxa"/>
            <w:vAlign w:val="bottom"/>
          </w:tcPr>
          <w:p>
            <w:pPr>
              <w:spacing w:after="0"/>
              <w:rPr>
                <w:sz w:val="24"/>
                <w:szCs w:val="2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22,297</w:t>
            </w:r>
          </w:p>
        </w:tc>
      </w:tr>
      <w:tr>
        <w:trPr>
          <w:trHeight w:val="474"/>
        </w:trPr>
        <w:tc>
          <w:tcPr>
            <w:tcW w:w="200" w:type="dxa"/>
            <w:vAlign w:val="bottom"/>
          </w:tcPr>
          <w:p>
            <w:pPr>
              <w:spacing w:after="0"/>
              <w:rPr>
                <w:sz w:val="24"/>
                <w:szCs w:val="24"/>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3,038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(548)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2,490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1,452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(517)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935</w:t>
            </w:r>
          </w:p>
        </w:tc>
      </w:tr>
      <w:tr>
        <w:trPr>
          <w:trHeight w:val="216"/>
        </w:trPr>
        <w:tc>
          <w:tcPr>
            <w:tcW w:w="2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30,659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30,659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30,956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30,956</w:t>
            </w:r>
          </w:p>
        </w:tc>
      </w:tr>
      <w:tr>
        <w:trPr>
          <w:trHeight w:val="222"/>
        </w:trPr>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24,430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87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3,918</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28,428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24,042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41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3,985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28,049</w:t>
            </w:r>
          </w:p>
        </w:tc>
      </w:tr>
      <w:tr>
        <w:trPr>
          <w:trHeight w:val="189"/>
        </w:trPr>
        <w:tc>
          <w:tcPr>
            <w:tcW w:w="200" w:type="dxa"/>
            <w:vAlign w:val="bottom"/>
          </w:tcPr>
          <w:p>
            <w:pPr>
              <w:spacing w:after="0"/>
              <w:rPr>
                <w:sz w:val="16"/>
                <w:szCs w:val="16"/>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50,301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129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35,233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(1,369)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84,294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47,853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35,648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(1,333)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82,237</w:t>
            </w:r>
          </w:p>
        </w:tc>
      </w:tr>
      <w:tr>
        <w:trPr>
          <w:trHeight w:val="647"/>
        </w:trPr>
        <w:tc>
          <w:tcPr>
            <w:tcW w:w="200" w:type="dxa"/>
            <w:vAlign w:val="bottom"/>
          </w:tcPr>
          <w:p>
            <w:pPr>
              <w:spacing w:after="0"/>
              <w:rPr>
                <w:sz w:val="24"/>
                <w:szCs w:val="24"/>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13,009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(51)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12,957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13,090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(62)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13,028</w:t>
            </w:r>
          </w:p>
        </w:tc>
      </w:tr>
      <w:tr>
        <w:trPr>
          <w:trHeight w:val="216"/>
        </w:trPr>
        <w:tc>
          <w:tcPr>
            <w:tcW w:w="2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60,455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60,455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60,032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60,032</w:t>
            </w:r>
          </w:p>
        </w:tc>
      </w:tr>
      <w:tr>
        <w:trPr>
          <w:trHeight w:val="216"/>
        </w:trPr>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5,357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5,357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5,370</w:t>
            </w:r>
          </w:p>
        </w:tc>
      </w:tr>
      <w:tr>
        <w:trPr>
          <w:trHeight w:val="216"/>
        </w:trPr>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10,788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10,791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11,535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11,538</w:t>
            </w:r>
          </w:p>
        </w:tc>
      </w:tr>
      <w:tr>
        <w:trPr>
          <w:trHeight w:val="222"/>
        </w:trPr>
        <w:tc>
          <w:tcPr>
            <w:tcW w:w="2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10,471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204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2,171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12,794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10,167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2,155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12,357</w:t>
            </w:r>
          </w:p>
        </w:tc>
      </w:tr>
      <w:tr>
        <w:trPr>
          <w:trHeight w:val="196"/>
        </w:trPr>
        <w:tc>
          <w:tcPr>
            <w:tcW w:w="2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39,624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204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62,630</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(103)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102,354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40,162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62,190</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rPr>
              <w:t>(62)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102,325</w:t>
            </w:r>
          </w:p>
        </w:tc>
      </w:tr>
      <w:tr>
        <w:trPr>
          <w:trHeight w:val="189"/>
        </w:trPr>
        <w:tc>
          <w:tcPr>
            <w:tcW w:w="200" w:type="dxa"/>
            <w:vAlign w:val="bottom"/>
          </w:tcPr>
          <w:p>
            <w:pPr>
              <w:spacing w:after="0"/>
              <w:rPr>
                <w:sz w:val="16"/>
                <w:szCs w:val="16"/>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89,925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333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97,862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(1,473)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186,648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88,015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97,838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(1,395)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184,562</w:t>
            </w:r>
          </w:p>
        </w:tc>
      </w:tr>
      <w:tr>
        <w:trPr>
          <w:trHeight w:val="647"/>
        </w:trPr>
        <w:tc>
          <w:tcPr>
            <w:tcW w:w="200" w:type="dxa"/>
            <w:vAlign w:val="bottom"/>
          </w:tcPr>
          <w:p>
            <w:pPr>
              <w:spacing w:after="0"/>
              <w:rPr>
                <w:sz w:val="24"/>
                <w:szCs w:val="24"/>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14</w:t>
            </w:r>
          </w:p>
        </w:tc>
      </w:tr>
      <w:tr>
        <w:trPr>
          <w:trHeight w:val="216"/>
        </w:trPr>
        <w:tc>
          <w:tcPr>
            <w:tcW w:w="2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w:t>
            </w:r>
          </w:p>
        </w:tc>
      </w:tr>
      <w:tr>
        <w:trPr>
          <w:trHeight w:val="216"/>
        </w:trPr>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25,791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1,373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(1,435)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25,765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25,606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1,373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(1,420)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25,563</w:t>
            </w:r>
          </w:p>
        </w:tc>
      </w:tr>
      <w:tr>
        <w:trPr>
          <w:trHeight w:val="216"/>
        </w:trPr>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11,455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1,900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12,484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25,807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9,103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1,480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11,783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22,322</w:t>
            </w:r>
          </w:p>
        </w:tc>
      </w:tr>
      <w:tr>
        <w:trPr>
          <w:trHeight w:val="222"/>
        </w:trPr>
        <w:tc>
          <w:tcPr>
            <w:tcW w:w="2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0"/>
                <w:szCs w:val="10"/>
                <w:color w:val="auto"/>
              </w:rPr>
              <w:t>(7,762)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0"/>
                <w:szCs w:val="10"/>
                <w:color w:val="auto"/>
              </w:rPr>
              <w:t>(1,009)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(8,770)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(7,998)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(1,041)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(9,039)</w:t>
            </w:r>
          </w:p>
        </w:tc>
      </w:tr>
      <w:tr>
        <w:trPr>
          <w:trHeight w:val="189"/>
        </w:trPr>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29,497</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1,936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12,848</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(1,467)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42,816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26,725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1,484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12,115</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(1,464)</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38,860</w:t>
            </w:r>
          </w:p>
        </w:tc>
      </w:tr>
      <w:tr>
        <w:trPr>
          <w:trHeight w:val="222"/>
        </w:trPr>
        <w:tc>
          <w:tcPr>
            <w:tcW w:w="2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925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1,942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9"/>
                <w:szCs w:val="19"/>
                <w:color w:val="auto"/>
              </w:rPr>
            </w:pP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1,406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4,273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938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9"/>
                <w:szCs w:val="19"/>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1,372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3,917</w:t>
            </w:r>
          </w:p>
        </w:tc>
      </w:tr>
      <w:tr>
        <w:trPr>
          <w:trHeight w:val="189"/>
        </w:trPr>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30,422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3,878</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12,848</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(60)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47,089</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27,663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3,091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12,115</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(92)</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42,777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-3576955</wp:posOffset>
            </wp:positionV>
            <wp:extent cx="72745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-3303270</wp:posOffset>
            </wp:positionV>
            <wp:extent cx="7274560" cy="164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4560" cy="164465"/>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-3002280</wp:posOffset>
            </wp:positionV>
            <wp:extent cx="72745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-2728595</wp:posOffset>
            </wp:positionV>
            <wp:extent cx="72745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-2454275</wp:posOffset>
            </wp:positionV>
            <wp:extent cx="72745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-2180590</wp:posOffset>
            </wp:positionV>
            <wp:extent cx="72745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-1906905</wp:posOffset>
            </wp:positionV>
            <wp:extent cx="72745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-1633220</wp:posOffset>
            </wp:positionV>
            <wp:extent cx="72745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-1359535</wp:posOffset>
            </wp:positionV>
            <wp:extent cx="72745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-1085850</wp:posOffset>
            </wp:positionV>
            <wp:extent cx="72745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-812165</wp:posOffset>
            </wp:positionV>
            <wp:extent cx="72745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-538480</wp:posOffset>
            </wp:positionV>
            <wp:extent cx="72745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-264795</wp:posOffset>
            </wp:positionV>
            <wp:extent cx="72745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8255</wp:posOffset>
            </wp:positionV>
            <wp:extent cx="72745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2280" w:space="140"/>
            <w:col w:w="9040"/>
          </w:cols>
          <w:pgMar w:left="220" w:top="470" w:right="219" w:bottom="1440" w:gutter="0" w:footer="0" w:header="0"/>
          <w:type w:val="continuous"/>
        </w:sectPr>
      </w:pPr>
    </w:p>
    <w:tbl>
      <w:tblPr>
        <w:tblLayout w:type="fixed"/>
        <w:tblInd w:w="20" w:type="dxa"/>
        <w:tblCellMar>
          <w:top w:w="0" w:type="dxa"/>
          <w:left w:w="0" w:type="dxa"/>
          <w:bottom w:w="0" w:type="dxa"/>
          <w:right w:w="0" w:type="dxa"/>
        </w:tblCellMar>
      </w:tblPr>
      <w:tr>
        <w:trPr>
          <w:trHeight w:val="133"/>
        </w:trPr>
        <w:tc>
          <w:tcPr>
            <w:tcW w:w="1840" w:type="dxa"/>
            <w:vAlign w:val="bottom"/>
          </w:tcPr>
          <w:p>
            <w:pPr>
              <w:spacing w:after="0"/>
              <w:rPr>
                <w:sz w:val="20"/>
                <w:szCs w:val="20"/>
                <w:color w:val="auto"/>
              </w:rPr>
            </w:pPr>
            <w:r>
              <w:rPr>
                <w:rFonts w:ascii="Arial" w:cs="Arial" w:eastAsia="Arial" w:hAnsi="Arial"/>
                <w:sz w:val="10"/>
                <w:szCs w:val="10"/>
                <w:b w:val="1"/>
                <w:bCs w:val="1"/>
                <w:color w:val="auto"/>
              </w:rPr>
              <w:t>Total Liabilities and Equity</w:t>
            </w:r>
          </w:p>
        </w:tc>
        <w:tc>
          <w:tcPr>
            <w:tcW w:w="76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ind w:right="90"/>
              <w:spacing w:after="0"/>
              <w:rPr>
                <w:sz w:val="20"/>
                <w:szCs w:val="20"/>
                <w:color w:val="auto"/>
              </w:rPr>
            </w:pPr>
            <w:r>
              <w:rPr>
                <w:rFonts w:ascii="Arial" w:cs="Arial" w:eastAsia="Arial" w:hAnsi="Arial"/>
                <w:sz w:val="10"/>
                <w:szCs w:val="10"/>
                <w:color w:val="auto"/>
              </w:rPr>
              <w:t>120,347</w:t>
            </w:r>
          </w:p>
        </w:tc>
        <w:tc>
          <w:tcPr>
            <w:tcW w:w="700" w:type="dxa"/>
            <w:vAlign w:val="bottom"/>
            <w:vMerge w:val="restart"/>
          </w:tcPr>
          <w:p>
            <w:pPr>
              <w:jc w:val="right"/>
              <w:ind w:right="90"/>
              <w:spacing w:after="0"/>
              <w:rPr>
                <w:sz w:val="20"/>
                <w:szCs w:val="20"/>
                <w:color w:val="auto"/>
              </w:rPr>
            </w:pPr>
            <w:r>
              <w:rPr>
                <w:rFonts w:ascii="Arial" w:cs="Arial" w:eastAsia="Arial" w:hAnsi="Arial"/>
                <w:sz w:val="10"/>
                <w:szCs w:val="10"/>
                <w:color w:val="auto"/>
              </w:rPr>
              <w:t>$   4,212</w:t>
            </w:r>
          </w:p>
        </w:tc>
        <w:tc>
          <w:tcPr>
            <w:tcW w:w="30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vMerge w:val="restart"/>
          </w:tcPr>
          <w:p>
            <w:pPr>
              <w:jc w:val="right"/>
              <w:ind w:right="70"/>
              <w:spacing w:after="0"/>
              <w:rPr>
                <w:sz w:val="20"/>
                <w:szCs w:val="20"/>
                <w:color w:val="auto"/>
              </w:rPr>
            </w:pPr>
            <w:r>
              <w:rPr>
                <w:rFonts w:ascii="Arial" w:cs="Arial" w:eastAsia="Arial" w:hAnsi="Arial"/>
                <w:sz w:val="10"/>
                <w:szCs w:val="10"/>
                <w:color w:val="auto"/>
              </w:rPr>
              <w:t>110,711</w:t>
            </w:r>
          </w:p>
        </w:tc>
        <w:tc>
          <w:tcPr>
            <w:tcW w:w="480" w:type="dxa"/>
            <w:vAlign w:val="bottom"/>
            <w:vMerge w:val="restart"/>
          </w:tcPr>
          <w:p>
            <w:pPr>
              <w:jc w:val="right"/>
              <w:ind w:right="250"/>
              <w:spacing w:after="0"/>
              <w:rPr>
                <w:sz w:val="20"/>
                <w:szCs w:val="20"/>
                <w:color w:val="auto"/>
              </w:rPr>
            </w:pPr>
            <w:r>
              <w:rPr>
                <w:rFonts w:ascii="Arial" w:cs="Arial" w:eastAsia="Arial" w:hAnsi="Arial"/>
                <w:sz w:val="10"/>
                <w:szCs w:val="10"/>
                <w:color w:val="auto"/>
              </w:rPr>
              <w:t>$</w:t>
            </w:r>
          </w:p>
        </w:tc>
        <w:tc>
          <w:tcPr>
            <w:tcW w:w="720" w:type="dxa"/>
            <w:vAlign w:val="bottom"/>
            <w:vMerge w:val="restart"/>
          </w:tcPr>
          <w:p>
            <w:pPr>
              <w:jc w:val="right"/>
              <w:ind w:right="70"/>
              <w:spacing w:after="0"/>
              <w:rPr>
                <w:sz w:val="20"/>
                <w:szCs w:val="20"/>
                <w:color w:val="auto"/>
              </w:rPr>
            </w:pPr>
            <w:r>
              <w:rPr>
                <w:rFonts w:ascii="Arial" w:cs="Arial" w:eastAsia="Arial" w:hAnsi="Arial"/>
                <w:sz w:val="10"/>
                <w:szCs w:val="10"/>
                <w:color w:val="auto"/>
              </w:rPr>
              <w:t>(1,533)</w:t>
            </w:r>
          </w:p>
        </w:tc>
        <w:tc>
          <w:tcPr>
            <w:tcW w:w="28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233,737</w:t>
            </w:r>
          </w:p>
        </w:tc>
        <w:tc>
          <w:tcPr>
            <w:tcW w:w="30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115,678</w:t>
            </w:r>
          </w:p>
        </w:tc>
        <w:tc>
          <w:tcPr>
            <w:tcW w:w="640" w:type="dxa"/>
            <w:vAlign w:val="bottom"/>
            <w:vMerge w:val="restart"/>
          </w:tcPr>
          <w:p>
            <w:pPr>
              <w:jc w:val="right"/>
              <w:ind w:right="50"/>
              <w:spacing w:after="0"/>
              <w:rPr>
                <w:sz w:val="20"/>
                <w:szCs w:val="20"/>
                <w:color w:val="auto"/>
              </w:rPr>
            </w:pPr>
            <w:r>
              <w:rPr>
                <w:rFonts w:ascii="Arial" w:cs="Arial" w:eastAsia="Arial" w:hAnsi="Arial"/>
                <w:sz w:val="10"/>
                <w:szCs w:val="10"/>
                <w:color w:val="auto"/>
              </w:rPr>
              <w:t>$  3,195</w:t>
            </w:r>
          </w:p>
        </w:tc>
        <w:tc>
          <w:tcPr>
            <w:tcW w:w="30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109,953</w:t>
            </w:r>
          </w:p>
        </w:tc>
        <w:tc>
          <w:tcPr>
            <w:tcW w:w="480" w:type="dxa"/>
            <w:vAlign w:val="bottom"/>
            <w:vMerge w:val="restart"/>
          </w:tcPr>
          <w:p>
            <w:pPr>
              <w:jc w:val="right"/>
              <w:ind w:right="250"/>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50"/>
              <w:spacing w:after="0"/>
              <w:rPr>
                <w:sz w:val="20"/>
                <w:szCs w:val="20"/>
                <w:color w:val="auto"/>
              </w:rPr>
            </w:pPr>
            <w:r>
              <w:rPr>
                <w:rFonts w:ascii="Arial" w:cs="Arial" w:eastAsia="Arial" w:hAnsi="Arial"/>
                <w:sz w:val="10"/>
                <w:szCs w:val="10"/>
                <w:color w:val="auto"/>
              </w:rPr>
              <w:t>(1,487)</w:t>
            </w:r>
          </w:p>
        </w:tc>
        <w:tc>
          <w:tcPr>
            <w:tcW w:w="30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227,339</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22225</wp:posOffset>
            </wp:positionV>
            <wp:extent cx="574167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1670" cy="69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9"/>
          <w:szCs w:val="9"/>
          <w:color w:val="auto"/>
        </w:rPr>
        <w:t>_________</w:t>
      </w:r>
    </w:p>
    <w:p>
      <w:pPr>
        <w:ind w:left="260" w:hanging="254"/>
        <w:spacing w:after="0" w:line="224" w:lineRule="auto"/>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Amounts may not sum due to rounding.</w:t>
      </w:r>
    </w:p>
    <w:p>
      <w:pPr>
        <w:ind w:left="260" w:hanging="254"/>
        <w:spacing w:after="0" w:line="224" w:lineRule="auto"/>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Elimination primarily includes GM Cruise investment in GM common stock at June 30, 2019 and December 31, 2018.</w:t>
      </w:r>
    </w:p>
    <w:p>
      <w:pPr>
        <w:ind w:left="260" w:hanging="254"/>
        <w:spacing w:after="0" w:line="224" w:lineRule="auto"/>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Eliminations primarily include Automotive accounts receivable of $69 million offset by GM Financial accounts payable and GM Financial accounts receivable of $710 million offset by Automotive accounts payable at June 30, 2019 and Automotive accounts receivable of $63 million offset by GM Financial accounts payable and GM Financial accounts receivable of $729 million offset by Automotive accounts payable at December 31, 2018.</w:t>
      </w:r>
    </w:p>
    <w:p>
      <w:pPr>
        <w:ind w:left="260" w:hanging="254"/>
        <w:spacing w:after="0" w:line="224" w:lineRule="auto"/>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Eliminations include GM Financial loan receivable of $599 million and $579 million offset by an Automotive loan payable at June 30, 2019 and December 31, 2018.</w:t>
      </w:r>
    </w:p>
    <w:p>
      <w:pPr>
        <w:ind w:left="260" w:hanging="254"/>
        <w:spacing w:after="0" w:line="224" w:lineRule="auto"/>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Includes the reclassification of the current portion of Equipment on operating leases, net. The prior period has been recast to reflect the changes.</w:t>
      </w:r>
    </w:p>
    <w:p>
      <w:pPr>
        <w:ind w:left="260" w:hanging="254"/>
        <w:spacing w:after="0"/>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Primarily reclassification of GM Financial Cumulative Perpetual Preferred Stock, Series A and B. The preferred stock is classified as noncontrolling interests in our condensed consolidated balance sheet.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60"/>
          </w:cols>
          <w:pgMar w:left="220" w:top="470" w:right="21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Combining Cash Flow Information</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(In millions) (Unaudited)(a)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7"/>
                <w:szCs w:val="7"/>
                <w:b w:val="1"/>
                <w:bCs w:val="1"/>
                <w:color w:val="auto"/>
              </w:rPr>
              <w:t>Six Months Ended June 30, 2019</w:t>
            </w: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4"/>
          </w:tcPr>
          <w:p>
            <w:pPr>
              <w:ind w:left="20"/>
              <w:spacing w:after="0"/>
              <w:rPr>
                <w:sz w:val="20"/>
                <w:szCs w:val="20"/>
                <w:color w:val="auto"/>
              </w:rPr>
            </w:pPr>
            <w:r>
              <w:rPr>
                <w:rFonts w:ascii="Arial" w:cs="Arial" w:eastAsia="Arial" w:hAnsi="Arial"/>
                <w:sz w:val="7"/>
                <w:szCs w:val="7"/>
                <w:b w:val="1"/>
                <w:bCs w:val="1"/>
                <w:color w:val="auto"/>
              </w:rPr>
              <w:t>Six Months Ended June 30, 2018</w:t>
            </w: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0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7"/>
                <w:szCs w:val="7"/>
                <w:b w:val="1"/>
                <w:bCs w:val="1"/>
                <w:color w:val="auto"/>
              </w:rPr>
              <w:t>GM Cruise</w:t>
            </w:r>
          </w:p>
        </w:tc>
        <w:tc>
          <w:tcPr>
            <w:tcW w:w="10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Arial" w:cs="Arial" w:eastAsia="Arial" w:hAnsi="Arial"/>
                <w:sz w:val="7"/>
                <w:szCs w:val="7"/>
                <w:b w:val="1"/>
                <w:bCs w:val="1"/>
                <w:color w:val="auto"/>
              </w:rPr>
              <w:t>GM Financial</w:t>
            </w:r>
          </w:p>
        </w:tc>
        <w:tc>
          <w:tcPr>
            <w:tcW w:w="1180" w:type="dxa"/>
            <w:vAlign w:val="bottom"/>
            <w:gridSpan w:val="3"/>
          </w:tcPr>
          <w:p>
            <w:pPr>
              <w:ind w:left="20"/>
              <w:spacing w:after="0"/>
              <w:rPr>
                <w:sz w:val="20"/>
                <w:szCs w:val="20"/>
                <w:color w:val="auto"/>
              </w:rPr>
            </w:pPr>
            <w:r>
              <w:rPr>
                <w:rFonts w:ascii="Arial" w:cs="Arial" w:eastAsia="Arial" w:hAnsi="Arial"/>
                <w:sz w:val="7"/>
                <w:szCs w:val="7"/>
                <w:b w:val="1"/>
                <w:bCs w:val="1"/>
                <w:color w:val="auto"/>
              </w:rPr>
              <w:t>Reclassification/Eliminations</w:t>
            </w:r>
          </w:p>
        </w:tc>
        <w:tc>
          <w:tcPr>
            <w:tcW w:w="12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Combined</w:t>
            </w:r>
          </w:p>
        </w:tc>
        <w:tc>
          <w:tcPr>
            <w:tcW w:w="10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80" w:type="dxa"/>
            <w:vAlign w:val="bottom"/>
          </w:tcPr>
          <w:p>
            <w:pPr>
              <w:spacing w:after="0"/>
              <w:rPr>
                <w:sz w:val="17"/>
                <w:szCs w:val="17"/>
                <w:color w:val="auto"/>
              </w:rPr>
            </w:pPr>
          </w:p>
        </w:tc>
        <w:tc>
          <w:tcPr>
            <w:tcW w:w="580" w:type="dxa"/>
            <w:vAlign w:val="bottom"/>
            <w:gridSpan w:val="2"/>
          </w:tcPr>
          <w:p>
            <w:pPr>
              <w:ind w:left="20"/>
              <w:spacing w:after="0"/>
              <w:rPr>
                <w:sz w:val="20"/>
                <w:szCs w:val="20"/>
                <w:color w:val="auto"/>
              </w:rPr>
            </w:pPr>
            <w:r>
              <w:rPr>
                <w:rFonts w:ascii="Arial" w:cs="Arial" w:eastAsia="Arial" w:hAnsi="Arial"/>
                <w:sz w:val="7"/>
                <w:szCs w:val="7"/>
                <w:b w:val="1"/>
                <w:bCs w:val="1"/>
                <w:color w:val="auto"/>
              </w:rPr>
              <w:t>GM Cruise</w:t>
            </w:r>
          </w:p>
        </w:tc>
        <w:tc>
          <w:tcPr>
            <w:tcW w:w="8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7"/>
                <w:szCs w:val="7"/>
                <w:b w:val="1"/>
                <w:bCs w:val="1"/>
                <w:color w:val="auto"/>
              </w:rPr>
              <w:t>GM Financial</w:t>
            </w:r>
          </w:p>
        </w:tc>
        <w:tc>
          <w:tcPr>
            <w:tcW w:w="1140" w:type="dxa"/>
            <w:vAlign w:val="bottom"/>
            <w:gridSpan w:val="3"/>
          </w:tcPr>
          <w:p>
            <w:pPr>
              <w:ind w:left="40"/>
              <w:spacing w:after="0"/>
              <w:rPr>
                <w:sz w:val="20"/>
                <w:szCs w:val="20"/>
                <w:color w:val="auto"/>
              </w:rPr>
            </w:pPr>
            <w:r>
              <w:rPr>
                <w:rFonts w:ascii="Arial" w:cs="Arial" w:eastAsia="Arial" w:hAnsi="Arial"/>
                <w:sz w:val="7"/>
                <w:szCs w:val="7"/>
                <w:b w:val="1"/>
                <w:bCs w:val="1"/>
                <w:color w:val="auto"/>
              </w:rPr>
              <w:t>Reclassification/Eliminations</w:t>
            </w:r>
          </w:p>
        </w:tc>
        <w:tc>
          <w:tcPr>
            <w:tcW w:w="120" w:type="dxa"/>
            <w:vAlign w:val="bottom"/>
          </w:tcPr>
          <w:p>
            <w:pPr>
              <w:spacing w:after="0"/>
              <w:rPr>
                <w:sz w:val="17"/>
                <w:szCs w:val="17"/>
                <w:color w:val="auto"/>
              </w:rPr>
            </w:pPr>
          </w:p>
        </w:tc>
        <w:tc>
          <w:tcPr>
            <w:tcW w:w="540" w:type="dxa"/>
            <w:vAlign w:val="bottom"/>
          </w:tcPr>
          <w:p>
            <w:pPr>
              <w:jc w:val="right"/>
              <w:ind w:right="90"/>
              <w:spacing w:after="0"/>
              <w:rPr>
                <w:sz w:val="20"/>
                <w:szCs w:val="20"/>
                <w:color w:val="auto"/>
              </w:rPr>
            </w:pPr>
            <w:r>
              <w:rPr>
                <w:rFonts w:ascii="Arial" w:cs="Arial" w:eastAsia="Arial" w:hAnsi="Arial"/>
                <w:sz w:val="7"/>
                <w:szCs w:val="7"/>
                <w:b w:val="1"/>
                <w:bCs w:val="1"/>
                <w:color w:val="auto"/>
              </w:rPr>
              <w:t>Combined</w:t>
            </w:r>
          </w:p>
        </w:tc>
        <w:tc>
          <w:tcPr>
            <w:tcW w:w="0" w:type="dxa"/>
            <w:vAlign w:val="bottom"/>
          </w:tcPr>
          <w:p>
            <w:pPr>
              <w:spacing w:after="0"/>
              <w:rPr>
                <w:sz w:val="1"/>
                <w:szCs w:val="1"/>
                <w:color w:val="auto"/>
              </w:rPr>
            </w:pPr>
          </w:p>
        </w:tc>
      </w:tr>
      <w:tr>
        <w:trPr>
          <w:trHeight w:val="127"/>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Cash flows from operating activities</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(loss)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4,209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(329)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683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4,548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2,973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(296)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793</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3,476</w:t>
            </w:r>
          </w:p>
        </w:tc>
        <w:tc>
          <w:tcPr>
            <w:tcW w:w="0" w:type="dxa"/>
            <w:vAlign w:val="bottom"/>
          </w:tcPr>
          <w:p>
            <w:pPr>
              <w:spacing w:after="0"/>
              <w:rPr>
                <w:sz w:val="1"/>
                <w:szCs w:val="1"/>
                <w:color w:val="auto"/>
              </w:rPr>
            </w:pPr>
          </w:p>
        </w:tc>
      </w:tr>
      <w:tr>
        <w:trPr>
          <w:trHeight w:val="125"/>
        </w:trPr>
        <w:tc>
          <w:tcPr>
            <w:tcW w:w="3100" w:type="dxa"/>
            <w:vAlign w:val="bottom"/>
          </w:tcPr>
          <w:p>
            <w:pPr>
              <w:ind w:left="140"/>
              <w:spacing w:after="0"/>
              <w:rPr>
                <w:sz w:val="20"/>
                <w:szCs w:val="20"/>
                <w:color w:val="auto"/>
              </w:rPr>
            </w:pPr>
            <w:r>
              <w:rPr>
                <w:rFonts w:ascii="Arial" w:cs="Arial" w:eastAsia="Arial" w:hAnsi="Arial"/>
                <w:sz w:val="10"/>
                <w:szCs w:val="10"/>
                <w:color w:val="auto"/>
              </w:rPr>
              <w:t>Depreciation and impairment of Equipment on operating leases,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100" w:type="dxa"/>
            <w:vAlign w:val="bottom"/>
          </w:tcPr>
          <w:p>
            <w:pPr>
              <w:ind w:left="260"/>
              <w:spacing w:after="0"/>
              <w:rPr>
                <w:sz w:val="20"/>
                <w:szCs w:val="20"/>
                <w:color w:val="auto"/>
              </w:rPr>
            </w:pPr>
            <w:r>
              <w:rPr>
                <w:rFonts w:ascii="Arial" w:cs="Arial" w:eastAsia="Arial" w:hAnsi="Arial"/>
                <w:sz w:val="10"/>
                <w:szCs w:val="10"/>
                <w:color w:val="auto"/>
              </w:rPr>
              <w:t>net</w:t>
            </w:r>
          </w:p>
        </w:tc>
        <w:tc>
          <w:tcPr>
            <w:tcW w:w="120" w:type="dxa"/>
            <w:vAlign w:val="bottom"/>
          </w:tcPr>
          <w:p>
            <w:pPr>
              <w:spacing w:after="0"/>
              <w:rPr>
                <w:sz w:val="11"/>
                <w:szCs w:val="11"/>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3,710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3,748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102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3,621</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3,723</w:t>
            </w:r>
          </w:p>
        </w:tc>
        <w:tc>
          <w:tcPr>
            <w:tcW w:w="0" w:type="dxa"/>
            <w:vAlign w:val="bottom"/>
          </w:tcPr>
          <w:p>
            <w:pPr>
              <w:spacing w:after="0"/>
              <w:rPr>
                <w:sz w:val="1"/>
                <w:szCs w:val="1"/>
                <w:color w:val="auto"/>
              </w:rPr>
            </w:pPr>
          </w:p>
        </w:tc>
      </w:tr>
      <w:tr>
        <w:trPr>
          <w:trHeight w:val="131"/>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Depreciation, amortization and impairment charges on Property,</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net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3,729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37</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3,775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2,949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35</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2,987</w:t>
            </w: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Foreign currency remeasurement and transaction (gains) losses</w:t>
            </w:r>
          </w:p>
        </w:tc>
        <w:tc>
          <w:tcPr>
            <w:tcW w:w="12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(174)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Undistributed earnings of nonconsolidated affiliates, net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343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(87)</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807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(97)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710</w:t>
            </w: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Pension contributions and OPEB payments</w:t>
            </w:r>
          </w:p>
        </w:tc>
        <w:tc>
          <w:tcPr>
            <w:tcW w:w="12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(570)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(932)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(932)</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Pension and OPEB income, net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(306)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(627)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(627)</w:t>
            </w: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Provision (benefit) for deferred taxes</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0"/>
              <w:spacing w:after="0"/>
              <w:rPr>
                <w:sz w:val="20"/>
                <w:szCs w:val="20"/>
                <w:color w:val="auto"/>
              </w:rPr>
            </w:pPr>
            <w:r>
              <w:rPr>
                <w:rFonts w:ascii="Arial" w:cs="Arial" w:eastAsia="Arial" w:hAnsi="Arial"/>
                <w:sz w:val="10"/>
                <w:szCs w:val="10"/>
                <w:color w:val="auto"/>
              </w:rPr>
              <w:t>(129)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178</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470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
              <w:spacing w:after="0"/>
              <w:rPr>
                <w:sz w:val="20"/>
                <w:szCs w:val="20"/>
                <w:color w:val="auto"/>
              </w:rPr>
            </w:pPr>
            <w:r>
              <w:rPr>
                <w:rFonts w:ascii="Arial" w:cs="Arial" w:eastAsia="Arial" w:hAnsi="Arial"/>
                <w:sz w:val="10"/>
                <w:szCs w:val="10"/>
                <w:color w:val="auto"/>
              </w:rPr>
              <w:t>(26)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142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586</w:t>
            </w: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Change in other operating assets and liabilities(b)(c)</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(5,693)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83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(224)</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(522)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(6,357)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(2,910)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44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(944)</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(666)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(4,476)</w:t>
            </w:r>
          </w:p>
        </w:tc>
        <w:tc>
          <w:tcPr>
            <w:tcW w:w="0" w:type="dxa"/>
            <w:vAlign w:val="bottom"/>
          </w:tcPr>
          <w:p>
            <w:pPr>
              <w:spacing w:after="0"/>
              <w:rPr>
                <w:sz w:val="1"/>
                <w:szCs w:val="1"/>
                <w:color w:val="auto"/>
              </w:rPr>
            </w:pPr>
          </w:p>
        </w:tc>
      </w:tr>
      <w:tr>
        <w:trPr>
          <w:trHeight w:val="78"/>
        </w:trPr>
        <w:tc>
          <w:tcPr>
            <w:tcW w:w="3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Net cash provided by (used in) operating activities</w:t>
            </w:r>
          </w:p>
        </w:tc>
        <w:tc>
          <w:tcPr>
            <w:tcW w:w="120" w:type="dxa"/>
            <w:vAlign w:val="bottom"/>
          </w:tcPr>
          <w:p>
            <w:pPr>
              <w:spacing w:after="0"/>
              <w:rPr>
                <w:sz w:val="10"/>
                <w:szCs w:val="10"/>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1,606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ind w:right="30"/>
              <w:spacing w:after="0"/>
              <w:rPr>
                <w:sz w:val="20"/>
                <w:szCs w:val="20"/>
                <w:color w:val="auto"/>
              </w:rPr>
            </w:pPr>
            <w:r>
              <w:rPr>
                <w:rFonts w:ascii="Arial" w:cs="Arial" w:eastAsia="Arial" w:hAnsi="Arial"/>
                <w:sz w:val="10"/>
                <w:szCs w:val="10"/>
                <w:color w:val="auto"/>
              </w:rPr>
              <w:t>(367)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4,293</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0"/>
                <w:szCs w:val="10"/>
                <w:color w:val="auto"/>
              </w:rPr>
              <w:t>(538)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4,995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0"/>
                <w:szCs w:val="10"/>
                <w:color w:val="auto"/>
              </w:rPr>
              <w:t>2,923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0"/>
                <w:szCs w:val="10"/>
                <w:color w:val="auto"/>
              </w:rPr>
              <w:t>(275)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0"/>
                <w:szCs w:val="10"/>
                <w:color w:val="auto"/>
              </w:rPr>
              <w:t>3,565</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0"/>
                <w:szCs w:val="10"/>
                <w:color w:val="auto"/>
              </w:rPr>
              <w:t>(660)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50"/>
              <w:spacing w:after="0"/>
              <w:rPr>
                <w:sz w:val="20"/>
                <w:szCs w:val="20"/>
                <w:color w:val="auto"/>
              </w:rPr>
            </w:pPr>
            <w:r>
              <w:rPr>
                <w:rFonts w:ascii="Arial" w:cs="Arial" w:eastAsia="Arial" w:hAnsi="Arial"/>
                <w:sz w:val="10"/>
                <w:szCs w:val="10"/>
                <w:color w:val="auto"/>
              </w:rPr>
              <w:t>5,553</w:t>
            </w:r>
          </w:p>
        </w:tc>
        <w:tc>
          <w:tcPr>
            <w:tcW w:w="0" w:type="dxa"/>
            <w:vAlign w:val="bottom"/>
          </w:tcPr>
          <w:p>
            <w:pPr>
              <w:spacing w:after="0"/>
              <w:rPr>
                <w:sz w:val="1"/>
                <w:szCs w:val="1"/>
                <w:color w:val="auto"/>
              </w:rPr>
            </w:pPr>
          </w:p>
        </w:tc>
      </w:tr>
      <w:tr>
        <w:trPr>
          <w:trHeight w:val="39"/>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3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Expenditures for property</w:t>
            </w:r>
          </w:p>
        </w:tc>
        <w:tc>
          <w:tcPr>
            <w:tcW w:w="12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(3,428)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0"/>
              <w:spacing w:after="0"/>
              <w:rPr>
                <w:sz w:val="20"/>
                <w:szCs w:val="20"/>
                <w:color w:val="auto"/>
              </w:rPr>
            </w:pPr>
            <w:r>
              <w:rPr>
                <w:rFonts w:ascii="Arial" w:cs="Arial" w:eastAsia="Arial" w:hAnsi="Arial"/>
                <w:sz w:val="10"/>
                <w:szCs w:val="10"/>
                <w:color w:val="auto"/>
              </w:rPr>
              <w:t>(23)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(25)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(3,476)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(4,305)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(34)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(4,351)</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Available-for-sale marketable securities, acquisitions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(1,314)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(899)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(2,213)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(1,571)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(1,571)</w:t>
            </w: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Available-for-sale marketable securities, liquidations</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1,244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Arial" w:cs="Arial" w:eastAsia="Arial" w:hAnsi="Arial"/>
                <w:sz w:val="10"/>
                <w:szCs w:val="10"/>
                <w:color w:val="auto"/>
              </w:rPr>
              <w:t>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1,244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2,886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2,886</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Purchases of finance receivables, net(b)(c)</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(14,670)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914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(13,757)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(11,635)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857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(10,778)</w:t>
            </w: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Principal collections and recoveries on finance receivables(c)</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12,096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(388)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11,708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7,593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(173)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7,420</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Purchases of leased vehicles, net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(8,189)</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(8,189)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(9,122)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(9,122)</w:t>
            </w: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Proceeds from termination of leased vehicles</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6,444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6,444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5,303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5,303</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investing activities(d)</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(587)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(5)</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(1,367)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1,374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18"/>
        </w:trPr>
        <w:tc>
          <w:tcPr>
            <w:tcW w:w="3100" w:type="dxa"/>
            <w:vAlign w:val="bottom"/>
          </w:tcPr>
          <w:p>
            <w:pPr>
              <w:ind w:left="140"/>
              <w:spacing w:after="0"/>
              <w:rPr>
                <w:sz w:val="20"/>
                <w:szCs w:val="20"/>
                <w:color w:val="auto"/>
              </w:rPr>
            </w:pPr>
            <w:r>
              <w:rPr>
                <w:rFonts w:ascii="Arial" w:cs="Arial" w:eastAsia="Arial" w:hAnsi="Arial"/>
                <w:sz w:val="10"/>
                <w:szCs w:val="10"/>
                <w:color w:val="auto"/>
              </w:rPr>
              <w:t>Net cash used in investing activities – continuing operations</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(4,083)</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(897)</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(4,349)</w:t>
            </w:r>
          </w:p>
        </w:tc>
        <w:tc>
          <w:tcPr>
            <w:tcW w:w="1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1,190</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(8,140)</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0"/>
                <w:szCs w:val="10"/>
                <w:color w:val="auto"/>
              </w:rPr>
              <w:t>(4,357)</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(7,895)</w:t>
            </w:r>
          </w:p>
        </w:tc>
        <w:tc>
          <w:tcPr>
            <w:tcW w:w="1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2,058</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0"/>
                <w:szCs w:val="10"/>
                <w:color w:val="auto"/>
              </w:rPr>
              <w:t>(10,206)</w:t>
            </w:r>
          </w:p>
        </w:tc>
        <w:tc>
          <w:tcPr>
            <w:tcW w:w="0" w:type="dxa"/>
            <w:vAlign w:val="bottom"/>
          </w:tcPr>
          <w:p>
            <w:pPr>
              <w:spacing w:after="0"/>
              <w:rPr>
                <w:sz w:val="1"/>
                <w:szCs w:val="1"/>
                <w:color w:val="auto"/>
              </w:rPr>
            </w:pPr>
          </w:p>
        </w:tc>
      </w:tr>
      <w:tr>
        <w:trPr>
          <w:trHeight w:val="39"/>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Net cash provided by investing activities – discontinued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operations</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166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166</w:t>
            </w:r>
          </w:p>
        </w:tc>
        <w:tc>
          <w:tcPr>
            <w:tcW w:w="0" w:type="dxa"/>
            <w:vAlign w:val="bottom"/>
          </w:tcPr>
          <w:p>
            <w:pPr>
              <w:spacing w:after="0"/>
              <w:rPr>
                <w:sz w:val="1"/>
                <w:szCs w:val="1"/>
                <w:color w:val="auto"/>
              </w:rPr>
            </w:pPr>
          </w:p>
        </w:tc>
      </w:tr>
      <w:tr>
        <w:trPr>
          <w:trHeight w:val="118"/>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Net cash used in investing activities</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(4,083)</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(897)</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(4,349)</w:t>
            </w:r>
          </w:p>
        </w:tc>
        <w:tc>
          <w:tcPr>
            <w:tcW w:w="1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1,190</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(8,140)</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0"/>
                <w:szCs w:val="10"/>
                <w:color w:val="auto"/>
              </w:rPr>
              <w:t>(4,191)</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(7,895)</w:t>
            </w:r>
          </w:p>
        </w:tc>
        <w:tc>
          <w:tcPr>
            <w:tcW w:w="1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2,058</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0"/>
                <w:szCs w:val="10"/>
                <w:color w:val="auto"/>
              </w:rPr>
              <w:t>(10,040)</w:t>
            </w:r>
          </w:p>
        </w:tc>
        <w:tc>
          <w:tcPr>
            <w:tcW w:w="0" w:type="dxa"/>
            <w:vAlign w:val="bottom"/>
          </w:tcPr>
          <w:p>
            <w:pPr>
              <w:spacing w:after="0"/>
              <w:rPr>
                <w:sz w:val="1"/>
                <w:szCs w:val="1"/>
                <w:color w:val="auto"/>
              </w:rPr>
            </w:pPr>
          </w:p>
        </w:tc>
      </w:tr>
      <w:tr>
        <w:trPr>
          <w:trHeight w:val="39"/>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3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Net increase (decrease) in short-term debt</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693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243</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936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695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644</w:t>
            </w:r>
          </w:p>
        </w:tc>
        <w:tc>
          <w:tcPr>
            <w:tcW w:w="0" w:type="dxa"/>
            <w:vAlign w:val="bottom"/>
          </w:tcPr>
          <w:p>
            <w:pPr>
              <w:spacing w:after="0"/>
              <w:rPr>
                <w:sz w:val="1"/>
                <w:szCs w:val="1"/>
                <w:color w:val="auto"/>
              </w:rPr>
            </w:pPr>
          </w:p>
        </w:tc>
      </w:tr>
      <w:tr>
        <w:trPr>
          <w:trHeight w:val="131"/>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Proceeds from issuance of debt (original maturities greater than</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three months)(d)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986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19,525</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20,511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2,321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274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20,836</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(274)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23,157</w:t>
            </w: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Payments on debt (original maturities greater than three months)</w:t>
            </w:r>
          </w:p>
        </w:tc>
        <w:tc>
          <w:tcPr>
            <w:tcW w:w="12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(222)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(20,402)</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(20,625)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(1,898)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(16,918)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(18,840)</w:t>
            </w: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Proceeds from issuance of preferred stock(d)</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1,101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(687)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414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361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(1,100)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1,261</w:t>
            </w:r>
          </w:p>
        </w:tc>
        <w:tc>
          <w:tcPr>
            <w:tcW w:w="0" w:type="dxa"/>
            <w:vAlign w:val="bottom"/>
          </w:tcPr>
          <w:p>
            <w:pPr>
              <w:spacing w:after="0"/>
              <w:rPr>
                <w:sz w:val="1"/>
                <w:szCs w:val="1"/>
                <w:color w:val="auto"/>
              </w:rPr>
            </w:pPr>
          </w:p>
        </w:tc>
      </w:tr>
      <w:tr>
        <w:trPr>
          <w:trHeight w:val="78"/>
        </w:trPr>
        <w:tc>
          <w:tcPr>
            <w:tcW w:w="3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Dividends paid</w:t>
            </w:r>
          </w:p>
        </w:tc>
        <w:tc>
          <w:tcPr>
            <w:tcW w:w="12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(1,109)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0"/>
              <w:spacing w:after="0"/>
              <w:rPr>
                <w:sz w:val="20"/>
                <w:szCs w:val="20"/>
                <w:color w:val="auto"/>
              </w:rPr>
            </w:pPr>
            <w:r>
              <w:rPr>
                <w:rFonts w:ascii="Arial" w:cs="Arial" w:eastAsia="Arial" w:hAnsi="Arial"/>
                <w:sz w:val="10"/>
                <w:szCs w:val="10"/>
                <w:color w:val="auto"/>
              </w:rPr>
              <w:t>(31)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(46)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jc w:val="right"/>
              <w:ind w:right="70"/>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(1,184)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(1,074)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(1,104)</w:t>
            </w: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financing activities(e)</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(215)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(78)</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33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(362)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(92)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(463)</w:t>
            </w:r>
          </w:p>
        </w:tc>
        <w:tc>
          <w:tcPr>
            <w:tcW w:w="0" w:type="dxa"/>
            <w:vAlign w:val="bottom"/>
          </w:tcPr>
          <w:p>
            <w:pPr>
              <w:spacing w:after="0"/>
              <w:rPr>
                <w:sz w:val="1"/>
                <w:szCs w:val="1"/>
                <w:color w:val="auto"/>
              </w:rPr>
            </w:pPr>
          </w:p>
        </w:tc>
      </w:tr>
      <w:tr>
        <w:trPr>
          <w:trHeight w:val="78"/>
        </w:trPr>
        <w:tc>
          <w:tcPr>
            <w:tcW w:w="3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Net cash provided by (used in) financing activities</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132</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1,066</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(758)</w:t>
            </w: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(652)</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(212)</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rPr>
              <w:t>(703)</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2,265</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4,491</w:t>
            </w: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(1,398)</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4,655</w:t>
            </w:r>
          </w:p>
        </w:tc>
        <w:tc>
          <w:tcPr>
            <w:tcW w:w="0" w:type="dxa"/>
            <w:vAlign w:val="bottom"/>
          </w:tcPr>
          <w:p>
            <w:pPr>
              <w:spacing w:after="0"/>
              <w:rPr>
                <w:sz w:val="1"/>
                <w:szCs w:val="1"/>
                <w:color w:val="auto"/>
              </w:rPr>
            </w:pPr>
          </w:p>
        </w:tc>
      </w:tr>
      <w:tr>
        <w:trPr>
          <w:trHeight w:val="131"/>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Effect of exchange rate changes on cash, cash equivalents and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restricted cash</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22</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42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(185)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(60)</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(245)</w:t>
            </w:r>
          </w:p>
        </w:tc>
        <w:tc>
          <w:tcPr>
            <w:tcW w:w="0" w:type="dxa"/>
            <w:vAlign w:val="bottom"/>
          </w:tcPr>
          <w:p>
            <w:pPr>
              <w:spacing w:after="0"/>
              <w:rPr>
                <w:sz w:val="1"/>
                <w:szCs w:val="1"/>
                <w:color w:val="auto"/>
              </w:rPr>
            </w:pPr>
          </w:p>
        </w:tc>
      </w:tr>
      <w:tr>
        <w:trPr>
          <w:trHeight w:val="105"/>
        </w:trPr>
        <w:tc>
          <w:tcPr>
            <w:tcW w:w="3100" w:type="dxa"/>
            <w:vAlign w:val="bottom"/>
          </w:tcPr>
          <w:p>
            <w:pPr>
              <w:ind w:left="140"/>
              <w:spacing w:after="0" w:line="105" w:lineRule="exact"/>
              <w:rPr>
                <w:sz w:val="20"/>
                <w:szCs w:val="20"/>
                <w:color w:val="auto"/>
              </w:rPr>
            </w:pPr>
            <w:r>
              <w:rPr>
                <w:rFonts w:ascii="Arial" w:cs="Arial" w:eastAsia="Arial" w:hAnsi="Arial"/>
                <w:sz w:val="10"/>
                <w:szCs w:val="10"/>
                <w:color w:val="auto"/>
              </w:rPr>
              <w:t>Net increase (decrease) in cash, cash equivalents and restricted</w:t>
            </w: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100" w:type="dxa"/>
            <w:vAlign w:val="bottom"/>
          </w:tcPr>
          <w:p>
            <w:pPr>
              <w:ind w:left="260"/>
              <w:spacing w:after="0"/>
              <w:rPr>
                <w:sz w:val="20"/>
                <w:szCs w:val="20"/>
                <w:color w:val="auto"/>
              </w:rPr>
            </w:pPr>
            <w:r>
              <w:rPr>
                <w:rFonts w:ascii="Arial" w:cs="Arial" w:eastAsia="Arial" w:hAnsi="Arial"/>
                <w:sz w:val="10"/>
                <w:szCs w:val="10"/>
                <w:color w:val="auto"/>
              </w:rPr>
              <w:t>cash</w:t>
            </w:r>
          </w:p>
        </w:tc>
        <w:tc>
          <w:tcPr>
            <w:tcW w:w="120" w:type="dxa"/>
            <w:vAlign w:val="bottom"/>
          </w:tcPr>
          <w:p>
            <w:pPr>
              <w:spacing w:after="0"/>
              <w:rPr>
                <w:sz w:val="11"/>
                <w:szCs w:val="11"/>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(2,325)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30"/>
              <w:spacing w:after="0"/>
              <w:rPr>
                <w:sz w:val="20"/>
                <w:szCs w:val="20"/>
                <w:color w:val="auto"/>
              </w:rPr>
            </w:pPr>
            <w:r>
              <w:rPr>
                <w:rFonts w:ascii="Arial" w:cs="Arial" w:eastAsia="Arial" w:hAnsi="Arial"/>
                <w:sz w:val="10"/>
                <w:szCs w:val="10"/>
                <w:color w:val="auto"/>
              </w:rPr>
              <w:t>(197)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(792)</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(3,315)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(2,156)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50"/>
              <w:spacing w:after="0"/>
              <w:rPr>
                <w:sz w:val="20"/>
                <w:szCs w:val="20"/>
                <w:color w:val="auto"/>
              </w:rPr>
            </w:pPr>
            <w:r>
              <w:rPr>
                <w:rFonts w:ascii="Arial" w:cs="Arial" w:eastAsia="Arial" w:hAnsi="Arial"/>
                <w:sz w:val="10"/>
                <w:szCs w:val="10"/>
                <w:color w:val="auto"/>
              </w:rPr>
              <w:t>1,978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101</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(77)</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cash equivalents and restricted cash at beginning of period</w:t>
            </w: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13,762</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2,291</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7,443</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23,496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11,258</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23</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6,567</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17,848</w:t>
            </w:r>
          </w:p>
        </w:tc>
        <w:tc>
          <w:tcPr>
            <w:tcW w:w="0" w:type="dxa"/>
            <w:vAlign w:val="bottom"/>
          </w:tcPr>
          <w:p>
            <w:pPr>
              <w:spacing w:after="0"/>
              <w:rPr>
                <w:sz w:val="1"/>
                <w:szCs w:val="1"/>
                <w:color w:val="auto"/>
              </w:rPr>
            </w:pPr>
          </w:p>
        </w:tc>
      </w:tr>
      <w:tr>
        <w:trPr>
          <w:trHeight w:val="118"/>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Cash, cash equivalents and restricted cash at end of period</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11,437</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ind w:right="70"/>
              <w:spacing w:after="0"/>
              <w:rPr>
                <w:sz w:val="20"/>
                <w:szCs w:val="20"/>
                <w:color w:val="auto"/>
              </w:rPr>
            </w:pPr>
            <w:r>
              <w:rPr>
                <w:rFonts w:ascii="Arial" w:cs="Arial" w:eastAsia="Arial" w:hAnsi="Arial"/>
                <w:sz w:val="10"/>
                <w:szCs w:val="10"/>
                <w:color w:val="auto"/>
              </w:rPr>
              <w:t>2,093</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6,651</w:t>
            </w:r>
          </w:p>
        </w:tc>
        <w:tc>
          <w:tcPr>
            <w:tcW w:w="120" w:type="dxa"/>
            <w:vAlign w:val="bottom"/>
          </w:tcPr>
          <w:p>
            <w:pPr>
              <w:spacing w:after="0"/>
              <w:rPr>
                <w:sz w:val="10"/>
                <w:szCs w:val="10"/>
                <w:color w:val="auto"/>
              </w:rPr>
            </w:pPr>
          </w:p>
        </w:tc>
        <w:tc>
          <w:tcPr>
            <w:tcW w:w="5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20,181</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ind w:right="50"/>
              <w:spacing w:after="0"/>
              <w:rPr>
                <w:sz w:val="20"/>
                <w:szCs w:val="20"/>
                <w:color w:val="auto"/>
              </w:rPr>
            </w:pPr>
            <w:r>
              <w:rPr>
                <w:rFonts w:ascii="Arial" w:cs="Arial" w:eastAsia="Arial" w:hAnsi="Arial"/>
                <w:sz w:val="10"/>
                <w:szCs w:val="10"/>
                <w:color w:val="auto"/>
              </w:rPr>
              <w:t>9,102</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60" w:type="dxa"/>
            <w:vAlign w:val="bottom"/>
            <w:vMerge w:val="restart"/>
          </w:tcPr>
          <w:p>
            <w:pPr>
              <w:jc w:val="right"/>
              <w:ind w:right="50"/>
              <w:spacing w:after="0"/>
              <w:rPr>
                <w:sz w:val="20"/>
                <w:szCs w:val="20"/>
                <w:color w:val="auto"/>
              </w:rPr>
            </w:pPr>
            <w:r>
              <w:rPr>
                <w:rFonts w:ascii="Arial" w:cs="Arial" w:eastAsia="Arial" w:hAnsi="Arial"/>
                <w:sz w:val="10"/>
                <w:szCs w:val="10"/>
                <w:color w:val="auto"/>
              </w:rPr>
              <w:t>2,001</w:t>
            </w:r>
          </w:p>
        </w:tc>
        <w:tc>
          <w:tcPr>
            <w:tcW w:w="120" w:type="dxa"/>
            <w:vAlign w:val="bottom"/>
          </w:tcPr>
          <w:p>
            <w:pPr>
              <w:spacing w:after="0"/>
              <w:rPr>
                <w:sz w:val="10"/>
                <w:szCs w:val="10"/>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tcPr>
          <w:p>
            <w:pPr>
              <w:jc w:val="right"/>
              <w:ind w:right="50"/>
              <w:spacing w:after="0"/>
              <w:rPr>
                <w:sz w:val="20"/>
                <w:szCs w:val="20"/>
                <w:color w:val="auto"/>
              </w:rPr>
            </w:pPr>
            <w:r>
              <w:rPr>
                <w:rFonts w:ascii="Arial" w:cs="Arial" w:eastAsia="Arial" w:hAnsi="Arial"/>
                <w:sz w:val="10"/>
                <w:szCs w:val="10"/>
                <w:color w:val="auto"/>
              </w:rPr>
              <w:t>6,668</w:t>
            </w:r>
          </w:p>
        </w:tc>
        <w:tc>
          <w:tcPr>
            <w:tcW w:w="100" w:type="dxa"/>
            <w:vAlign w:val="bottom"/>
          </w:tcPr>
          <w:p>
            <w:pPr>
              <w:spacing w:after="0"/>
              <w:rPr>
                <w:sz w:val="10"/>
                <w:szCs w:val="10"/>
                <w:color w:val="auto"/>
              </w:rPr>
            </w:pPr>
          </w:p>
        </w:tc>
        <w:tc>
          <w:tcPr>
            <w:tcW w:w="500" w:type="dxa"/>
            <w:vAlign w:val="bottom"/>
            <w:vMerge w:val="restart"/>
          </w:tcPr>
          <w:p>
            <w:pPr>
              <w:ind w:left="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ind w:right="50"/>
              <w:spacing w:after="0"/>
              <w:rPr>
                <w:sz w:val="20"/>
                <w:szCs w:val="20"/>
                <w:color w:val="auto"/>
              </w:rPr>
            </w:pPr>
            <w:r>
              <w:rPr>
                <w:rFonts w:ascii="Arial" w:cs="Arial" w:eastAsia="Arial" w:hAnsi="Arial"/>
                <w:sz w:val="10"/>
                <w:szCs w:val="10"/>
                <w:color w:val="auto"/>
              </w:rPr>
              <w:t>17,771</w:t>
            </w:r>
          </w:p>
        </w:tc>
        <w:tc>
          <w:tcPr>
            <w:tcW w:w="0" w:type="dxa"/>
            <w:vAlign w:val="bottom"/>
          </w:tcPr>
          <w:p>
            <w:pPr>
              <w:spacing w:after="0"/>
              <w:rPr>
                <w:sz w:val="1"/>
                <w:szCs w:val="1"/>
                <w:color w:val="auto"/>
              </w:rPr>
            </w:pPr>
          </w:p>
        </w:tc>
      </w:tr>
      <w:tr>
        <w:trPr>
          <w:trHeight w:val="36"/>
        </w:trPr>
        <w:tc>
          <w:tcPr>
            <w:tcW w:w="31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ind w:left="20"/>
              <w:spacing w:after="0"/>
              <w:rPr>
                <w:sz w:val="20"/>
                <w:szCs w:val="20"/>
                <w:color w:val="auto"/>
              </w:rPr>
            </w:pPr>
            <w:r>
              <w:rPr>
                <w:rFonts w:ascii="Arial" w:cs="Arial" w:eastAsia="Arial" w:hAnsi="Arial"/>
                <w:sz w:val="10"/>
                <w:szCs w:val="10"/>
                <w:color w:val="auto"/>
              </w:rPr>
              <w:t>Cash, cash equivalents and restricted cash – continuing operations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3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100" w:type="dxa"/>
            <w:vAlign w:val="bottom"/>
          </w:tcPr>
          <w:p>
            <w:pPr>
              <w:ind w:left="160"/>
              <w:spacing w:after="0"/>
              <w:rPr>
                <w:sz w:val="20"/>
                <w:szCs w:val="20"/>
                <w:color w:val="auto"/>
              </w:rPr>
            </w:pPr>
            <w:r>
              <w:rPr>
                <w:rFonts w:ascii="Arial" w:cs="Arial" w:eastAsia="Arial" w:hAnsi="Arial"/>
                <w:sz w:val="10"/>
                <w:szCs w:val="10"/>
                <w:color w:val="auto"/>
              </w:rPr>
              <w:t>at end of period</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11,437</w:t>
            </w:r>
          </w:p>
        </w:tc>
        <w:tc>
          <w:tcPr>
            <w:tcW w:w="1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70"/>
              <w:spacing w:after="0"/>
              <w:rPr>
                <w:sz w:val="20"/>
                <w:szCs w:val="20"/>
                <w:color w:val="auto"/>
              </w:rPr>
            </w:pPr>
            <w:r>
              <w:rPr>
                <w:rFonts w:ascii="Arial" w:cs="Arial" w:eastAsia="Arial" w:hAnsi="Arial"/>
                <w:sz w:val="10"/>
                <w:szCs w:val="10"/>
                <w:color w:val="auto"/>
              </w:rPr>
              <w:t>2,093</w:t>
            </w:r>
          </w:p>
        </w:tc>
        <w:tc>
          <w:tcPr>
            <w:tcW w:w="1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6,651</w:t>
            </w:r>
          </w:p>
        </w:tc>
        <w:tc>
          <w:tcPr>
            <w:tcW w:w="120" w:type="dxa"/>
            <w:vAlign w:val="bottom"/>
          </w:tcPr>
          <w:p>
            <w:pPr>
              <w:spacing w:after="0"/>
              <w:rPr>
                <w:sz w:val="10"/>
                <w:szCs w:val="10"/>
                <w:color w:val="auto"/>
              </w:rPr>
            </w:pP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20,181</w:t>
            </w: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9,102</w:t>
            </w:r>
          </w:p>
        </w:tc>
        <w:tc>
          <w:tcPr>
            <w:tcW w:w="1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50"/>
              <w:spacing w:after="0"/>
              <w:rPr>
                <w:sz w:val="20"/>
                <w:szCs w:val="20"/>
                <w:color w:val="auto"/>
              </w:rPr>
            </w:pPr>
            <w:r>
              <w:rPr>
                <w:rFonts w:ascii="Arial" w:cs="Arial" w:eastAsia="Arial" w:hAnsi="Arial"/>
                <w:sz w:val="10"/>
                <w:szCs w:val="10"/>
                <w:color w:val="auto"/>
              </w:rPr>
              <w:t>2,001</w:t>
            </w:r>
          </w:p>
        </w:tc>
        <w:tc>
          <w:tcPr>
            <w:tcW w:w="120" w:type="dxa"/>
            <w:vAlign w:val="bottom"/>
          </w:tcPr>
          <w:p>
            <w:pPr>
              <w:spacing w:after="0"/>
              <w:rPr>
                <w:sz w:val="10"/>
                <w:szCs w:val="10"/>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6,668</w:t>
            </w:r>
          </w:p>
        </w:tc>
        <w:tc>
          <w:tcPr>
            <w:tcW w:w="100" w:type="dxa"/>
            <w:vAlign w:val="bottom"/>
          </w:tcPr>
          <w:p>
            <w:pPr>
              <w:spacing w:after="0"/>
              <w:rPr>
                <w:sz w:val="10"/>
                <w:szCs w:val="10"/>
                <w:color w:val="auto"/>
              </w:rPr>
            </w:pPr>
          </w:p>
        </w:tc>
        <w:tc>
          <w:tcPr>
            <w:tcW w:w="500" w:type="dxa"/>
            <w:vAlign w:val="bottom"/>
          </w:tcPr>
          <w:p>
            <w:pPr>
              <w:ind w:left="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17,771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-155575</wp:posOffset>
            </wp:positionV>
            <wp:extent cx="7253605" cy="164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164465"/>
                    </a:xfrm>
                    <a:prstGeom prst="rect">
                      <a:avLst/>
                    </a:prstGeom>
                    <a:noFill/>
                  </pic:spPr>
                </pic:pic>
              </a:graphicData>
            </a:graphic>
          </wp:anchor>
        </w:drawing>
      </w:r>
    </w:p>
    <w:p>
      <w:pPr>
        <w:spacing w:after="0"/>
        <w:rPr>
          <w:sz w:val="20"/>
          <w:szCs w:val="20"/>
          <w:color w:val="auto"/>
        </w:rPr>
      </w:pPr>
      <w:r>
        <w:rPr>
          <w:rFonts w:ascii="Arial" w:cs="Arial" w:eastAsia="Arial" w:hAnsi="Arial"/>
          <w:sz w:val="9"/>
          <w:szCs w:val="9"/>
          <w:color w:val="auto"/>
        </w:rPr>
        <w:t>_________</w:t>
      </w:r>
    </w:p>
    <w:p>
      <w:pPr>
        <w:ind w:left="260" w:hanging="254"/>
        <w:spacing w:after="0" w:line="224" w:lineRule="auto"/>
        <w:tabs>
          <w:tab w:leader="none" w:pos="260" w:val="left"/>
        </w:tabs>
        <w:numPr>
          <w:ilvl w:val="0"/>
          <w:numId w:val="12"/>
        </w:numPr>
        <w:rPr>
          <w:rFonts w:ascii="Arial" w:cs="Arial" w:eastAsia="Arial" w:hAnsi="Arial"/>
          <w:sz w:val="9"/>
          <w:szCs w:val="9"/>
          <w:color w:val="auto"/>
        </w:rPr>
      </w:pPr>
      <w:r>
        <w:rPr>
          <w:rFonts w:ascii="Arial" w:cs="Arial" w:eastAsia="Arial" w:hAnsi="Arial"/>
          <w:sz w:val="9"/>
          <w:szCs w:val="9"/>
          <w:color w:val="auto"/>
        </w:rPr>
        <w:t>Amounts may not sum due to rounding.</w:t>
      </w:r>
    </w:p>
    <w:p>
      <w:pPr>
        <w:ind w:left="260" w:hanging="254"/>
        <w:spacing w:after="0"/>
        <w:tabs>
          <w:tab w:leader="none" w:pos="260" w:val="left"/>
        </w:tabs>
        <w:numPr>
          <w:ilvl w:val="0"/>
          <w:numId w:val="12"/>
        </w:numPr>
        <w:rPr>
          <w:rFonts w:ascii="Arial" w:cs="Arial" w:eastAsia="Arial" w:hAnsi="Arial"/>
          <w:sz w:val="8"/>
          <w:szCs w:val="8"/>
          <w:color w:val="auto"/>
        </w:rPr>
      </w:pPr>
      <w:r>
        <w:rPr>
          <w:rFonts w:ascii="Arial" w:cs="Arial" w:eastAsia="Arial" w:hAnsi="Arial"/>
          <w:sz w:val="8"/>
          <w:szCs w:val="8"/>
          <w:color w:val="auto"/>
        </w:rPr>
        <w:t>Includes reclassifications of $432 million and $541 million in the six months ended June 30, 2019 and 2018 for purchases/collections of wholesale finance receivables resulting from vehicles sold by GM to dealers that have arranged their inventory floor plan financing through GM Financial.</w:t>
      </w:r>
    </w:p>
    <w:p>
      <w:pPr>
        <w:spacing w:after="0" w:line="4" w:lineRule="exact"/>
        <w:rPr>
          <w:rFonts w:ascii="Arial" w:cs="Arial" w:eastAsia="Arial" w:hAnsi="Arial"/>
          <w:sz w:val="8"/>
          <w:szCs w:val="8"/>
          <w:color w:val="auto"/>
        </w:rPr>
      </w:pPr>
    </w:p>
    <w:p>
      <w:pPr>
        <w:ind w:left="260" w:hanging="254"/>
        <w:spacing w:after="0" w:line="224" w:lineRule="auto"/>
        <w:tabs>
          <w:tab w:leader="none" w:pos="260" w:val="left"/>
        </w:tabs>
        <w:numPr>
          <w:ilvl w:val="0"/>
          <w:numId w:val="12"/>
        </w:numPr>
        <w:rPr>
          <w:rFonts w:ascii="Arial" w:cs="Arial" w:eastAsia="Arial" w:hAnsi="Arial"/>
          <w:sz w:val="9"/>
          <w:szCs w:val="9"/>
          <w:color w:val="auto"/>
        </w:rPr>
      </w:pPr>
      <w:r>
        <w:rPr>
          <w:rFonts w:ascii="Arial" w:cs="Arial" w:eastAsia="Arial" w:hAnsi="Arial"/>
          <w:sz w:val="9"/>
          <w:szCs w:val="9"/>
          <w:color w:val="auto"/>
        </w:rPr>
        <w:t>Eliminations include $482 million and $216 million in Purchases of finance receivables, net in the six months ended June 30, 2019 and 2018 and $388 million and $173 million in Principal collections and recoveries on finance receivables in the six months ended June 30, 2019 and 2018 primarily related to the re-timing of cash receipts and payments between Automotive and GM Financial.</w:t>
      </w:r>
    </w:p>
    <w:p>
      <w:pPr>
        <w:ind w:left="260" w:hanging="254"/>
        <w:spacing w:after="0" w:line="224" w:lineRule="auto"/>
        <w:tabs>
          <w:tab w:leader="none" w:pos="260" w:val="left"/>
        </w:tabs>
        <w:numPr>
          <w:ilvl w:val="0"/>
          <w:numId w:val="12"/>
        </w:numPr>
        <w:rPr>
          <w:rFonts w:ascii="Arial" w:cs="Arial" w:eastAsia="Arial" w:hAnsi="Arial"/>
          <w:sz w:val="9"/>
          <w:szCs w:val="9"/>
          <w:color w:val="auto"/>
        </w:rPr>
      </w:pPr>
      <w:r>
        <w:rPr>
          <w:rFonts w:ascii="Arial" w:cs="Arial" w:eastAsia="Arial" w:hAnsi="Arial"/>
          <w:sz w:val="9"/>
          <w:szCs w:val="9"/>
          <w:color w:val="auto"/>
        </w:rPr>
        <w:t>Eliminations include $690 million and $1.4 billion in the six months ended June 30, 2019 and 2018 for Automotive cash injections in GM Cruise, inclusive of investments of $687 million and $1.1 billion in GM Cruise Preferred Shares in the six months ended June 30, 2019 and 2018.</w:t>
      </w:r>
    </w:p>
    <w:p>
      <w:pPr>
        <w:ind w:left="260" w:hanging="254"/>
        <w:spacing w:after="0"/>
        <w:tabs>
          <w:tab w:leader="none" w:pos="260" w:val="left"/>
        </w:tabs>
        <w:numPr>
          <w:ilvl w:val="0"/>
          <w:numId w:val="12"/>
        </w:numPr>
        <w:rPr>
          <w:rFonts w:ascii="Arial" w:cs="Arial" w:eastAsia="Arial" w:hAnsi="Arial"/>
          <w:sz w:val="9"/>
          <w:szCs w:val="9"/>
          <w:color w:val="auto"/>
        </w:rPr>
      </w:pPr>
      <w:r>
        <w:rPr>
          <w:rFonts w:ascii="Arial" w:cs="Arial" w:eastAsia="Arial" w:hAnsi="Arial"/>
          <w:sz w:val="9"/>
          <w:szCs w:val="9"/>
          <w:color w:val="auto"/>
        </w:rPr>
        <w:t>Includes the reclassification of Payments to purchase common stock. The prior period has been recast to reflect the changes.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sectPr>
      <w:pgSz w:w="11900" w:h="16838" w:orient="portrait"/>
      <w:cols w:equalWidth="0" w:num="1">
        <w:col w:w="11460"/>
      </w:cols>
      <w:pgMar w:left="220" w:top="47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2019-12-28T08:45:53Z</dcterms:created>
  <dcterms:modified xsi:type="dcterms:W3CDTF">2019-12-28T08:45:53Z</dcterms:modified>
</cp:coreProperties>
</file>