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393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ectPr>
          <w:pgSz w:w="11900" w:h="16838" w:orient="portrait"/>
          <w:cols w:equalWidth="0" w:num="1">
            <w:col w:w="11420"/>
          </w:cols>
          <w:pgMar w:left="240" w:top="226" w:right="239" w:bottom="391"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3"/>
            <w:vMerge w:val="restart"/>
          </w:tcPr>
          <w:p>
            <w:pPr>
              <w:spacing w:after="0"/>
              <w:rPr>
                <w:rFonts w:ascii="Arial" w:cs="Arial" w:eastAsia="Arial" w:hAnsi="Arial"/>
                <w:sz w:val="22"/>
                <w:szCs w:val="22"/>
                <w:color w:val="0000EE"/>
                <w:w w:val="98"/>
              </w:rPr>
            </w:pPr>
            <w:hyperlink r:id="rId11">
              <w:r>
                <w:rPr>
                  <w:rFonts w:ascii="Arial" w:cs="Arial" w:eastAsia="Arial" w:hAnsi="Arial"/>
                  <w:sz w:val="22"/>
                  <w:szCs w:val="22"/>
                  <w:color w:val="0000EE"/>
                  <w:w w:val="98"/>
                </w:rPr>
                <w:t>Reilly David Nicholas</w:t>
              </w:r>
            </w:hyperlink>
          </w:p>
        </w:tc>
        <w:tc>
          <w:tcPr>
            <w:tcW w:w="1160" w:type="dxa"/>
            <w:vAlign w:val="bottom"/>
          </w:tcPr>
          <w:p>
            <w:pPr>
              <w:spacing w:after="0"/>
              <w:rPr>
                <w:sz w:val="11"/>
                <w:szCs w:val="11"/>
                <w:color w:val="auto"/>
              </w:rPr>
            </w:pPr>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60" w:type="dxa"/>
            <w:vAlign w:val="bottom"/>
            <w:gridSpan w:val="3"/>
            <w:vMerge w:val="continue"/>
          </w:tcPr>
          <w:p>
            <w:pPr>
              <w:spacing w:after="0"/>
              <w:rPr>
                <w:sz w:val="11"/>
                <w:szCs w:val="11"/>
                <w:color w:val="auto"/>
              </w:rPr>
            </w:pPr>
          </w:p>
        </w:tc>
        <w:tc>
          <w:tcPr>
            <w:tcW w:w="1160" w:type="dxa"/>
            <w:vAlign w:val="bottom"/>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06/07/2010</w:t>
            </w: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color w:val="auto"/>
                <w:w w:val="92"/>
              </w:rPr>
              <w:t>(First)</w:t>
            </w:r>
          </w:p>
        </w:tc>
        <w:tc>
          <w:tcPr>
            <w:tcW w:w="1160" w:type="dxa"/>
            <w:vAlign w:val="bottom"/>
          </w:tcPr>
          <w:p>
            <w:pPr>
              <w:ind w:left="12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Arial" w:cs="Arial" w:eastAsia="Arial" w:hAnsi="Arial"/>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NO SYMBOL</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21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1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7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7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7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720" w:type="dxa"/>
            <w:vAlign w:val="bottom"/>
            <w:vMerge w:val="continue"/>
          </w:tcPr>
          <w:p>
            <w:pPr>
              <w:spacing w:after="0"/>
              <w:rPr>
                <w:sz w:val="8"/>
                <w:szCs w:val="8"/>
                <w:color w:val="auto"/>
              </w:rPr>
            </w:pPr>
          </w:p>
        </w:tc>
        <w:tc>
          <w:tcPr>
            <w:tcW w:w="11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720" w:type="dxa"/>
            <w:vAlign w:val="bottom"/>
            <w:vMerge w:val="restart"/>
          </w:tcPr>
          <w:p>
            <w:pPr>
              <w:ind w:left="700"/>
              <w:spacing w:after="0"/>
              <w:rPr>
                <w:sz w:val="20"/>
                <w:szCs w:val="20"/>
                <w:color w:val="auto"/>
              </w:rPr>
            </w:pPr>
            <w:r>
              <w:rPr>
                <w:rFonts w:ascii="Arial" w:cs="Arial" w:eastAsia="Arial" w:hAnsi="Arial"/>
                <w:sz w:val="18"/>
                <w:szCs w:val="18"/>
                <w:color w:val="0000FF"/>
                <w:w w:val="86"/>
              </w:rPr>
              <w:t>Vice President</w:t>
            </w:r>
          </w:p>
        </w:tc>
        <w:tc>
          <w:tcPr>
            <w:tcW w:w="1180" w:type="dxa"/>
            <w:vAlign w:val="bottom"/>
          </w:tcPr>
          <w:p>
            <w:pPr>
              <w:spacing w:after="0"/>
              <w:rPr>
                <w:sz w:val="5"/>
                <w:szCs w:val="5"/>
                <w:color w:val="auto"/>
              </w:rPr>
            </w:pP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1720" w:type="dxa"/>
            <w:vAlign w:val="bottom"/>
            <w:vMerge w:val="continue"/>
          </w:tcPr>
          <w:p>
            <w:pPr>
              <w:spacing w:after="0"/>
              <w:rPr>
                <w:sz w:val="21"/>
                <w:szCs w:val="21"/>
                <w:color w:val="auto"/>
              </w:rPr>
            </w:pPr>
          </w:p>
        </w:tc>
        <w:tc>
          <w:tcPr>
            <w:tcW w:w="1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391"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820"/>
              <w:spacing w:after="0"/>
              <w:rPr>
                <w:sz w:val="20"/>
                <w:szCs w:val="20"/>
                <w:color w:val="auto"/>
              </w:rPr>
            </w:pPr>
            <w:r>
              <w:rPr>
                <w:rFonts w:ascii="Arial" w:cs="Arial" w:eastAsia="Arial" w:hAnsi="Arial"/>
                <w:sz w:val="18"/>
                <w:szCs w:val="18"/>
                <w:color w:val="0000FF"/>
              </w:rPr>
              <w:t>0</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jc w:val="right"/>
              <w:ind w:right="698"/>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7"/>
              </w:rPr>
              <w:t>12,087</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(3)</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2,396</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(5)</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3,594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(6)</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3,594</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(7)</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3,592</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Salary Stock Units</w:t>
            </w:r>
            <w:r>
              <w:rPr>
                <w:rFonts w:ascii="Arial" w:cs="Arial" w:eastAsia="Arial" w:hAnsi="Arial"/>
                <w:sz w:val="22"/>
                <w:szCs w:val="22"/>
                <w:color w:val="008000"/>
                <w:vertAlign w:val="superscript"/>
              </w:rPr>
              <w:t>(2)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(8)</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(8)</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jc w:val="center"/>
              <w:ind w:left="141"/>
              <w:spacing w:after="0"/>
              <w:rPr>
                <w:sz w:val="20"/>
                <w:szCs w:val="20"/>
                <w:color w:val="auto"/>
              </w:rPr>
            </w:pPr>
            <w:r>
              <w:rPr>
                <w:rFonts w:ascii="Arial" w:cs="Arial" w:eastAsia="Arial" w:hAnsi="Arial"/>
                <w:sz w:val="18"/>
                <w:szCs w:val="18"/>
                <w:color w:val="0000FF"/>
                <w:w w:val="88"/>
              </w:rPr>
              <w:t>6,175</w:t>
            </w:r>
          </w:p>
        </w:tc>
        <w:tc>
          <w:tcPr>
            <w:tcW w:w="880" w:type="dxa"/>
            <w:vAlign w:val="bottom"/>
            <w:tcBorders>
              <w:bottom w:val="single" w:sz="8" w:color="2C2C2C"/>
            </w:tcBorders>
          </w:tcPr>
          <w:p>
            <w:pPr>
              <w:jc w:val="right"/>
              <w:ind w:right="318"/>
              <w:spacing w:after="0"/>
              <w:rPr>
                <w:sz w:val="20"/>
                <w:szCs w:val="20"/>
                <w:color w:val="auto"/>
              </w:rPr>
            </w:pPr>
            <w:r>
              <w:rPr>
                <w:rFonts w:ascii="Arial" w:cs="Arial" w:eastAsia="Arial" w:hAnsi="Arial"/>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Restricted Stock Units ("RSUs") were awarded on March 15, 2010, pursuant to the General Motors Company 2009 Long-Term Incentive Plan (the "GMLTIP"). The RSUs will vest on the third anniversary of the award date provided the executive remains continuously employed through that date. RSU awards will be settled when they vest except that until all GM's obligations under Treasury Regulation 31 CFR 30.1 (Q-1) (the "TARP Obligations") have been repaid, awards will be settled after vesting in increments of 25% for each 25% of the TARP Obligations that have been repaid. Each RSU represents a right to receive one share of the Company's common stock upon settlement, provided, however, that if a settlement date occurs prior to the date that is six months following a consummation of an initial public offering of the Company's common stock, the RSUs will be settled by the delivery of cash in an amount equal to the Fair Market Value (as defined in the GMLTIP) of the Company's common stock as of the applicable settlement date. The RSUs do not have an expiration or exercise date or a conversion or exercise price.</w:t>
      </w:r>
    </w:p>
    <w:p>
      <w:pPr>
        <w:spacing w:after="0" w:line="13" w:lineRule="exact"/>
        <w:rPr>
          <w:rFonts w:ascii="Arial" w:cs="Arial" w:eastAsia="Arial" w:hAnsi="Arial"/>
          <w:sz w:val="12"/>
          <w:szCs w:val="12"/>
          <w:color w:val="008000"/>
        </w:rPr>
      </w:pPr>
    </w:p>
    <w:p>
      <w:pPr>
        <w:jc w:val="both"/>
        <w:ind w:left="40" w:right="100" w:firstLine="9"/>
        <w:spacing w:after="0" w:line="270"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Under the General Motors Company Salary Stock Plan (the "GMSSP") each Salary Stock Unit ("SSU") is fully vested upon grant and represents a right to receive one share of the Company's common stock on the applicable settlement date; provided, however, that if a settlement date occurs prior to the date that is six months following a consummation of an initial public offering of the Company's common stock, the SSU will be settled by the delivery of cash in an amount equal to the Fair Market Value (as defined in the GMSSP) of the Company's common stock as of the applicable anniversary of the SSU's grant. The GMSSP provides that grants are settled in three equal annual installments beginning on the one year anniversary of the date of the grant. All of the SSUs granted in 2009 are deemed to have been granted, nunc pro tunc, on March 31, 2009, June 30, 2009, September 30, 2009 and December 31, 2009 in four grants of equal amounts, each of which will be settled in three equal annual installments, beginning on the first year anniversary of the deemed issuance date (for example, on March 31, 2010 for the first deemed grant). The SSUs do not have an expiration or exercise date.</w:t>
      </w:r>
    </w:p>
    <w:p>
      <w:pPr>
        <w:spacing w:after="0" w:line="13"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March 31, 2009 and will be settled in three equal annual installments beginning March 31, 2010.</w:t>
      </w:r>
    </w:p>
    <w:p>
      <w:pPr>
        <w:spacing w:after="0" w:line="41" w:lineRule="exact"/>
        <w:rPr>
          <w:rFonts w:ascii="Arial" w:cs="Arial" w:eastAsia="Arial" w:hAnsi="Arial"/>
          <w:sz w:val="14"/>
          <w:szCs w:val="14"/>
          <w:color w:val="008000"/>
        </w:rPr>
      </w:pPr>
    </w:p>
    <w:p>
      <w:pPr>
        <w:ind w:left="40" w:right="14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SSUs do not have a conversion or exercise price. Each SSU is the economic equivalent of one share of the Company's common stock. Since there currently is no observable publicly traded price for the Company's common stock, the fair value of the Company's common stock is estimated pursuant to the GMSSP.</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June 30, 2009 and will be settled in three equal annual installments beginning June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September 30, 2009 and will be settled in three equal annual installments beginning September 30,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are deemed to have been granted December 31, 2009 and will be settled in three equal annual installments beginning December 31, 2010.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Units were granted March 31, 2010 and will be settled in three equal annual installments beginning March 31, 2011.</w:t>
      </w:r>
    </w:p>
    <w:p>
      <w:pPr>
        <w:spacing w:after="0" w:line="2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06/07/2010</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Mr. Reilly</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39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366861"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2019-12-17T00:22:53Z</dcterms:created>
  <dcterms:modified xsi:type="dcterms:W3CDTF">2019-12-17T00:22:53Z</dcterms:modified>
</cp:coreProperties>
</file>