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April 18,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2700" w:type="dxa"/>
            <w:vAlign w:val="bottom"/>
          </w:tcPr>
          <w:p>
            <w:pPr>
              <w:jc w:val="center"/>
              <w:ind w:right="239"/>
              <w:spacing w:after="0"/>
              <w:rPr>
                <w:sz w:val="20"/>
                <w:szCs w:val="20"/>
                <w:color w:val="auto"/>
              </w:rPr>
            </w:pPr>
            <w:r>
              <w:rPr>
                <w:rFonts w:ascii="Arial" w:cs="Arial" w:eastAsia="Arial" w:hAnsi="Arial"/>
                <w:sz w:val="18"/>
                <w:szCs w:val="18"/>
                <w:b w:val="1"/>
                <w:bCs w:val="1"/>
                <w:color w:val="auto"/>
                <w:w w:val="98"/>
              </w:rPr>
              <w:t>DELAWARE</w:t>
            </w:r>
          </w:p>
        </w:tc>
        <w:tc>
          <w:tcPr>
            <w:tcW w:w="4880" w:type="dxa"/>
            <w:vAlign w:val="bottom"/>
          </w:tcPr>
          <w:p>
            <w:pPr>
              <w:ind w:left="2000"/>
              <w:spacing w:after="0"/>
              <w:rPr>
                <w:sz w:val="20"/>
                <w:szCs w:val="20"/>
                <w:color w:val="auto"/>
              </w:rPr>
            </w:pPr>
            <w:r>
              <w:rPr>
                <w:rFonts w:ascii="Arial" w:cs="Arial" w:eastAsia="Arial" w:hAnsi="Arial"/>
                <w:sz w:val="18"/>
                <w:szCs w:val="18"/>
                <w:b w:val="1"/>
                <w:bCs w:val="1"/>
                <w:color w:val="auto"/>
              </w:rPr>
              <w:t>001-34960</w:t>
            </w:r>
          </w:p>
        </w:tc>
        <w:tc>
          <w:tcPr>
            <w:tcW w:w="1820" w:type="dxa"/>
            <w:vAlign w:val="bottom"/>
          </w:tcPr>
          <w:p>
            <w:pPr>
              <w:jc w:val="center"/>
              <w:ind w:left="621"/>
              <w:spacing w:after="0"/>
              <w:rPr>
                <w:sz w:val="20"/>
                <w:szCs w:val="20"/>
                <w:color w:val="auto"/>
              </w:rPr>
            </w:pPr>
            <w:r>
              <w:rPr>
                <w:rFonts w:ascii="Arial" w:cs="Arial" w:eastAsia="Arial" w:hAnsi="Arial"/>
                <w:sz w:val="18"/>
                <w:szCs w:val="18"/>
                <w:b w:val="1"/>
                <w:bCs w:val="1"/>
                <w:color w:val="auto"/>
                <w:w w:val="91"/>
              </w:rPr>
              <w:t>27-0756180</w:t>
            </w:r>
          </w:p>
        </w:tc>
      </w:tr>
      <w:tr>
        <w:trPr>
          <w:trHeight w:val="149"/>
        </w:trPr>
        <w:tc>
          <w:tcPr>
            <w:tcW w:w="270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80" w:type="dxa"/>
            <w:vAlign w:val="bottom"/>
          </w:tcPr>
          <w:p>
            <w:pPr>
              <w:ind w:left="1980"/>
              <w:spacing w:after="0" w:line="149" w:lineRule="exact"/>
              <w:rPr>
                <w:sz w:val="20"/>
                <w:szCs w:val="20"/>
                <w:color w:val="auto"/>
              </w:rPr>
            </w:pPr>
            <w:r>
              <w:rPr>
                <w:rFonts w:ascii="Arial" w:cs="Arial" w:eastAsia="Arial" w:hAnsi="Arial"/>
                <w:sz w:val="14"/>
                <w:szCs w:val="14"/>
                <w:b w:val="1"/>
                <w:bCs w:val="1"/>
                <w:color w:val="auto"/>
              </w:rPr>
              <w:t>(Commission</w:t>
            </w:r>
          </w:p>
        </w:tc>
        <w:tc>
          <w:tcPr>
            <w:tcW w:w="1820" w:type="dxa"/>
            <w:vAlign w:val="bottom"/>
          </w:tcPr>
          <w:p>
            <w:pPr>
              <w:jc w:val="center"/>
              <w:ind w:left="6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70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880" w:type="dxa"/>
            <w:vAlign w:val="bottom"/>
          </w:tcPr>
          <w:p>
            <w:pPr>
              <w:ind w:left="1960"/>
              <w:spacing w:after="0"/>
              <w:rPr>
                <w:sz w:val="20"/>
                <w:szCs w:val="20"/>
                <w:color w:val="auto"/>
              </w:rPr>
            </w:pPr>
            <w:r>
              <w:rPr>
                <w:rFonts w:ascii="Arial" w:cs="Arial" w:eastAsia="Arial" w:hAnsi="Arial"/>
                <w:sz w:val="14"/>
                <w:szCs w:val="14"/>
                <w:b w:val="1"/>
                <w:bCs w:val="1"/>
                <w:color w:val="auto"/>
              </w:rPr>
              <w:t>File Number)</w:t>
            </w:r>
          </w:p>
        </w:tc>
        <w:tc>
          <w:tcPr>
            <w:tcW w:w="1820" w:type="dxa"/>
            <w:vAlign w:val="bottom"/>
          </w:tcPr>
          <w:p>
            <w:pPr>
              <w:jc w:val="center"/>
              <w:ind w:left="62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2700" w:type="dxa"/>
            <w:vAlign w:val="bottom"/>
          </w:tcPr>
          <w:p>
            <w:pPr>
              <w:jc w:val="center"/>
              <w:ind w:right="239"/>
              <w:spacing w:after="0"/>
              <w:rPr>
                <w:sz w:val="20"/>
                <w:szCs w:val="20"/>
                <w:color w:val="auto"/>
              </w:rPr>
            </w:pPr>
            <w:r>
              <w:rPr>
                <w:rFonts w:ascii="Arial" w:cs="Arial" w:eastAsia="Arial" w:hAnsi="Arial"/>
                <w:sz w:val="18"/>
                <w:szCs w:val="18"/>
                <w:b w:val="1"/>
                <w:bCs w:val="1"/>
                <w:color w:val="auto"/>
                <w:w w:val="87"/>
              </w:rPr>
              <w:t>300 Renaissance Center,</w:t>
            </w:r>
          </w:p>
        </w:tc>
        <w:tc>
          <w:tcPr>
            <w:tcW w:w="48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5"/>
        </w:trPr>
        <w:tc>
          <w:tcPr>
            <w:tcW w:w="2700" w:type="dxa"/>
            <w:vAlign w:val="bottom"/>
          </w:tcPr>
          <w:p>
            <w:pPr>
              <w:jc w:val="center"/>
              <w:ind w:right="259"/>
              <w:spacing w:after="0"/>
              <w:rPr>
                <w:sz w:val="20"/>
                <w:szCs w:val="20"/>
                <w:color w:val="auto"/>
              </w:rPr>
            </w:pPr>
            <w:r>
              <w:rPr>
                <w:rFonts w:ascii="Arial" w:cs="Arial" w:eastAsia="Arial" w:hAnsi="Arial"/>
                <w:sz w:val="18"/>
                <w:szCs w:val="18"/>
                <w:b w:val="1"/>
                <w:bCs w:val="1"/>
                <w:color w:val="auto"/>
                <w:w w:val="93"/>
              </w:rPr>
              <w:t>Detroit, Michigan</w:t>
            </w:r>
          </w:p>
        </w:tc>
        <w:tc>
          <w:tcPr>
            <w:tcW w:w="4880" w:type="dxa"/>
            <w:vAlign w:val="bottom"/>
          </w:tcPr>
          <w:p>
            <w:pPr>
              <w:spacing w:after="0"/>
              <w:rPr>
                <w:sz w:val="19"/>
                <w:szCs w:val="19"/>
                <w:color w:val="auto"/>
              </w:rPr>
            </w:pPr>
          </w:p>
        </w:tc>
        <w:tc>
          <w:tcPr>
            <w:tcW w:w="1820" w:type="dxa"/>
            <w:vAlign w:val="bottom"/>
          </w:tcPr>
          <w:p>
            <w:pPr>
              <w:jc w:val="center"/>
              <w:ind w:left="621"/>
              <w:spacing w:after="0"/>
              <w:rPr>
                <w:sz w:val="20"/>
                <w:szCs w:val="20"/>
                <w:color w:val="auto"/>
              </w:rPr>
            </w:pPr>
            <w:r>
              <w:rPr>
                <w:rFonts w:ascii="Arial" w:cs="Arial" w:eastAsia="Arial" w:hAnsi="Arial"/>
                <w:sz w:val="18"/>
                <w:szCs w:val="18"/>
                <w:b w:val="1"/>
                <w:bCs w:val="1"/>
                <w:color w:val="auto"/>
                <w:w w:val="91"/>
              </w:rPr>
              <w:t>48265-3000</w:t>
            </w:r>
          </w:p>
        </w:tc>
      </w:tr>
      <w:tr>
        <w:trPr>
          <w:trHeight w:val="186"/>
        </w:trPr>
        <w:tc>
          <w:tcPr>
            <w:tcW w:w="270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880" w:type="dxa"/>
            <w:vAlign w:val="bottom"/>
          </w:tcPr>
          <w:p>
            <w:pPr>
              <w:spacing w:after="0"/>
              <w:rPr>
                <w:sz w:val="16"/>
                <w:szCs w:val="16"/>
                <w:color w:val="auto"/>
              </w:rPr>
            </w:pPr>
          </w:p>
        </w:tc>
        <w:tc>
          <w:tcPr>
            <w:tcW w:w="1820" w:type="dxa"/>
            <w:vAlign w:val="bottom"/>
          </w:tcPr>
          <w:p>
            <w:pPr>
              <w:jc w:val="center"/>
              <w:ind w:left="621"/>
              <w:spacing w:after="0"/>
              <w:rPr>
                <w:sz w:val="20"/>
                <w:szCs w:val="20"/>
                <w:color w:val="auto"/>
              </w:rPr>
            </w:pPr>
            <w:r>
              <w:rPr>
                <w:rFonts w:ascii="Arial" w:cs="Arial" w:eastAsia="Arial" w:hAnsi="Arial"/>
                <w:sz w:val="14"/>
                <w:szCs w:val="14"/>
                <w:b w:val="1"/>
                <w:bCs w:val="1"/>
                <w:color w:val="auto"/>
                <w:w w:val="98"/>
              </w:rPr>
              <w:t>(Zip Code)</w:t>
            </w:r>
          </w:p>
        </w:tc>
      </w:tr>
      <w:tr>
        <w:trPr>
          <w:trHeight w:val="354"/>
        </w:trPr>
        <w:tc>
          <w:tcPr>
            <w:tcW w:w="2700" w:type="dxa"/>
            <w:vAlign w:val="bottom"/>
          </w:tcPr>
          <w:p>
            <w:pPr>
              <w:spacing w:after="0"/>
              <w:rPr>
                <w:sz w:val="24"/>
                <w:szCs w:val="24"/>
                <w:color w:val="auto"/>
              </w:rPr>
            </w:pPr>
          </w:p>
        </w:tc>
        <w:tc>
          <w:tcPr>
            <w:tcW w:w="4880" w:type="dxa"/>
            <w:vAlign w:val="bottom"/>
          </w:tcPr>
          <w:p>
            <w:pPr>
              <w:jc w:val="center"/>
              <w:ind w:right="280"/>
              <w:spacing w:after="0"/>
              <w:rPr>
                <w:sz w:val="20"/>
                <w:szCs w:val="20"/>
                <w:color w:val="auto"/>
              </w:rPr>
            </w:pPr>
            <w:r>
              <w:rPr>
                <w:rFonts w:ascii="Arial" w:cs="Arial" w:eastAsia="Arial" w:hAnsi="Arial"/>
                <w:sz w:val="18"/>
                <w:szCs w:val="18"/>
                <w:b w:val="1"/>
                <w:bCs w:val="1"/>
                <w:color w:val="auto"/>
                <w:w w:val="90"/>
              </w:rPr>
              <w:t>(313) 667-1500</w:t>
            </w:r>
          </w:p>
        </w:tc>
        <w:tc>
          <w:tcPr>
            <w:tcW w:w="182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20" w:type="dxa"/>
            <w:vAlign w:val="bottom"/>
          </w:tcPr>
          <w:p>
            <w:pPr>
              <w:spacing w:after="0"/>
              <w:rPr>
                <w:sz w:val="16"/>
                <w:szCs w:val="16"/>
                <w:color w:val="auto"/>
              </w:rPr>
            </w:pPr>
          </w:p>
        </w:tc>
      </w:tr>
      <w:tr>
        <w:trPr>
          <w:trHeight w:val="354"/>
        </w:trPr>
        <w:tc>
          <w:tcPr>
            <w:tcW w:w="2700" w:type="dxa"/>
            <w:vAlign w:val="bottom"/>
          </w:tcPr>
          <w:p>
            <w:pPr>
              <w:spacing w:after="0"/>
              <w:rPr>
                <w:sz w:val="24"/>
                <w:szCs w:val="24"/>
                <w:color w:val="auto"/>
              </w:rPr>
            </w:pPr>
          </w:p>
        </w:tc>
        <w:tc>
          <w:tcPr>
            <w:tcW w:w="4880" w:type="dxa"/>
            <w:vAlign w:val="bottom"/>
          </w:tcPr>
          <w:p>
            <w:pPr>
              <w:jc w:val="center"/>
              <w:ind w:right="280"/>
              <w:spacing w:after="0"/>
              <w:rPr>
                <w:sz w:val="20"/>
                <w:szCs w:val="20"/>
                <w:color w:val="auto"/>
              </w:rPr>
            </w:pPr>
            <w:r>
              <w:rPr>
                <w:rFonts w:ascii="Arial" w:cs="Arial" w:eastAsia="Arial" w:hAnsi="Arial"/>
                <w:sz w:val="18"/>
                <w:szCs w:val="18"/>
                <w:b w:val="1"/>
                <w:bCs w:val="1"/>
                <w:color w:val="auto"/>
                <w:w w:val="92"/>
              </w:rPr>
              <w:t>Not Applicable</w:t>
            </w:r>
          </w:p>
        </w:tc>
        <w:tc>
          <w:tcPr>
            <w:tcW w:w="182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205105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2.03,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April 18, 2018, General Motors Company (“GM”) entered into a Third Amended and Restated 3-Year Revolving Credit Agreement, a Third Amended and Restated 5-Year Revolving Credit Agreement, and a 364-Day Revolving Credit Agreement, each with JPMorgan Chase Bank, N.A., as administrative agent, Citibank, N.A., as syndication agent, and the lenders named therein (collectively, the “Facilities”). The Facilities consist of a three-year, $4.0 billion facility (the “Three-Year Facility”), a five-year, $10.5 billion facility (the “Five-Year Facility”), and a 364-day, $2.0 billion facility (the “364-Day Facility”). The Three-Year Facility and the Five-Year Facility amend and restate the $14.5 billion revolving credit facilities executed in May 2016. The Facilities are unsecured, provide additional liquidity, and mature on April 18, 2021, April 18, 2023 and April 17, 2019, respectively.</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Facilities are available to GM as well as certain other wholly-owned subsidiaries, including General Motors Financial Company, Inc. (“GM Financial”). The Three-Year Facility allows for borrowing in U.S. Dollars and other currencies and includes a letter of credit sub-facility of $1.1 billion. The Five-Year Facility allows for borrowing in U.S. Dollars and other currencies. The 364-day Facility allows for borrowing in U.S. Dollars only. GM has allocated the 364-day Facility for exclusive use by GM Financial. As a result, the total available credit under the Facilities to GM’s automotive segments remains unchanged at $14.5 billion.</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GM has guaranteed the obligations of subsidiary borrowers under the Facilities. If GM fails to maintain an investment grade corporate rating from at least two of the following credit rating agencies: Fitch Ratings, Moody’s Investor Service and Standard &amp; Poor’s, GM will also be required to provide guarantees from certain domestic subsidiaries under the terms of the Facilities.</w:t>
      </w:r>
    </w:p>
    <w:p>
      <w:pPr>
        <w:spacing w:after="0" w:line="181"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Interest rates on obligations under the Facilities are based on prevailing annual interest rates for Eurodollar loans or an alternative base rate, both subject to an applicable margin. This applicable margin will be based upon the credit rating assigned to the Facilities or to senior, unsecured, long-term indebtedness of GM.</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Facilities contain representations, warranties and covenants that are typical for these types of facilities. These covenants include restrictions on mergers or sales of assets and secured debt borrowings, subject to exceptions and limitations. The Facilities also require us to maintain at least $4.0 billion in global liquidity and at least $2.0 billion in U.S. liquidity.</w:t>
      </w:r>
    </w:p>
    <w:p>
      <w:pPr>
        <w:spacing w:after="0" w:line="18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Some of the lenders under the Facilities and their affiliates have various relationships with GM and its subsidiaries involving the provision of financial services, including cash management, investment banking, trust and leasing services, and foreign exchange and other derivative arrangements.</w:t>
      </w:r>
    </w:p>
    <w:p>
      <w:pPr>
        <w:spacing w:after="0" w:line="12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foregoing description does not constitute a complete summary of the Facilities and is qualified by reference in its entirety to the full text of the Facilities filed herewith.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ectPr>
          <w:pgSz w:w="11900" w:h="16838" w:orient="portrait"/>
          <w:cols w:equalWidth="0" w:num="1">
            <w:col w:w="11360"/>
          </w:cols>
          <w:pgMar w:left="240" w:top="270" w:right="2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248" w:lineRule="exact"/>
        <w:rPr>
          <w:sz w:val="20"/>
          <w:szCs w:val="20"/>
          <w:color w:val="auto"/>
        </w:rPr>
      </w:pPr>
    </w:p>
    <w:p>
      <w:pPr>
        <w:spacing w:after="0"/>
        <w:tabs>
          <w:tab w:leader="none" w:pos="602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15240</wp:posOffset>
            </wp:positionV>
            <wp:extent cx="6371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97" w:lineRule="exact"/>
        <w:rPr>
          <w:sz w:val="20"/>
          <w:szCs w:val="20"/>
          <w:color w:val="auto"/>
        </w:rPr>
      </w:pPr>
    </w:p>
    <w:p>
      <w:pPr>
        <w:ind w:left="1380" w:hanging="1377"/>
        <w:spacing w:after="0" w:line="259"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Exhibit 10.1</w:t>
      </w:r>
      <w:r>
        <w:rPr>
          <w:sz w:val="20"/>
          <w:szCs w:val="20"/>
          <w:color w:val="auto"/>
        </w:rPr>
        <w:tab/>
      </w:r>
      <w:hyperlink w:anchor="page5">
        <w:r>
          <w:rPr>
            <w:rFonts w:ascii="Arial" w:cs="Arial" w:eastAsia="Arial" w:hAnsi="Arial"/>
            <w:sz w:val="18"/>
            <w:szCs w:val="18"/>
            <w:u w:val="single" w:color="auto"/>
            <w:color w:val="0000EE"/>
          </w:rPr>
          <w:t>Third Amended and Restated 3-Year Revolving Credit Agreement, dated as of April 18, 2018, among General Motors Company, General</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Motors Financial Company, Inc., GM Global Treasury Centre, General Motors do Brasil Ltda., the subsidiary borrowers from time to time</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parties thereto, the several lenders from time to time party thereto, JPMorgan Chase Bank, N.A., as administrative agent, and Citibank,</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N.A., as syndication agent.†</w:t>
        </w:r>
      </w:hyperlink>
    </w:p>
    <w:p>
      <w:pPr>
        <w:spacing w:after="0" w:line="79" w:lineRule="exact"/>
        <w:rPr>
          <w:rFonts w:ascii="Arial" w:cs="Arial" w:eastAsia="Arial" w:hAnsi="Arial"/>
          <w:sz w:val="18"/>
          <w:szCs w:val="18"/>
          <w:u w:val="single" w:color="auto"/>
          <w:color w:val="0000EE"/>
        </w:rPr>
      </w:pPr>
    </w:p>
    <w:p>
      <w:pPr>
        <w:ind w:left="1380" w:hanging="1377"/>
        <w:spacing w:after="0" w:line="259"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Exhibit 10.2</w:t>
      </w:r>
      <w:r>
        <w:rPr>
          <w:sz w:val="20"/>
          <w:szCs w:val="20"/>
          <w:color w:val="auto"/>
        </w:rPr>
        <w:tab/>
      </w:r>
      <w:hyperlink w:anchor="page246">
        <w:r>
          <w:rPr>
            <w:rFonts w:ascii="Arial" w:cs="Arial" w:eastAsia="Arial" w:hAnsi="Arial"/>
            <w:sz w:val="18"/>
            <w:szCs w:val="18"/>
            <w:u w:val="single" w:color="auto"/>
            <w:color w:val="0000EE"/>
          </w:rPr>
          <w:t>Third Amended and Restated 5-Year Revolving Credit Agreement, dated as of April 18, 2018, among General Motors Company, General</w:t>
        </w:r>
      </w:hyperlink>
      <w:r>
        <w:rPr>
          <w:rFonts w:ascii="Arial" w:cs="Arial" w:eastAsia="Arial" w:hAnsi="Arial"/>
          <w:sz w:val="18"/>
          <w:szCs w:val="18"/>
          <w:u w:val="single" w:color="auto"/>
          <w:color w:val="0000EE"/>
        </w:rPr>
        <w:t xml:space="preserve"> </w:t>
      </w:r>
      <w:hyperlink w:anchor="page246">
        <w:r>
          <w:rPr>
            <w:rFonts w:ascii="Arial" w:cs="Arial" w:eastAsia="Arial" w:hAnsi="Arial"/>
            <w:sz w:val="18"/>
            <w:szCs w:val="18"/>
            <w:u w:val="single" w:color="auto"/>
            <w:color w:val="0000EE"/>
          </w:rPr>
          <w:t>Motors Financial Company, Inc., GM Global Treasury Centre, General Motors do Brasil Ltda., the subsidiary borrowers from time to time</w:t>
        </w:r>
      </w:hyperlink>
      <w:r>
        <w:rPr>
          <w:rFonts w:ascii="Arial" w:cs="Arial" w:eastAsia="Arial" w:hAnsi="Arial"/>
          <w:sz w:val="18"/>
          <w:szCs w:val="18"/>
          <w:u w:val="single" w:color="auto"/>
          <w:color w:val="0000EE"/>
        </w:rPr>
        <w:t xml:space="preserve"> </w:t>
      </w:r>
      <w:hyperlink w:anchor="page246">
        <w:r>
          <w:rPr>
            <w:rFonts w:ascii="Arial" w:cs="Arial" w:eastAsia="Arial" w:hAnsi="Arial"/>
            <w:sz w:val="18"/>
            <w:szCs w:val="18"/>
            <w:u w:val="single" w:color="auto"/>
            <w:color w:val="0000EE"/>
          </w:rPr>
          <w:t>parties thereto, the several lenders from time to time party thereto, JPMorgan Chase Bank, N.A., as administrative agent, and Citibank,</w:t>
        </w:r>
      </w:hyperlink>
      <w:r>
        <w:rPr>
          <w:rFonts w:ascii="Arial" w:cs="Arial" w:eastAsia="Arial" w:hAnsi="Arial"/>
          <w:sz w:val="18"/>
          <w:szCs w:val="18"/>
          <w:u w:val="single" w:color="auto"/>
          <w:color w:val="0000EE"/>
        </w:rPr>
        <w:t xml:space="preserve"> </w:t>
      </w:r>
      <w:hyperlink w:anchor="page246">
        <w:r>
          <w:rPr>
            <w:rFonts w:ascii="Arial" w:cs="Arial" w:eastAsia="Arial" w:hAnsi="Arial"/>
            <w:sz w:val="18"/>
            <w:szCs w:val="18"/>
            <w:u w:val="single" w:color="auto"/>
            <w:color w:val="0000EE"/>
          </w:rPr>
          <w:t>N.A., as syndication agent.†</w:t>
        </w:r>
      </w:hyperlink>
    </w:p>
    <w:p>
      <w:pPr>
        <w:spacing w:after="0" w:line="79" w:lineRule="exact"/>
        <w:rPr>
          <w:rFonts w:ascii="Arial" w:cs="Arial" w:eastAsia="Arial" w:hAnsi="Arial"/>
          <w:sz w:val="18"/>
          <w:szCs w:val="18"/>
          <w:u w:val="single" w:color="auto"/>
          <w:color w:val="0000EE"/>
        </w:rPr>
      </w:pPr>
    </w:p>
    <w:p>
      <w:pPr>
        <w:ind w:left="1380" w:right="20" w:hanging="1377"/>
        <w:spacing w:after="0" w:line="286" w:lineRule="auto"/>
        <w:tabs>
          <w:tab w:leader="none" w:pos="1360" w:val="left"/>
        </w:tabs>
        <w:rPr>
          <w:rFonts w:ascii="Arial" w:cs="Arial" w:eastAsia="Arial" w:hAnsi="Arial"/>
          <w:sz w:val="17"/>
          <w:szCs w:val="17"/>
          <w:u w:val="single" w:color="auto"/>
          <w:color w:val="0000EE"/>
        </w:rPr>
      </w:pPr>
      <w:r>
        <w:rPr>
          <w:rFonts w:ascii="Arial" w:cs="Arial" w:eastAsia="Arial" w:hAnsi="Arial"/>
          <w:sz w:val="18"/>
          <w:szCs w:val="18"/>
          <w:color w:val="auto"/>
        </w:rPr>
        <w:t>Exhibit 10.3</w:t>
      </w:r>
      <w:r>
        <w:rPr>
          <w:sz w:val="20"/>
          <w:szCs w:val="20"/>
          <w:color w:val="auto"/>
        </w:rPr>
        <w:tab/>
      </w:r>
      <w:hyperlink w:anchor="page474">
        <w:r>
          <w:rPr>
            <w:rFonts w:ascii="Arial" w:cs="Arial" w:eastAsia="Arial" w:hAnsi="Arial"/>
            <w:sz w:val="17"/>
            <w:szCs w:val="17"/>
            <w:u w:val="single" w:color="auto"/>
            <w:color w:val="0000EE"/>
          </w:rPr>
          <w:t>364-Day Revolving Credit Agreement, dated as of April 18, 2018, among General Motors Company, General Motors Financial Company,</w:t>
        </w:r>
      </w:hyperlink>
      <w:r>
        <w:rPr>
          <w:rFonts w:ascii="Arial" w:cs="Arial" w:eastAsia="Arial" w:hAnsi="Arial"/>
          <w:sz w:val="17"/>
          <w:szCs w:val="17"/>
          <w:u w:val="single" w:color="auto"/>
          <w:color w:val="0000EE"/>
        </w:rPr>
        <w:t xml:space="preserve"> </w:t>
      </w:r>
      <w:hyperlink w:anchor="page474">
        <w:r>
          <w:rPr>
            <w:rFonts w:ascii="Arial" w:cs="Arial" w:eastAsia="Arial" w:hAnsi="Arial"/>
            <w:sz w:val="17"/>
            <w:szCs w:val="17"/>
            <w:u w:val="single" w:color="auto"/>
            <w:color w:val="0000EE"/>
          </w:rPr>
          <w:t>Inc., GM Global Treasury Centre, the subsidiary borrowers from time to time parties thereto, the several lenders from time to time party</w:t>
        </w:r>
      </w:hyperlink>
      <w:r>
        <w:rPr>
          <w:rFonts w:ascii="Arial" w:cs="Arial" w:eastAsia="Arial" w:hAnsi="Arial"/>
          <w:sz w:val="17"/>
          <w:szCs w:val="17"/>
          <w:u w:val="single" w:color="auto"/>
          <w:color w:val="0000EE"/>
        </w:rPr>
        <w:t xml:space="preserve"> </w:t>
      </w:r>
      <w:hyperlink w:anchor="page474">
        <w:r>
          <w:rPr>
            <w:rFonts w:ascii="Arial" w:cs="Arial" w:eastAsia="Arial" w:hAnsi="Arial"/>
            <w:sz w:val="17"/>
            <w:szCs w:val="17"/>
            <w:u w:val="single" w:color="auto"/>
            <w:color w:val="0000EE"/>
          </w:rPr>
          <w:t>thereto, JPMorgan Chase Bank, N.A., as administrative agent, and Citibank, N.A., as syndication agent.†</w:t>
        </w:r>
      </w:hyperlink>
    </w:p>
    <w:p>
      <w:pPr>
        <w:spacing w:after="0" w:line="193" w:lineRule="exact"/>
        <w:rPr>
          <w:rFonts w:ascii="Arial" w:cs="Arial" w:eastAsia="Arial" w:hAnsi="Arial"/>
          <w:sz w:val="17"/>
          <w:szCs w:val="17"/>
          <w:u w:val="single" w:color="auto"/>
          <w:color w:val="0000EE"/>
        </w:rPr>
      </w:pPr>
    </w:p>
    <w:p>
      <w:pPr>
        <w:ind w:left="220" w:right="40" w:hanging="212"/>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Portions of these exhibits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360"/>
          </w:cols>
          <w:pgMar w:left="240" w:top="270"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3380" w:type="dxa"/>
            <w:vAlign w:val="bottom"/>
          </w:tcPr>
          <w:p>
            <w:pPr>
              <w:spacing w:after="0"/>
              <w:rPr>
                <w:sz w:val="17"/>
                <w:szCs w:val="17"/>
                <w:color w:val="auto"/>
              </w:rPr>
            </w:pPr>
          </w:p>
        </w:tc>
      </w:tr>
      <w:tr>
        <w:trPr>
          <w:trHeight w:val="237"/>
        </w:trPr>
        <w:tc>
          <w:tcPr>
            <w:tcW w:w="548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446"/>
        </w:trPr>
        <w:tc>
          <w:tcPr>
            <w:tcW w:w="5480" w:type="dxa"/>
            <w:vAlign w:val="bottom"/>
          </w:tcPr>
          <w:p>
            <w:pPr>
              <w:spacing w:after="0"/>
              <w:rPr>
                <w:sz w:val="24"/>
                <w:szCs w:val="24"/>
                <w:color w:val="auto"/>
              </w:rPr>
            </w:pPr>
          </w:p>
        </w:tc>
        <w:tc>
          <w:tcPr>
            <w:tcW w:w="5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Rick E. Hansen</w:t>
            </w:r>
          </w:p>
        </w:tc>
      </w:tr>
      <w:tr>
        <w:trPr>
          <w:trHeight w:val="209"/>
        </w:trPr>
        <w:tc>
          <w:tcPr>
            <w:tcW w:w="5480" w:type="dxa"/>
            <w:vAlign w:val="bottom"/>
          </w:tcPr>
          <w:p>
            <w:pPr>
              <w:spacing w:after="0"/>
              <w:rPr>
                <w:sz w:val="20"/>
                <w:szCs w:val="20"/>
                <w:color w:val="auto"/>
              </w:rPr>
            </w:pPr>
            <w:r>
              <w:rPr>
                <w:rFonts w:ascii="Arial" w:cs="Arial" w:eastAsia="Arial" w:hAnsi="Arial"/>
                <w:sz w:val="18"/>
                <w:szCs w:val="18"/>
                <w:color w:val="auto"/>
              </w:rPr>
              <w:t>Date: April 19, 2018</w:t>
            </w:r>
          </w:p>
        </w:tc>
        <w:tc>
          <w:tcPr>
            <w:tcW w:w="5940" w:type="dxa"/>
            <w:vAlign w:val="bottom"/>
            <w:gridSpan w:val="2"/>
          </w:tcPr>
          <w:p>
            <w:pPr>
              <w:spacing w:after="0"/>
              <w:rPr>
                <w:sz w:val="20"/>
                <w:szCs w:val="20"/>
                <w:color w:val="auto"/>
              </w:rPr>
            </w:pPr>
            <w:r>
              <w:rPr>
                <w:rFonts w:ascii="Arial" w:cs="Arial" w:eastAsia="Arial" w:hAnsi="Arial"/>
                <w:sz w:val="18"/>
                <w:szCs w:val="18"/>
                <w:color w:val="auto"/>
                <w:w w:val="90"/>
              </w:rPr>
              <w:t>By:Rick E. Hansen</w:t>
            </w:r>
          </w:p>
        </w:tc>
      </w:tr>
      <w:tr>
        <w:trPr>
          <w:trHeight w:val="230"/>
        </w:trPr>
        <w:tc>
          <w:tcPr>
            <w:tcW w:w="548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Assistant General Counsel &amp; Corporate Secretary</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3-YEAR REVOLVING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FINANCIAL COMPANY,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DO BRASIL LTDA.,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GM GLOBAL TREASURY CENTRE LIMITED,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SUBSIDIARY BORROWERS FROM TIME TO TIME PARTIES HERETO,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SEVERAL LENDERS FROM TIME TO TIME PARTIES HERETO,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Dated as of April 18, 2018</w:t>
            </w:r>
          </w:p>
        </w:tc>
        <w:tc>
          <w:tcPr>
            <w:tcW w:w="216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45"/>
        </w:trPr>
        <w:tc>
          <w:tcPr>
            <w:tcW w:w="1540" w:type="dxa"/>
            <w:vAlign w:val="bottom"/>
          </w:tcPr>
          <w:p>
            <w:pPr>
              <w:spacing w:after="0"/>
              <w:rPr>
                <w:sz w:val="24"/>
                <w:szCs w:val="24"/>
                <w:color w:val="auto"/>
              </w:rPr>
            </w:pPr>
          </w:p>
        </w:tc>
        <w:tc>
          <w:tcPr>
            <w:tcW w:w="3000" w:type="dxa"/>
            <w:vAlign w:val="bottom"/>
            <w:gridSpan w:val="2"/>
          </w:tcPr>
          <w:p>
            <w:pPr>
              <w:jc w:val="center"/>
              <w:ind w:right="150"/>
              <w:spacing w:after="0"/>
              <w:rPr>
                <w:sz w:val="20"/>
                <w:szCs w:val="20"/>
                <w:color w:val="auto"/>
              </w:rPr>
            </w:pPr>
            <w:r>
              <w:rPr>
                <w:rFonts w:ascii="Arial" w:cs="Arial" w:eastAsia="Arial" w:hAnsi="Arial"/>
                <w:sz w:val="18"/>
                <w:szCs w:val="18"/>
                <w:color w:val="auto"/>
                <w:w w:val="96"/>
              </w:rPr>
              <w:t>JPMORGAN CHASE BANK, N.A.,</w:t>
            </w:r>
          </w:p>
        </w:tc>
        <w:tc>
          <w:tcPr>
            <w:tcW w:w="2640" w:type="dxa"/>
            <w:vAlign w:val="bottom"/>
          </w:tcPr>
          <w:p>
            <w:pPr>
              <w:spacing w:after="0"/>
              <w:rPr>
                <w:sz w:val="24"/>
                <w:szCs w:val="24"/>
                <w:color w:val="auto"/>
              </w:rPr>
            </w:pPr>
          </w:p>
        </w:tc>
        <w:tc>
          <w:tcPr>
            <w:tcW w:w="4240" w:type="dxa"/>
            <w:vAlign w:val="bottom"/>
            <w:gridSpan w:val="2"/>
          </w:tcPr>
          <w:p>
            <w:pPr>
              <w:jc w:val="center"/>
              <w:ind w:right="1030"/>
              <w:spacing w:after="0"/>
              <w:rPr>
                <w:sz w:val="20"/>
                <w:szCs w:val="20"/>
                <w:color w:val="auto"/>
              </w:rPr>
            </w:pPr>
            <w:r>
              <w:rPr>
                <w:rFonts w:ascii="Arial" w:cs="Arial" w:eastAsia="Arial" w:hAnsi="Arial"/>
                <w:sz w:val="18"/>
                <w:szCs w:val="18"/>
                <w:color w:val="auto"/>
              </w:rPr>
              <w:t>CITIBANK, N.A.,</w:t>
            </w:r>
          </w:p>
        </w:tc>
      </w:tr>
      <w:tr>
        <w:trPr>
          <w:trHeight w:val="216"/>
        </w:trPr>
        <w:tc>
          <w:tcPr>
            <w:tcW w:w="7180" w:type="dxa"/>
            <w:vAlign w:val="bottom"/>
            <w:gridSpan w:val="4"/>
          </w:tcPr>
          <w:p>
            <w:pPr>
              <w:jc w:val="center"/>
              <w:ind w:right="1250"/>
              <w:spacing w:after="0"/>
              <w:rPr>
                <w:sz w:val="20"/>
                <w:szCs w:val="20"/>
                <w:color w:val="auto"/>
              </w:rPr>
            </w:pPr>
            <w:r>
              <w:rPr>
                <w:rFonts w:ascii="Arial" w:cs="Arial" w:eastAsia="Arial" w:hAnsi="Arial"/>
                <w:sz w:val="18"/>
                <w:szCs w:val="18"/>
                <w:i w:val="1"/>
                <w:iCs w:val="1"/>
                <w:color w:val="auto"/>
                <w:w w:val="92"/>
              </w:rPr>
              <w:t>as Administrative Agent, Global Coordinator, Joint</w:t>
            </w:r>
          </w:p>
        </w:tc>
        <w:tc>
          <w:tcPr>
            <w:tcW w:w="4240" w:type="dxa"/>
            <w:vAlign w:val="bottom"/>
            <w:gridSpan w:val="2"/>
          </w:tcPr>
          <w:p>
            <w:pPr>
              <w:jc w:val="center"/>
              <w:ind w:right="1030"/>
              <w:spacing w:after="0"/>
              <w:rPr>
                <w:sz w:val="20"/>
                <w:szCs w:val="20"/>
                <w:color w:val="auto"/>
              </w:rPr>
            </w:pPr>
            <w:r>
              <w:rPr>
                <w:rFonts w:ascii="Arial" w:cs="Arial" w:eastAsia="Arial" w:hAnsi="Arial"/>
                <w:sz w:val="18"/>
                <w:szCs w:val="18"/>
                <w:i w:val="1"/>
                <w:iCs w:val="1"/>
                <w:color w:val="auto"/>
                <w:w w:val="89"/>
              </w:rPr>
              <w:t>as Syndication Agent</w:t>
            </w:r>
          </w:p>
        </w:tc>
      </w:tr>
      <w:tr>
        <w:trPr>
          <w:trHeight w:val="230"/>
        </w:trPr>
        <w:tc>
          <w:tcPr>
            <w:tcW w:w="1540" w:type="dxa"/>
            <w:vAlign w:val="bottom"/>
          </w:tcPr>
          <w:p>
            <w:pPr>
              <w:spacing w:after="0"/>
              <w:rPr>
                <w:sz w:val="20"/>
                <w:szCs w:val="20"/>
                <w:color w:val="auto"/>
              </w:rPr>
            </w:pPr>
          </w:p>
        </w:tc>
        <w:tc>
          <w:tcPr>
            <w:tcW w:w="3000" w:type="dxa"/>
            <w:vAlign w:val="bottom"/>
            <w:gridSpan w:val="2"/>
          </w:tcPr>
          <w:p>
            <w:pPr>
              <w:jc w:val="center"/>
              <w:ind w:right="170"/>
              <w:spacing w:after="0"/>
              <w:rPr>
                <w:sz w:val="20"/>
                <w:szCs w:val="20"/>
                <w:color w:val="auto"/>
              </w:rPr>
            </w:pPr>
            <w:r>
              <w:rPr>
                <w:rFonts w:ascii="Arial" w:cs="Arial" w:eastAsia="Arial" w:hAnsi="Arial"/>
                <w:sz w:val="18"/>
                <w:szCs w:val="18"/>
                <w:i w:val="1"/>
                <w:iCs w:val="1"/>
                <w:color w:val="auto"/>
                <w:w w:val="92"/>
              </w:rPr>
              <w:t>Lead Arranger and Joint Bookrunner</w:t>
            </w:r>
          </w:p>
        </w:tc>
        <w:tc>
          <w:tcPr>
            <w:tcW w:w="2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3"/>
        </w:trPr>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40" w:type="dxa"/>
            <w:vAlign w:val="bottom"/>
            <w:gridSpan w:val="2"/>
          </w:tcPr>
          <w:p>
            <w:pPr>
              <w:jc w:val="center"/>
              <w:ind w:right="1030"/>
              <w:spacing w:after="0"/>
              <w:rPr>
                <w:sz w:val="20"/>
                <w:szCs w:val="20"/>
                <w:color w:val="auto"/>
              </w:rPr>
            </w:pPr>
            <w:r>
              <w:rPr>
                <w:rFonts w:ascii="Arial" w:cs="Arial" w:eastAsia="Arial" w:hAnsi="Arial"/>
                <w:sz w:val="18"/>
                <w:szCs w:val="18"/>
                <w:color w:val="auto"/>
                <w:w w:val="97"/>
              </w:rPr>
              <w:t>CITIGROUP GLOBAL MARKETS INC.,</w:t>
            </w:r>
          </w:p>
        </w:tc>
      </w:tr>
      <w:tr>
        <w:trPr>
          <w:trHeight w:val="230"/>
        </w:trPr>
        <w:tc>
          <w:tcPr>
            <w:tcW w:w="1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880" w:type="dxa"/>
            <w:vAlign w:val="bottom"/>
            <w:gridSpan w:val="3"/>
          </w:tcPr>
          <w:p>
            <w:pPr>
              <w:jc w:val="center"/>
              <w:ind w:left="1430"/>
              <w:spacing w:after="0"/>
              <w:rPr>
                <w:sz w:val="20"/>
                <w:szCs w:val="20"/>
                <w:color w:val="auto"/>
              </w:rPr>
            </w:pPr>
            <w:r>
              <w:rPr>
                <w:rFonts w:ascii="Arial" w:cs="Arial" w:eastAsia="Arial" w:hAnsi="Arial"/>
                <w:sz w:val="18"/>
                <w:szCs w:val="18"/>
                <w:i w:val="1"/>
                <w:iCs w:val="1"/>
                <w:color w:val="auto"/>
                <w:w w:val="92"/>
              </w:rPr>
              <w:t>as Global Coordinator, Joint Lead Arranger and Joint Bookrunner</w:t>
            </w:r>
          </w:p>
        </w:tc>
      </w:tr>
      <w:tr>
        <w:trPr>
          <w:trHeight w:val="270"/>
        </w:trPr>
        <w:tc>
          <w:tcPr>
            <w:tcW w:w="3100" w:type="dxa"/>
            <w:vAlign w:val="bottom"/>
            <w:tcBorders>
              <w:bottom w:val="single" w:sz="8" w:color="auto"/>
            </w:tcBorders>
            <w:gridSpan w:val="2"/>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spacing w:after="0"/>
              <w:rPr>
                <w:sz w:val="23"/>
                <w:szCs w:val="23"/>
                <w:color w:val="auto"/>
              </w:rPr>
            </w:pPr>
          </w:p>
        </w:tc>
      </w:tr>
      <w:tr>
        <w:trPr>
          <w:trHeight w:val="48"/>
        </w:trPr>
        <w:tc>
          <w:tcPr>
            <w:tcW w:w="310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r>
      <w:tr>
        <w:trPr>
          <w:trHeight w:val="479"/>
        </w:trPr>
        <w:tc>
          <w:tcPr>
            <w:tcW w:w="3100" w:type="dxa"/>
            <w:vAlign w:val="bottom"/>
            <w:gridSpan w:val="2"/>
          </w:tcPr>
          <w:p>
            <w:pPr>
              <w:jc w:val="center"/>
              <w:ind w:left="1310"/>
              <w:spacing w:after="0"/>
              <w:rPr>
                <w:sz w:val="20"/>
                <w:szCs w:val="20"/>
                <w:color w:val="auto"/>
              </w:rPr>
            </w:pPr>
            <w:r>
              <w:rPr>
                <w:rFonts w:ascii="Arial" w:cs="Arial" w:eastAsia="Arial" w:hAnsi="Arial"/>
                <w:sz w:val="18"/>
                <w:szCs w:val="18"/>
                <w:color w:val="auto"/>
                <w:w w:val="99"/>
              </w:rPr>
              <w:t>INDUSTRIAL AND</w:t>
            </w:r>
          </w:p>
        </w:tc>
        <w:tc>
          <w:tcPr>
            <w:tcW w:w="144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7"/>
              </w:rPr>
              <w:t>LLOYDS BANK PLC</w:t>
            </w:r>
            <w:r>
              <w:rPr>
                <w:rFonts w:ascii="Arial" w:cs="Arial" w:eastAsia="Arial" w:hAnsi="Arial"/>
                <w:sz w:val="15"/>
                <w:szCs w:val="15"/>
                <w:color w:val="auto"/>
                <w:w w:val="97"/>
              </w:rPr>
              <w:t>1,2</w:t>
            </w: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THE TORONTO</w:t>
            </w:r>
          </w:p>
        </w:tc>
        <w:tc>
          <w:tcPr>
            <w:tcW w:w="2080" w:type="dxa"/>
            <w:vAlign w:val="bottom"/>
          </w:tcPr>
          <w:p>
            <w:pPr>
              <w:jc w:val="center"/>
              <w:spacing w:after="0"/>
              <w:rPr>
                <w:sz w:val="20"/>
                <w:szCs w:val="20"/>
                <w:color w:val="auto"/>
              </w:rPr>
            </w:pPr>
            <w:r>
              <w:rPr>
                <w:rFonts w:ascii="Arial" w:cs="Arial" w:eastAsia="Arial" w:hAnsi="Arial"/>
                <w:sz w:val="18"/>
                <w:szCs w:val="18"/>
                <w:color w:val="auto"/>
                <w:w w:val="98"/>
              </w:rPr>
              <w:t>BANCO DO BRASIL</w:t>
            </w:r>
          </w:p>
        </w:tc>
      </w:tr>
      <w:tr>
        <w:trPr>
          <w:trHeight w:val="216"/>
        </w:trPr>
        <w:tc>
          <w:tcPr>
            <w:tcW w:w="4540" w:type="dxa"/>
            <w:vAlign w:val="bottom"/>
            <w:gridSpan w:val="3"/>
          </w:tcPr>
          <w:p>
            <w:pPr>
              <w:jc w:val="center"/>
              <w:spacing w:after="0"/>
              <w:rPr>
                <w:sz w:val="20"/>
                <w:szCs w:val="20"/>
                <w:color w:val="auto"/>
              </w:rPr>
            </w:pPr>
            <w:r>
              <w:rPr>
                <w:rFonts w:ascii="Arial" w:cs="Arial" w:eastAsia="Arial" w:hAnsi="Arial"/>
                <w:sz w:val="18"/>
                <w:szCs w:val="18"/>
                <w:color w:val="auto"/>
              </w:rPr>
              <w:t>COMMERCIAL BANK</w:t>
            </w:r>
          </w:p>
        </w:tc>
        <w:tc>
          <w:tcPr>
            <w:tcW w:w="26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DOMINION BANK, NEW</w:t>
            </w:r>
          </w:p>
        </w:tc>
        <w:tc>
          <w:tcPr>
            <w:tcW w:w="2080" w:type="dxa"/>
            <w:vAlign w:val="bottom"/>
          </w:tcPr>
          <w:p>
            <w:pPr>
              <w:jc w:val="center"/>
              <w:spacing w:after="0"/>
              <w:rPr>
                <w:sz w:val="20"/>
                <w:szCs w:val="20"/>
                <w:color w:val="auto"/>
              </w:rPr>
            </w:pPr>
            <w:r>
              <w:rPr>
                <w:rFonts w:ascii="Arial" w:cs="Arial" w:eastAsia="Arial" w:hAnsi="Arial"/>
                <w:sz w:val="18"/>
                <w:szCs w:val="18"/>
                <w:color w:val="auto"/>
                <w:w w:val="94"/>
              </w:rPr>
              <w:t>S.A.</w:t>
            </w:r>
            <w:r>
              <w:rPr>
                <w:rFonts w:ascii="Arial" w:cs="Arial" w:eastAsia="Arial" w:hAnsi="Arial"/>
                <w:sz w:val="15"/>
                <w:szCs w:val="15"/>
                <w:color w:val="auto"/>
                <w:w w:val="94"/>
              </w:rPr>
              <w:t>3</w:t>
            </w:r>
          </w:p>
        </w:tc>
      </w:tr>
      <w:tr>
        <w:trPr>
          <w:trHeight w:val="216"/>
        </w:trPr>
        <w:tc>
          <w:tcPr>
            <w:tcW w:w="3100" w:type="dxa"/>
            <w:vAlign w:val="bottom"/>
            <w:gridSpan w:val="2"/>
          </w:tcPr>
          <w:p>
            <w:pPr>
              <w:jc w:val="center"/>
              <w:ind w:left="1310"/>
              <w:spacing w:after="0"/>
              <w:rPr>
                <w:sz w:val="20"/>
                <w:szCs w:val="20"/>
                <w:color w:val="auto"/>
              </w:rPr>
            </w:pPr>
            <w:r>
              <w:rPr>
                <w:rFonts w:ascii="Arial" w:cs="Arial" w:eastAsia="Arial" w:hAnsi="Arial"/>
                <w:sz w:val="18"/>
                <w:szCs w:val="18"/>
                <w:color w:val="auto"/>
                <w:w w:val="99"/>
              </w:rPr>
              <w:t>OF CHINA LIMITED</w:t>
            </w:r>
          </w:p>
        </w:tc>
        <w:tc>
          <w:tcPr>
            <w:tcW w:w="1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YORK BRANCH</w:t>
            </w:r>
            <w:r>
              <w:rPr>
                <w:rFonts w:ascii="Arial" w:cs="Arial" w:eastAsia="Arial" w:hAnsi="Arial"/>
                <w:sz w:val="15"/>
                <w:szCs w:val="15"/>
                <w:color w:val="auto"/>
                <w:w w:val="98"/>
              </w:rPr>
              <w:t>1,2</w:t>
            </w:r>
          </w:p>
        </w:tc>
        <w:tc>
          <w:tcPr>
            <w:tcW w:w="2080" w:type="dxa"/>
            <w:vAlign w:val="bottom"/>
          </w:tcPr>
          <w:p>
            <w:pPr>
              <w:jc w:val="center"/>
              <w:spacing w:after="0"/>
              <w:rPr>
                <w:sz w:val="20"/>
                <w:szCs w:val="20"/>
                <w:color w:val="auto"/>
              </w:rPr>
            </w:pPr>
            <w:r>
              <w:rPr>
                <w:rFonts w:ascii="Arial" w:cs="Arial" w:eastAsia="Arial" w:hAnsi="Arial"/>
                <w:sz w:val="18"/>
                <w:szCs w:val="18"/>
                <w:color w:val="auto"/>
                <w:w w:val="95"/>
              </w:rPr>
              <w:t>BANCO BRADESCO S.A.</w:t>
            </w:r>
          </w:p>
        </w:tc>
      </w:tr>
      <w:tr>
        <w:trPr>
          <w:trHeight w:val="216"/>
        </w:trPr>
        <w:tc>
          <w:tcPr>
            <w:tcW w:w="15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color w:val="auto"/>
                <w:w w:val="99"/>
              </w:rPr>
              <w:t>NEW YORK</w:t>
            </w:r>
          </w:p>
        </w:tc>
        <w:tc>
          <w:tcPr>
            <w:tcW w:w="1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1540" w:type="dxa"/>
            <w:vAlign w:val="bottom"/>
          </w:tcPr>
          <w:p>
            <w:pPr>
              <w:spacing w:after="0"/>
              <w:rPr>
                <w:sz w:val="19"/>
                <w:szCs w:val="19"/>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14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16"/>
        </w:trPr>
        <w:tc>
          <w:tcPr>
            <w:tcW w:w="15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i w:val="1"/>
                <w:iCs w:val="1"/>
                <w:color w:val="auto"/>
                <w:w w:val="92"/>
              </w:rPr>
              <w:t>as Asian Pacific</w:t>
            </w:r>
          </w:p>
        </w:tc>
        <w:tc>
          <w:tcPr>
            <w:tcW w:w="1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i w:val="1"/>
                <w:iCs w:val="1"/>
                <w:color w:val="auto"/>
                <w:w w:val="92"/>
              </w:rPr>
              <w:t>as North American</w:t>
            </w:r>
          </w:p>
        </w:tc>
        <w:tc>
          <w:tcPr>
            <w:tcW w:w="2080" w:type="dxa"/>
            <w:vAlign w:val="bottom"/>
          </w:tcPr>
          <w:p>
            <w:pPr>
              <w:jc w:val="center"/>
              <w:spacing w:after="0"/>
              <w:rPr>
                <w:sz w:val="20"/>
                <w:szCs w:val="20"/>
                <w:color w:val="auto"/>
              </w:rPr>
            </w:pPr>
            <w:r>
              <w:rPr>
                <w:rFonts w:ascii="Arial" w:cs="Arial" w:eastAsia="Arial" w:hAnsi="Arial"/>
                <w:sz w:val="18"/>
                <w:szCs w:val="18"/>
                <w:i w:val="1"/>
                <w:iCs w:val="1"/>
                <w:color w:val="auto"/>
                <w:w w:val="92"/>
              </w:rPr>
              <w:t>as Co-Latin American</w:t>
            </w:r>
          </w:p>
        </w:tc>
      </w:tr>
      <w:tr>
        <w:trPr>
          <w:trHeight w:val="244"/>
        </w:trPr>
        <w:tc>
          <w:tcPr>
            <w:tcW w:w="3100" w:type="dxa"/>
            <w:vAlign w:val="bottom"/>
            <w:gridSpan w:val="2"/>
          </w:tcPr>
          <w:p>
            <w:pPr>
              <w:jc w:val="center"/>
              <w:ind w:left="1310"/>
              <w:spacing w:after="0"/>
              <w:rPr>
                <w:sz w:val="20"/>
                <w:szCs w:val="20"/>
                <w:color w:val="auto"/>
              </w:rPr>
            </w:pPr>
            <w:r>
              <w:rPr>
                <w:rFonts w:ascii="Arial" w:cs="Arial" w:eastAsia="Arial" w:hAnsi="Arial"/>
                <w:sz w:val="18"/>
                <w:szCs w:val="18"/>
                <w:i w:val="1"/>
                <w:iCs w:val="1"/>
                <w:color w:val="auto"/>
                <w:w w:val="92"/>
              </w:rPr>
              <w:t>Regional Coordinator</w:t>
            </w:r>
          </w:p>
        </w:tc>
        <w:tc>
          <w:tcPr>
            <w:tcW w:w="1440" w:type="dxa"/>
            <w:vAlign w:val="bottom"/>
          </w:tcPr>
          <w:p>
            <w:pPr>
              <w:spacing w:after="0"/>
              <w:rPr>
                <w:sz w:val="21"/>
                <w:szCs w:val="21"/>
                <w:color w:val="auto"/>
              </w:rPr>
            </w:pPr>
          </w:p>
        </w:tc>
        <w:tc>
          <w:tcPr>
            <w:tcW w:w="2640" w:type="dxa"/>
            <w:vAlign w:val="bottom"/>
          </w:tcPr>
          <w:p>
            <w:pPr>
              <w:jc w:val="center"/>
              <w:spacing w:after="0"/>
              <w:rPr>
                <w:sz w:val="20"/>
                <w:szCs w:val="20"/>
                <w:color w:val="auto"/>
              </w:rPr>
            </w:pPr>
            <w:r>
              <w:rPr>
                <w:rFonts w:ascii="Arial" w:cs="Arial" w:eastAsia="Arial" w:hAnsi="Arial"/>
                <w:sz w:val="18"/>
                <w:szCs w:val="18"/>
                <w:i w:val="1"/>
                <w:iCs w:val="1"/>
                <w:color w:val="auto"/>
                <w:w w:val="91"/>
              </w:rPr>
              <w:t>as European Regional Coordinator</w:t>
            </w:r>
          </w:p>
        </w:tc>
        <w:tc>
          <w:tcPr>
            <w:tcW w:w="2160" w:type="dxa"/>
            <w:vAlign w:val="bottom"/>
          </w:tcPr>
          <w:p>
            <w:pPr>
              <w:jc w:val="center"/>
              <w:spacing w:after="0"/>
              <w:rPr>
                <w:sz w:val="20"/>
                <w:szCs w:val="20"/>
                <w:color w:val="auto"/>
              </w:rPr>
            </w:pPr>
            <w:r>
              <w:rPr>
                <w:rFonts w:ascii="Arial" w:cs="Arial" w:eastAsia="Arial" w:hAnsi="Arial"/>
                <w:sz w:val="18"/>
                <w:szCs w:val="18"/>
                <w:i w:val="1"/>
                <w:iCs w:val="1"/>
                <w:color w:val="auto"/>
                <w:w w:val="92"/>
              </w:rPr>
              <w:t>Regional Coordinator</w:t>
            </w:r>
          </w:p>
        </w:tc>
        <w:tc>
          <w:tcPr>
            <w:tcW w:w="2080" w:type="dxa"/>
            <w:vAlign w:val="bottom"/>
          </w:tcPr>
          <w:p>
            <w:pPr>
              <w:jc w:val="center"/>
              <w:spacing w:after="0"/>
              <w:rPr>
                <w:sz w:val="20"/>
                <w:szCs w:val="20"/>
                <w:color w:val="auto"/>
              </w:rPr>
            </w:pPr>
            <w:r>
              <w:rPr>
                <w:rFonts w:ascii="Arial" w:cs="Arial" w:eastAsia="Arial" w:hAnsi="Arial"/>
                <w:sz w:val="18"/>
                <w:szCs w:val="18"/>
                <w:i w:val="1"/>
                <w:iCs w:val="1"/>
                <w:color w:val="auto"/>
                <w:w w:val="92"/>
              </w:rPr>
              <w:t>Regional Coordinators</w:t>
            </w:r>
          </w:p>
        </w:tc>
      </w:tr>
      <w:tr>
        <w:trPr>
          <w:trHeight w:val="310"/>
        </w:trPr>
        <w:tc>
          <w:tcPr>
            <w:tcW w:w="3100" w:type="dxa"/>
            <w:vAlign w:val="bottom"/>
            <w:gridSpan w:val="2"/>
          </w:tcPr>
          <w:p>
            <w:pPr>
              <w:jc w:val="center"/>
              <w:ind w:right="110"/>
              <w:spacing w:after="0"/>
              <w:rPr>
                <w:sz w:val="20"/>
                <w:szCs w:val="20"/>
                <w:color w:val="auto"/>
              </w:rPr>
            </w:pPr>
            <w:r>
              <w:rPr>
                <w:rFonts w:ascii="Arial" w:cs="Arial" w:eastAsia="Arial" w:hAnsi="Arial"/>
                <w:sz w:val="18"/>
                <w:szCs w:val="18"/>
                <w:color w:val="auto"/>
                <w:w w:val="97"/>
              </w:rPr>
              <w:t>BARCLAYS</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BANCO BILBAO</w:t>
            </w:r>
          </w:p>
        </w:tc>
        <w:tc>
          <w:tcPr>
            <w:tcW w:w="2640" w:type="dxa"/>
            <w:vAlign w:val="bottom"/>
          </w:tcPr>
          <w:p>
            <w:pPr>
              <w:jc w:val="center"/>
              <w:spacing w:after="0"/>
              <w:rPr>
                <w:sz w:val="20"/>
                <w:szCs w:val="20"/>
                <w:color w:val="auto"/>
              </w:rPr>
            </w:pPr>
            <w:r>
              <w:rPr>
                <w:rFonts w:ascii="Arial" w:cs="Arial" w:eastAsia="Arial" w:hAnsi="Arial"/>
                <w:sz w:val="18"/>
                <w:szCs w:val="18"/>
                <w:color w:val="auto"/>
                <w:w w:val="95"/>
              </w:rPr>
              <w:t>BNP PARIBAS</w:t>
            </w:r>
            <w:r>
              <w:rPr>
                <w:rFonts w:ascii="Arial" w:cs="Arial" w:eastAsia="Arial" w:hAnsi="Arial"/>
                <w:sz w:val="15"/>
                <w:szCs w:val="15"/>
                <w:color w:val="auto"/>
                <w:w w:val="95"/>
              </w:rPr>
              <w:t>1,2</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COMMERZBANK</w:t>
            </w:r>
          </w:p>
        </w:tc>
        <w:tc>
          <w:tcPr>
            <w:tcW w:w="2080" w:type="dxa"/>
            <w:vAlign w:val="bottom"/>
          </w:tcPr>
          <w:p>
            <w:pPr>
              <w:jc w:val="center"/>
              <w:spacing w:after="0"/>
              <w:rPr>
                <w:sz w:val="20"/>
                <w:szCs w:val="20"/>
                <w:color w:val="auto"/>
              </w:rPr>
            </w:pPr>
            <w:r>
              <w:rPr>
                <w:rFonts w:ascii="Arial" w:cs="Arial" w:eastAsia="Arial" w:hAnsi="Arial"/>
                <w:sz w:val="18"/>
                <w:szCs w:val="18"/>
                <w:color w:val="auto"/>
                <w:w w:val="98"/>
              </w:rPr>
              <w:t>CREDIT</w:t>
            </w:r>
          </w:p>
        </w:tc>
      </w:tr>
      <w:tr>
        <w:trPr>
          <w:trHeight w:val="216"/>
        </w:trPr>
        <w:tc>
          <w:tcPr>
            <w:tcW w:w="3100" w:type="dxa"/>
            <w:vAlign w:val="bottom"/>
            <w:gridSpan w:val="2"/>
          </w:tcPr>
          <w:p>
            <w:pPr>
              <w:jc w:val="center"/>
              <w:ind w:right="90"/>
              <w:spacing w:after="0"/>
              <w:rPr>
                <w:sz w:val="20"/>
                <w:szCs w:val="20"/>
                <w:color w:val="auto"/>
              </w:rPr>
            </w:pPr>
            <w:r>
              <w:rPr>
                <w:rFonts w:ascii="Arial" w:cs="Arial" w:eastAsia="Arial" w:hAnsi="Arial"/>
                <w:sz w:val="18"/>
                <w:szCs w:val="18"/>
                <w:color w:val="auto"/>
                <w:w w:val="98"/>
              </w:rPr>
              <w:t>BANK PLC</w:t>
            </w:r>
            <w:r>
              <w:rPr>
                <w:rFonts w:ascii="Arial" w:cs="Arial" w:eastAsia="Arial" w:hAnsi="Arial"/>
                <w:sz w:val="15"/>
                <w:szCs w:val="15"/>
                <w:color w:val="auto"/>
                <w:w w:val="98"/>
              </w:rPr>
              <w:t>1,2</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VIZCAYA</w:t>
            </w:r>
          </w:p>
        </w:tc>
        <w:tc>
          <w:tcPr>
            <w:tcW w:w="26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7"/>
              </w:rPr>
              <w:t>CAPITAL MARKETS</w:t>
            </w:r>
            <w:r>
              <w:rPr>
                <w:rFonts w:ascii="Arial" w:cs="Arial" w:eastAsia="Arial" w:hAnsi="Arial"/>
                <w:sz w:val="15"/>
                <w:szCs w:val="15"/>
                <w:color w:val="auto"/>
                <w:w w:val="97"/>
              </w:rPr>
              <w:t>1,2</w:t>
            </w:r>
          </w:p>
        </w:tc>
        <w:tc>
          <w:tcPr>
            <w:tcW w:w="2080" w:type="dxa"/>
            <w:vAlign w:val="bottom"/>
          </w:tcPr>
          <w:p>
            <w:pPr>
              <w:jc w:val="center"/>
              <w:spacing w:after="0"/>
              <w:rPr>
                <w:sz w:val="20"/>
                <w:szCs w:val="20"/>
                <w:color w:val="auto"/>
              </w:rPr>
            </w:pPr>
            <w:r>
              <w:rPr>
                <w:rFonts w:ascii="Arial" w:cs="Arial" w:eastAsia="Arial" w:hAnsi="Arial"/>
                <w:sz w:val="18"/>
                <w:szCs w:val="18"/>
                <w:color w:val="auto"/>
                <w:w w:val="94"/>
              </w:rPr>
              <w:t>AGRICOLE CORPORATE</w:t>
            </w:r>
          </w:p>
        </w:tc>
      </w:tr>
      <w:tr>
        <w:trPr>
          <w:trHeight w:val="216"/>
        </w:trPr>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ARGENTARIA,</w:t>
            </w:r>
          </w:p>
        </w:tc>
        <w:tc>
          <w:tcPr>
            <w:tcW w:w="2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AND</w:t>
            </w:r>
          </w:p>
        </w:tc>
      </w:tr>
      <w:tr>
        <w:trPr>
          <w:trHeight w:val="216"/>
        </w:trPr>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S.A. NEW YORK</w:t>
            </w:r>
          </w:p>
        </w:tc>
        <w:tc>
          <w:tcPr>
            <w:tcW w:w="2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 xml:space="preserve">INVESTMENT BANK </w:t>
            </w:r>
            <w:r>
              <w:rPr>
                <w:rFonts w:ascii="Arial" w:cs="Arial" w:eastAsia="Arial" w:hAnsi="Arial"/>
                <w:sz w:val="15"/>
                <w:szCs w:val="15"/>
                <w:color w:val="auto"/>
                <w:w w:val="99"/>
              </w:rPr>
              <w:t>1,2</w:t>
            </w:r>
          </w:p>
        </w:tc>
      </w:tr>
      <w:tr>
        <w:trPr>
          <w:trHeight w:val="230"/>
        </w:trPr>
        <w:tc>
          <w:tcPr>
            <w:tcW w:w="1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2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0"/>
        </w:trPr>
        <w:tc>
          <w:tcPr>
            <w:tcW w:w="3100" w:type="dxa"/>
            <w:vAlign w:val="bottom"/>
            <w:gridSpan w:val="2"/>
          </w:tcPr>
          <w:p>
            <w:pPr>
              <w:jc w:val="center"/>
              <w:ind w:right="110"/>
              <w:spacing w:after="0"/>
              <w:rPr>
                <w:sz w:val="20"/>
                <w:szCs w:val="20"/>
                <w:color w:val="auto"/>
              </w:rPr>
            </w:pPr>
            <w:r>
              <w:rPr>
                <w:rFonts w:ascii="Arial" w:cs="Arial" w:eastAsia="Arial" w:hAnsi="Arial"/>
                <w:sz w:val="18"/>
                <w:szCs w:val="18"/>
                <w:color w:val="auto"/>
                <w:w w:val="94"/>
              </w:rPr>
              <w:t>DEUTSCHE</w:t>
            </w:r>
          </w:p>
        </w:tc>
        <w:tc>
          <w:tcPr>
            <w:tcW w:w="1440" w:type="dxa"/>
            <w:vAlign w:val="bottom"/>
          </w:tcPr>
          <w:p>
            <w:pPr>
              <w:jc w:val="center"/>
              <w:spacing w:after="0"/>
              <w:rPr>
                <w:sz w:val="20"/>
                <w:szCs w:val="20"/>
                <w:color w:val="auto"/>
              </w:rPr>
            </w:pPr>
            <w:r>
              <w:rPr>
                <w:rFonts w:ascii="Arial" w:cs="Arial" w:eastAsia="Arial" w:hAnsi="Arial"/>
                <w:sz w:val="18"/>
                <w:szCs w:val="18"/>
                <w:color w:val="auto"/>
              </w:rPr>
              <w:t>GOLDMAN</w:t>
            </w:r>
          </w:p>
        </w:tc>
        <w:tc>
          <w:tcPr>
            <w:tcW w:w="2640" w:type="dxa"/>
            <w:vAlign w:val="bottom"/>
          </w:tcPr>
          <w:p>
            <w:pPr>
              <w:jc w:val="center"/>
              <w:spacing w:after="0"/>
              <w:rPr>
                <w:sz w:val="20"/>
                <w:szCs w:val="20"/>
                <w:color w:val="auto"/>
              </w:rPr>
            </w:pPr>
            <w:r>
              <w:rPr>
                <w:rFonts w:ascii="Arial" w:cs="Arial" w:eastAsia="Arial" w:hAnsi="Arial"/>
                <w:sz w:val="18"/>
                <w:szCs w:val="18"/>
                <w:color w:val="auto"/>
                <w:w w:val="93"/>
              </w:rPr>
              <w:t>INTESA SANPAOLO S.P.A.</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BANK OF AMERICA,</w:t>
            </w:r>
          </w:p>
        </w:tc>
        <w:tc>
          <w:tcPr>
            <w:tcW w:w="2080" w:type="dxa"/>
            <w:vAlign w:val="bottom"/>
          </w:tcPr>
          <w:p>
            <w:pPr>
              <w:jc w:val="center"/>
              <w:spacing w:after="0"/>
              <w:rPr>
                <w:sz w:val="20"/>
                <w:szCs w:val="20"/>
                <w:color w:val="auto"/>
              </w:rPr>
            </w:pPr>
            <w:r>
              <w:rPr>
                <w:rFonts w:ascii="Arial" w:cs="Arial" w:eastAsia="Arial" w:hAnsi="Arial"/>
                <w:sz w:val="18"/>
                <w:szCs w:val="18"/>
                <w:color w:val="auto"/>
              </w:rPr>
              <w:t>MIZUHO</w:t>
            </w:r>
          </w:p>
        </w:tc>
      </w:tr>
      <w:tr>
        <w:trPr>
          <w:trHeight w:val="216"/>
        </w:trPr>
        <w:tc>
          <w:tcPr>
            <w:tcW w:w="3100" w:type="dxa"/>
            <w:vAlign w:val="bottom"/>
            <w:gridSpan w:val="2"/>
          </w:tcPr>
          <w:p>
            <w:pPr>
              <w:jc w:val="center"/>
              <w:ind w:right="110"/>
              <w:spacing w:after="0"/>
              <w:rPr>
                <w:sz w:val="20"/>
                <w:szCs w:val="20"/>
                <w:color w:val="auto"/>
              </w:rPr>
            </w:pPr>
            <w:r>
              <w:rPr>
                <w:rFonts w:ascii="Arial" w:cs="Arial" w:eastAsia="Arial" w:hAnsi="Arial"/>
                <w:sz w:val="18"/>
                <w:szCs w:val="18"/>
                <w:color w:val="auto"/>
              </w:rPr>
              <w:t>BANK</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SACHS BANK</w:t>
            </w:r>
          </w:p>
        </w:tc>
        <w:tc>
          <w:tcPr>
            <w:tcW w:w="2640" w:type="dxa"/>
            <w:vAlign w:val="bottom"/>
          </w:tcPr>
          <w:p>
            <w:pPr>
              <w:jc w:val="center"/>
              <w:spacing w:after="0"/>
              <w:rPr>
                <w:sz w:val="20"/>
                <w:szCs w:val="20"/>
                <w:color w:val="auto"/>
              </w:rPr>
            </w:pPr>
            <w:r>
              <w:rPr>
                <w:rFonts w:ascii="Arial" w:cs="Arial" w:eastAsia="Arial" w:hAnsi="Arial"/>
                <w:sz w:val="18"/>
                <w:szCs w:val="18"/>
                <w:color w:val="auto"/>
                <w:w w:val="97"/>
              </w:rPr>
              <w:t>- NEW YORK BRANCH</w:t>
            </w:r>
            <w:r>
              <w:rPr>
                <w:rFonts w:ascii="Arial" w:cs="Arial" w:eastAsia="Arial" w:hAnsi="Arial"/>
                <w:sz w:val="15"/>
                <w:szCs w:val="15"/>
                <w:color w:val="auto"/>
                <w:w w:val="97"/>
              </w:rPr>
              <w:t>1,2</w:t>
            </w: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N.A.</w:t>
            </w:r>
            <w:r>
              <w:rPr>
                <w:rFonts w:ascii="Arial" w:cs="Arial" w:eastAsia="Arial" w:hAnsi="Arial"/>
                <w:sz w:val="15"/>
                <w:szCs w:val="15"/>
                <w:color w:val="auto"/>
                <w:w w:val="96"/>
              </w:rPr>
              <w:t>1</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BANK, LTD.</w:t>
            </w:r>
            <w:r>
              <w:rPr>
                <w:rFonts w:ascii="Arial" w:cs="Arial" w:eastAsia="Arial" w:hAnsi="Arial"/>
                <w:sz w:val="15"/>
                <w:szCs w:val="15"/>
                <w:color w:val="auto"/>
                <w:w w:val="99"/>
              </w:rPr>
              <w:t>1,2</w:t>
            </w:r>
          </w:p>
        </w:tc>
      </w:tr>
      <w:tr>
        <w:trPr>
          <w:trHeight w:val="216"/>
        </w:trPr>
        <w:tc>
          <w:tcPr>
            <w:tcW w:w="3100" w:type="dxa"/>
            <w:vAlign w:val="bottom"/>
            <w:gridSpan w:val="2"/>
          </w:tcPr>
          <w:p>
            <w:pPr>
              <w:jc w:val="center"/>
              <w:ind w:right="110"/>
              <w:spacing w:after="0"/>
              <w:rPr>
                <w:sz w:val="20"/>
                <w:szCs w:val="20"/>
                <w:color w:val="auto"/>
              </w:rPr>
            </w:pPr>
            <w:r>
              <w:rPr>
                <w:rFonts w:ascii="Arial" w:cs="Arial" w:eastAsia="Arial" w:hAnsi="Arial"/>
                <w:sz w:val="18"/>
                <w:szCs w:val="18"/>
                <w:color w:val="auto"/>
                <w:w w:val="94"/>
              </w:rPr>
              <w:t>SECURITIES</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USA</w:t>
            </w:r>
            <w:r>
              <w:rPr>
                <w:rFonts w:ascii="Arial" w:cs="Arial" w:eastAsia="Arial" w:hAnsi="Arial"/>
                <w:sz w:val="15"/>
                <w:szCs w:val="15"/>
                <w:color w:val="auto"/>
                <w:w w:val="96"/>
              </w:rPr>
              <w:t>1,2</w:t>
            </w:r>
          </w:p>
        </w:tc>
        <w:tc>
          <w:tcPr>
            <w:tcW w:w="26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i w:val="1"/>
                <w:iCs w:val="1"/>
                <w:color w:val="auto"/>
                <w:w w:val="89"/>
              </w:rPr>
              <w:t>as Co-Syndication Agent</w:t>
            </w:r>
          </w:p>
        </w:tc>
        <w:tc>
          <w:tcPr>
            <w:tcW w:w="2080" w:type="dxa"/>
            <w:vAlign w:val="bottom"/>
          </w:tcPr>
          <w:p>
            <w:pPr>
              <w:spacing w:after="0"/>
              <w:rPr>
                <w:sz w:val="18"/>
                <w:szCs w:val="18"/>
                <w:color w:val="auto"/>
              </w:rPr>
            </w:pPr>
          </w:p>
        </w:tc>
      </w:tr>
      <w:tr>
        <w:trPr>
          <w:trHeight w:val="230"/>
        </w:trPr>
        <w:tc>
          <w:tcPr>
            <w:tcW w:w="3100" w:type="dxa"/>
            <w:vAlign w:val="bottom"/>
            <w:gridSpan w:val="2"/>
          </w:tcPr>
          <w:p>
            <w:pPr>
              <w:jc w:val="center"/>
              <w:ind w:right="110"/>
              <w:spacing w:after="0"/>
              <w:rPr>
                <w:sz w:val="20"/>
                <w:szCs w:val="20"/>
                <w:color w:val="auto"/>
              </w:rPr>
            </w:pPr>
            <w:r>
              <w:rPr>
                <w:rFonts w:ascii="Arial" w:cs="Arial" w:eastAsia="Arial" w:hAnsi="Arial"/>
                <w:sz w:val="18"/>
                <w:szCs w:val="18"/>
                <w:color w:val="auto"/>
                <w:w w:val="94"/>
              </w:rPr>
              <w:t>INC.</w:t>
            </w:r>
            <w:r>
              <w:rPr>
                <w:rFonts w:ascii="Arial" w:cs="Arial" w:eastAsia="Arial" w:hAnsi="Arial"/>
                <w:sz w:val="15"/>
                <w:szCs w:val="15"/>
                <w:color w:val="auto"/>
                <w:w w:val="94"/>
              </w:rPr>
              <w:t>1,2</w:t>
            </w:r>
          </w:p>
        </w:tc>
        <w:tc>
          <w:tcPr>
            <w:tcW w:w="1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3"/>
        </w:trPr>
        <w:tc>
          <w:tcPr>
            <w:tcW w:w="1540" w:type="dxa"/>
            <w:vAlign w:val="bottom"/>
          </w:tcPr>
          <w:p>
            <w:pPr>
              <w:jc w:val="center"/>
              <w:spacing w:after="0"/>
              <w:rPr>
                <w:sz w:val="20"/>
                <w:szCs w:val="20"/>
                <w:color w:val="auto"/>
              </w:rPr>
            </w:pPr>
            <w:r>
              <w:rPr>
                <w:rFonts w:ascii="Arial" w:cs="Arial" w:eastAsia="Arial" w:hAnsi="Arial"/>
                <w:sz w:val="18"/>
                <w:szCs w:val="18"/>
                <w:color w:val="auto"/>
                <w:w w:val="98"/>
              </w:rPr>
              <w:t>MORGAN</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RBC CAPITAL</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THE ROYAL</w:t>
            </w:r>
          </w:p>
        </w:tc>
        <w:tc>
          <w:tcPr>
            <w:tcW w:w="2640" w:type="dxa"/>
            <w:vAlign w:val="bottom"/>
          </w:tcPr>
          <w:p>
            <w:pPr>
              <w:jc w:val="center"/>
              <w:spacing w:after="0"/>
              <w:rPr>
                <w:sz w:val="20"/>
                <w:szCs w:val="20"/>
                <w:color w:val="auto"/>
              </w:rPr>
            </w:pPr>
            <w:r>
              <w:rPr>
                <w:rFonts w:ascii="Arial" w:cs="Arial" w:eastAsia="Arial" w:hAnsi="Arial"/>
                <w:sz w:val="18"/>
                <w:szCs w:val="18"/>
                <w:color w:val="auto"/>
                <w:w w:val="98"/>
              </w:rPr>
              <w:t>SUMITOMO</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SOCIÉTÉ GÉNÉRALE</w:t>
            </w:r>
            <w:r>
              <w:rPr>
                <w:rFonts w:ascii="Arial" w:cs="Arial" w:eastAsia="Arial" w:hAnsi="Arial"/>
                <w:sz w:val="15"/>
                <w:szCs w:val="15"/>
                <w:color w:val="auto"/>
                <w:w w:val="94"/>
              </w:rPr>
              <w:t>1,2</w:t>
            </w:r>
          </w:p>
        </w:tc>
        <w:tc>
          <w:tcPr>
            <w:tcW w:w="2080" w:type="dxa"/>
            <w:vAlign w:val="bottom"/>
          </w:tcPr>
          <w:p>
            <w:pPr>
              <w:jc w:val="center"/>
              <w:spacing w:after="0"/>
              <w:rPr>
                <w:sz w:val="20"/>
                <w:szCs w:val="20"/>
                <w:color w:val="auto"/>
              </w:rPr>
            </w:pPr>
            <w:r>
              <w:rPr>
                <w:rFonts w:ascii="Arial" w:cs="Arial" w:eastAsia="Arial" w:hAnsi="Arial"/>
                <w:sz w:val="18"/>
                <w:szCs w:val="18"/>
                <w:color w:val="auto"/>
                <w:w w:val="97"/>
              </w:rPr>
              <w:t>THE BANK OF NOVA</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6"/>
              </w:rPr>
              <w:t>STANLEY SENIOR</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BANK OF</w:t>
            </w:r>
          </w:p>
        </w:tc>
        <w:tc>
          <w:tcPr>
            <w:tcW w:w="2640" w:type="dxa"/>
            <w:vAlign w:val="bottom"/>
          </w:tcPr>
          <w:p>
            <w:pPr>
              <w:jc w:val="center"/>
              <w:spacing w:after="0"/>
              <w:rPr>
                <w:sz w:val="20"/>
                <w:szCs w:val="20"/>
                <w:color w:val="auto"/>
              </w:rPr>
            </w:pPr>
            <w:r>
              <w:rPr>
                <w:rFonts w:ascii="Arial" w:cs="Arial" w:eastAsia="Arial" w:hAnsi="Arial"/>
                <w:sz w:val="18"/>
                <w:szCs w:val="18"/>
                <w:color w:val="auto"/>
              </w:rPr>
              <w:t>MITSUI BANKING</w:t>
            </w:r>
          </w:p>
        </w:tc>
        <w:tc>
          <w:tcPr>
            <w:tcW w:w="21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5"/>
              </w:rPr>
              <w:t>SCOTIA</w:t>
            </w:r>
            <w:r>
              <w:rPr>
                <w:rFonts w:ascii="Arial" w:cs="Arial" w:eastAsia="Arial" w:hAnsi="Arial"/>
                <w:sz w:val="15"/>
                <w:szCs w:val="15"/>
                <w:color w:val="auto"/>
                <w:w w:val="95"/>
              </w:rPr>
              <w:t>1,2</w:t>
            </w: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color w:val="auto"/>
                <w:w w:val="96"/>
              </w:rPr>
              <w:t>FUNDING, INC.</w:t>
            </w:r>
            <w:r>
              <w:rPr>
                <w:rFonts w:ascii="Arial" w:cs="Arial" w:eastAsia="Arial" w:hAnsi="Arial"/>
                <w:sz w:val="15"/>
                <w:szCs w:val="15"/>
                <w:color w:val="auto"/>
                <w:w w:val="96"/>
              </w:rPr>
              <w:t>1,2</w:t>
            </w:r>
          </w:p>
        </w:tc>
        <w:tc>
          <w:tcPr>
            <w:tcW w:w="1560" w:type="dxa"/>
            <w:vAlign w:val="bottom"/>
          </w:tcPr>
          <w:p>
            <w:pPr>
              <w:jc w:val="center"/>
              <w:spacing w:after="0"/>
              <w:rPr>
                <w:sz w:val="20"/>
                <w:szCs w:val="20"/>
                <w:color w:val="auto"/>
              </w:rPr>
            </w:pPr>
            <w:r>
              <w:rPr>
                <w:rFonts w:ascii="Arial" w:cs="Arial" w:eastAsia="Arial" w:hAnsi="Arial"/>
                <w:sz w:val="18"/>
                <w:szCs w:val="18"/>
                <w:color w:val="auto"/>
              </w:rPr>
              <w:t>ROYAL BANK</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SCOTLAND</w:t>
            </w:r>
          </w:p>
        </w:tc>
        <w:tc>
          <w:tcPr>
            <w:tcW w:w="2640" w:type="dxa"/>
            <w:vAlign w:val="bottom"/>
          </w:tcPr>
          <w:p>
            <w:pPr>
              <w:jc w:val="center"/>
              <w:spacing w:after="0"/>
              <w:rPr>
                <w:sz w:val="20"/>
                <w:szCs w:val="20"/>
                <w:color w:val="auto"/>
              </w:rPr>
            </w:pPr>
            <w:r>
              <w:rPr>
                <w:rFonts w:ascii="Arial" w:cs="Arial" w:eastAsia="Arial" w:hAnsi="Arial"/>
                <w:sz w:val="18"/>
                <w:szCs w:val="18"/>
                <w:color w:val="auto"/>
                <w:w w:val="94"/>
              </w:rPr>
              <w:t>CORPORATION</w:t>
            </w:r>
            <w:r>
              <w:rPr>
                <w:rFonts w:ascii="Arial" w:cs="Arial" w:eastAsia="Arial" w:hAnsi="Arial"/>
                <w:sz w:val="15"/>
                <w:szCs w:val="15"/>
                <w:color w:val="auto"/>
                <w:w w:val="94"/>
              </w:rPr>
              <w:t>1,2</w:t>
            </w:r>
          </w:p>
        </w:tc>
        <w:tc>
          <w:tcPr>
            <w:tcW w:w="216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OF</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PLC</w:t>
            </w:r>
            <w:r>
              <w:rPr>
                <w:rFonts w:ascii="Arial" w:cs="Arial" w:eastAsia="Arial" w:hAnsi="Arial"/>
                <w:sz w:val="15"/>
                <w:szCs w:val="15"/>
                <w:color w:val="auto"/>
                <w:w w:val="92"/>
              </w:rPr>
              <w:t>1,2</w:t>
            </w:r>
          </w:p>
        </w:tc>
        <w:tc>
          <w:tcPr>
            <w:tcW w:w="2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CANADA</w:t>
            </w:r>
            <w:r>
              <w:rPr>
                <w:rFonts w:ascii="Arial" w:cs="Arial" w:eastAsia="Arial" w:hAnsi="Arial"/>
                <w:sz w:val="15"/>
                <w:szCs w:val="15"/>
                <w:color w:val="auto"/>
              </w:rPr>
              <w:t>2</w:t>
            </w:r>
          </w:p>
        </w:tc>
        <w:tc>
          <w:tcPr>
            <w:tcW w:w="1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80" w:type="dxa"/>
            <w:vAlign w:val="bottom"/>
          </w:tcPr>
          <w:p>
            <w:pPr>
              <w:spacing w:after="0"/>
              <w:rPr>
                <w:sz w:val="20"/>
                <w:szCs w:val="20"/>
                <w:color w:val="auto"/>
              </w:rPr>
            </w:pPr>
          </w:p>
        </w:tc>
      </w:tr>
    </w:tbl>
    <w:p>
      <w:pPr>
        <w:spacing w:after="0" w:line="21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As Joint Bookrunners and Joint Lead Arrangers when noted (</w:t>
      </w:r>
      <w:r>
        <w:rPr>
          <w:rFonts w:ascii="Arial" w:cs="Arial" w:eastAsia="Arial" w:hAnsi="Arial"/>
          <w:sz w:val="15"/>
          <w:szCs w:val="15"/>
          <w:i w:val="1"/>
          <w:iCs w:val="1"/>
          <w:color w:val="auto"/>
        </w:rPr>
        <w:t>1</w:t>
      </w:r>
      <w:r>
        <w:rPr>
          <w:rFonts w:ascii="Arial" w:cs="Arial" w:eastAsia="Arial" w:hAnsi="Arial"/>
          <w:sz w:val="18"/>
          <w:szCs w:val="18"/>
          <w:i w:val="1"/>
          <w:iCs w:val="1"/>
          <w:color w:val="auto"/>
        </w:rPr>
        <w:t>), as Documentation Agents when noted (</w:t>
      </w:r>
      <w:r>
        <w:rPr>
          <w:rFonts w:ascii="Arial" w:cs="Arial" w:eastAsia="Arial" w:hAnsi="Arial"/>
          <w:sz w:val="15"/>
          <w:szCs w:val="15"/>
          <w:i w:val="1"/>
          <w:iCs w:val="1"/>
          <w:color w:val="auto"/>
        </w:rPr>
        <w:t>2</w:t>
      </w:r>
      <w:r>
        <w:rPr>
          <w:rFonts w:ascii="Arial" w:cs="Arial" w:eastAsia="Arial" w:hAnsi="Arial"/>
          <w:sz w:val="18"/>
          <w:szCs w:val="18"/>
          <w:i w:val="1"/>
          <w:iCs w:val="1"/>
          <w:color w:val="auto"/>
        </w:rPr>
        <w:t>), and as Brazilian Administrative Agent when noted (</w:t>
      </w:r>
      <w:r>
        <w:rPr>
          <w:rFonts w:ascii="Arial" w:cs="Arial" w:eastAsia="Arial" w:hAnsi="Arial"/>
          <w:sz w:val="15"/>
          <w:szCs w:val="15"/>
          <w:i w:val="1"/>
          <w:iCs w:val="1"/>
          <w:color w:val="auto"/>
        </w:rPr>
        <w:t>3</w:t>
      </w:r>
      <w:r>
        <w:rPr>
          <w:rFonts w:ascii="Arial" w:cs="Arial" w:eastAsia="Arial" w:hAnsi="Arial"/>
          <w:sz w:val="18"/>
          <w:szCs w:val="18"/>
          <w:i w:val="1"/>
          <w:iCs w:val="1"/>
          <w:color w:val="auto"/>
        </w:rPr>
        <w:t>)</w:t>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760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r>
      <w:tr>
        <w:trPr>
          <w:trHeight w:val="377"/>
        </w:trPr>
        <w:tc>
          <w:tcPr>
            <w:tcW w:w="11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w:t>
            </w:r>
          </w:p>
        </w:tc>
        <w:tc>
          <w:tcPr>
            <w:tcW w:w="760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2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140" w:type="dxa"/>
            <w:vAlign w:val="bottom"/>
          </w:tcPr>
          <w:p>
            <w:pPr>
              <w:ind w:left="360"/>
              <w:spacing w:after="0"/>
              <w:rPr>
                <w:sz w:val="20"/>
                <w:szCs w:val="20"/>
                <w:color w:val="auto"/>
              </w:rPr>
            </w:pPr>
            <w:r>
              <w:rPr>
                <w:rFonts w:ascii="Arial" w:cs="Arial" w:eastAsia="Arial" w:hAnsi="Arial"/>
                <w:sz w:val="18"/>
                <w:szCs w:val="18"/>
                <w:color w:val="auto"/>
              </w:rPr>
              <w:t>1.1</w:t>
            </w:r>
          </w:p>
        </w:tc>
        <w:tc>
          <w:tcPr>
            <w:tcW w:w="7600" w:type="dxa"/>
            <w:vAlign w:val="bottom"/>
          </w:tcPr>
          <w:p>
            <w:pPr>
              <w:ind w:left="200"/>
              <w:spacing w:after="0"/>
              <w:rPr>
                <w:sz w:val="20"/>
                <w:szCs w:val="20"/>
                <w:color w:val="auto"/>
              </w:rPr>
            </w:pPr>
            <w:r>
              <w:rPr>
                <w:rFonts w:ascii="Arial" w:cs="Arial" w:eastAsia="Arial" w:hAnsi="Arial"/>
                <w:sz w:val="18"/>
                <w:szCs w:val="18"/>
                <w:color w:val="auto"/>
              </w:rPr>
              <w:t>Defined Terms</w:t>
            </w:r>
          </w:p>
        </w:tc>
        <w:tc>
          <w:tcPr>
            <w:tcW w:w="2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1.2</w:t>
            </w:r>
          </w:p>
        </w:tc>
        <w:tc>
          <w:tcPr>
            <w:tcW w:w="7600" w:type="dxa"/>
            <w:vAlign w:val="bottom"/>
          </w:tcPr>
          <w:p>
            <w:pPr>
              <w:ind w:left="200"/>
              <w:spacing w:after="0"/>
              <w:rPr>
                <w:sz w:val="20"/>
                <w:szCs w:val="20"/>
                <w:color w:val="auto"/>
              </w:rPr>
            </w:pPr>
            <w:r>
              <w:rPr>
                <w:rFonts w:ascii="Arial" w:cs="Arial" w:eastAsia="Arial" w:hAnsi="Arial"/>
                <w:sz w:val="18"/>
                <w:szCs w:val="18"/>
                <w:color w:val="auto"/>
              </w:rPr>
              <w:t>Other Definitional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1.3</w:t>
            </w:r>
          </w:p>
        </w:tc>
        <w:tc>
          <w:tcPr>
            <w:tcW w:w="7600" w:type="dxa"/>
            <w:vAlign w:val="bottom"/>
          </w:tcPr>
          <w:p>
            <w:pPr>
              <w:ind w:left="200"/>
              <w:spacing w:after="0"/>
              <w:rPr>
                <w:sz w:val="20"/>
                <w:szCs w:val="20"/>
                <w:color w:val="auto"/>
              </w:rPr>
            </w:pPr>
            <w:r>
              <w:rPr>
                <w:rFonts w:ascii="Arial" w:cs="Arial" w:eastAsia="Arial" w:hAnsi="Arial"/>
                <w:sz w:val="18"/>
                <w:szCs w:val="18"/>
                <w:color w:val="auto"/>
              </w:rPr>
              <w:t>Conversion of Foreign Currencies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1.4</w:t>
            </w:r>
          </w:p>
        </w:tc>
        <w:tc>
          <w:tcPr>
            <w:tcW w:w="7600" w:type="dxa"/>
            <w:vAlign w:val="bottom"/>
          </w:tcPr>
          <w:p>
            <w:pPr>
              <w:ind w:left="200"/>
              <w:spacing w:after="0"/>
              <w:rPr>
                <w:sz w:val="20"/>
                <w:szCs w:val="20"/>
                <w:color w:val="auto"/>
              </w:rPr>
            </w:pPr>
            <w:r>
              <w:rPr>
                <w:rFonts w:ascii="Arial" w:cs="Arial" w:eastAsia="Arial" w:hAnsi="Arial"/>
                <w:sz w:val="18"/>
                <w:szCs w:val="18"/>
                <w:color w:val="auto"/>
              </w:rPr>
              <w:t>Other Interpretive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w:t>
            </w:r>
          </w:p>
        </w:tc>
        <w:tc>
          <w:tcPr>
            <w:tcW w:w="7600" w:type="dxa"/>
            <w:vAlign w:val="bottom"/>
          </w:tcPr>
          <w:p>
            <w:pPr>
              <w:ind w:left="200"/>
              <w:spacing w:after="0"/>
              <w:rPr>
                <w:sz w:val="20"/>
                <w:szCs w:val="20"/>
                <w:color w:val="auto"/>
              </w:rPr>
            </w:pPr>
            <w:r>
              <w:rPr>
                <w:rFonts w:ascii="Arial" w:cs="Arial" w:eastAsia="Arial" w:hAnsi="Arial"/>
                <w:sz w:val="18"/>
                <w:szCs w:val="18"/>
                <w:color w:val="auto"/>
              </w:rPr>
              <w:t>AMOUNT AND TERMS OF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1140" w:type="dxa"/>
            <w:vAlign w:val="bottom"/>
          </w:tcPr>
          <w:p>
            <w:pPr>
              <w:ind w:left="360"/>
              <w:spacing w:after="0"/>
              <w:rPr>
                <w:sz w:val="20"/>
                <w:szCs w:val="20"/>
                <w:color w:val="auto"/>
              </w:rPr>
            </w:pPr>
            <w:r>
              <w:rPr>
                <w:rFonts w:ascii="Arial" w:cs="Arial" w:eastAsia="Arial" w:hAnsi="Arial"/>
                <w:sz w:val="18"/>
                <w:szCs w:val="18"/>
                <w:color w:val="auto"/>
              </w:rPr>
              <w:t>2.1</w:t>
            </w:r>
          </w:p>
        </w:tc>
        <w:tc>
          <w:tcPr>
            <w:tcW w:w="7600" w:type="dxa"/>
            <w:vAlign w:val="bottom"/>
          </w:tcPr>
          <w:p>
            <w:pPr>
              <w:ind w:left="200"/>
              <w:spacing w:after="0"/>
              <w:rPr>
                <w:sz w:val="20"/>
                <w:szCs w:val="20"/>
                <w:color w:val="auto"/>
              </w:rPr>
            </w:pPr>
            <w:r>
              <w:rPr>
                <w:rFonts w:ascii="Arial" w:cs="Arial" w:eastAsia="Arial" w:hAnsi="Arial"/>
                <w:sz w:val="18"/>
                <w:szCs w:val="18"/>
                <w:color w:val="auto"/>
              </w:rPr>
              <w:t>Domestic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2.2</w:t>
            </w:r>
          </w:p>
        </w:tc>
        <w:tc>
          <w:tcPr>
            <w:tcW w:w="7600" w:type="dxa"/>
            <w:vAlign w:val="bottom"/>
          </w:tcPr>
          <w:p>
            <w:pPr>
              <w:ind w:left="200"/>
              <w:spacing w:after="0"/>
              <w:rPr>
                <w:sz w:val="20"/>
                <w:szCs w:val="20"/>
                <w:color w:val="auto"/>
              </w:rPr>
            </w:pPr>
            <w:r>
              <w:rPr>
                <w:rFonts w:ascii="Arial" w:cs="Arial" w:eastAsia="Arial" w:hAnsi="Arial"/>
                <w:sz w:val="18"/>
                <w:szCs w:val="18"/>
                <w:color w:val="auto"/>
              </w:rPr>
              <w:t>Procedure for Domestic Loan Borrowing</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2.3</w:t>
            </w:r>
          </w:p>
        </w:tc>
        <w:tc>
          <w:tcPr>
            <w:tcW w:w="7600" w:type="dxa"/>
            <w:vAlign w:val="bottom"/>
          </w:tcPr>
          <w:p>
            <w:pPr>
              <w:ind w:left="200"/>
              <w:spacing w:after="0"/>
              <w:rPr>
                <w:sz w:val="20"/>
                <w:szCs w:val="20"/>
                <w:color w:val="auto"/>
              </w:rPr>
            </w:pPr>
            <w:r>
              <w:rPr>
                <w:rFonts w:ascii="Arial" w:cs="Arial" w:eastAsia="Arial" w:hAnsi="Arial"/>
                <w:sz w:val="18"/>
                <w:szCs w:val="18"/>
                <w:color w:val="auto"/>
              </w:rPr>
              <w:t>Multicurrency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2.4</w:t>
            </w:r>
          </w:p>
        </w:tc>
        <w:tc>
          <w:tcPr>
            <w:tcW w:w="7600" w:type="dxa"/>
            <w:vAlign w:val="bottom"/>
          </w:tcPr>
          <w:p>
            <w:pPr>
              <w:ind w:left="200"/>
              <w:spacing w:after="0"/>
              <w:rPr>
                <w:sz w:val="20"/>
                <w:szCs w:val="20"/>
                <w:color w:val="auto"/>
              </w:rPr>
            </w:pPr>
            <w:r>
              <w:rPr>
                <w:rFonts w:ascii="Arial" w:cs="Arial" w:eastAsia="Arial" w:hAnsi="Arial"/>
                <w:sz w:val="18"/>
                <w:szCs w:val="18"/>
                <w:color w:val="auto"/>
              </w:rPr>
              <w:t>Procedure for Multicurrency Loan Borrowing</w:t>
            </w:r>
          </w:p>
        </w:tc>
        <w:tc>
          <w:tcPr>
            <w:tcW w:w="2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2.5</w:t>
            </w:r>
          </w:p>
        </w:tc>
        <w:tc>
          <w:tcPr>
            <w:tcW w:w="7600" w:type="dxa"/>
            <w:vAlign w:val="bottom"/>
          </w:tcPr>
          <w:p>
            <w:pPr>
              <w:ind w:left="200"/>
              <w:spacing w:after="0"/>
              <w:rPr>
                <w:sz w:val="20"/>
                <w:szCs w:val="20"/>
                <w:color w:val="auto"/>
              </w:rPr>
            </w:pPr>
            <w:r>
              <w:rPr>
                <w:rFonts w:ascii="Arial" w:cs="Arial" w:eastAsia="Arial" w:hAnsi="Arial"/>
                <w:sz w:val="18"/>
                <w:szCs w:val="18"/>
                <w:color w:val="auto"/>
              </w:rPr>
              <w:t>Brazilian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2.6</w:t>
            </w:r>
          </w:p>
        </w:tc>
        <w:tc>
          <w:tcPr>
            <w:tcW w:w="7600" w:type="dxa"/>
            <w:vAlign w:val="bottom"/>
          </w:tcPr>
          <w:p>
            <w:pPr>
              <w:ind w:left="200"/>
              <w:spacing w:after="0"/>
              <w:rPr>
                <w:sz w:val="20"/>
                <w:szCs w:val="20"/>
                <w:color w:val="auto"/>
              </w:rPr>
            </w:pPr>
            <w:r>
              <w:rPr>
                <w:rFonts w:ascii="Arial" w:cs="Arial" w:eastAsia="Arial" w:hAnsi="Arial"/>
                <w:sz w:val="18"/>
                <w:szCs w:val="18"/>
                <w:color w:val="auto"/>
              </w:rPr>
              <w:t>Brazilian Reporting</w:t>
            </w:r>
          </w:p>
        </w:tc>
        <w:tc>
          <w:tcPr>
            <w:tcW w:w="2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2.7</w:t>
            </w:r>
          </w:p>
        </w:tc>
        <w:tc>
          <w:tcPr>
            <w:tcW w:w="7600" w:type="dxa"/>
            <w:vAlign w:val="bottom"/>
          </w:tcPr>
          <w:p>
            <w:pPr>
              <w:ind w:left="200"/>
              <w:spacing w:after="0"/>
              <w:rPr>
                <w:sz w:val="20"/>
                <w:szCs w:val="20"/>
                <w:color w:val="auto"/>
              </w:rPr>
            </w:pPr>
            <w:r>
              <w:rPr>
                <w:rFonts w:ascii="Arial" w:cs="Arial" w:eastAsia="Arial" w:hAnsi="Arial"/>
                <w:sz w:val="18"/>
                <w:szCs w:val="18"/>
                <w:color w:val="auto"/>
              </w:rPr>
              <w:t>L/C Tranche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2.8</w:t>
            </w:r>
          </w:p>
        </w:tc>
        <w:tc>
          <w:tcPr>
            <w:tcW w:w="7600" w:type="dxa"/>
            <w:vAlign w:val="bottom"/>
          </w:tcPr>
          <w:p>
            <w:pPr>
              <w:ind w:left="200"/>
              <w:spacing w:after="0"/>
              <w:rPr>
                <w:sz w:val="20"/>
                <w:szCs w:val="20"/>
                <w:color w:val="auto"/>
              </w:rPr>
            </w:pPr>
            <w:r>
              <w:rPr>
                <w:rFonts w:ascii="Arial" w:cs="Arial" w:eastAsia="Arial" w:hAnsi="Arial"/>
                <w:sz w:val="18"/>
                <w:szCs w:val="18"/>
                <w:color w:val="auto"/>
              </w:rPr>
              <w:t>Procedure for L/C Tranche Loan Borrowing</w:t>
            </w:r>
          </w:p>
        </w:tc>
        <w:tc>
          <w:tcPr>
            <w:tcW w:w="2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2.9</w:t>
            </w:r>
          </w:p>
        </w:tc>
        <w:tc>
          <w:tcPr>
            <w:tcW w:w="7600" w:type="dxa"/>
            <w:vAlign w:val="bottom"/>
          </w:tcPr>
          <w:p>
            <w:pPr>
              <w:ind w:left="200"/>
              <w:spacing w:after="0"/>
              <w:rPr>
                <w:sz w:val="20"/>
                <w:szCs w:val="20"/>
                <w:color w:val="auto"/>
              </w:rPr>
            </w:pPr>
            <w:r>
              <w:rPr>
                <w:rFonts w:ascii="Arial" w:cs="Arial" w:eastAsia="Arial" w:hAnsi="Arial"/>
                <w:sz w:val="18"/>
                <w:szCs w:val="18"/>
                <w:color w:val="auto"/>
              </w:rPr>
              <w:t>Competitive Bid Procedure</w:t>
            </w:r>
          </w:p>
        </w:tc>
        <w:tc>
          <w:tcPr>
            <w:tcW w:w="2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2.10</w:t>
            </w:r>
          </w:p>
        </w:tc>
        <w:tc>
          <w:tcPr>
            <w:tcW w:w="7600" w:type="dxa"/>
            <w:vAlign w:val="bottom"/>
          </w:tcPr>
          <w:p>
            <w:pPr>
              <w:ind w:left="200"/>
              <w:spacing w:after="0"/>
              <w:rPr>
                <w:sz w:val="20"/>
                <w:szCs w:val="20"/>
                <w:color w:val="auto"/>
              </w:rPr>
            </w:pPr>
            <w:r>
              <w:rPr>
                <w:rFonts w:ascii="Arial" w:cs="Arial" w:eastAsia="Arial" w:hAnsi="Arial"/>
                <w:sz w:val="18"/>
                <w:szCs w:val="18"/>
                <w:color w:val="auto"/>
              </w:rPr>
              <w:t>Facility Fees, etc.</w:t>
            </w:r>
          </w:p>
        </w:tc>
        <w:tc>
          <w:tcPr>
            <w:tcW w:w="2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2.11</w:t>
            </w:r>
          </w:p>
        </w:tc>
        <w:tc>
          <w:tcPr>
            <w:tcW w:w="7600" w:type="dxa"/>
            <w:vAlign w:val="bottom"/>
          </w:tcPr>
          <w:p>
            <w:pPr>
              <w:ind w:left="200"/>
              <w:spacing w:after="0"/>
              <w:rPr>
                <w:sz w:val="20"/>
                <w:szCs w:val="20"/>
                <w:color w:val="auto"/>
              </w:rPr>
            </w:pPr>
            <w:r>
              <w:rPr>
                <w:rFonts w:ascii="Arial" w:cs="Arial" w:eastAsia="Arial" w:hAnsi="Arial"/>
                <w:sz w:val="18"/>
                <w:szCs w:val="18"/>
                <w:color w:val="auto"/>
              </w:rPr>
              <w:t>Termination, Reduction and Reallocation of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2.12</w:t>
            </w:r>
          </w:p>
        </w:tc>
        <w:tc>
          <w:tcPr>
            <w:tcW w:w="7600" w:type="dxa"/>
            <w:vAlign w:val="bottom"/>
          </w:tcPr>
          <w:p>
            <w:pPr>
              <w:ind w:left="200"/>
              <w:spacing w:after="0"/>
              <w:rPr>
                <w:sz w:val="20"/>
                <w:szCs w:val="20"/>
                <w:color w:val="auto"/>
              </w:rPr>
            </w:pPr>
            <w:r>
              <w:rPr>
                <w:rFonts w:ascii="Arial" w:cs="Arial" w:eastAsia="Arial" w:hAnsi="Arial"/>
                <w:sz w:val="18"/>
                <w:szCs w:val="18"/>
                <w:color w:val="auto"/>
              </w:rPr>
              <w:t>Optional Prepayments</w:t>
            </w:r>
          </w:p>
        </w:tc>
        <w:tc>
          <w:tcPr>
            <w:tcW w:w="2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2.13</w:t>
            </w:r>
          </w:p>
        </w:tc>
        <w:tc>
          <w:tcPr>
            <w:tcW w:w="7600" w:type="dxa"/>
            <w:vAlign w:val="bottom"/>
          </w:tcPr>
          <w:p>
            <w:pPr>
              <w:ind w:left="200"/>
              <w:spacing w:after="0"/>
              <w:rPr>
                <w:sz w:val="20"/>
                <w:szCs w:val="20"/>
                <w:color w:val="auto"/>
              </w:rPr>
            </w:pPr>
            <w:r>
              <w:rPr>
                <w:rFonts w:ascii="Arial" w:cs="Arial" w:eastAsia="Arial" w:hAnsi="Arial"/>
                <w:sz w:val="18"/>
                <w:szCs w:val="18"/>
                <w:color w:val="auto"/>
              </w:rPr>
              <w:t>Mandatory Prepayments</w:t>
            </w:r>
          </w:p>
        </w:tc>
        <w:tc>
          <w:tcPr>
            <w:tcW w:w="2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2.14</w:t>
            </w:r>
          </w:p>
        </w:tc>
        <w:tc>
          <w:tcPr>
            <w:tcW w:w="7600" w:type="dxa"/>
            <w:vAlign w:val="bottom"/>
          </w:tcPr>
          <w:p>
            <w:pPr>
              <w:ind w:left="200"/>
              <w:spacing w:after="0"/>
              <w:rPr>
                <w:sz w:val="20"/>
                <w:szCs w:val="20"/>
                <w:color w:val="auto"/>
              </w:rPr>
            </w:pPr>
            <w:r>
              <w:rPr>
                <w:rFonts w:ascii="Arial" w:cs="Arial" w:eastAsia="Arial" w:hAnsi="Arial"/>
                <w:sz w:val="18"/>
                <w:szCs w:val="18"/>
                <w:color w:val="auto"/>
              </w:rPr>
              <w:t>Conversion and Continuation Options</w:t>
            </w:r>
          </w:p>
        </w:tc>
        <w:tc>
          <w:tcPr>
            <w:tcW w:w="2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2.15</w:t>
            </w:r>
          </w:p>
        </w:tc>
        <w:tc>
          <w:tcPr>
            <w:tcW w:w="7600" w:type="dxa"/>
            <w:vAlign w:val="bottom"/>
          </w:tcPr>
          <w:p>
            <w:pPr>
              <w:ind w:left="200"/>
              <w:spacing w:after="0"/>
              <w:rPr>
                <w:sz w:val="20"/>
                <w:szCs w:val="20"/>
                <w:color w:val="auto"/>
              </w:rPr>
            </w:pPr>
            <w:r>
              <w:rPr>
                <w:rFonts w:ascii="Arial" w:cs="Arial" w:eastAsia="Arial" w:hAnsi="Arial"/>
                <w:sz w:val="18"/>
                <w:szCs w:val="18"/>
                <w:color w:val="auto"/>
              </w:rPr>
              <w:t>Limitations on Eurocurrency Tranches</w:t>
            </w:r>
          </w:p>
        </w:tc>
        <w:tc>
          <w:tcPr>
            <w:tcW w:w="2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2.16</w:t>
            </w:r>
          </w:p>
        </w:tc>
        <w:tc>
          <w:tcPr>
            <w:tcW w:w="7600" w:type="dxa"/>
            <w:vAlign w:val="bottom"/>
          </w:tcPr>
          <w:p>
            <w:pPr>
              <w:ind w:left="200"/>
              <w:spacing w:after="0"/>
              <w:rPr>
                <w:sz w:val="20"/>
                <w:szCs w:val="20"/>
                <w:color w:val="auto"/>
              </w:rPr>
            </w:pPr>
            <w:r>
              <w:rPr>
                <w:rFonts w:ascii="Arial" w:cs="Arial" w:eastAsia="Arial" w:hAnsi="Arial"/>
                <w:sz w:val="18"/>
                <w:szCs w:val="18"/>
                <w:color w:val="auto"/>
              </w:rPr>
              <w:t>Interest Rates and Payment Dates</w:t>
            </w:r>
          </w:p>
        </w:tc>
        <w:tc>
          <w:tcPr>
            <w:tcW w:w="2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2.17</w:t>
            </w:r>
          </w:p>
        </w:tc>
        <w:tc>
          <w:tcPr>
            <w:tcW w:w="7600" w:type="dxa"/>
            <w:vAlign w:val="bottom"/>
          </w:tcPr>
          <w:p>
            <w:pPr>
              <w:ind w:left="200"/>
              <w:spacing w:after="0"/>
              <w:rPr>
                <w:sz w:val="20"/>
                <w:szCs w:val="20"/>
                <w:color w:val="auto"/>
              </w:rPr>
            </w:pPr>
            <w:r>
              <w:rPr>
                <w:rFonts w:ascii="Arial" w:cs="Arial" w:eastAsia="Arial" w:hAnsi="Arial"/>
                <w:sz w:val="18"/>
                <w:szCs w:val="18"/>
                <w:color w:val="auto"/>
              </w:rPr>
              <w:t>Computation of Interest and Fees</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2.18</w:t>
            </w:r>
          </w:p>
        </w:tc>
        <w:tc>
          <w:tcPr>
            <w:tcW w:w="7600" w:type="dxa"/>
            <w:vAlign w:val="bottom"/>
          </w:tcPr>
          <w:p>
            <w:pPr>
              <w:ind w:left="200"/>
              <w:spacing w:after="0"/>
              <w:rPr>
                <w:sz w:val="20"/>
                <w:szCs w:val="20"/>
                <w:color w:val="auto"/>
              </w:rPr>
            </w:pPr>
            <w:r>
              <w:rPr>
                <w:rFonts w:ascii="Arial" w:cs="Arial" w:eastAsia="Arial" w:hAnsi="Arial"/>
                <w:sz w:val="18"/>
                <w:szCs w:val="18"/>
                <w:color w:val="auto"/>
              </w:rPr>
              <w:t>Inability to Determine Interest Rate; Illegality</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2.19</w:t>
            </w:r>
          </w:p>
        </w:tc>
        <w:tc>
          <w:tcPr>
            <w:tcW w:w="7600" w:type="dxa"/>
            <w:vAlign w:val="bottom"/>
          </w:tcPr>
          <w:p>
            <w:pPr>
              <w:ind w:left="200"/>
              <w:spacing w:after="0"/>
              <w:rPr>
                <w:sz w:val="20"/>
                <w:szCs w:val="20"/>
                <w:color w:val="auto"/>
              </w:rPr>
            </w:pPr>
            <w:r>
              <w:rPr>
                <w:rFonts w:ascii="Arial" w:cs="Arial" w:eastAsia="Arial" w:hAnsi="Arial"/>
                <w:sz w:val="18"/>
                <w:szCs w:val="18"/>
                <w:color w:val="auto"/>
              </w:rPr>
              <w:t>Pro Rata Treatment and Payments; Evidence of Debt</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2.20</w:t>
            </w:r>
          </w:p>
        </w:tc>
        <w:tc>
          <w:tcPr>
            <w:tcW w:w="7600" w:type="dxa"/>
            <w:vAlign w:val="bottom"/>
          </w:tcPr>
          <w:p>
            <w:pPr>
              <w:ind w:left="200"/>
              <w:spacing w:after="0"/>
              <w:rPr>
                <w:sz w:val="20"/>
                <w:szCs w:val="20"/>
                <w:color w:val="auto"/>
              </w:rPr>
            </w:pPr>
            <w:r>
              <w:rPr>
                <w:rFonts w:ascii="Arial" w:cs="Arial" w:eastAsia="Arial" w:hAnsi="Arial"/>
                <w:sz w:val="18"/>
                <w:szCs w:val="18"/>
                <w:color w:val="auto"/>
              </w:rPr>
              <w:t>Requirements of Law</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2.21</w:t>
            </w:r>
          </w:p>
        </w:tc>
        <w:tc>
          <w:tcPr>
            <w:tcW w:w="7600" w:type="dxa"/>
            <w:vAlign w:val="bottom"/>
          </w:tcPr>
          <w:p>
            <w:pPr>
              <w:ind w:left="200"/>
              <w:spacing w:after="0"/>
              <w:rPr>
                <w:sz w:val="20"/>
                <w:szCs w:val="20"/>
                <w:color w:val="auto"/>
              </w:rPr>
            </w:pPr>
            <w:r>
              <w:rPr>
                <w:rFonts w:ascii="Arial" w:cs="Arial" w:eastAsia="Arial" w:hAnsi="Arial"/>
                <w:sz w:val="18"/>
                <w:szCs w:val="18"/>
                <w:color w:val="auto"/>
              </w:rPr>
              <w:t>Taxes</w:t>
            </w:r>
          </w:p>
        </w:tc>
        <w:tc>
          <w:tcPr>
            <w:tcW w:w="2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2.22</w:t>
            </w:r>
          </w:p>
        </w:tc>
        <w:tc>
          <w:tcPr>
            <w:tcW w:w="7600" w:type="dxa"/>
            <w:vAlign w:val="bottom"/>
          </w:tcPr>
          <w:p>
            <w:pPr>
              <w:ind w:left="200"/>
              <w:spacing w:after="0"/>
              <w:rPr>
                <w:sz w:val="20"/>
                <w:szCs w:val="20"/>
                <w:color w:val="auto"/>
              </w:rPr>
            </w:pPr>
            <w:r>
              <w:rPr>
                <w:rFonts w:ascii="Arial" w:cs="Arial" w:eastAsia="Arial" w:hAnsi="Arial"/>
                <w:sz w:val="18"/>
                <w:szCs w:val="18"/>
                <w:color w:val="auto"/>
              </w:rPr>
              <w:t>Indemnity</w:t>
            </w:r>
          </w:p>
        </w:tc>
        <w:tc>
          <w:tcPr>
            <w:tcW w:w="2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2.23</w:t>
            </w:r>
          </w:p>
        </w:tc>
        <w:tc>
          <w:tcPr>
            <w:tcW w:w="7600" w:type="dxa"/>
            <w:vAlign w:val="bottom"/>
          </w:tcPr>
          <w:p>
            <w:pPr>
              <w:ind w:left="200"/>
              <w:spacing w:after="0"/>
              <w:rPr>
                <w:sz w:val="20"/>
                <w:szCs w:val="20"/>
                <w:color w:val="auto"/>
              </w:rPr>
            </w:pPr>
            <w:r>
              <w:rPr>
                <w:rFonts w:ascii="Arial" w:cs="Arial" w:eastAsia="Arial" w:hAnsi="Arial"/>
                <w:sz w:val="18"/>
                <w:szCs w:val="18"/>
                <w:color w:val="auto"/>
              </w:rPr>
              <w:t>Change of Applicable Lending Office</w:t>
            </w:r>
          </w:p>
        </w:tc>
        <w:tc>
          <w:tcPr>
            <w:tcW w:w="2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2.24</w:t>
            </w:r>
          </w:p>
        </w:tc>
        <w:tc>
          <w:tcPr>
            <w:tcW w:w="7600" w:type="dxa"/>
            <w:vAlign w:val="bottom"/>
          </w:tcPr>
          <w:p>
            <w:pPr>
              <w:ind w:left="200"/>
              <w:spacing w:after="0"/>
              <w:rPr>
                <w:sz w:val="20"/>
                <w:szCs w:val="20"/>
                <w:color w:val="auto"/>
              </w:rPr>
            </w:pPr>
            <w:r>
              <w:rPr>
                <w:rFonts w:ascii="Arial" w:cs="Arial" w:eastAsia="Arial" w:hAnsi="Arial"/>
                <w:sz w:val="18"/>
                <w:szCs w:val="18"/>
                <w:color w:val="auto"/>
              </w:rPr>
              <w:t>Replacement/Termination of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2.25</w:t>
            </w:r>
          </w:p>
        </w:tc>
        <w:tc>
          <w:tcPr>
            <w:tcW w:w="7600" w:type="dxa"/>
            <w:vAlign w:val="bottom"/>
          </w:tcPr>
          <w:p>
            <w:pPr>
              <w:ind w:left="200"/>
              <w:spacing w:after="0"/>
              <w:rPr>
                <w:sz w:val="20"/>
                <w:szCs w:val="20"/>
                <w:color w:val="auto"/>
              </w:rPr>
            </w:pPr>
            <w:r>
              <w:rPr>
                <w:rFonts w:ascii="Arial" w:cs="Arial" w:eastAsia="Arial" w:hAnsi="Arial"/>
                <w:sz w:val="18"/>
                <w:szCs w:val="18"/>
                <w:color w:val="auto"/>
              </w:rPr>
              <w:t>Defaulting Lender</w:t>
            </w:r>
          </w:p>
        </w:tc>
        <w:tc>
          <w:tcPr>
            <w:tcW w:w="2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2.26</w:t>
            </w:r>
          </w:p>
        </w:tc>
        <w:tc>
          <w:tcPr>
            <w:tcW w:w="7600" w:type="dxa"/>
            <w:vAlign w:val="bottom"/>
          </w:tcPr>
          <w:p>
            <w:pPr>
              <w:ind w:left="200"/>
              <w:spacing w:after="0"/>
              <w:rPr>
                <w:sz w:val="20"/>
                <w:szCs w:val="20"/>
                <w:color w:val="auto"/>
              </w:rPr>
            </w:pPr>
            <w:r>
              <w:rPr>
                <w:rFonts w:ascii="Arial" w:cs="Arial" w:eastAsia="Arial" w:hAnsi="Arial"/>
                <w:sz w:val="18"/>
                <w:szCs w:val="18"/>
                <w:color w:val="auto"/>
              </w:rPr>
              <w:t>Reallocation of Payments for the Account of Defaulting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2.27</w:t>
            </w:r>
          </w:p>
        </w:tc>
        <w:tc>
          <w:tcPr>
            <w:tcW w:w="7600" w:type="dxa"/>
            <w:vAlign w:val="bottom"/>
          </w:tcPr>
          <w:p>
            <w:pPr>
              <w:ind w:left="200"/>
              <w:spacing w:after="0"/>
              <w:rPr>
                <w:sz w:val="20"/>
                <w:szCs w:val="20"/>
                <w:color w:val="auto"/>
              </w:rPr>
            </w:pPr>
            <w:r>
              <w:rPr>
                <w:rFonts w:ascii="Arial" w:cs="Arial" w:eastAsia="Arial" w:hAnsi="Arial"/>
                <w:sz w:val="18"/>
                <w:szCs w:val="18"/>
                <w:color w:val="auto"/>
              </w:rPr>
              <w:t>New Local Facilities</w:t>
            </w:r>
          </w:p>
        </w:tc>
        <w:tc>
          <w:tcPr>
            <w:tcW w:w="26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2.28</w:t>
            </w:r>
          </w:p>
        </w:tc>
        <w:tc>
          <w:tcPr>
            <w:tcW w:w="7600" w:type="dxa"/>
            <w:vAlign w:val="bottom"/>
          </w:tcPr>
          <w:p>
            <w:pPr>
              <w:ind w:left="200"/>
              <w:spacing w:after="0"/>
              <w:rPr>
                <w:sz w:val="20"/>
                <w:szCs w:val="20"/>
                <w:color w:val="auto"/>
              </w:rPr>
            </w:pPr>
            <w:r>
              <w:rPr>
                <w:rFonts w:ascii="Arial" w:cs="Arial" w:eastAsia="Arial" w:hAnsi="Arial"/>
                <w:sz w:val="18"/>
                <w:szCs w:val="18"/>
                <w:color w:val="auto"/>
              </w:rPr>
              <w:t>Incremental Commitments/Facilities</w:t>
            </w:r>
          </w:p>
        </w:tc>
        <w:tc>
          <w:tcPr>
            <w:tcW w:w="26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2.29</w:t>
            </w:r>
          </w:p>
        </w:tc>
        <w:tc>
          <w:tcPr>
            <w:tcW w:w="7600" w:type="dxa"/>
            <w:vAlign w:val="bottom"/>
          </w:tcPr>
          <w:p>
            <w:pPr>
              <w:ind w:left="200"/>
              <w:spacing w:after="0"/>
              <w:rPr>
                <w:sz w:val="20"/>
                <w:szCs w:val="20"/>
                <w:color w:val="auto"/>
              </w:rPr>
            </w:pPr>
            <w:r>
              <w:rPr>
                <w:rFonts w:ascii="Arial" w:cs="Arial" w:eastAsia="Arial" w:hAnsi="Arial"/>
                <w:sz w:val="18"/>
                <w:szCs w:val="18"/>
                <w:color w:val="auto"/>
              </w:rPr>
              <w:t>Termination Date Extension</w:t>
            </w:r>
          </w:p>
        </w:tc>
        <w:tc>
          <w:tcPr>
            <w:tcW w:w="2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2.30</w:t>
            </w:r>
          </w:p>
        </w:tc>
        <w:tc>
          <w:tcPr>
            <w:tcW w:w="7600" w:type="dxa"/>
            <w:vAlign w:val="bottom"/>
          </w:tcPr>
          <w:p>
            <w:pPr>
              <w:ind w:left="200"/>
              <w:spacing w:after="0"/>
              <w:rPr>
                <w:sz w:val="20"/>
                <w:szCs w:val="20"/>
                <w:color w:val="auto"/>
              </w:rPr>
            </w:pPr>
            <w:r>
              <w:rPr>
                <w:rFonts w:ascii="Arial" w:cs="Arial" w:eastAsia="Arial" w:hAnsi="Arial"/>
                <w:sz w:val="18"/>
                <w:szCs w:val="18"/>
                <w:color w:val="auto"/>
              </w:rPr>
              <w:t>Ancillary Facilities</w:t>
            </w:r>
          </w:p>
        </w:tc>
        <w:tc>
          <w:tcPr>
            <w:tcW w:w="26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3.</w:t>
            </w:r>
          </w:p>
        </w:tc>
        <w:tc>
          <w:tcPr>
            <w:tcW w:w="7600" w:type="dxa"/>
            <w:vAlign w:val="bottom"/>
          </w:tcPr>
          <w:p>
            <w:pPr>
              <w:ind w:left="200"/>
              <w:spacing w:after="0"/>
              <w:rPr>
                <w:sz w:val="20"/>
                <w:szCs w:val="20"/>
                <w:color w:val="auto"/>
              </w:rPr>
            </w:pPr>
            <w:r>
              <w:rPr>
                <w:rFonts w:ascii="Arial" w:cs="Arial" w:eastAsia="Arial" w:hAnsi="Arial"/>
                <w:sz w:val="18"/>
                <w:szCs w:val="18"/>
                <w:color w:val="auto"/>
              </w:rPr>
              <w:t>LETTERS OF CREDIT</w:t>
            </w:r>
          </w:p>
        </w:tc>
        <w:tc>
          <w:tcPr>
            <w:tcW w:w="2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3.1</w:t>
            </w:r>
          </w:p>
        </w:tc>
        <w:tc>
          <w:tcPr>
            <w:tcW w:w="7600" w:type="dxa"/>
            <w:vAlign w:val="bottom"/>
          </w:tcPr>
          <w:p>
            <w:pPr>
              <w:ind w:left="200"/>
              <w:spacing w:after="0"/>
              <w:rPr>
                <w:sz w:val="20"/>
                <w:szCs w:val="20"/>
                <w:color w:val="auto"/>
              </w:rPr>
            </w:pPr>
            <w:r>
              <w:rPr>
                <w:rFonts w:ascii="Arial" w:cs="Arial" w:eastAsia="Arial" w:hAnsi="Arial"/>
                <w:sz w:val="18"/>
                <w:szCs w:val="18"/>
                <w:color w:val="auto"/>
              </w:rPr>
              <w:t>L/C Commitment</w:t>
            </w:r>
          </w:p>
        </w:tc>
        <w:tc>
          <w:tcPr>
            <w:tcW w:w="2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65"/>
        </w:trPr>
        <w:tc>
          <w:tcPr>
            <w:tcW w:w="1140" w:type="dxa"/>
            <w:vAlign w:val="bottom"/>
          </w:tcPr>
          <w:p>
            <w:pPr>
              <w:spacing w:after="0"/>
              <w:rPr>
                <w:sz w:val="24"/>
                <w:szCs w:val="24"/>
                <w:color w:val="auto"/>
              </w:rPr>
            </w:pPr>
          </w:p>
        </w:tc>
        <w:tc>
          <w:tcPr>
            <w:tcW w:w="7600" w:type="dxa"/>
            <w:vAlign w:val="bottom"/>
          </w:tcPr>
          <w:p>
            <w:pPr>
              <w:ind w:left="4540"/>
              <w:spacing w:after="0"/>
              <w:rPr>
                <w:sz w:val="20"/>
                <w:szCs w:val="20"/>
                <w:color w:val="auto"/>
              </w:rPr>
            </w:pPr>
            <w:r>
              <w:rPr>
                <w:rFonts w:ascii="Arial" w:cs="Arial" w:eastAsia="Arial" w:hAnsi="Arial"/>
                <w:sz w:val="18"/>
                <w:szCs w:val="18"/>
                <w:color w:val="auto"/>
              </w:rPr>
              <w:t>i</w:t>
            </w:r>
          </w:p>
        </w:tc>
        <w:tc>
          <w:tcPr>
            <w:tcW w:w="2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3.2</w:t>
            </w:r>
          </w:p>
        </w:tc>
        <w:tc>
          <w:tcPr>
            <w:tcW w:w="7940" w:type="dxa"/>
            <w:vAlign w:val="bottom"/>
          </w:tcPr>
          <w:p>
            <w:pPr>
              <w:ind w:left="80"/>
              <w:spacing w:after="0"/>
              <w:rPr>
                <w:sz w:val="20"/>
                <w:szCs w:val="20"/>
                <w:color w:val="auto"/>
              </w:rPr>
            </w:pPr>
            <w:r>
              <w:rPr>
                <w:rFonts w:ascii="Arial" w:cs="Arial" w:eastAsia="Arial" w:hAnsi="Arial"/>
                <w:sz w:val="18"/>
                <w:szCs w:val="18"/>
                <w:color w:val="auto"/>
              </w:rPr>
              <w:t>Procedure for Issuance of Letters of Credit</w:t>
            </w:r>
          </w:p>
        </w:tc>
        <w:tc>
          <w:tcPr>
            <w:tcW w:w="23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3.3</w:t>
            </w:r>
          </w:p>
        </w:tc>
        <w:tc>
          <w:tcPr>
            <w:tcW w:w="7940" w:type="dxa"/>
            <w:vAlign w:val="bottom"/>
          </w:tcPr>
          <w:p>
            <w:pPr>
              <w:ind w:left="80"/>
              <w:spacing w:after="0"/>
              <w:rPr>
                <w:sz w:val="20"/>
                <w:szCs w:val="20"/>
                <w:color w:val="auto"/>
              </w:rPr>
            </w:pPr>
            <w:r>
              <w:rPr>
                <w:rFonts w:ascii="Arial" w:cs="Arial" w:eastAsia="Arial" w:hAnsi="Arial"/>
                <w:sz w:val="18"/>
                <w:szCs w:val="18"/>
                <w:color w:val="auto"/>
              </w:rPr>
              <w:t>Fees and Other Charges</w:t>
            </w:r>
          </w:p>
        </w:tc>
        <w:tc>
          <w:tcPr>
            <w:tcW w:w="23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3.4</w:t>
            </w:r>
          </w:p>
        </w:tc>
        <w:tc>
          <w:tcPr>
            <w:tcW w:w="7940" w:type="dxa"/>
            <w:vAlign w:val="bottom"/>
          </w:tcPr>
          <w:p>
            <w:pPr>
              <w:ind w:left="80"/>
              <w:spacing w:after="0"/>
              <w:rPr>
                <w:sz w:val="20"/>
                <w:szCs w:val="20"/>
                <w:color w:val="auto"/>
              </w:rPr>
            </w:pPr>
            <w:r>
              <w:rPr>
                <w:rFonts w:ascii="Arial" w:cs="Arial" w:eastAsia="Arial" w:hAnsi="Arial"/>
                <w:sz w:val="18"/>
                <w:szCs w:val="18"/>
                <w:color w:val="auto"/>
              </w:rPr>
              <w:t>L/C Participations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3.5</w:t>
            </w:r>
          </w:p>
        </w:tc>
        <w:tc>
          <w:tcPr>
            <w:tcW w:w="7940" w:type="dxa"/>
            <w:vAlign w:val="bottom"/>
          </w:tcPr>
          <w:p>
            <w:pPr>
              <w:ind w:left="80"/>
              <w:spacing w:after="0"/>
              <w:rPr>
                <w:sz w:val="20"/>
                <w:szCs w:val="20"/>
                <w:color w:val="auto"/>
              </w:rPr>
            </w:pPr>
            <w:r>
              <w:rPr>
                <w:rFonts w:ascii="Arial" w:cs="Arial" w:eastAsia="Arial" w:hAnsi="Arial"/>
                <w:sz w:val="18"/>
                <w:szCs w:val="18"/>
                <w:color w:val="auto"/>
              </w:rPr>
              <w:t>Reimbursement Obligation of the Company and the Applicable Account Party</w:t>
            </w:r>
          </w:p>
        </w:tc>
        <w:tc>
          <w:tcPr>
            <w:tcW w:w="23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3.6</w:t>
            </w:r>
          </w:p>
        </w:tc>
        <w:tc>
          <w:tcPr>
            <w:tcW w:w="7940" w:type="dxa"/>
            <w:vAlign w:val="bottom"/>
          </w:tcPr>
          <w:p>
            <w:pPr>
              <w:ind w:left="80"/>
              <w:spacing w:after="0"/>
              <w:rPr>
                <w:sz w:val="20"/>
                <w:szCs w:val="20"/>
                <w:color w:val="auto"/>
              </w:rPr>
            </w:pPr>
            <w:r>
              <w:rPr>
                <w:rFonts w:ascii="Arial" w:cs="Arial" w:eastAsia="Arial" w:hAnsi="Arial"/>
                <w:sz w:val="18"/>
                <w:szCs w:val="18"/>
                <w:color w:val="auto"/>
              </w:rPr>
              <w:t>Obligations Absolute</w:t>
            </w:r>
          </w:p>
        </w:tc>
        <w:tc>
          <w:tcPr>
            <w:tcW w:w="23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3.7</w:t>
            </w:r>
          </w:p>
        </w:tc>
        <w:tc>
          <w:tcPr>
            <w:tcW w:w="7940" w:type="dxa"/>
            <w:vAlign w:val="bottom"/>
          </w:tcPr>
          <w:p>
            <w:pPr>
              <w:ind w:left="80"/>
              <w:spacing w:after="0"/>
              <w:rPr>
                <w:sz w:val="20"/>
                <w:szCs w:val="20"/>
                <w:color w:val="auto"/>
              </w:rPr>
            </w:pPr>
            <w:r>
              <w:rPr>
                <w:rFonts w:ascii="Arial" w:cs="Arial" w:eastAsia="Arial" w:hAnsi="Arial"/>
                <w:sz w:val="18"/>
                <w:szCs w:val="18"/>
                <w:color w:val="auto"/>
              </w:rPr>
              <w:t>Letter of Credit Payments</w:t>
            </w:r>
          </w:p>
        </w:tc>
        <w:tc>
          <w:tcPr>
            <w:tcW w:w="23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3.8</w:t>
            </w:r>
          </w:p>
        </w:tc>
        <w:tc>
          <w:tcPr>
            <w:tcW w:w="7940" w:type="dxa"/>
            <w:vAlign w:val="bottom"/>
          </w:tcPr>
          <w:p>
            <w:pPr>
              <w:ind w:left="80"/>
              <w:spacing w:after="0"/>
              <w:rPr>
                <w:sz w:val="20"/>
                <w:szCs w:val="20"/>
                <w:color w:val="auto"/>
              </w:rPr>
            </w:pPr>
            <w:r>
              <w:rPr>
                <w:rFonts w:ascii="Arial" w:cs="Arial" w:eastAsia="Arial" w:hAnsi="Arial"/>
                <w:sz w:val="18"/>
                <w:szCs w:val="18"/>
                <w:color w:val="auto"/>
              </w:rPr>
              <w:t>Applications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3.9</w:t>
            </w:r>
          </w:p>
        </w:tc>
        <w:tc>
          <w:tcPr>
            <w:tcW w:w="7940" w:type="dxa"/>
            <w:vAlign w:val="bottom"/>
          </w:tcPr>
          <w:p>
            <w:pPr>
              <w:ind w:left="80"/>
              <w:spacing w:after="0"/>
              <w:rPr>
                <w:sz w:val="20"/>
                <w:szCs w:val="20"/>
                <w:color w:val="auto"/>
              </w:rPr>
            </w:pPr>
            <w:r>
              <w:rPr>
                <w:rFonts w:ascii="Arial" w:cs="Arial" w:eastAsia="Arial" w:hAnsi="Arial"/>
                <w:sz w:val="18"/>
                <w:szCs w:val="18"/>
                <w:color w:val="auto"/>
              </w:rPr>
              <w:t>Collateralization</w:t>
            </w:r>
          </w:p>
        </w:tc>
        <w:tc>
          <w:tcPr>
            <w:tcW w:w="23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3.10</w:t>
            </w:r>
          </w:p>
        </w:tc>
        <w:tc>
          <w:tcPr>
            <w:tcW w:w="7940" w:type="dxa"/>
            <w:vAlign w:val="bottom"/>
          </w:tcPr>
          <w:p>
            <w:pPr>
              <w:ind w:left="80"/>
              <w:spacing w:after="0"/>
              <w:rPr>
                <w:sz w:val="20"/>
                <w:szCs w:val="20"/>
                <w:color w:val="auto"/>
              </w:rPr>
            </w:pPr>
            <w:r>
              <w:rPr>
                <w:rFonts w:ascii="Arial" w:cs="Arial" w:eastAsia="Arial" w:hAnsi="Arial"/>
                <w:sz w:val="18"/>
                <w:szCs w:val="18"/>
                <w:color w:val="auto"/>
              </w:rPr>
              <w:t>New Issuing Lenders; L/C Commitments</w:t>
            </w:r>
          </w:p>
        </w:tc>
        <w:tc>
          <w:tcPr>
            <w:tcW w:w="23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3.11</w:t>
            </w:r>
          </w:p>
        </w:tc>
        <w:tc>
          <w:tcPr>
            <w:tcW w:w="7940" w:type="dxa"/>
            <w:vAlign w:val="bottom"/>
          </w:tcPr>
          <w:p>
            <w:pPr>
              <w:ind w:left="80"/>
              <w:spacing w:after="0"/>
              <w:rPr>
                <w:sz w:val="20"/>
                <w:szCs w:val="20"/>
                <w:color w:val="auto"/>
              </w:rPr>
            </w:pPr>
            <w:r>
              <w:rPr>
                <w:rFonts w:ascii="Arial" w:cs="Arial" w:eastAsia="Arial" w:hAnsi="Arial"/>
                <w:sz w:val="18"/>
                <w:szCs w:val="18"/>
                <w:color w:val="auto"/>
              </w:rPr>
              <w:t>Existing Letters of Credit and Designated Letters of Credit</w:t>
            </w:r>
          </w:p>
        </w:tc>
        <w:tc>
          <w:tcPr>
            <w:tcW w:w="23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3.12</w:t>
            </w:r>
          </w:p>
        </w:tc>
        <w:tc>
          <w:tcPr>
            <w:tcW w:w="7940" w:type="dxa"/>
            <w:vAlign w:val="bottom"/>
          </w:tcPr>
          <w:p>
            <w:pPr>
              <w:ind w:left="80"/>
              <w:spacing w:after="0"/>
              <w:rPr>
                <w:sz w:val="20"/>
                <w:szCs w:val="20"/>
                <w:color w:val="auto"/>
              </w:rPr>
            </w:pPr>
            <w:r>
              <w:rPr>
                <w:rFonts w:ascii="Arial" w:cs="Arial" w:eastAsia="Arial" w:hAnsi="Arial"/>
                <w:sz w:val="18"/>
                <w:szCs w:val="18"/>
                <w:color w:val="auto"/>
              </w:rPr>
              <w:t>Conflicts</w:t>
            </w:r>
          </w:p>
        </w:tc>
        <w:tc>
          <w:tcPr>
            <w:tcW w:w="2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w:t>
            </w:r>
          </w:p>
        </w:tc>
        <w:tc>
          <w:tcPr>
            <w:tcW w:w="2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0"/>
        </w:trPr>
        <w:tc>
          <w:tcPr>
            <w:tcW w:w="1040" w:type="dxa"/>
            <w:vAlign w:val="bottom"/>
          </w:tcPr>
          <w:p>
            <w:pPr>
              <w:ind w:left="360"/>
              <w:spacing w:after="0"/>
              <w:rPr>
                <w:sz w:val="20"/>
                <w:szCs w:val="20"/>
                <w:color w:val="auto"/>
              </w:rPr>
            </w:pPr>
            <w:r>
              <w:rPr>
                <w:rFonts w:ascii="Arial" w:cs="Arial" w:eastAsia="Arial" w:hAnsi="Arial"/>
                <w:sz w:val="18"/>
                <w:szCs w:val="18"/>
                <w:color w:val="auto"/>
              </w:rPr>
              <w:t>4.1</w:t>
            </w:r>
          </w:p>
        </w:tc>
        <w:tc>
          <w:tcPr>
            <w:tcW w:w="7940" w:type="dxa"/>
            <w:vAlign w:val="bottom"/>
          </w:tcPr>
          <w:p>
            <w:pPr>
              <w:ind w:left="80"/>
              <w:spacing w:after="0"/>
              <w:rPr>
                <w:sz w:val="20"/>
                <w:szCs w:val="20"/>
                <w:color w:val="auto"/>
              </w:rPr>
            </w:pPr>
            <w:r>
              <w:rPr>
                <w:rFonts w:ascii="Arial" w:cs="Arial" w:eastAsia="Arial" w:hAnsi="Arial"/>
                <w:sz w:val="18"/>
                <w:szCs w:val="18"/>
                <w:color w:val="auto"/>
              </w:rPr>
              <w:t>Financial Condition</w:t>
            </w:r>
          </w:p>
        </w:tc>
        <w:tc>
          <w:tcPr>
            <w:tcW w:w="2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4.2</w:t>
            </w:r>
          </w:p>
        </w:tc>
        <w:tc>
          <w:tcPr>
            <w:tcW w:w="7940" w:type="dxa"/>
            <w:vAlign w:val="bottom"/>
          </w:tcPr>
          <w:p>
            <w:pPr>
              <w:ind w:left="80"/>
              <w:spacing w:after="0"/>
              <w:rPr>
                <w:sz w:val="20"/>
                <w:szCs w:val="20"/>
                <w:color w:val="auto"/>
              </w:rPr>
            </w:pPr>
            <w:r>
              <w:rPr>
                <w:rFonts w:ascii="Arial" w:cs="Arial" w:eastAsia="Arial" w:hAnsi="Arial"/>
                <w:sz w:val="18"/>
                <w:szCs w:val="18"/>
                <w:color w:val="auto"/>
              </w:rPr>
              <w:t>No Change</w:t>
            </w:r>
          </w:p>
        </w:tc>
        <w:tc>
          <w:tcPr>
            <w:tcW w:w="23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4.3</w:t>
            </w:r>
          </w:p>
        </w:tc>
        <w:tc>
          <w:tcPr>
            <w:tcW w:w="7940" w:type="dxa"/>
            <w:vAlign w:val="bottom"/>
          </w:tcPr>
          <w:p>
            <w:pPr>
              <w:ind w:left="80"/>
              <w:spacing w:after="0"/>
              <w:rPr>
                <w:sz w:val="20"/>
                <w:szCs w:val="20"/>
                <w:color w:val="auto"/>
              </w:rPr>
            </w:pPr>
            <w:r>
              <w:rPr>
                <w:rFonts w:ascii="Arial" w:cs="Arial" w:eastAsia="Arial" w:hAnsi="Arial"/>
                <w:sz w:val="18"/>
                <w:szCs w:val="18"/>
                <w:color w:val="auto"/>
              </w:rPr>
              <w:t>Existence</w:t>
            </w:r>
          </w:p>
        </w:tc>
        <w:tc>
          <w:tcPr>
            <w:tcW w:w="23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4.4</w:t>
            </w:r>
          </w:p>
        </w:tc>
        <w:tc>
          <w:tcPr>
            <w:tcW w:w="7940" w:type="dxa"/>
            <w:vAlign w:val="bottom"/>
          </w:tcPr>
          <w:p>
            <w:pPr>
              <w:ind w:left="80"/>
              <w:spacing w:after="0"/>
              <w:rPr>
                <w:sz w:val="20"/>
                <w:szCs w:val="20"/>
                <w:color w:val="auto"/>
              </w:rPr>
            </w:pPr>
            <w:r>
              <w:rPr>
                <w:rFonts w:ascii="Arial" w:cs="Arial" w:eastAsia="Arial" w:hAnsi="Arial"/>
                <w:sz w:val="18"/>
                <w:szCs w:val="18"/>
                <w:color w:val="auto"/>
              </w:rPr>
              <w:t>Power; Authorization; Enforceable Obligations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4.5</w:t>
            </w:r>
          </w:p>
        </w:tc>
        <w:tc>
          <w:tcPr>
            <w:tcW w:w="7940" w:type="dxa"/>
            <w:vAlign w:val="bottom"/>
          </w:tcPr>
          <w:p>
            <w:pPr>
              <w:ind w:left="80"/>
              <w:spacing w:after="0"/>
              <w:rPr>
                <w:sz w:val="20"/>
                <w:szCs w:val="20"/>
                <w:color w:val="auto"/>
              </w:rPr>
            </w:pPr>
            <w:r>
              <w:rPr>
                <w:rFonts w:ascii="Arial" w:cs="Arial" w:eastAsia="Arial" w:hAnsi="Arial"/>
                <w:sz w:val="18"/>
                <w:szCs w:val="18"/>
                <w:color w:val="auto"/>
              </w:rPr>
              <w:t>No Legal Bar</w:t>
            </w:r>
          </w:p>
        </w:tc>
        <w:tc>
          <w:tcPr>
            <w:tcW w:w="23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4.6</w:t>
            </w:r>
          </w:p>
        </w:tc>
        <w:tc>
          <w:tcPr>
            <w:tcW w:w="794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23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4.7</w:t>
            </w:r>
          </w:p>
        </w:tc>
        <w:tc>
          <w:tcPr>
            <w:tcW w:w="7940" w:type="dxa"/>
            <w:vAlign w:val="bottom"/>
          </w:tcPr>
          <w:p>
            <w:pPr>
              <w:ind w:left="80"/>
              <w:spacing w:after="0"/>
              <w:rPr>
                <w:sz w:val="20"/>
                <w:szCs w:val="20"/>
                <w:color w:val="auto"/>
              </w:rPr>
            </w:pPr>
            <w:r>
              <w:rPr>
                <w:rFonts w:ascii="Arial" w:cs="Arial" w:eastAsia="Arial" w:hAnsi="Arial"/>
                <w:sz w:val="18"/>
                <w:szCs w:val="18"/>
                <w:color w:val="auto"/>
              </w:rPr>
              <w:t>No Default</w:t>
            </w:r>
          </w:p>
        </w:tc>
        <w:tc>
          <w:tcPr>
            <w:tcW w:w="23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4.8</w:t>
            </w:r>
          </w:p>
        </w:tc>
        <w:tc>
          <w:tcPr>
            <w:tcW w:w="7940" w:type="dxa"/>
            <w:vAlign w:val="bottom"/>
          </w:tcPr>
          <w:p>
            <w:pPr>
              <w:ind w:left="80"/>
              <w:spacing w:after="0"/>
              <w:rPr>
                <w:sz w:val="20"/>
                <w:szCs w:val="20"/>
                <w:color w:val="auto"/>
              </w:rPr>
            </w:pPr>
            <w:r>
              <w:rPr>
                <w:rFonts w:ascii="Arial" w:cs="Arial" w:eastAsia="Arial" w:hAnsi="Arial"/>
                <w:sz w:val="18"/>
                <w:szCs w:val="18"/>
                <w:color w:val="auto"/>
              </w:rPr>
              <w:t>Ownership of Property</w:t>
            </w:r>
          </w:p>
        </w:tc>
        <w:tc>
          <w:tcPr>
            <w:tcW w:w="23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4.9</w:t>
            </w:r>
          </w:p>
        </w:tc>
        <w:tc>
          <w:tcPr>
            <w:tcW w:w="7940" w:type="dxa"/>
            <w:vAlign w:val="bottom"/>
          </w:tcPr>
          <w:p>
            <w:pPr>
              <w:ind w:left="80"/>
              <w:spacing w:after="0"/>
              <w:rPr>
                <w:sz w:val="20"/>
                <w:szCs w:val="20"/>
                <w:color w:val="auto"/>
              </w:rPr>
            </w:pPr>
            <w:r>
              <w:rPr>
                <w:rFonts w:ascii="Arial" w:cs="Arial" w:eastAsia="Arial" w:hAnsi="Arial"/>
                <w:sz w:val="18"/>
                <w:szCs w:val="18"/>
                <w:color w:val="auto"/>
              </w:rPr>
              <w:t>Intellectual Property</w:t>
            </w:r>
          </w:p>
        </w:tc>
        <w:tc>
          <w:tcPr>
            <w:tcW w:w="23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4.10</w:t>
            </w:r>
          </w:p>
        </w:tc>
        <w:tc>
          <w:tcPr>
            <w:tcW w:w="7940" w:type="dxa"/>
            <w:vAlign w:val="bottom"/>
          </w:tcPr>
          <w:p>
            <w:pPr>
              <w:ind w:left="80"/>
              <w:spacing w:after="0"/>
              <w:rPr>
                <w:sz w:val="20"/>
                <w:szCs w:val="20"/>
                <w:color w:val="auto"/>
              </w:rPr>
            </w:pPr>
            <w:r>
              <w:rPr>
                <w:rFonts w:ascii="Arial" w:cs="Arial" w:eastAsia="Arial" w:hAnsi="Arial"/>
                <w:sz w:val="18"/>
                <w:szCs w:val="18"/>
                <w:color w:val="auto"/>
              </w:rPr>
              <w:t>Federal Regulations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4.11</w:t>
            </w:r>
          </w:p>
        </w:tc>
        <w:tc>
          <w:tcPr>
            <w:tcW w:w="7940" w:type="dxa"/>
            <w:vAlign w:val="bottom"/>
          </w:tcPr>
          <w:p>
            <w:pPr>
              <w:ind w:left="80"/>
              <w:spacing w:after="0"/>
              <w:rPr>
                <w:sz w:val="20"/>
                <w:szCs w:val="20"/>
                <w:color w:val="auto"/>
              </w:rPr>
            </w:pPr>
            <w:r>
              <w:rPr>
                <w:rFonts w:ascii="Arial" w:cs="Arial" w:eastAsia="Arial" w:hAnsi="Arial"/>
                <w:sz w:val="18"/>
                <w:szCs w:val="18"/>
                <w:color w:val="auto"/>
              </w:rPr>
              <w:t>ERISA</w:t>
            </w:r>
          </w:p>
        </w:tc>
        <w:tc>
          <w:tcPr>
            <w:tcW w:w="23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4.12</w:t>
            </w:r>
          </w:p>
        </w:tc>
        <w:tc>
          <w:tcPr>
            <w:tcW w:w="7940" w:type="dxa"/>
            <w:vAlign w:val="bottom"/>
          </w:tcPr>
          <w:p>
            <w:pPr>
              <w:ind w:left="80"/>
              <w:spacing w:after="0"/>
              <w:rPr>
                <w:sz w:val="20"/>
                <w:szCs w:val="20"/>
                <w:color w:val="auto"/>
              </w:rPr>
            </w:pPr>
            <w:r>
              <w:rPr>
                <w:rFonts w:ascii="Arial" w:cs="Arial" w:eastAsia="Arial" w:hAnsi="Arial"/>
                <w:sz w:val="18"/>
                <w:szCs w:val="18"/>
                <w:color w:val="auto"/>
              </w:rPr>
              <w:t>Investment Company Act</w:t>
            </w:r>
          </w:p>
        </w:tc>
        <w:tc>
          <w:tcPr>
            <w:tcW w:w="23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4.13</w:t>
            </w:r>
          </w:p>
        </w:tc>
        <w:tc>
          <w:tcPr>
            <w:tcW w:w="7940" w:type="dxa"/>
            <w:vAlign w:val="bottom"/>
          </w:tcPr>
          <w:p>
            <w:pPr>
              <w:ind w:left="80"/>
              <w:spacing w:after="0"/>
              <w:rPr>
                <w:sz w:val="20"/>
                <w:szCs w:val="20"/>
                <w:color w:val="auto"/>
              </w:rPr>
            </w:pPr>
            <w:r>
              <w:rPr>
                <w:rFonts w:ascii="Arial" w:cs="Arial" w:eastAsia="Arial" w:hAnsi="Arial"/>
                <w:sz w:val="18"/>
                <w:szCs w:val="18"/>
                <w:color w:val="auto"/>
              </w:rPr>
              <w:t>Ownership of the Subsidiary Borrowers</w:t>
            </w:r>
          </w:p>
        </w:tc>
        <w:tc>
          <w:tcPr>
            <w:tcW w:w="23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4.14</w:t>
            </w:r>
          </w:p>
        </w:tc>
        <w:tc>
          <w:tcPr>
            <w:tcW w:w="7940" w:type="dxa"/>
            <w:vAlign w:val="bottom"/>
          </w:tcPr>
          <w:p>
            <w:pPr>
              <w:ind w:left="80"/>
              <w:spacing w:after="0"/>
              <w:rPr>
                <w:sz w:val="20"/>
                <w:szCs w:val="20"/>
                <w:color w:val="auto"/>
              </w:rPr>
            </w:pPr>
            <w:r>
              <w:rPr>
                <w:rFonts w:ascii="Arial" w:cs="Arial" w:eastAsia="Arial" w:hAnsi="Arial"/>
                <w:sz w:val="18"/>
                <w:szCs w:val="18"/>
                <w:color w:val="auto"/>
              </w:rPr>
              <w:t>Use of Proceeds</w:t>
            </w:r>
          </w:p>
        </w:tc>
        <w:tc>
          <w:tcPr>
            <w:tcW w:w="23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4.15</w:t>
            </w:r>
          </w:p>
        </w:tc>
        <w:tc>
          <w:tcPr>
            <w:tcW w:w="7940" w:type="dxa"/>
            <w:vAlign w:val="bottom"/>
          </w:tcPr>
          <w:p>
            <w:pPr>
              <w:ind w:left="80"/>
              <w:spacing w:after="0"/>
              <w:rPr>
                <w:sz w:val="20"/>
                <w:szCs w:val="20"/>
                <w:color w:val="auto"/>
              </w:rPr>
            </w:pPr>
            <w:r>
              <w:rPr>
                <w:rFonts w:ascii="Arial" w:cs="Arial" w:eastAsia="Arial" w:hAnsi="Arial"/>
                <w:sz w:val="18"/>
                <w:szCs w:val="18"/>
                <w:color w:val="auto"/>
              </w:rPr>
              <w:t>Anti-Corruption Laws and Sanctions</w:t>
            </w:r>
          </w:p>
        </w:tc>
        <w:tc>
          <w:tcPr>
            <w:tcW w:w="23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SECTION 5.</w:t>
            </w:r>
          </w:p>
        </w:tc>
        <w:tc>
          <w:tcPr>
            <w:tcW w:w="7940" w:type="dxa"/>
            <w:vAlign w:val="bottom"/>
          </w:tcPr>
          <w:p>
            <w:pPr>
              <w:ind w:left="80"/>
              <w:spacing w:after="0"/>
              <w:rPr>
                <w:sz w:val="20"/>
                <w:szCs w:val="20"/>
                <w:color w:val="auto"/>
              </w:rPr>
            </w:pPr>
            <w:r>
              <w:rPr>
                <w:rFonts w:ascii="Arial" w:cs="Arial" w:eastAsia="Arial" w:hAnsi="Arial"/>
                <w:sz w:val="18"/>
                <w:szCs w:val="18"/>
                <w:color w:val="auto"/>
              </w:rPr>
              <w:t>CONDITIONS PRECEDENT</w:t>
            </w:r>
          </w:p>
        </w:tc>
        <w:tc>
          <w:tcPr>
            <w:tcW w:w="23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10"/>
        </w:trPr>
        <w:tc>
          <w:tcPr>
            <w:tcW w:w="1040" w:type="dxa"/>
            <w:vAlign w:val="bottom"/>
          </w:tcPr>
          <w:p>
            <w:pPr>
              <w:ind w:left="360"/>
              <w:spacing w:after="0"/>
              <w:rPr>
                <w:sz w:val="20"/>
                <w:szCs w:val="20"/>
                <w:color w:val="auto"/>
              </w:rPr>
            </w:pPr>
            <w:r>
              <w:rPr>
                <w:rFonts w:ascii="Arial" w:cs="Arial" w:eastAsia="Arial" w:hAnsi="Arial"/>
                <w:sz w:val="18"/>
                <w:szCs w:val="18"/>
                <w:color w:val="auto"/>
              </w:rPr>
              <w:t>5.1</w:t>
            </w:r>
          </w:p>
        </w:tc>
        <w:tc>
          <w:tcPr>
            <w:tcW w:w="7940" w:type="dxa"/>
            <w:vAlign w:val="bottom"/>
          </w:tcPr>
          <w:p>
            <w:pPr>
              <w:ind w:left="80"/>
              <w:spacing w:after="0"/>
              <w:rPr>
                <w:sz w:val="20"/>
                <w:szCs w:val="20"/>
                <w:color w:val="auto"/>
              </w:rPr>
            </w:pPr>
            <w:r>
              <w:rPr>
                <w:rFonts w:ascii="Arial" w:cs="Arial" w:eastAsia="Arial" w:hAnsi="Arial"/>
                <w:sz w:val="18"/>
                <w:szCs w:val="18"/>
                <w:color w:val="auto"/>
              </w:rPr>
              <w:t>Conditions to Closing Date</w:t>
            </w:r>
          </w:p>
        </w:tc>
        <w:tc>
          <w:tcPr>
            <w:tcW w:w="23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5.2</w:t>
            </w:r>
          </w:p>
        </w:tc>
        <w:tc>
          <w:tcPr>
            <w:tcW w:w="7940" w:type="dxa"/>
            <w:vAlign w:val="bottom"/>
          </w:tcPr>
          <w:p>
            <w:pPr>
              <w:ind w:left="80"/>
              <w:spacing w:after="0"/>
              <w:rPr>
                <w:sz w:val="20"/>
                <w:szCs w:val="20"/>
                <w:color w:val="auto"/>
              </w:rPr>
            </w:pPr>
            <w:r>
              <w:rPr>
                <w:rFonts w:ascii="Arial" w:cs="Arial" w:eastAsia="Arial" w:hAnsi="Arial"/>
                <w:sz w:val="18"/>
                <w:szCs w:val="18"/>
                <w:color w:val="auto"/>
              </w:rPr>
              <w:t>Conditions to Each Extension of Credit</w:t>
            </w:r>
          </w:p>
        </w:tc>
        <w:tc>
          <w:tcPr>
            <w:tcW w:w="23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SECTION 6.</w:t>
            </w:r>
          </w:p>
        </w:tc>
        <w:tc>
          <w:tcPr>
            <w:tcW w:w="7940" w:type="dxa"/>
            <w:vAlign w:val="bottom"/>
          </w:tcPr>
          <w:p>
            <w:pPr>
              <w:ind w:left="80"/>
              <w:spacing w:after="0"/>
              <w:rPr>
                <w:sz w:val="20"/>
                <w:szCs w:val="20"/>
                <w:color w:val="auto"/>
              </w:rPr>
            </w:pPr>
            <w:r>
              <w:rPr>
                <w:rFonts w:ascii="Arial" w:cs="Arial" w:eastAsia="Arial" w:hAnsi="Arial"/>
                <w:sz w:val="18"/>
                <w:szCs w:val="18"/>
                <w:color w:val="auto"/>
              </w:rPr>
              <w:t>AFFIRMATIVE COVENANTS</w:t>
            </w:r>
          </w:p>
        </w:tc>
        <w:tc>
          <w:tcPr>
            <w:tcW w:w="23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10"/>
        </w:trPr>
        <w:tc>
          <w:tcPr>
            <w:tcW w:w="1040" w:type="dxa"/>
            <w:vAlign w:val="bottom"/>
          </w:tcPr>
          <w:p>
            <w:pPr>
              <w:ind w:left="360"/>
              <w:spacing w:after="0"/>
              <w:rPr>
                <w:sz w:val="20"/>
                <w:szCs w:val="20"/>
                <w:color w:val="auto"/>
              </w:rPr>
            </w:pPr>
            <w:r>
              <w:rPr>
                <w:rFonts w:ascii="Arial" w:cs="Arial" w:eastAsia="Arial" w:hAnsi="Arial"/>
                <w:sz w:val="18"/>
                <w:szCs w:val="18"/>
                <w:color w:val="auto"/>
              </w:rPr>
              <w:t>6.1</w:t>
            </w:r>
          </w:p>
        </w:tc>
        <w:tc>
          <w:tcPr>
            <w:tcW w:w="794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23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6.2</w:t>
            </w:r>
          </w:p>
        </w:tc>
        <w:tc>
          <w:tcPr>
            <w:tcW w:w="7940" w:type="dxa"/>
            <w:vAlign w:val="bottom"/>
          </w:tcPr>
          <w:p>
            <w:pPr>
              <w:ind w:left="80"/>
              <w:spacing w:after="0"/>
              <w:rPr>
                <w:sz w:val="20"/>
                <w:szCs w:val="20"/>
                <w:color w:val="auto"/>
              </w:rPr>
            </w:pPr>
            <w:r>
              <w:rPr>
                <w:rFonts w:ascii="Arial" w:cs="Arial" w:eastAsia="Arial" w:hAnsi="Arial"/>
                <w:sz w:val="18"/>
                <w:szCs w:val="18"/>
                <w:color w:val="auto"/>
              </w:rPr>
              <w:t>Compliance Certificates</w:t>
            </w:r>
          </w:p>
        </w:tc>
        <w:tc>
          <w:tcPr>
            <w:tcW w:w="23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6.3</w:t>
            </w:r>
          </w:p>
        </w:tc>
        <w:tc>
          <w:tcPr>
            <w:tcW w:w="7940" w:type="dxa"/>
            <w:vAlign w:val="bottom"/>
          </w:tcPr>
          <w:p>
            <w:pPr>
              <w:ind w:left="80"/>
              <w:spacing w:after="0"/>
              <w:rPr>
                <w:sz w:val="20"/>
                <w:szCs w:val="20"/>
                <w:color w:val="auto"/>
              </w:rPr>
            </w:pPr>
            <w:r>
              <w:rPr>
                <w:rFonts w:ascii="Arial" w:cs="Arial" w:eastAsia="Arial" w:hAnsi="Arial"/>
                <w:sz w:val="18"/>
                <w:szCs w:val="18"/>
                <w:color w:val="auto"/>
              </w:rPr>
              <w:t>Maintenance of Business; Existence</w:t>
            </w:r>
          </w:p>
        </w:tc>
        <w:tc>
          <w:tcPr>
            <w:tcW w:w="23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6.4</w:t>
            </w:r>
          </w:p>
        </w:tc>
        <w:tc>
          <w:tcPr>
            <w:tcW w:w="7940" w:type="dxa"/>
            <w:vAlign w:val="bottom"/>
          </w:tcPr>
          <w:p>
            <w:pPr>
              <w:ind w:left="80"/>
              <w:spacing w:after="0"/>
              <w:rPr>
                <w:sz w:val="20"/>
                <w:szCs w:val="20"/>
                <w:color w:val="auto"/>
              </w:rPr>
            </w:pPr>
            <w:r>
              <w:rPr>
                <w:rFonts w:ascii="Arial" w:cs="Arial" w:eastAsia="Arial" w:hAnsi="Arial"/>
                <w:sz w:val="18"/>
                <w:szCs w:val="18"/>
                <w:color w:val="auto"/>
              </w:rPr>
              <w:t>Maintenance of Insurance</w:t>
            </w:r>
          </w:p>
        </w:tc>
        <w:tc>
          <w:tcPr>
            <w:tcW w:w="23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6.5</w:t>
            </w:r>
          </w:p>
        </w:tc>
        <w:tc>
          <w:tcPr>
            <w:tcW w:w="7940" w:type="dxa"/>
            <w:vAlign w:val="bottom"/>
          </w:tcPr>
          <w:p>
            <w:pPr>
              <w:ind w:left="80"/>
              <w:spacing w:after="0"/>
              <w:rPr>
                <w:sz w:val="20"/>
                <w:szCs w:val="20"/>
                <w:color w:val="auto"/>
              </w:rPr>
            </w:pPr>
            <w:r>
              <w:rPr>
                <w:rFonts w:ascii="Arial" w:cs="Arial" w:eastAsia="Arial" w:hAnsi="Arial"/>
                <w:sz w:val="18"/>
                <w:szCs w:val="18"/>
                <w:color w:val="auto"/>
              </w:rPr>
              <w:t>Notices</w:t>
            </w:r>
          </w:p>
        </w:tc>
        <w:tc>
          <w:tcPr>
            <w:tcW w:w="23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6.6</w:t>
            </w:r>
          </w:p>
        </w:tc>
        <w:tc>
          <w:tcPr>
            <w:tcW w:w="7940" w:type="dxa"/>
            <w:vAlign w:val="bottom"/>
          </w:tcPr>
          <w:p>
            <w:pPr>
              <w:ind w:left="80"/>
              <w:spacing w:after="0"/>
              <w:rPr>
                <w:sz w:val="20"/>
                <w:szCs w:val="20"/>
                <w:color w:val="auto"/>
              </w:rPr>
            </w:pPr>
            <w:r>
              <w:rPr>
                <w:rFonts w:ascii="Arial" w:cs="Arial" w:eastAsia="Arial" w:hAnsi="Arial"/>
                <w:sz w:val="18"/>
                <w:szCs w:val="18"/>
                <w:color w:val="auto"/>
              </w:rPr>
              <w:t>Reinstated Guarantors, etc.</w:t>
            </w:r>
          </w:p>
        </w:tc>
        <w:tc>
          <w:tcPr>
            <w:tcW w:w="23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6.7</w:t>
            </w:r>
          </w:p>
        </w:tc>
        <w:tc>
          <w:tcPr>
            <w:tcW w:w="7940" w:type="dxa"/>
            <w:vAlign w:val="bottom"/>
          </w:tcPr>
          <w:p>
            <w:pPr>
              <w:ind w:left="80"/>
              <w:spacing w:after="0"/>
              <w:rPr>
                <w:sz w:val="20"/>
                <w:szCs w:val="20"/>
                <w:color w:val="auto"/>
              </w:rPr>
            </w:pPr>
            <w:r>
              <w:rPr>
                <w:rFonts w:ascii="Arial" w:cs="Arial" w:eastAsia="Arial" w:hAnsi="Arial"/>
                <w:sz w:val="18"/>
                <w:szCs w:val="18"/>
                <w:color w:val="auto"/>
              </w:rPr>
              <w:t>Books and Records</w:t>
            </w:r>
          </w:p>
        </w:tc>
        <w:tc>
          <w:tcPr>
            <w:tcW w:w="23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6.8</w:t>
            </w:r>
          </w:p>
        </w:tc>
        <w:tc>
          <w:tcPr>
            <w:tcW w:w="7940" w:type="dxa"/>
            <w:vAlign w:val="bottom"/>
          </w:tcPr>
          <w:p>
            <w:pPr>
              <w:ind w:left="80"/>
              <w:spacing w:after="0"/>
              <w:rPr>
                <w:sz w:val="20"/>
                <w:szCs w:val="20"/>
                <w:color w:val="auto"/>
              </w:rPr>
            </w:pPr>
            <w:r>
              <w:rPr>
                <w:rFonts w:ascii="Arial" w:cs="Arial" w:eastAsia="Arial" w:hAnsi="Arial"/>
                <w:sz w:val="18"/>
                <w:szCs w:val="18"/>
                <w:color w:val="auto"/>
              </w:rPr>
              <w:t>Ratings</w:t>
            </w:r>
          </w:p>
        </w:tc>
        <w:tc>
          <w:tcPr>
            <w:tcW w:w="238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7.</w:t>
            </w:r>
          </w:p>
        </w:tc>
        <w:tc>
          <w:tcPr>
            <w:tcW w:w="9720" w:type="dxa"/>
            <w:vAlign w:val="bottom"/>
          </w:tcPr>
          <w:p>
            <w:pPr>
              <w:ind w:left="100"/>
              <w:spacing w:after="0"/>
              <w:rPr>
                <w:sz w:val="20"/>
                <w:szCs w:val="20"/>
                <w:color w:val="auto"/>
              </w:rPr>
            </w:pPr>
            <w:r>
              <w:rPr>
                <w:rFonts w:ascii="Arial" w:cs="Arial" w:eastAsia="Arial" w:hAnsi="Arial"/>
                <w:sz w:val="18"/>
                <w:szCs w:val="18"/>
                <w:color w:val="auto"/>
              </w:rPr>
              <w:t>NEGATIVE COVENANTS</w:t>
            </w: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0"/>
        </w:trPr>
        <w:tc>
          <w:tcPr>
            <w:tcW w:w="1140" w:type="dxa"/>
            <w:vAlign w:val="bottom"/>
          </w:tcPr>
          <w:p>
            <w:pPr>
              <w:ind w:left="360"/>
              <w:spacing w:after="0"/>
              <w:rPr>
                <w:sz w:val="20"/>
                <w:szCs w:val="20"/>
                <w:color w:val="auto"/>
              </w:rPr>
            </w:pPr>
            <w:r>
              <w:rPr>
                <w:rFonts w:ascii="Arial" w:cs="Arial" w:eastAsia="Arial" w:hAnsi="Arial"/>
                <w:sz w:val="18"/>
                <w:szCs w:val="18"/>
                <w:color w:val="auto"/>
              </w:rPr>
              <w:t>7.1</w:t>
            </w:r>
          </w:p>
        </w:tc>
        <w:tc>
          <w:tcPr>
            <w:tcW w:w="9720" w:type="dxa"/>
            <w:vAlign w:val="bottom"/>
          </w:tcPr>
          <w:p>
            <w:pPr>
              <w:ind w:left="100"/>
              <w:spacing w:after="0"/>
              <w:rPr>
                <w:sz w:val="20"/>
                <w:szCs w:val="20"/>
                <w:color w:val="auto"/>
              </w:rPr>
            </w:pPr>
            <w:r>
              <w:rPr>
                <w:rFonts w:ascii="Arial" w:cs="Arial" w:eastAsia="Arial" w:hAnsi="Arial"/>
                <w:sz w:val="18"/>
                <w:szCs w:val="18"/>
                <w:color w:val="auto"/>
              </w:rPr>
              <w:t>Minimum Liquidity</w:t>
            </w: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7.2</w:t>
            </w:r>
          </w:p>
        </w:tc>
        <w:tc>
          <w:tcPr>
            <w:tcW w:w="9720" w:type="dxa"/>
            <w:vAlign w:val="bottom"/>
          </w:tcPr>
          <w:p>
            <w:pPr>
              <w:ind w:left="100"/>
              <w:spacing w:after="0"/>
              <w:rPr>
                <w:sz w:val="20"/>
                <w:szCs w:val="20"/>
                <w:color w:val="auto"/>
              </w:rPr>
            </w:pPr>
            <w:r>
              <w:rPr>
                <w:rFonts w:ascii="Arial" w:cs="Arial" w:eastAsia="Arial" w:hAnsi="Arial"/>
                <w:sz w:val="18"/>
                <w:szCs w:val="18"/>
                <w:color w:val="auto"/>
              </w:rPr>
              <w:t>Indebtedness</w:t>
            </w: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7.3</w:t>
            </w:r>
          </w:p>
        </w:tc>
        <w:tc>
          <w:tcPr>
            <w:tcW w:w="9720" w:type="dxa"/>
            <w:vAlign w:val="bottom"/>
          </w:tcPr>
          <w:p>
            <w:pPr>
              <w:ind w:left="100"/>
              <w:spacing w:after="0"/>
              <w:rPr>
                <w:sz w:val="20"/>
                <w:szCs w:val="20"/>
                <w:color w:val="auto"/>
              </w:rPr>
            </w:pPr>
            <w:r>
              <w:rPr>
                <w:rFonts w:ascii="Arial" w:cs="Arial" w:eastAsia="Arial" w:hAnsi="Arial"/>
                <w:sz w:val="18"/>
                <w:szCs w:val="18"/>
                <w:color w:val="auto"/>
              </w:rPr>
              <w:t>Asset Sale Restrictions</w:t>
            </w: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7.4</w:t>
            </w:r>
          </w:p>
        </w:tc>
        <w:tc>
          <w:tcPr>
            <w:tcW w:w="9720" w:type="dxa"/>
            <w:vAlign w:val="bottom"/>
          </w:tcPr>
          <w:p>
            <w:pPr>
              <w:ind w:left="100"/>
              <w:spacing w:after="0"/>
              <w:rPr>
                <w:sz w:val="20"/>
                <w:szCs w:val="20"/>
                <w:color w:val="auto"/>
              </w:rPr>
            </w:pPr>
            <w:r>
              <w:rPr>
                <w:rFonts w:ascii="Arial" w:cs="Arial" w:eastAsia="Arial" w:hAnsi="Arial"/>
                <w:sz w:val="18"/>
                <w:szCs w:val="18"/>
                <w:color w:val="auto"/>
              </w:rPr>
              <w:t>Fundamental Changes</w:t>
            </w: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7.5</w:t>
            </w:r>
          </w:p>
        </w:tc>
        <w:tc>
          <w:tcPr>
            <w:tcW w:w="9720" w:type="dxa"/>
            <w:vAlign w:val="bottom"/>
          </w:tcPr>
          <w:p>
            <w:pPr>
              <w:ind w:left="100"/>
              <w:spacing w:after="0"/>
              <w:rPr>
                <w:sz w:val="20"/>
                <w:szCs w:val="20"/>
                <w:color w:val="auto"/>
              </w:rPr>
            </w:pPr>
            <w:r>
              <w:rPr>
                <w:rFonts w:ascii="Arial" w:cs="Arial" w:eastAsia="Arial" w:hAnsi="Arial"/>
                <w:sz w:val="18"/>
                <w:szCs w:val="18"/>
                <w:color w:val="auto"/>
              </w:rPr>
              <w:t>Anti-Corruption Laws and Sanctions</w:t>
            </w: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8.</w:t>
            </w:r>
          </w:p>
        </w:tc>
        <w:tc>
          <w:tcPr>
            <w:tcW w:w="972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9.</w:t>
            </w:r>
          </w:p>
        </w:tc>
        <w:tc>
          <w:tcPr>
            <w:tcW w:w="9720" w:type="dxa"/>
            <w:vAlign w:val="bottom"/>
          </w:tcPr>
          <w:p>
            <w:pPr>
              <w:ind w:left="100"/>
              <w:spacing w:after="0"/>
              <w:rPr>
                <w:sz w:val="20"/>
                <w:szCs w:val="20"/>
                <w:color w:val="auto"/>
              </w:rPr>
            </w:pPr>
            <w:r>
              <w:rPr>
                <w:rFonts w:ascii="Arial" w:cs="Arial" w:eastAsia="Arial" w:hAnsi="Arial"/>
                <w:sz w:val="18"/>
                <w:szCs w:val="18"/>
                <w:color w:val="auto"/>
              </w:rPr>
              <w:t>THE AGENTS</w:t>
            </w: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0"/>
        </w:trPr>
        <w:tc>
          <w:tcPr>
            <w:tcW w:w="1140" w:type="dxa"/>
            <w:vAlign w:val="bottom"/>
          </w:tcPr>
          <w:p>
            <w:pPr>
              <w:ind w:left="360"/>
              <w:spacing w:after="0"/>
              <w:rPr>
                <w:sz w:val="20"/>
                <w:szCs w:val="20"/>
                <w:color w:val="auto"/>
              </w:rPr>
            </w:pPr>
            <w:r>
              <w:rPr>
                <w:rFonts w:ascii="Arial" w:cs="Arial" w:eastAsia="Arial" w:hAnsi="Arial"/>
                <w:sz w:val="18"/>
                <w:szCs w:val="18"/>
                <w:color w:val="auto"/>
              </w:rPr>
              <w:t>9.1</w:t>
            </w:r>
          </w:p>
        </w:tc>
        <w:tc>
          <w:tcPr>
            <w:tcW w:w="9720" w:type="dxa"/>
            <w:vAlign w:val="bottom"/>
          </w:tcPr>
          <w:p>
            <w:pPr>
              <w:ind w:left="100"/>
              <w:spacing w:after="0"/>
              <w:rPr>
                <w:sz w:val="20"/>
                <w:szCs w:val="20"/>
                <w:color w:val="auto"/>
              </w:rPr>
            </w:pPr>
            <w:r>
              <w:rPr>
                <w:rFonts w:ascii="Arial" w:cs="Arial" w:eastAsia="Arial" w:hAnsi="Arial"/>
                <w:sz w:val="18"/>
                <w:szCs w:val="18"/>
                <w:color w:val="auto"/>
              </w:rPr>
              <w:t>Appointment</w:t>
            </w: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9.2</w:t>
            </w:r>
          </w:p>
        </w:tc>
        <w:tc>
          <w:tcPr>
            <w:tcW w:w="9720" w:type="dxa"/>
            <w:vAlign w:val="bottom"/>
          </w:tcPr>
          <w:p>
            <w:pPr>
              <w:ind w:left="100"/>
              <w:spacing w:after="0"/>
              <w:rPr>
                <w:sz w:val="20"/>
                <w:szCs w:val="20"/>
                <w:color w:val="auto"/>
              </w:rPr>
            </w:pPr>
            <w:r>
              <w:rPr>
                <w:rFonts w:ascii="Arial" w:cs="Arial" w:eastAsia="Arial" w:hAnsi="Arial"/>
                <w:sz w:val="18"/>
                <w:szCs w:val="18"/>
                <w:color w:val="auto"/>
              </w:rPr>
              <w:t>Delegation of Duties</w:t>
            </w: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9.3</w:t>
            </w:r>
          </w:p>
        </w:tc>
        <w:tc>
          <w:tcPr>
            <w:tcW w:w="9720" w:type="dxa"/>
            <w:vAlign w:val="bottom"/>
          </w:tcPr>
          <w:p>
            <w:pPr>
              <w:ind w:left="100"/>
              <w:spacing w:after="0"/>
              <w:rPr>
                <w:sz w:val="20"/>
                <w:szCs w:val="20"/>
                <w:color w:val="auto"/>
              </w:rPr>
            </w:pPr>
            <w:r>
              <w:rPr>
                <w:rFonts w:ascii="Arial" w:cs="Arial" w:eastAsia="Arial" w:hAnsi="Arial"/>
                <w:sz w:val="18"/>
                <w:szCs w:val="18"/>
                <w:color w:val="auto"/>
              </w:rPr>
              <w:t>Exculpatory Provisions</w:t>
            </w: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9.4</w:t>
            </w:r>
          </w:p>
        </w:tc>
        <w:tc>
          <w:tcPr>
            <w:tcW w:w="9720" w:type="dxa"/>
            <w:vAlign w:val="bottom"/>
          </w:tcPr>
          <w:p>
            <w:pPr>
              <w:ind w:left="100"/>
              <w:spacing w:after="0"/>
              <w:rPr>
                <w:sz w:val="20"/>
                <w:szCs w:val="20"/>
                <w:color w:val="auto"/>
              </w:rPr>
            </w:pPr>
            <w:r>
              <w:rPr>
                <w:rFonts w:ascii="Arial" w:cs="Arial" w:eastAsia="Arial" w:hAnsi="Arial"/>
                <w:sz w:val="18"/>
                <w:szCs w:val="18"/>
                <w:color w:val="auto"/>
              </w:rPr>
              <w:t>Reliance by Administrative Agent and the Brazilian Administrative Agent</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9.5</w:t>
            </w:r>
          </w:p>
        </w:tc>
        <w:tc>
          <w:tcPr>
            <w:tcW w:w="9720" w:type="dxa"/>
            <w:vAlign w:val="bottom"/>
          </w:tcPr>
          <w:p>
            <w:pPr>
              <w:ind w:left="100"/>
              <w:spacing w:after="0"/>
              <w:rPr>
                <w:sz w:val="20"/>
                <w:szCs w:val="20"/>
                <w:color w:val="auto"/>
              </w:rPr>
            </w:pPr>
            <w:r>
              <w:rPr>
                <w:rFonts w:ascii="Arial" w:cs="Arial" w:eastAsia="Arial" w:hAnsi="Arial"/>
                <w:sz w:val="18"/>
                <w:szCs w:val="18"/>
                <w:color w:val="auto"/>
              </w:rPr>
              <w:t>Notice of Default</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9.6</w:t>
            </w:r>
          </w:p>
        </w:tc>
        <w:tc>
          <w:tcPr>
            <w:tcW w:w="9720" w:type="dxa"/>
            <w:vAlign w:val="bottom"/>
          </w:tcPr>
          <w:p>
            <w:pPr>
              <w:ind w:left="100"/>
              <w:spacing w:after="0"/>
              <w:rPr>
                <w:sz w:val="20"/>
                <w:szCs w:val="20"/>
                <w:color w:val="auto"/>
              </w:rPr>
            </w:pPr>
            <w:r>
              <w:rPr>
                <w:rFonts w:ascii="Arial" w:cs="Arial" w:eastAsia="Arial" w:hAnsi="Arial"/>
                <w:sz w:val="18"/>
                <w:szCs w:val="18"/>
                <w:color w:val="auto"/>
              </w:rPr>
              <w:t>Non-Reliance on Agents and Other Lenders</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9.7</w:t>
            </w:r>
          </w:p>
        </w:tc>
        <w:tc>
          <w:tcPr>
            <w:tcW w:w="972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9.8</w:t>
            </w:r>
          </w:p>
        </w:tc>
        <w:tc>
          <w:tcPr>
            <w:tcW w:w="9720" w:type="dxa"/>
            <w:vAlign w:val="bottom"/>
          </w:tcPr>
          <w:p>
            <w:pPr>
              <w:ind w:left="100"/>
              <w:spacing w:after="0"/>
              <w:rPr>
                <w:sz w:val="20"/>
                <w:szCs w:val="20"/>
                <w:color w:val="auto"/>
              </w:rPr>
            </w:pPr>
            <w:r>
              <w:rPr>
                <w:rFonts w:ascii="Arial" w:cs="Arial" w:eastAsia="Arial" w:hAnsi="Arial"/>
                <w:sz w:val="18"/>
                <w:szCs w:val="18"/>
                <w:color w:val="auto"/>
              </w:rPr>
              <w:t>Agent in Its Individual Capacity</w:t>
            </w: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9.9</w:t>
            </w:r>
          </w:p>
        </w:tc>
        <w:tc>
          <w:tcPr>
            <w:tcW w:w="9720" w:type="dxa"/>
            <w:vAlign w:val="bottom"/>
          </w:tcPr>
          <w:p>
            <w:pPr>
              <w:ind w:left="100"/>
              <w:spacing w:after="0"/>
              <w:rPr>
                <w:sz w:val="20"/>
                <w:szCs w:val="20"/>
                <w:color w:val="auto"/>
              </w:rPr>
            </w:pPr>
            <w:r>
              <w:rPr>
                <w:rFonts w:ascii="Arial" w:cs="Arial" w:eastAsia="Arial" w:hAnsi="Arial"/>
                <w:sz w:val="18"/>
                <w:szCs w:val="18"/>
                <w:color w:val="auto"/>
              </w:rPr>
              <w:t>Successor Administrative Agent</w:t>
            </w: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9.10</w:t>
            </w:r>
          </w:p>
        </w:tc>
        <w:tc>
          <w:tcPr>
            <w:tcW w:w="9720" w:type="dxa"/>
            <w:vAlign w:val="bottom"/>
          </w:tcPr>
          <w:p>
            <w:pPr>
              <w:ind w:left="100"/>
              <w:spacing w:after="0"/>
              <w:rPr>
                <w:sz w:val="20"/>
                <w:szCs w:val="20"/>
                <w:color w:val="auto"/>
              </w:rPr>
            </w:pPr>
            <w:r>
              <w:rPr>
                <w:rFonts w:ascii="Arial" w:cs="Arial" w:eastAsia="Arial" w:hAnsi="Arial"/>
                <w:sz w:val="18"/>
                <w:szCs w:val="18"/>
                <w:color w:val="auto"/>
              </w:rPr>
              <w:t>Replacement of Brazilian Administrative Agent</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9.11</w:t>
            </w:r>
          </w:p>
        </w:tc>
        <w:tc>
          <w:tcPr>
            <w:tcW w:w="9720" w:type="dxa"/>
            <w:vAlign w:val="bottom"/>
          </w:tcPr>
          <w:p>
            <w:pPr>
              <w:ind w:left="100"/>
              <w:spacing w:after="0"/>
              <w:rPr>
                <w:sz w:val="20"/>
                <w:szCs w:val="20"/>
                <w:color w:val="auto"/>
              </w:rPr>
            </w:pPr>
            <w:r>
              <w:rPr>
                <w:rFonts w:ascii="Arial" w:cs="Arial" w:eastAsia="Arial" w:hAnsi="Arial"/>
                <w:sz w:val="18"/>
                <w:szCs w:val="18"/>
                <w:color w:val="auto"/>
                <w:w w:val="93"/>
              </w:rPr>
              <w:t>Bookrunners, Lead Arrangers, Global and Regional Coordinators, Documentation Agents, Syndication Agent and Co-Syndication</w:t>
            </w:r>
          </w:p>
        </w:tc>
        <w:tc>
          <w:tcPr>
            <w:tcW w:w="5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9720" w:type="dxa"/>
            <w:vAlign w:val="bottom"/>
          </w:tcPr>
          <w:p>
            <w:pPr>
              <w:ind w:left="100"/>
              <w:spacing w:after="0"/>
              <w:rPr>
                <w:sz w:val="20"/>
                <w:szCs w:val="20"/>
                <w:color w:val="auto"/>
              </w:rPr>
            </w:pPr>
            <w:r>
              <w:rPr>
                <w:rFonts w:ascii="Arial" w:cs="Arial" w:eastAsia="Arial" w:hAnsi="Arial"/>
                <w:sz w:val="18"/>
                <w:szCs w:val="18"/>
                <w:color w:val="auto"/>
              </w:rPr>
              <w:t>Agent</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9.12</w:t>
            </w:r>
          </w:p>
        </w:tc>
        <w:tc>
          <w:tcPr>
            <w:tcW w:w="9720" w:type="dxa"/>
            <w:vAlign w:val="bottom"/>
          </w:tcPr>
          <w:p>
            <w:pPr>
              <w:ind w:left="100"/>
              <w:spacing w:after="0"/>
              <w:rPr>
                <w:sz w:val="20"/>
                <w:szCs w:val="20"/>
                <w:color w:val="auto"/>
              </w:rPr>
            </w:pPr>
            <w:r>
              <w:rPr>
                <w:rFonts w:ascii="Arial" w:cs="Arial" w:eastAsia="Arial" w:hAnsi="Arial"/>
                <w:sz w:val="18"/>
                <w:szCs w:val="18"/>
                <w:color w:val="auto"/>
              </w:rPr>
              <w:t>Certain ERISA Matters</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10.</w:t>
            </w:r>
          </w:p>
        </w:tc>
        <w:tc>
          <w:tcPr>
            <w:tcW w:w="972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10"/>
        </w:trPr>
        <w:tc>
          <w:tcPr>
            <w:tcW w:w="1140" w:type="dxa"/>
            <w:vAlign w:val="bottom"/>
          </w:tcPr>
          <w:p>
            <w:pPr>
              <w:ind w:left="360"/>
              <w:spacing w:after="0"/>
              <w:rPr>
                <w:sz w:val="20"/>
                <w:szCs w:val="20"/>
                <w:color w:val="auto"/>
              </w:rPr>
            </w:pPr>
            <w:r>
              <w:rPr>
                <w:rFonts w:ascii="Arial" w:cs="Arial" w:eastAsia="Arial" w:hAnsi="Arial"/>
                <w:sz w:val="18"/>
                <w:szCs w:val="18"/>
                <w:color w:val="auto"/>
              </w:rPr>
              <w:t>10.1</w:t>
            </w:r>
          </w:p>
        </w:tc>
        <w:tc>
          <w:tcPr>
            <w:tcW w:w="9720" w:type="dxa"/>
            <w:vAlign w:val="bottom"/>
          </w:tcPr>
          <w:p>
            <w:pPr>
              <w:ind w:left="100"/>
              <w:spacing w:after="0"/>
              <w:rPr>
                <w:sz w:val="20"/>
                <w:szCs w:val="20"/>
                <w:color w:val="auto"/>
              </w:rPr>
            </w:pPr>
            <w:r>
              <w:rPr>
                <w:rFonts w:ascii="Arial" w:cs="Arial" w:eastAsia="Arial" w:hAnsi="Arial"/>
                <w:sz w:val="18"/>
                <w:szCs w:val="18"/>
                <w:color w:val="auto"/>
              </w:rPr>
              <w:t>Amendments and Waivers</w:t>
            </w: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10.2</w:t>
            </w:r>
          </w:p>
        </w:tc>
        <w:tc>
          <w:tcPr>
            <w:tcW w:w="9720" w:type="dxa"/>
            <w:vAlign w:val="bottom"/>
          </w:tcPr>
          <w:p>
            <w:pPr>
              <w:ind w:left="100"/>
              <w:spacing w:after="0"/>
              <w:rPr>
                <w:sz w:val="20"/>
                <w:szCs w:val="20"/>
                <w:color w:val="auto"/>
              </w:rPr>
            </w:pPr>
            <w:r>
              <w:rPr>
                <w:rFonts w:ascii="Arial" w:cs="Arial" w:eastAsia="Arial" w:hAnsi="Arial"/>
                <w:sz w:val="18"/>
                <w:szCs w:val="18"/>
                <w:color w:val="auto"/>
              </w:rPr>
              <w:t>Notices</w:t>
            </w: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10.3</w:t>
            </w:r>
          </w:p>
        </w:tc>
        <w:tc>
          <w:tcPr>
            <w:tcW w:w="9720" w:type="dxa"/>
            <w:vAlign w:val="bottom"/>
          </w:tcPr>
          <w:p>
            <w:pPr>
              <w:ind w:left="100"/>
              <w:spacing w:after="0"/>
              <w:rPr>
                <w:sz w:val="20"/>
                <w:szCs w:val="20"/>
                <w:color w:val="auto"/>
              </w:rPr>
            </w:pPr>
            <w:r>
              <w:rPr>
                <w:rFonts w:ascii="Arial" w:cs="Arial" w:eastAsia="Arial" w:hAnsi="Arial"/>
                <w:sz w:val="18"/>
                <w:szCs w:val="18"/>
                <w:color w:val="auto"/>
              </w:rPr>
              <w:t>No Waiver; Cumulative Remedies</w:t>
            </w: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10.4</w:t>
            </w:r>
          </w:p>
        </w:tc>
        <w:tc>
          <w:tcPr>
            <w:tcW w:w="9720" w:type="dxa"/>
            <w:vAlign w:val="bottom"/>
          </w:tcPr>
          <w:p>
            <w:pPr>
              <w:ind w:left="100"/>
              <w:spacing w:after="0"/>
              <w:rPr>
                <w:sz w:val="20"/>
                <w:szCs w:val="20"/>
                <w:color w:val="auto"/>
              </w:rPr>
            </w:pPr>
            <w:r>
              <w:rPr>
                <w:rFonts w:ascii="Arial" w:cs="Arial" w:eastAsia="Arial" w:hAnsi="Arial"/>
                <w:sz w:val="18"/>
                <w:szCs w:val="18"/>
                <w:color w:val="auto"/>
              </w:rPr>
              <w:t>Survival of Representations and Warranties</w:t>
            </w: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10.5</w:t>
            </w:r>
          </w:p>
        </w:tc>
        <w:tc>
          <w:tcPr>
            <w:tcW w:w="9720" w:type="dxa"/>
            <w:vAlign w:val="bottom"/>
          </w:tcPr>
          <w:p>
            <w:pPr>
              <w:ind w:left="100"/>
              <w:spacing w:after="0"/>
              <w:rPr>
                <w:sz w:val="20"/>
                <w:szCs w:val="20"/>
                <w:color w:val="auto"/>
              </w:rPr>
            </w:pPr>
            <w:r>
              <w:rPr>
                <w:rFonts w:ascii="Arial" w:cs="Arial" w:eastAsia="Arial" w:hAnsi="Arial"/>
                <w:sz w:val="18"/>
                <w:szCs w:val="18"/>
                <w:color w:val="auto"/>
              </w:rPr>
              <w:t>Payment of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10.6</w:t>
            </w:r>
          </w:p>
        </w:tc>
        <w:tc>
          <w:tcPr>
            <w:tcW w:w="9720" w:type="dxa"/>
            <w:vAlign w:val="bottom"/>
          </w:tcPr>
          <w:p>
            <w:pPr>
              <w:ind w:left="100"/>
              <w:spacing w:after="0"/>
              <w:rPr>
                <w:sz w:val="20"/>
                <w:szCs w:val="20"/>
                <w:color w:val="auto"/>
              </w:rPr>
            </w:pPr>
            <w:r>
              <w:rPr>
                <w:rFonts w:ascii="Arial" w:cs="Arial" w:eastAsia="Arial" w:hAnsi="Arial"/>
                <w:sz w:val="18"/>
                <w:szCs w:val="18"/>
                <w:color w:val="auto"/>
              </w:rPr>
              <w:t>Successors and Assigns; Participations and Assignments</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10.7</w:t>
            </w:r>
          </w:p>
        </w:tc>
        <w:tc>
          <w:tcPr>
            <w:tcW w:w="9720" w:type="dxa"/>
            <w:vAlign w:val="bottom"/>
          </w:tcPr>
          <w:p>
            <w:pPr>
              <w:ind w:left="100"/>
              <w:spacing w:after="0"/>
              <w:rPr>
                <w:sz w:val="20"/>
                <w:szCs w:val="20"/>
                <w:color w:val="auto"/>
              </w:rPr>
            </w:pPr>
            <w:r>
              <w:rPr>
                <w:rFonts w:ascii="Arial" w:cs="Arial" w:eastAsia="Arial" w:hAnsi="Arial"/>
                <w:sz w:val="18"/>
                <w:szCs w:val="18"/>
                <w:color w:val="auto"/>
              </w:rPr>
              <w:t>Adjustments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10.8</w:t>
            </w:r>
          </w:p>
        </w:tc>
        <w:tc>
          <w:tcPr>
            <w:tcW w:w="972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10.9</w:t>
            </w:r>
          </w:p>
        </w:tc>
        <w:tc>
          <w:tcPr>
            <w:tcW w:w="97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10.10</w:t>
            </w:r>
          </w:p>
        </w:tc>
        <w:tc>
          <w:tcPr>
            <w:tcW w:w="9720" w:type="dxa"/>
            <w:vAlign w:val="bottom"/>
          </w:tcPr>
          <w:p>
            <w:pPr>
              <w:ind w:left="100"/>
              <w:spacing w:after="0"/>
              <w:rPr>
                <w:sz w:val="20"/>
                <w:szCs w:val="20"/>
                <w:color w:val="auto"/>
              </w:rPr>
            </w:pPr>
            <w:r>
              <w:rPr>
                <w:rFonts w:ascii="Arial" w:cs="Arial" w:eastAsia="Arial" w:hAnsi="Arial"/>
                <w:sz w:val="18"/>
                <w:szCs w:val="18"/>
                <w:color w:val="auto"/>
              </w:rPr>
              <w:t>Integration</w:t>
            </w: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10.11</w:t>
            </w:r>
          </w:p>
        </w:tc>
        <w:tc>
          <w:tcPr>
            <w:tcW w:w="972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10.12</w:t>
            </w:r>
          </w:p>
        </w:tc>
        <w:tc>
          <w:tcPr>
            <w:tcW w:w="9720" w:type="dxa"/>
            <w:vAlign w:val="bottom"/>
          </w:tcPr>
          <w:p>
            <w:pPr>
              <w:ind w:left="100"/>
              <w:spacing w:after="0"/>
              <w:rPr>
                <w:sz w:val="20"/>
                <w:szCs w:val="20"/>
                <w:color w:val="auto"/>
              </w:rPr>
            </w:pPr>
            <w:r>
              <w:rPr>
                <w:rFonts w:ascii="Arial" w:cs="Arial" w:eastAsia="Arial" w:hAnsi="Arial"/>
                <w:sz w:val="18"/>
                <w:szCs w:val="18"/>
                <w:color w:val="auto"/>
              </w:rPr>
              <w:t>Submission to Jurisdiction; Waivers</w:t>
            </w: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10.13</w:t>
            </w:r>
          </w:p>
        </w:tc>
        <w:tc>
          <w:tcPr>
            <w:tcW w:w="9720" w:type="dxa"/>
            <w:vAlign w:val="bottom"/>
          </w:tcPr>
          <w:p>
            <w:pPr>
              <w:ind w:left="100"/>
              <w:spacing w:after="0"/>
              <w:rPr>
                <w:sz w:val="20"/>
                <w:szCs w:val="20"/>
                <w:color w:val="auto"/>
              </w:rPr>
            </w:pPr>
            <w:r>
              <w:rPr>
                <w:rFonts w:ascii="Arial" w:cs="Arial" w:eastAsia="Arial" w:hAnsi="Arial"/>
                <w:sz w:val="18"/>
                <w:szCs w:val="18"/>
                <w:color w:val="auto"/>
              </w:rPr>
              <w:t>Judgment</w:t>
            </w: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10.14</w:t>
            </w:r>
          </w:p>
        </w:tc>
        <w:tc>
          <w:tcPr>
            <w:tcW w:w="9720" w:type="dxa"/>
            <w:vAlign w:val="bottom"/>
          </w:tcPr>
          <w:p>
            <w:pPr>
              <w:ind w:left="100"/>
              <w:spacing w:after="0"/>
              <w:rPr>
                <w:sz w:val="20"/>
                <w:szCs w:val="20"/>
                <w:color w:val="auto"/>
              </w:rPr>
            </w:pPr>
            <w:r>
              <w:rPr>
                <w:rFonts w:ascii="Arial" w:cs="Arial" w:eastAsia="Arial" w:hAnsi="Arial"/>
                <w:sz w:val="18"/>
                <w:szCs w:val="18"/>
                <w:color w:val="auto"/>
              </w:rPr>
              <w:t>Acknowledgments</w:t>
            </w: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10.15</w:t>
            </w:r>
          </w:p>
        </w:tc>
        <w:tc>
          <w:tcPr>
            <w:tcW w:w="9720" w:type="dxa"/>
            <w:vAlign w:val="bottom"/>
          </w:tcPr>
          <w:p>
            <w:pPr>
              <w:ind w:left="100"/>
              <w:spacing w:after="0"/>
              <w:rPr>
                <w:sz w:val="20"/>
                <w:szCs w:val="20"/>
                <w:color w:val="auto"/>
              </w:rPr>
            </w:pPr>
            <w:r>
              <w:rPr>
                <w:rFonts w:ascii="Arial" w:cs="Arial" w:eastAsia="Arial" w:hAnsi="Arial"/>
                <w:sz w:val="18"/>
                <w:szCs w:val="18"/>
                <w:color w:val="auto"/>
              </w:rPr>
              <w:t>Releases of Guarantees</w:t>
            </w: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10.16</w:t>
            </w:r>
          </w:p>
        </w:tc>
        <w:tc>
          <w:tcPr>
            <w:tcW w:w="972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10.17</w:t>
            </w:r>
          </w:p>
        </w:tc>
        <w:tc>
          <w:tcPr>
            <w:tcW w:w="9720" w:type="dxa"/>
            <w:vAlign w:val="bottom"/>
          </w:tcPr>
          <w:p>
            <w:pPr>
              <w:ind w:left="100"/>
              <w:spacing w:after="0"/>
              <w:rPr>
                <w:sz w:val="20"/>
                <w:szCs w:val="20"/>
                <w:color w:val="auto"/>
              </w:rPr>
            </w:pPr>
            <w:r>
              <w:rPr>
                <w:rFonts w:ascii="Arial" w:cs="Arial" w:eastAsia="Arial" w:hAnsi="Arial"/>
                <w:sz w:val="18"/>
                <w:szCs w:val="18"/>
                <w:color w:val="auto"/>
              </w:rPr>
              <w:t>WAIVERS OF JURY TRIAL</w:t>
            </w: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10.18</w:t>
            </w:r>
          </w:p>
        </w:tc>
        <w:tc>
          <w:tcPr>
            <w:tcW w:w="972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10.19</w:t>
            </w:r>
          </w:p>
        </w:tc>
        <w:tc>
          <w:tcPr>
            <w:tcW w:w="9720" w:type="dxa"/>
            <w:vAlign w:val="bottom"/>
          </w:tcPr>
          <w:p>
            <w:pPr>
              <w:ind w:left="100"/>
              <w:spacing w:after="0"/>
              <w:rPr>
                <w:sz w:val="20"/>
                <w:szCs w:val="20"/>
                <w:color w:val="auto"/>
              </w:rPr>
            </w:pPr>
            <w:r>
              <w:rPr>
                <w:rFonts w:ascii="Arial" w:cs="Arial" w:eastAsia="Arial" w:hAnsi="Arial"/>
                <w:sz w:val="18"/>
                <w:szCs w:val="18"/>
                <w:color w:val="auto"/>
              </w:rPr>
              <w:t>No Novation</w:t>
            </w: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10.20</w:t>
            </w:r>
          </w:p>
        </w:tc>
        <w:tc>
          <w:tcPr>
            <w:tcW w:w="9720" w:type="dxa"/>
            <w:vAlign w:val="bottom"/>
          </w:tcPr>
          <w:p>
            <w:pPr>
              <w:ind w:left="10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74"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1.1A</w:t>
            </w:r>
          </w:p>
        </w:tc>
        <w:tc>
          <w:tcPr>
            <w:tcW w:w="5920" w:type="dxa"/>
            <w:vAlign w:val="bottom"/>
          </w:tcPr>
          <w:p>
            <w:pPr>
              <w:ind w:left="340"/>
              <w:spacing w:after="0"/>
              <w:rPr>
                <w:sz w:val="20"/>
                <w:szCs w:val="20"/>
                <w:color w:val="auto"/>
              </w:rPr>
            </w:pPr>
            <w:r>
              <w:rPr>
                <w:rFonts w:ascii="Arial" w:cs="Arial" w:eastAsia="Arial" w:hAnsi="Arial"/>
                <w:sz w:val="18"/>
                <w:szCs w:val="18"/>
                <w:color w:val="auto"/>
                <w:w w:val="89"/>
              </w:rPr>
              <w:t>Commitments; Scheme Reference Number and Jurisdiction of Tax Residence</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1.1B</w:t>
            </w:r>
          </w:p>
        </w:tc>
        <w:tc>
          <w:tcPr>
            <w:tcW w:w="5920" w:type="dxa"/>
            <w:vAlign w:val="bottom"/>
          </w:tcPr>
          <w:p>
            <w:pPr>
              <w:ind w:left="340"/>
              <w:spacing w:after="0"/>
              <w:rPr>
                <w:sz w:val="20"/>
                <w:szCs w:val="20"/>
                <w:color w:val="auto"/>
              </w:rPr>
            </w:pPr>
            <w:r>
              <w:rPr>
                <w:rFonts w:ascii="Arial" w:cs="Arial" w:eastAsia="Arial" w:hAnsi="Arial"/>
                <w:sz w:val="18"/>
                <w:szCs w:val="18"/>
                <w:color w:val="auto"/>
              </w:rPr>
              <w:t>Initial Excluded Subsidiaries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1.1C</w:t>
            </w:r>
          </w:p>
        </w:tc>
        <w:tc>
          <w:tcPr>
            <w:tcW w:w="5920" w:type="dxa"/>
            <w:vAlign w:val="bottom"/>
          </w:tcPr>
          <w:p>
            <w:pPr>
              <w:ind w:left="340"/>
              <w:spacing w:after="0"/>
              <w:rPr>
                <w:sz w:val="20"/>
                <w:szCs w:val="20"/>
                <w:color w:val="auto"/>
              </w:rPr>
            </w:pPr>
            <w:r>
              <w:rPr>
                <w:rFonts w:ascii="Arial" w:cs="Arial" w:eastAsia="Arial" w:hAnsi="Arial"/>
                <w:sz w:val="18"/>
                <w:szCs w:val="18"/>
                <w:color w:val="auto"/>
              </w:rPr>
              <w:t>Applicable Pricing Grid</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1.1D</w:t>
            </w:r>
          </w:p>
        </w:tc>
        <w:tc>
          <w:tcPr>
            <w:tcW w:w="5920" w:type="dxa"/>
            <w:vAlign w:val="bottom"/>
          </w:tcPr>
          <w:p>
            <w:pPr>
              <w:ind w:left="340"/>
              <w:spacing w:after="0"/>
              <w:rPr>
                <w:sz w:val="20"/>
                <w:szCs w:val="20"/>
                <w:color w:val="auto"/>
              </w:rPr>
            </w:pPr>
            <w:r>
              <w:rPr>
                <w:rFonts w:ascii="Arial" w:cs="Arial" w:eastAsia="Arial" w:hAnsi="Arial"/>
                <w:sz w:val="18"/>
                <w:szCs w:val="18"/>
                <w:color w:val="auto"/>
              </w:rPr>
              <w:t>Existing Liens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1.1E</w:t>
            </w:r>
          </w:p>
        </w:tc>
        <w:tc>
          <w:tcPr>
            <w:tcW w:w="5920" w:type="dxa"/>
            <w:vAlign w:val="bottom"/>
          </w:tcPr>
          <w:p>
            <w:pPr>
              <w:ind w:left="340"/>
              <w:spacing w:after="0"/>
              <w:rPr>
                <w:sz w:val="20"/>
                <w:szCs w:val="20"/>
                <w:color w:val="auto"/>
              </w:rPr>
            </w:pPr>
            <w:r>
              <w:rPr>
                <w:rFonts w:ascii="Arial" w:cs="Arial" w:eastAsia="Arial" w:hAnsi="Arial"/>
                <w:sz w:val="18"/>
                <w:szCs w:val="18"/>
                <w:color w:val="auto"/>
              </w:rPr>
              <w:t>Excluded Subsidiary Businesses</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4.6</w:t>
            </w:r>
          </w:p>
        </w:tc>
        <w:tc>
          <w:tcPr>
            <w:tcW w:w="5920" w:type="dxa"/>
            <w:vAlign w:val="bottom"/>
          </w:tcPr>
          <w:p>
            <w:pPr>
              <w:ind w:left="340"/>
              <w:spacing w:after="0"/>
              <w:rPr>
                <w:sz w:val="20"/>
                <w:szCs w:val="20"/>
                <w:color w:val="auto"/>
              </w:rPr>
            </w:pPr>
            <w:r>
              <w:rPr>
                <w:rFonts w:ascii="Arial" w:cs="Arial" w:eastAsia="Arial" w:hAnsi="Arial"/>
                <w:sz w:val="18"/>
                <w:szCs w:val="18"/>
                <w:color w:val="auto"/>
              </w:rPr>
              <w:t>Litigation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Guarantee</w:t>
      </w:r>
    </w:p>
    <w:p>
      <w:pPr>
        <w:spacing w:after="0" w:line="23" w:lineRule="exact"/>
        <w:rPr>
          <w:sz w:val="20"/>
          <w:szCs w:val="20"/>
          <w:color w:val="auto"/>
        </w:rPr>
      </w:pP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of Competitive Bid Request</w:t>
      </w:r>
    </w:p>
    <w:p>
      <w:pPr>
        <w:spacing w:after="0" w:line="9" w:lineRule="exact"/>
        <w:rPr>
          <w:sz w:val="20"/>
          <w:szCs w:val="20"/>
          <w:color w:val="auto"/>
        </w:rPr>
      </w:pP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of Competitive Bid</w:t>
      </w:r>
    </w:p>
    <w:p>
      <w:pPr>
        <w:spacing w:after="0" w:line="9" w:lineRule="exact"/>
        <w:rPr>
          <w:sz w:val="20"/>
          <w:szCs w:val="20"/>
          <w:color w:val="auto"/>
        </w:rPr>
      </w:pPr>
    </w:p>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of Competitive Bid Accept/Reject Letter</w:t>
      </w:r>
    </w:p>
    <w:p>
      <w:pPr>
        <w:spacing w:after="0" w:line="9"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of Incremental Loan Activation Notice</w:t>
      </w:r>
    </w:p>
    <w:p>
      <w:pPr>
        <w:spacing w:after="0" w:line="9" w:lineRule="exact"/>
        <w:rPr>
          <w:sz w:val="20"/>
          <w:szCs w:val="20"/>
          <w:color w:val="auto"/>
        </w:rPr>
      </w:pP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Closing Certificate</w:t>
      </w:r>
    </w:p>
    <w:p>
      <w:pPr>
        <w:spacing w:after="0" w:line="9" w:lineRule="exact"/>
        <w:rPr>
          <w:sz w:val="20"/>
          <w:szCs w:val="20"/>
          <w:color w:val="auto"/>
        </w:rPr>
      </w:pPr>
    </w:p>
    <w:p>
      <w:pPr>
        <w:ind w:left="1040" w:hanging="103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9" w:lineRule="exact"/>
        <w:rPr>
          <w:sz w:val="20"/>
          <w:szCs w:val="20"/>
          <w:color w:val="auto"/>
        </w:rPr>
      </w:pPr>
    </w:p>
    <w:p>
      <w:pPr>
        <w:ind w:left="1040" w:hanging="103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of Borrower Joinder Agreement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I-1</w:t>
            </w:r>
          </w:p>
        </w:tc>
        <w:tc>
          <w:tcPr>
            <w:tcW w:w="5760" w:type="dxa"/>
            <w:vAlign w:val="bottom"/>
          </w:tcPr>
          <w:p>
            <w:pPr>
              <w:ind w:left="420"/>
              <w:spacing w:after="0"/>
              <w:rPr>
                <w:sz w:val="20"/>
                <w:szCs w:val="20"/>
                <w:color w:val="auto"/>
              </w:rPr>
            </w:pPr>
            <w:r>
              <w:rPr>
                <w:rFonts w:ascii="Arial" w:cs="Arial" w:eastAsia="Arial" w:hAnsi="Arial"/>
                <w:sz w:val="18"/>
                <w:szCs w:val="18"/>
                <w:color w:val="auto"/>
                <w:w w:val="96"/>
              </w:rPr>
              <w:t>Form of Exemption Certificate for Non-Partnership Non-U.S. Lenders</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I-2</w:t>
            </w:r>
          </w:p>
        </w:tc>
        <w:tc>
          <w:tcPr>
            <w:tcW w:w="5760" w:type="dxa"/>
            <w:vAlign w:val="bottom"/>
          </w:tcPr>
          <w:p>
            <w:pPr>
              <w:ind w:left="420"/>
              <w:spacing w:after="0"/>
              <w:rPr>
                <w:sz w:val="20"/>
                <w:szCs w:val="20"/>
                <w:color w:val="auto"/>
              </w:rPr>
            </w:pPr>
            <w:r>
              <w:rPr>
                <w:rFonts w:ascii="Arial" w:cs="Arial" w:eastAsia="Arial" w:hAnsi="Arial"/>
                <w:sz w:val="18"/>
                <w:szCs w:val="18"/>
                <w:color w:val="auto"/>
              </w:rPr>
              <w:t>Form of Exemption Certificate for Partnership Non-U.S. Lenders</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I-3</w:t>
            </w:r>
          </w:p>
        </w:tc>
        <w:tc>
          <w:tcPr>
            <w:tcW w:w="5760" w:type="dxa"/>
            <w:vAlign w:val="bottom"/>
          </w:tcPr>
          <w:p>
            <w:pPr>
              <w:ind w:left="420"/>
              <w:spacing w:after="0"/>
              <w:rPr>
                <w:sz w:val="20"/>
                <w:szCs w:val="20"/>
                <w:color w:val="auto"/>
              </w:rPr>
            </w:pPr>
            <w:r>
              <w:rPr>
                <w:rFonts w:ascii="Arial" w:cs="Arial" w:eastAsia="Arial" w:hAnsi="Arial"/>
                <w:sz w:val="18"/>
                <w:szCs w:val="18"/>
                <w:color w:val="auto"/>
                <w:w w:val="92"/>
              </w:rPr>
              <w:t>Form of Exemption Certificate for Non-Partnership Non-U.S. Participants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I-4</w:t>
            </w:r>
          </w:p>
        </w:tc>
        <w:tc>
          <w:tcPr>
            <w:tcW w:w="5760" w:type="dxa"/>
            <w:vAlign w:val="bottom"/>
          </w:tcPr>
          <w:p>
            <w:pPr>
              <w:ind w:left="420"/>
              <w:spacing w:after="0"/>
              <w:rPr>
                <w:sz w:val="20"/>
                <w:szCs w:val="20"/>
                <w:color w:val="auto"/>
              </w:rPr>
            </w:pPr>
            <w:r>
              <w:rPr>
                <w:rFonts w:ascii="Arial" w:cs="Arial" w:eastAsia="Arial" w:hAnsi="Arial"/>
                <w:sz w:val="18"/>
                <w:szCs w:val="18"/>
                <w:color w:val="auto"/>
                <w:w w:val="98"/>
              </w:rPr>
              <w:t>Form of Exemption Certificate for Partnership Non-U.S. Participants</w:t>
            </w:r>
          </w:p>
        </w:tc>
      </w:tr>
    </w:tbl>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of Note</w:t>
      </w:r>
    </w:p>
    <w:p>
      <w:pPr>
        <w:spacing w:after="0" w:line="9" w:lineRule="exact"/>
        <w:rPr>
          <w:sz w:val="20"/>
          <w:szCs w:val="20"/>
          <w:color w:val="auto"/>
        </w:rPr>
      </w:pPr>
    </w:p>
    <w:p>
      <w:pPr>
        <w:ind w:left="1040" w:hanging="103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 of Borrowing Request</w:t>
      </w:r>
    </w:p>
    <w:p>
      <w:pPr>
        <w:spacing w:after="0" w:line="9" w:lineRule="exact"/>
        <w:rPr>
          <w:sz w:val="20"/>
          <w:szCs w:val="20"/>
          <w:color w:val="auto"/>
        </w:rPr>
      </w:pPr>
    </w:p>
    <w:p>
      <w:pPr>
        <w:ind w:left="1040" w:hanging="1032"/>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of Company Consent</w:t>
      </w:r>
    </w:p>
    <w:p>
      <w:pPr>
        <w:spacing w:after="0" w:line="9" w:lineRule="exact"/>
        <w:rPr>
          <w:sz w:val="20"/>
          <w:szCs w:val="20"/>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Form of Letter of Credit Acknowledgment</w:t>
      </w:r>
    </w:p>
    <w:p>
      <w:pPr>
        <w:spacing w:after="0" w:line="143"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274" w:right="1440" w:bottom="1440" w:gutter="0" w:footer="0" w:header="0"/>
        </w:sectPr>
      </w:pPr>
    </w:p>
    <w:bookmarkStart w:id="9" w:name="page10"/>
    <w:bookmarkEnd w:id="9"/>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AMENDED AND RESTATED THREE YEAR REVOLVING CREDIT AGREEMENT, dated as of April 18, 2018 (this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GMF</w:t>
      </w:r>
      <w:r>
        <w:rPr>
          <w:rFonts w:ascii="Arial" w:cs="Arial" w:eastAsia="Arial" w:hAnsi="Arial"/>
          <w:sz w:val="16"/>
          <w:szCs w:val="16"/>
          <w:color w:val="auto"/>
        </w:rPr>
        <w:t>”), GM Global Treasury Centre Limited, a private limited company incorporated under the laws of England and Wales (“</w:t>
      </w:r>
      <w:r>
        <w:rPr>
          <w:rFonts w:ascii="Arial" w:cs="Arial" w:eastAsia="Arial" w:hAnsi="Arial"/>
          <w:sz w:val="16"/>
          <w:szCs w:val="16"/>
          <w:u w:val="single" w:color="auto"/>
          <w:color w:val="auto"/>
        </w:rPr>
        <w:t>GMGTC</w:t>
      </w:r>
      <w:r>
        <w:rPr>
          <w:rFonts w:ascii="Arial" w:cs="Arial" w:eastAsia="Arial" w:hAnsi="Arial"/>
          <w:sz w:val="16"/>
          <w:szCs w:val="16"/>
          <w:color w:val="auto"/>
        </w:rPr>
        <w:t>”), General Motors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 Brasil Ltda., a Brazilian limited liability company (“</w:t>
      </w:r>
      <w:r>
        <w:rPr>
          <w:rFonts w:ascii="Arial" w:cs="Arial" w:eastAsia="Arial" w:hAnsi="Arial"/>
          <w:sz w:val="17"/>
          <w:szCs w:val="17"/>
          <w:u w:val="single" w:color="auto"/>
          <w:color w:val="auto"/>
        </w:rPr>
        <w:t>GMB</w:t>
      </w:r>
      <w:r>
        <w:rPr>
          <w:rFonts w:ascii="Arial" w:cs="Arial" w:eastAsia="Arial" w:hAnsi="Arial"/>
          <w:sz w:val="17"/>
          <w:szCs w:val="17"/>
          <w:color w:val="auto"/>
        </w:rPr>
        <w:t>”), the other Subsidiary Borrowers (as defined herein) from time to time parties hereto,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several banks and other financial institutions or entities from time to time parties hereto, as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BANK, N.A. (and any of its branches and affiliates acting on its behalf in such capacity), as administrative agent for the Lenders (in such capacity,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BANCO DO BRASIL S.A. (and any of its branches and affiliates acting on its behalf in such capacity), as administrative agent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Brazilian Lenders (in such capacity, the “</w:t>
      </w:r>
      <w:r>
        <w:rPr>
          <w:rFonts w:ascii="Arial" w:cs="Arial" w:eastAsia="Arial" w:hAnsi="Arial"/>
          <w:sz w:val="17"/>
          <w:szCs w:val="17"/>
          <w:u w:val="single" w:color="auto"/>
          <w:color w:val="auto"/>
        </w:rPr>
        <w:t>Brazilian Administrative Agent</w:t>
      </w:r>
      <w:r>
        <w:rPr>
          <w:rFonts w:ascii="Arial" w:cs="Arial" w:eastAsia="Arial" w:hAnsi="Arial"/>
          <w:sz w:val="17"/>
          <w:szCs w:val="17"/>
          <w:color w:val="auto"/>
        </w:rPr>
        <w:t>”), CITIBANK, N.A., as syndication agent (in such capacity, the “</w:t>
      </w:r>
      <w:r>
        <w:rPr>
          <w:rFonts w:ascii="Arial" w:cs="Arial" w:eastAsia="Arial" w:hAnsi="Arial"/>
          <w:sz w:val="17"/>
          <w:szCs w:val="17"/>
          <w:u w:val="single" w:color="auto"/>
          <w:color w:val="auto"/>
        </w:rPr>
        <w:t>Syndication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w:t>
      </w:r>
      <w:r>
        <w:rPr>
          <w:rFonts w:ascii="Arial" w:cs="Arial" w:eastAsia="Arial" w:hAnsi="Arial"/>
          <w:sz w:val="18"/>
          <w:szCs w:val="18"/>
          <w:color w:val="auto"/>
        </w:rPr>
        <w:t>”) and BANK OF AMERICA, N.A., as co-syndication agent (in such capacity, the “</w:t>
      </w:r>
      <w:r>
        <w:rPr>
          <w:rFonts w:ascii="Arial" w:cs="Arial" w:eastAsia="Arial" w:hAnsi="Arial"/>
          <w:sz w:val="18"/>
          <w:szCs w:val="18"/>
          <w:u w:val="single" w:color="auto"/>
          <w:color w:val="auto"/>
        </w:rPr>
        <w:t>Co-Syndication Agent</w:t>
      </w:r>
      <w:r>
        <w:rPr>
          <w:rFonts w:ascii="Arial" w:cs="Arial" w:eastAsia="Arial" w:hAnsi="Arial"/>
          <w:sz w:val="18"/>
          <w:szCs w:val="18"/>
          <w:color w:val="auto"/>
        </w:rPr>
        <w:t>”).</w:t>
      </w:r>
    </w:p>
    <w:p>
      <w:pPr>
        <w:spacing w:after="0" w:line="21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WHEREAS, the Company entered into that certain Second Amended and Restated Three Year Revolving Credit Agreement, dated as of May 26, 2016 (the “</w:t>
      </w:r>
      <w:r>
        <w:rPr>
          <w:rFonts w:ascii="Arial" w:cs="Arial" w:eastAsia="Arial" w:hAnsi="Arial"/>
          <w:sz w:val="18"/>
          <w:szCs w:val="18"/>
          <w:u w:val="single" w:color="auto"/>
          <w:color w:val="auto"/>
        </w:rPr>
        <w:t>Existing Three Year Credit Agreement</w:t>
      </w:r>
      <w:r>
        <w:rPr>
          <w:rFonts w:ascii="Arial" w:cs="Arial" w:eastAsia="Arial" w:hAnsi="Arial"/>
          <w:sz w:val="18"/>
          <w:szCs w:val="18"/>
          <w:color w:val="auto"/>
        </w:rPr>
        <w:t>”), with GMF, GM Europe Treasury Company AB, GMB, the other subsidiary borrowers from time to time party thereto, the several lenders from time to time party thereto, JPMorgan Chase Bank, N.A., as administrative agent, Banco do Brasil S.A., as the Brazilian administrative agent, and the other agents party thereto;</w:t>
      </w:r>
    </w:p>
    <w:p>
      <w:pPr>
        <w:spacing w:after="0" w:line="187" w:lineRule="exact"/>
        <w:rPr>
          <w:sz w:val="20"/>
          <w:szCs w:val="20"/>
          <w:color w:val="auto"/>
        </w:rPr>
      </w:pPr>
    </w:p>
    <w:p>
      <w:pPr>
        <w:ind w:right="480" w:firstLine="913"/>
        <w:spacing w:after="0" w:line="308" w:lineRule="auto"/>
        <w:rPr>
          <w:sz w:val="20"/>
          <w:szCs w:val="20"/>
          <w:color w:val="auto"/>
        </w:rPr>
      </w:pPr>
      <w:r>
        <w:rPr>
          <w:rFonts w:ascii="Arial" w:cs="Arial" w:eastAsia="Arial" w:hAnsi="Arial"/>
          <w:sz w:val="17"/>
          <w:szCs w:val="17"/>
          <w:color w:val="auto"/>
        </w:rPr>
        <w:t>WHEREAS, the parties have agreed to amend and restate the Existing Three Year Credit Agreement as provided in this Agreement, which Agreement shall become effective upon the satisfaction (or waiver pursuant to Section 10.1) of the conditions set forth in Section 5.1;</w:t>
      </w:r>
    </w:p>
    <w:p>
      <w:pPr>
        <w:spacing w:after="0" w:line="147"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NOW, THEREFORE, in consideration of the premises and the agreements, provisions and covenants herein contained, the parties hereto hereby agree that on the Closing Date (as defined below), the Existing Three Year Credit Agreement shall be amended and restated in its entirety as follows: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1. DEFINITIONS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terms listed in this Section 1.1 shall have the respective meanings set forth in this Section 1.1.</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2017 10-K</w:t>
      </w:r>
      <w:r>
        <w:rPr>
          <w:rFonts w:ascii="Arial" w:cs="Arial" w:eastAsia="Arial" w:hAnsi="Arial"/>
          <w:sz w:val="18"/>
          <w:szCs w:val="18"/>
          <w:color w:val="auto"/>
        </w:rPr>
        <w:t>” has the meaning assigned to such term in Section 4.1.</w:t>
      </w:r>
    </w:p>
    <w:p>
      <w:pPr>
        <w:spacing w:after="0" w:line="225"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5-Year Revolving Credit Agreement</w:t>
      </w:r>
      <w:r>
        <w:rPr>
          <w:rFonts w:ascii="Arial" w:cs="Arial" w:eastAsia="Arial" w:hAnsi="Arial"/>
          <w:sz w:val="17"/>
          <w:szCs w:val="17"/>
          <w:color w:val="auto"/>
        </w:rPr>
        <w:t>” means (i) that certain Third Amended and Restated Five Year Revolving Credit Agreement, dated as of the date hereof, among the Company, GMF, GMB, GMGTC,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ectPr>
          <w:pgSz w:w="11900" w:h="16838" w:orient="portrait"/>
          <w:cols w:equalWidth="0" w:num="1">
            <w:col w:w="11380"/>
          </w:cols>
          <w:pgMar w:left="240" w:top="274" w:right="279" w:bottom="1440" w:gutter="0" w:footer="0" w:header="0"/>
        </w:sectPr>
      </w:pPr>
    </w:p>
    <w:bookmarkStart w:id="10" w:name="page11"/>
    <w:bookmarkEnd w:id="10"/>
    <w:p>
      <w:pPr>
        <w:ind w:right="4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5-Year Total Available Commitments</w:t>
      </w:r>
      <w:r>
        <w:rPr>
          <w:rFonts w:ascii="Arial" w:cs="Arial" w:eastAsia="Arial" w:hAnsi="Arial"/>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87"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5-Year Total Commitments</w:t>
      </w:r>
      <w:r>
        <w:rPr>
          <w:rFonts w:ascii="Arial" w:cs="Arial" w:eastAsia="Arial" w:hAnsi="Arial"/>
          <w:sz w:val="17"/>
          <w:szCs w:val="17"/>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6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Extensions of Credit</w:t>
      </w:r>
      <w:r>
        <w:rPr>
          <w:rFonts w:ascii="Arial" w:cs="Arial" w:eastAsia="Arial" w:hAnsi="Arial"/>
          <w:sz w:val="18"/>
          <w:szCs w:val="18"/>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ABR</w:t>
      </w:r>
      <w:r>
        <w:rPr>
          <w:rFonts w:ascii="Arial" w:cs="Arial" w:eastAsia="Arial" w:hAnsi="Arial"/>
          <w:sz w:val="16"/>
          <w:szCs w:val="16"/>
          <w:color w:val="auto"/>
        </w:rPr>
        <w:t xml:space="preserve">” means for any day, a rate per annum (rounded upwards, if necessary, to the next 1/16 of 1.00%) equal to the greatest of (a) the Prime Rate in effect on such day, (b) the NYFRB Rate in effect on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1.00% and (c) the Eurocurrency Rate, calculated as of such date in respect of a proposed Eurocurrency Loan denominated in Dollars with a one-month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1.00%;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rate determined pursuant to this definition of “ABR” shall be less than zero, such rate shall be deemed to be zero for purposes of this Agreement. Any change in the ABR due to a change in the Prime Rate, the NYFRB Rate or the Eurocurrency Rate shall be effective as of the opening of business on the effective day of such change in the Prime Rate, the NYFRB Rate or the Eurocurrency Rate, respectively. If the ABR is being used as an alternate rate of interest pursuant to Section 2.18 hereof, then the ABR shall be the greater of clause (a) and (b) above and shall be determined without reference to clause (c) above.</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 has the meaning assigned to such term in Section 2.18(a)(iii).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the Administrative Agent and the Brazilian Administrative Agent, collectively.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Rate</w:t>
      </w:r>
      <w:r>
        <w:rPr>
          <w:rFonts w:ascii="Arial" w:cs="Arial" w:eastAsia="Arial" w:hAnsi="Arial"/>
          <w:sz w:val="18"/>
          <w:szCs w:val="18"/>
          <w:color w:val="auto"/>
        </w:rPr>
        <w:t>” means, for any day, the sum of (a) a rate per annum selected by the Administrative Agent, in its reasonable discretion based on market conditions in consultation with the Company (and any applicable Subsidiary Borrower) and the relevant Lenders, plus (b) the Applicable Margin for Eurocurrency Loans. When used in reference to any Loan, “Alternate Rate” refers to whether such Loan is bearing interest at a rate determined by reference to the Alternate 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 w:name="page12"/>
    <w:bookmarkEnd w:id="1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Ancillary Borrower</w:t>
      </w:r>
      <w:r>
        <w:rPr>
          <w:rFonts w:ascii="Arial" w:cs="Arial" w:eastAsia="Arial" w:hAnsi="Arial"/>
          <w:sz w:val="18"/>
          <w:szCs w:val="18"/>
          <w:color w:val="auto"/>
        </w:rPr>
        <w:t>” has the meaning assigned to such term in Section 2.30(a).</w:t>
      </w:r>
    </w:p>
    <w:p>
      <w:pPr>
        <w:spacing w:after="0" w:line="225"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Commencement Date</w:t>
      </w:r>
      <w:r>
        <w:rPr>
          <w:rFonts w:ascii="Arial" w:cs="Arial" w:eastAsia="Arial" w:hAnsi="Arial"/>
          <w:sz w:val="16"/>
          <w:szCs w:val="16"/>
          <w:color w:val="auto"/>
        </w:rPr>
        <w:t>” means, in relation to an Ancillary Facility, the date on which such Ancillary Facility is first made available, which date shall be a Business Day within the Commitment Period for the applicable Ancillary Lender in respect of the Multicurrency Facility.</w:t>
      </w:r>
    </w:p>
    <w:p>
      <w:pPr>
        <w:spacing w:after="0" w:line="124"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Commitment</w:t>
      </w:r>
      <w:r>
        <w:rPr>
          <w:rFonts w:ascii="Arial" w:cs="Arial" w:eastAsia="Arial" w:hAnsi="Arial"/>
          <w:sz w:val="17"/>
          <w:szCs w:val="17"/>
          <w:color w:val="auto"/>
        </w:rPr>
        <w:t xml:space="preserve">” means, with respect to any Ancillary Lender and Ancillary Facility, the maximum Dollar Equivalent of the amount that such Ancillary Lender has agreed to make available from time to time prior to the Termination Date under such Ancillary Facility pursuant to Section 2.30 (to the extent such amount is not cancelled or reduced under this Agreement or the Ancillary Facility Documents relating to that Ancillary Facility and, in each case, such Dollar Equivalent amount to be determined as of the applicable Ancillary Commencement Date, without giving effect to any currency fluctuations after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shall (a) the aggregate Ancillary Commitments of such Ancillary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Multicurrency Extensions of Credit of such Ancillary Lender exceed (b) the Multicurrency Commitment of such Ancillary Lender (determined without giving effect to any reduction of such Commitment pursuant to Section 2.30).</w:t>
      </w:r>
    </w:p>
    <w:p>
      <w:pPr>
        <w:spacing w:after="0" w:line="178"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Facility</w:t>
      </w:r>
      <w:r>
        <w:rPr>
          <w:rFonts w:ascii="Arial" w:cs="Arial" w:eastAsia="Arial" w:hAnsi="Arial"/>
          <w:sz w:val="18"/>
          <w:szCs w:val="18"/>
          <w:color w:val="auto"/>
        </w:rPr>
        <w:t>” means (a) any overdraft, automated payment, check drawing and/or other current account facility, (b) any credit order or short term loan facility, (c) any foreign exchange or foreign currency facility, (d) any documentary or stand-by letter of credit facility, suretyship, guarantee and/or bonding facility or any other instrument to provide a contingent liability, (e) any derivatives or hedging facility and/or (f) any other facility or financial accommodation that may be entered into by any Ancillary Borrower in connection with the business of the Company and/or any of its Subsidiaries, in each case made available by an Ancillary Lender in accordance with Section 2.30.</w:t>
      </w:r>
    </w:p>
    <w:p>
      <w:pPr>
        <w:spacing w:after="0" w:line="18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Facility Document</w:t>
      </w:r>
      <w:r>
        <w:rPr>
          <w:rFonts w:ascii="Arial" w:cs="Arial" w:eastAsia="Arial" w:hAnsi="Arial"/>
          <w:sz w:val="18"/>
          <w:szCs w:val="18"/>
          <w:color w:val="auto"/>
        </w:rPr>
        <w:t>” means, with respect to any Ancillary Facility, each document or instrument between any Ancillary Borrower and the applicable Ancillary Lender thereunder governing such Ancillary Facility.</w:t>
      </w:r>
    </w:p>
    <w:p>
      <w:pPr>
        <w:spacing w:after="0" w:line="170"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Facility Outstandings</w:t>
      </w:r>
      <w:r>
        <w:rPr>
          <w:rFonts w:ascii="Arial" w:cs="Arial" w:eastAsia="Arial" w:hAnsi="Arial"/>
          <w:sz w:val="18"/>
          <w:szCs w:val="18"/>
          <w:color w:val="auto"/>
        </w:rPr>
        <w:t>” means, at any time, with respect to any Ancillary Lender and any Ancillary Facility then in effect, the Dollar Equivalent of the sum of the following amounts outstanding under such Ancillary Facility: (a) the principal amount under each overdraft facility and on-demand short term loan facility (net of any credit balance on any account of any Ancillary Borrower under any Ancillary Facility with the relevant Ancillary Lender to the extent that such credit balance is freely available to be set-off by such Ancillary Lender against liabilities owing by such Ancillary Borrower under such Ancillary Facility); (b) the face amount of each guarantee, bond and letter of credit under such Ancillary Facility (net of any cash collateral and otherwise as the maximum liability thereunder is reduced in accordance with its terms and by calls thereon which have been satisfied, and excluding any liability in respect of amounts of interest, fees and similar charges); and (c) the amount fairly representing the aggregate exposure (excluding interest, fees and similar charges) of such Ancillary Lender under each other type of accommodation provided under such Ancillary Facility, in each case as determined by such Ancillary Lender, acting reasonably in accordance with its normal banking practice and in accordance with the relevant Ancillary Facility Document.</w:t>
      </w:r>
    </w:p>
    <w:p>
      <w:pPr>
        <w:spacing w:after="0" w:line="19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Lender</w:t>
      </w:r>
      <w:r>
        <w:rPr>
          <w:rFonts w:ascii="Arial" w:cs="Arial" w:eastAsia="Arial" w:hAnsi="Arial"/>
          <w:sz w:val="18"/>
          <w:szCs w:val="18"/>
          <w:color w:val="auto"/>
        </w:rPr>
        <w:t>” means, with respect to any Ancillary Facility, the Lender (or an affiliate of such Lender) that has made (in its sole discretion) such Ancillary Facility available under Section 2.30.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and the UK Bribery Act.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2" w:name="page13"/>
    <w:bookmarkEnd w:id="1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has the meaning assigned to such term in Section 3.1(a).</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any Lender, such Lender’s office, branch or affiliate designated for Eurocurrency Loans denominated in the applicable Currency, ABR Loans, CDI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8"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means, for any day, with respect to any ABR Loan, CDI Loan or Eurocurrency Loan, as the case may be, the applicable rate per annum set forth under the relevant column heading in the Applicable Pricing Grid, based upon the Applicable Rating in effect on such day.</w:t>
      </w:r>
    </w:p>
    <w:p>
      <w:pPr>
        <w:spacing w:after="0" w:line="14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(i) in the case of any Loan (other than a CDI Loan) the table set forth on Schedule 1.1C and (ii) in the case of any CDI Loan, the table set forth in Exhibit 3.2 in the applicable Brazilian Bank Certificate.</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Rating</w:t>
      </w:r>
      <w:r>
        <w:rPr>
          <w:rFonts w:ascii="Arial" w:cs="Arial" w:eastAsia="Arial" w:hAnsi="Arial"/>
          <w:sz w:val="18"/>
          <w:szCs w:val="18"/>
          <w:color w:val="auto"/>
        </w:rPr>
        <w:t xml:space="preserve">” means the Index Debt Rating;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the Company has obtained or maintained a Facility Rating from at least two of Moody’s, S&amp;P or Fitch, the “Applicable Rating” shall be the Facility Rating in effect at any time of determination.</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G.</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Multicurrency Commitment</w:t>
      </w:r>
      <w:r>
        <w:rPr>
          <w:rFonts w:ascii="Arial" w:cs="Arial" w:eastAsia="Arial" w:hAnsi="Arial"/>
          <w:sz w:val="18"/>
          <w:szCs w:val="18"/>
          <w:color w:val="auto"/>
        </w:rPr>
        <w:t xml:space="preserve">” means, on any date of determination with respect to any Lender, (a) such Lender’s Multicurrency Commitment in effect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its Multicurrency Extensions of Credit on such date.</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 w:name="page14"/>
    <w:bookmarkEnd w:id="13"/>
    <w:p>
      <w:pPr>
        <w:ind w:right="200"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225"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the Company, GMB, GMGTC, GMF or any other Subsidiary Borrower designated from time to time by the Company until (in the case of any Subsidiary Borrower) such time as such Subsidiary Borrower is removed as a party hereto pursuant to Section 10.1(d).</w:t>
      </w:r>
    </w:p>
    <w:p>
      <w:pPr>
        <w:spacing w:after="0" w:line="14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DTTP Filing</w:t>
      </w:r>
      <w:r>
        <w:rPr>
          <w:rFonts w:ascii="Arial" w:cs="Arial" w:eastAsia="Arial" w:hAnsi="Arial"/>
          <w:sz w:val="17"/>
          <w:szCs w:val="17"/>
          <w:color w:val="auto"/>
        </w:rPr>
        <w:t>” means an HMRC Form DTTP2, duly completed and filed by the relevant Borrower, which contains the scheme reference number and jurisdiction of tax residence provided by a UK Treaty Lender to the relevant UK Borrower and the Administrative Agent in accordance with Section 2.21(e) and which (a) where it relates to a UK Treaty Lender that is a Lender on the date of this Agreement, contains the scheme reference number and jurisdiction of tax residence stated opposite that Lender’s name in Schedule 1.1A to this Agreement, and (i) where the UK Borrower is a Borrower on the date of this Agreement, is filed with HMRC within 30 days of the date of this Agreement; or (ii) where the UK Borrower becomes a Borrower after the date of this Agreement, is filed with HMRC within 30 days of that date; or (b) where it relates to a UK Treaty Lender that is not a Lender on the date of this Agreement, contains the scheme reference number and jurisdiction of tax residence stated in respect of that Lender in the documentation which it executes on becoming a Lender; and (i) where the UK Borrower is a Borrower as at the date on which that UK Treaty Lender becomes a Lender, is filed with HMRC within 30 days of that date; or (ii) where the UK Borrower is not a Borrower as at the date on which that UK Treaty Lender becomes a Lender, is filed with HMRC within 30 days of the date on which that UK Borrower becomes a Borrower.</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joinder agreement substantially in the form of Exhibit H.</w:t>
      </w:r>
    </w:p>
    <w:p>
      <w:pPr>
        <w:spacing w:after="0" w:line="225"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or any Subsidiary Borrower as a date on which the Company or such Subsidiary Borrower requests the relevant Lenders to make Loans hereunder.</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any Borrower for a Domestic Loan, L/C Tranche Loan or Multicurrency Loan, in substantially the form of Exhibit 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Bank Certificate</w:t>
      </w:r>
      <w:r>
        <w:rPr>
          <w:rFonts w:ascii="Arial" w:cs="Arial" w:eastAsia="Arial" w:hAnsi="Arial"/>
          <w:sz w:val="18"/>
          <w:szCs w:val="18"/>
          <w:color w:val="auto"/>
        </w:rPr>
        <w:t>” means each bank credit certificate, issued by any Brazilian Subsidiary Borrower in favor of any Brazilian Lender pursuant to which such Brazilian Lender agrees to make Brazilian Loans.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4" w:name="page15"/>
    <w:bookmarkEnd w:id="14"/>
    <w:p>
      <w:pPr>
        <w:ind w:right="160" w:firstLine="91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Brazilian Commitment</w:t>
      </w:r>
      <w:r>
        <w:rPr>
          <w:rFonts w:ascii="Arial" w:cs="Arial" w:eastAsia="Arial" w:hAnsi="Arial"/>
          <w:sz w:val="16"/>
          <w:szCs w:val="16"/>
          <w:color w:val="auto"/>
        </w:rPr>
        <w:t>” means as to any Lender, the obligation of such Lender, if any, to make Brazilian Loans in an aggregate principal amount in Brazilian Reais the Dollar Equivalent of which shall not exceed the amount set forth under the heading “Brazilian Commitment” opposite such Lender’s name on Schedule 1.1A or in the Assignment and Assumption pursuant to which such Lender became a party hereto, as the same may be changed from time to time pursuant to the terms hereof. The aggregate principal amount in Brazilian Reais of the Brazilian Commitment shall be (i) calculated based on the Real/U.S. Dollars exchange rate, expressed as the amount of Reais for conversion into Dollars as reported by the Central Bank of Brazil and on its website (which, at the date hereof, is located at http://www.bcb.gov.br/?txcambio), under transaction “Cotações e Boletins” option “Cotações de fechamento de todas as moedas em uma data”, “Venda” (or any successor screen established by the Central Bank of Brazil) (such rate, the “PTAX”) on each valuation date of the exchange rates; (ii) the Brazilian Commitment shall be updated every quarter as of the issuance date of each Brazilian Bank Certificate based on the exchange rate above available on the Business Day prior to the date of issuance of a written amendment to the respective Brazilian Bank Certificate and</w:t>
      </w:r>
    </w:p>
    <w:p>
      <w:pPr>
        <w:spacing w:after="0" w:line="7" w:lineRule="exact"/>
        <w:rPr>
          <w:sz w:val="20"/>
          <w:szCs w:val="20"/>
          <w:color w:val="auto"/>
        </w:rPr>
      </w:pPr>
    </w:p>
    <w:p>
      <w:pPr>
        <w:ind w:right="340" w:firstLine="8"/>
        <w:spacing w:after="0" w:line="253"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informed by the Brazilian Administrative Agent to each Brazilian Lender and the relevant Brazilian Subsidiary Borrower on the disbursement date of each borrowing under the Brazilian Commitment or at any day if so requested by any Brazilian Subsidiary Borrower and/or any Brazilian Lender. If the PTAX is not available, for any reason, the sale closing average quotations received from three leading Brazilian banks as selected by GMB in its sole discretion shall be applied. Notwithstanding the foregoing, if such rate cannot be determined, the conversion rate shall be jointly defined by GMB and the Brazilian Lenders.</w:t>
      </w:r>
    </w:p>
    <w:p>
      <w:pPr>
        <w:spacing w:after="0" w:line="191"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Extensions of Credit</w:t>
      </w:r>
      <w:r>
        <w:rPr>
          <w:rFonts w:ascii="Arial" w:cs="Arial" w:eastAsia="Arial" w:hAnsi="Arial"/>
          <w:sz w:val="18"/>
          <w:szCs w:val="18"/>
          <w:color w:val="auto"/>
        </w:rPr>
        <w:t>” means, as to any Brazilian Lender at any time, an amount equal to the Dollar Equivalent of the aggregate principal amount of all Brazilian Loans held by such Lender then outstanding.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Facility</w:t>
      </w:r>
      <w:r>
        <w:rPr>
          <w:rFonts w:ascii="Arial" w:cs="Arial" w:eastAsia="Arial" w:hAnsi="Arial"/>
          <w:sz w:val="18"/>
          <w:szCs w:val="18"/>
          <w:color w:val="auto"/>
        </w:rPr>
        <w:t>” means the Brazilian Commitments and the extensions of credit made thereunder.</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Intercreditor Agreement</w:t>
      </w:r>
      <w:r>
        <w:rPr>
          <w:rFonts w:ascii="Arial" w:cs="Arial" w:eastAsia="Arial" w:hAnsi="Arial"/>
          <w:sz w:val="18"/>
          <w:szCs w:val="18"/>
          <w:color w:val="auto"/>
        </w:rPr>
        <w:t>” means that certain third amended and restated intercreditor agreement, dated as of the date hereof, among the Brazilian Administrative Agent and the Brazilian Lenders.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Lender</w:t>
      </w:r>
      <w:r>
        <w:rPr>
          <w:rFonts w:ascii="Arial" w:cs="Arial" w:eastAsia="Arial" w:hAnsi="Arial"/>
          <w:sz w:val="18"/>
          <w:szCs w:val="18"/>
          <w:color w:val="auto"/>
        </w:rPr>
        <w:t>” means each Lender that has a Brazilian Commitment or that holds Brazilian Loans.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Loans</w:t>
      </w:r>
      <w:r>
        <w:rPr>
          <w:rFonts w:ascii="Arial" w:cs="Arial" w:eastAsia="Arial" w:hAnsi="Arial"/>
          <w:sz w:val="18"/>
          <w:szCs w:val="18"/>
          <w:color w:val="auto"/>
        </w:rPr>
        <w:t>” has the meaning assigned to such term in Section 2.5(a).</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Percentage</w:t>
      </w:r>
      <w:r>
        <w:rPr>
          <w:rFonts w:ascii="Arial" w:cs="Arial" w:eastAsia="Arial" w:hAnsi="Arial"/>
          <w:sz w:val="18"/>
          <w:szCs w:val="18"/>
          <w:color w:val="auto"/>
        </w:rPr>
        <w:t>” means as to any Brazilian Lender at any time, the percentage which such Lender’s Brazilian Commitment then constitutes of the aggregate amount of the Brazilian Commitments then in effect or, at any time after the Brazilian Commitments shall have expired or terminated, the percentage which the aggregate Outstanding Amount of Brazilian Extensions of Credit of such Lender then outstanding constitutes of the aggregate Outstanding Amount of Brazilian Extensions of Credit of the Brazilian Lenders then outstanding.</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Reais</w:t>
      </w:r>
      <w:r>
        <w:rPr>
          <w:rFonts w:ascii="Arial" w:cs="Arial" w:eastAsia="Arial" w:hAnsi="Arial"/>
          <w:sz w:val="18"/>
          <w:szCs w:val="18"/>
          <w:color w:val="auto"/>
        </w:rPr>
        <w:t>” and “</w:t>
      </w:r>
      <w:r>
        <w:rPr>
          <w:rFonts w:ascii="Arial" w:cs="Arial" w:eastAsia="Arial" w:hAnsi="Arial"/>
          <w:sz w:val="18"/>
          <w:szCs w:val="18"/>
          <w:u w:val="single" w:color="auto"/>
          <w:color w:val="auto"/>
        </w:rPr>
        <w:t>R$</w:t>
      </w:r>
      <w:r>
        <w:rPr>
          <w:rFonts w:ascii="Arial" w:cs="Arial" w:eastAsia="Arial" w:hAnsi="Arial"/>
          <w:sz w:val="18"/>
          <w:szCs w:val="18"/>
          <w:color w:val="auto"/>
        </w:rPr>
        <w:t>” mean the lawful currency of the Federative Republic of Brazil.</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Subsidiary</w:t>
      </w:r>
      <w:r>
        <w:rPr>
          <w:rFonts w:ascii="Arial" w:cs="Arial" w:eastAsia="Arial" w:hAnsi="Arial"/>
          <w:sz w:val="18"/>
          <w:szCs w:val="18"/>
          <w:color w:val="auto"/>
        </w:rPr>
        <w:t>” means, with respect to any Person, any Subsidiary of such Person organized under the laws of any jurisdiction within the Federative Republic of Brazil. Unless otherwise qualified, all references to a “Brazilian Subsidiary” or to “Brazilian Subsidiaries” in this Agreement shall refer to a Brazilian Subsidiary or Brazilian Subsidiaries of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5" w:name="page16"/>
    <w:bookmarkEnd w:id="15"/>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Brazilian Subsidiary Borrower</w:t>
      </w:r>
      <w:r>
        <w:rPr>
          <w:rFonts w:ascii="Arial" w:cs="Arial" w:eastAsia="Arial" w:hAnsi="Arial"/>
          <w:sz w:val="17"/>
          <w:szCs w:val="17"/>
          <w:color w:val="auto"/>
        </w:rPr>
        <w:t>” means GMB and any Subsidiary Borrower that is a Subsidiary of GMF or GMB and which is a Brazilian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1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other than a Saturday, Sunday or other day on which banks in New York City and, solely in connection with matters relating to the Brazilian Lenders, São Paulo and São Caetano do Sul, both in the State of São Paulo, Brazil, are permitted to close;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when used in connection with (a) a Eurocurrency Loan or Ancillary Facility, the term “Business Day” shall also exclude any day on which banks are not open for dealings in Dollar deposits or deposits in any Optional Currency (or in the case of any Ancillary Facility, any other applicable currency), as applicable, in the London Interbank market, (b) an extension of credit denominated in Euros (including under any Ancillary Facility), the term “Business Day” shall also exclude any day that is not a TARGET Day and (c) an extension of credit denominated in any Optional Currency (other than Euros) or any other currency, the term “Business Day” shall also exclude any day on which banks in the principal financial center of the country of such Optional Currency or other currency are not open for general business.</w:t>
      </w:r>
    </w:p>
    <w:p>
      <w:pPr>
        <w:spacing w:after="0" w:line="179"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24"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CDI</w:t>
      </w:r>
      <w:r>
        <w:rPr>
          <w:rFonts w:ascii="Arial" w:cs="Arial" w:eastAsia="Arial" w:hAnsi="Arial"/>
          <w:sz w:val="16"/>
          <w:szCs w:val="16"/>
          <w:color w:val="auto"/>
        </w:rPr>
        <w:t>” means the daily average rate of the DI – Depósitos Interfinanceiros de um dia, “over extra-grupo”, expressed in the form of a percentage per annum, based upon 252 business days, calculated and published daily by the B3 S.A. – Brasil, Bolsa, Balcão, at the website http://www.cetip.com.br.</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CDI Loans</w:t>
      </w:r>
      <w:r>
        <w:rPr>
          <w:rFonts w:ascii="Arial" w:cs="Arial" w:eastAsia="Arial" w:hAnsi="Arial"/>
          <w:sz w:val="18"/>
          <w:szCs w:val="18"/>
          <w:color w:val="auto"/>
        </w:rPr>
        <w:t>” means Loans the rate of interest applicable to which is based upon the CDI.</w:t>
      </w:r>
    </w:p>
    <w:p>
      <w:pPr>
        <w:spacing w:after="0" w:line="225"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Lender (or, for purposes of Section 2.20, by any lending office of such Lender or Issuing Lender or by such Lender’s or Issuing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has the meaning assigned to such term in Section 2.21(a).</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6" w:name="page17"/>
    <w:bookmarkEnd w:id="16"/>
    <w:p>
      <w:pPr>
        <w:ind w:right="6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 (a) any “</w:t>
      </w:r>
      <w:r>
        <w:rPr>
          <w:rFonts w:ascii="Arial" w:cs="Arial" w:eastAsia="Arial" w:hAnsi="Arial"/>
          <w:sz w:val="16"/>
          <w:szCs w:val="16"/>
          <w:u w:val="single" w:color="auto"/>
          <w:color w:val="auto"/>
        </w:rPr>
        <w:t>person</w:t>
      </w:r>
      <w:r>
        <w:rPr>
          <w:rFonts w:ascii="Arial" w:cs="Arial" w:eastAsia="Arial" w:hAnsi="Arial"/>
          <w:sz w:val="16"/>
          <w:szCs w:val="16"/>
          <w:color w:val="auto"/>
        </w:rPr>
        <w:t>” or “</w:t>
      </w:r>
      <w:r>
        <w:rPr>
          <w:rFonts w:ascii="Arial" w:cs="Arial" w:eastAsia="Arial" w:hAnsi="Arial"/>
          <w:sz w:val="16"/>
          <w:szCs w:val="16"/>
          <w:u w:val="single" w:color="auto"/>
          <w:color w:val="auto"/>
        </w:rPr>
        <w:t>group</w:t>
      </w:r>
      <w:r>
        <w:rPr>
          <w:rFonts w:ascii="Arial" w:cs="Arial" w:eastAsia="Arial" w:hAnsi="Arial"/>
          <w:sz w:val="16"/>
          <w:szCs w:val="16"/>
          <w:color w:val="auto"/>
        </w:rPr>
        <w:t>” (as such terms are used in Sections 13(d) and 14(d) of the Exchange Act) shall become, or obtain rights (whether by means of warrants, options or otherwise) to become, the “</w:t>
      </w:r>
      <w:r>
        <w:rPr>
          <w:rFonts w:ascii="Arial" w:cs="Arial" w:eastAsia="Arial" w:hAnsi="Arial"/>
          <w:sz w:val="16"/>
          <w:szCs w:val="16"/>
          <w:u w:val="single" w:color="auto"/>
          <w:color w:val="auto"/>
        </w:rPr>
        <w:t>beneficial owner</w:t>
      </w:r>
      <w:r>
        <w:rPr>
          <w:rFonts w:ascii="Arial" w:cs="Arial" w:eastAsia="Arial" w:hAnsi="Arial"/>
          <w:sz w:val="16"/>
          <w:szCs w:val="16"/>
          <w:color w:val="auto"/>
        </w:rPr>
        <w:t>” (as defined in Rules 13(d)-3 and 13(d) 5 under the Exchange Act), directly or indirectly, of more than 50% of the outstanding Voting Stock of the Company or</w:t>
      </w:r>
    </w:p>
    <w:p>
      <w:pPr>
        <w:spacing w:after="0"/>
        <w:rPr>
          <w:sz w:val="20"/>
          <w:szCs w:val="20"/>
          <w:color w:val="auto"/>
        </w:rPr>
      </w:pPr>
      <w:r>
        <w:rPr>
          <w:rFonts w:ascii="Arial" w:cs="Arial" w:eastAsia="Arial" w:hAnsi="Arial"/>
          <w:sz w:val="18"/>
          <w:szCs w:val="18"/>
          <w:color w:val="auto"/>
        </w:rPr>
        <w:t>(b) Continuing Directors cease to constitute at least a majority of the members of the board of directors of the Company.</w:t>
      </w:r>
    </w:p>
    <w:p>
      <w:pPr>
        <w:spacing w:after="0" w:line="21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means any person that is primarily engaged in the issuance of securities based on, collateralized by or otherwise backed by one or more pools of assets consisting primarily of bank loans.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the conditions precedent set forth in Section 5.1 shall have been satisfied, which date is April 18, 2018.</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Collateralized</w:t>
      </w:r>
      <w:r>
        <w:rPr>
          <w:rFonts w:ascii="Arial" w:cs="Arial" w:eastAsia="Arial" w:hAnsi="Arial"/>
          <w:sz w:val="18"/>
          <w:szCs w:val="18"/>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81"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individually and collectively, the Brazilian Commitments, the Domestic Commitments, the L/C Tranche Commitments and the Multicurrency Commitments. To the extent any Incremental Facility or New Local Facility is established, the “Commitments” shall, to the extent appropriate, include commitments under such Facilities.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assigned to such term in Section 2.28(a).</w:t>
      </w:r>
    </w:p>
    <w:p>
      <w:pPr>
        <w:spacing w:after="0" w:line="225" w:lineRule="exact"/>
        <w:rPr>
          <w:sz w:val="20"/>
          <w:szCs w:val="20"/>
          <w:color w:val="auto"/>
        </w:rPr>
      </w:pPr>
    </w:p>
    <w:p>
      <w:pPr>
        <w:ind w:right="7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70" w:lineRule="exact"/>
        <w:rPr>
          <w:sz w:val="20"/>
          <w:szCs w:val="20"/>
          <w:color w:val="auto"/>
        </w:rPr>
      </w:pPr>
    </w:p>
    <w:p>
      <w:pPr>
        <w:jc w:val="both"/>
        <w:ind w:right="4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8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the Brazilian Intercreditor Agreement or otherwise transmitted between the parties hereto relating to this Agreement, the other Loan Documents, the Brazilian Intercreditor Agreement, any Loan Party or its affiliates, or the transactions contemplated by this Agreement, the other Loan Documents or the Brazilian Intercreditor Agreement.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2.9.</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7" w:name="page18"/>
    <w:bookmarkEnd w:id="1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Competitive Bid Accept/Reject Letter</w:t>
      </w:r>
      <w:r>
        <w:rPr>
          <w:rFonts w:ascii="Arial" w:cs="Arial" w:eastAsia="Arial" w:hAnsi="Arial"/>
          <w:sz w:val="16"/>
          <w:szCs w:val="16"/>
          <w:color w:val="auto"/>
        </w:rPr>
        <w:t>” means a notification made by the Company pursuant to Section 2.9, substantially in the form of Exhibit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xml:space="preserve">” means, with respect to any Competitive Bid (a) in the case of a Eurocurrency Competitive Loan,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the Margin and (b) in the case of a Fixed Rate Loan, the fixed rate of interest per annum, in each case specified by the Lender making such Competitive Loan in its related Competitive Bid.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made pursuant to Section 2.9, substantially in the form of Exhibit 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2.9.</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J.</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Domestic Liquidity</w:t>
      </w:r>
      <w:r>
        <w:rPr>
          <w:rFonts w:ascii="Arial" w:cs="Arial" w:eastAsia="Arial" w:hAnsi="Arial"/>
          <w:sz w:val="16"/>
          <w:szCs w:val="16"/>
          <w:color w:val="auto"/>
        </w:rPr>
        <w:t xml:space="preserve">” means, as of any date of determination, the sum of (a) the Total Available Commitments as of such date </w:t>
      </w:r>
      <w:r>
        <w:rPr>
          <w:rFonts w:ascii="Arial" w:cs="Arial" w:eastAsia="Arial" w:hAnsi="Arial"/>
          <w:sz w:val="16"/>
          <w:szCs w:val="16"/>
          <w:u w:val="single" w:color="auto"/>
          <w:color w:val="auto"/>
        </w:rPr>
        <w:t>plus</w:t>
      </w:r>
    </w:p>
    <w:p>
      <w:pPr>
        <w:spacing w:after="0" w:line="46" w:lineRule="exact"/>
        <w:rPr>
          <w:sz w:val="20"/>
          <w:szCs w:val="20"/>
          <w:color w:val="auto"/>
        </w:rPr>
      </w:pPr>
    </w:p>
    <w:p>
      <w:pPr>
        <w:ind w:right="20" w:firstLine="8"/>
        <w:spacing w:after="0" w:line="252"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5-Year Total Available Commitments at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total available commitments (after giving effect to any applicable borrowing base limitations) under other then-effective committed credit facilities of the Company or any Domestic Subsidiary (including any Ancillary Commitments, which may at such time be reallocated to provide availability to the Company or any Domestic Subsidiary)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Global Liquidity</w:t>
      </w:r>
      <w:r>
        <w:rPr>
          <w:rFonts w:ascii="Arial" w:cs="Arial" w:eastAsia="Arial" w:hAnsi="Arial"/>
          <w:sz w:val="16"/>
          <w:szCs w:val="16"/>
          <w:color w:val="auto"/>
        </w:rPr>
        <w:t xml:space="preserve">” means as of any date of determination, the sum of (a) the Total Available Commitments as of such date </w:t>
      </w:r>
      <w:r>
        <w:rPr>
          <w:rFonts w:ascii="Arial" w:cs="Arial" w:eastAsia="Arial" w:hAnsi="Arial"/>
          <w:sz w:val="16"/>
          <w:szCs w:val="16"/>
          <w:u w:val="single" w:color="auto"/>
          <w:color w:val="auto"/>
        </w:rPr>
        <w:t>plus</w:t>
      </w:r>
    </w:p>
    <w:p>
      <w:pPr>
        <w:spacing w:after="0" w:line="46" w:lineRule="exact"/>
        <w:rPr>
          <w:sz w:val="20"/>
          <w:szCs w:val="20"/>
          <w:color w:val="auto"/>
        </w:rPr>
      </w:pPr>
    </w:p>
    <w:p>
      <w:pPr>
        <w:ind w:firstLine="8"/>
        <w:spacing w:after="0" w:line="271" w:lineRule="auto"/>
        <w:tabs>
          <w:tab w:leader="none" w:pos="2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5-Year Total Available Commitments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total available commitments (after giving effect to any applicable borrowing base limitations) under other then-effective committed credit facilities of the Company or any of its Subsidiaries (including any Ancillary Commitments available to the Company or any of its Subsidiaries, if applicable)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79"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Assets</w:t>
      </w:r>
      <w:r>
        <w:rPr>
          <w:rFonts w:ascii="Arial" w:cs="Arial" w:eastAsia="Arial" w:hAnsi="Arial"/>
          <w:sz w:val="17"/>
          <w:szCs w:val="17"/>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66"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8" w:name="page19"/>
    <w:bookmarkEnd w:id="1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Continuing Director</w:t>
      </w:r>
      <w:r>
        <w:rPr>
          <w:rFonts w:ascii="Arial" w:cs="Arial" w:eastAsia="Arial" w:hAnsi="Arial"/>
          <w:sz w:val="16"/>
          <w:szCs w:val="16"/>
          <w:color w:val="auto"/>
        </w:rPr>
        <w:t>” means, at any date, an individual (a) who is a member of the board of directors of the Company on the Closing Date or</w:t>
      </w:r>
    </w:p>
    <w:p>
      <w:pPr>
        <w:spacing w:after="0" w:line="46" w:lineRule="exact"/>
        <w:rPr>
          <w:sz w:val="20"/>
          <w:szCs w:val="20"/>
          <w:color w:val="auto"/>
        </w:rPr>
      </w:pPr>
    </w:p>
    <w:p>
      <w:pPr>
        <w:ind w:right="120" w:firstLine="8"/>
        <w:spacing w:after="0" w:line="261"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who has been nominated or appointed to be a member of such board of directors, or approved or otherwise ratified, by a majority of the other Continuing Directors then in office.</w:t>
      </w:r>
    </w:p>
    <w:p>
      <w:pPr>
        <w:spacing w:after="0" w:line="184"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Optional Currency.</w:t>
      </w:r>
    </w:p>
    <w:p>
      <w:pPr>
        <w:spacing w:after="0" w:line="225"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8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of the events specified in Section 8, whether or not any requirement for the giving of notice, the lapse of time, or both, has been satisfied.</w:t>
      </w:r>
    </w:p>
    <w:p>
      <w:pPr>
        <w:spacing w:after="0" w:line="170"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at any time, a Lender (a) that has defaulted in its obligation to make Loans or participate in Letters of Credit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Letters of Credit</w:t>
      </w:r>
      <w:r>
        <w:rPr>
          <w:rFonts w:ascii="Arial" w:cs="Arial" w:eastAsia="Arial" w:hAnsi="Arial"/>
          <w:sz w:val="18"/>
          <w:szCs w:val="18"/>
          <w:color w:val="auto"/>
        </w:rPr>
        <w:t>” has the meaning assigned to such term in Section 3.11(b).</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Principal Trade Name</w:t>
      </w:r>
      <w:r>
        <w:rPr>
          <w:rFonts w:ascii="Arial" w:cs="Arial" w:eastAsia="Arial" w:hAnsi="Arial"/>
          <w:sz w:val="18"/>
          <w:szCs w:val="18"/>
          <w:color w:val="auto"/>
        </w:rPr>
        <w:t xml:space="preserve">” means a Principal Trade Name, designated by the Company as the “Designated Principal Trade Name” in a written notice to the Administrative Agent pursuant to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only one Principal Trade Name may be designated as a “Designated Principal Trade Name” during the term of this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Designation Date</w:t>
      </w:r>
      <w:r>
        <w:rPr>
          <w:rFonts w:ascii="Arial" w:cs="Arial" w:eastAsia="Arial" w:hAnsi="Arial"/>
          <w:sz w:val="18"/>
          <w:szCs w:val="18"/>
          <w:color w:val="auto"/>
        </w:rPr>
        <w:t>” has the meaning assigned to such term in Section 3.11(b).</w:t>
      </w:r>
    </w:p>
    <w:p>
      <w:pPr>
        <w:spacing w:after="0" w:line="225" w:lineRule="exact"/>
        <w:rPr>
          <w:sz w:val="20"/>
          <w:szCs w:val="20"/>
          <w:color w:val="auto"/>
        </w:rPr>
      </w:pPr>
    </w:p>
    <w:p>
      <w:pPr>
        <w:ind w:right="28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with respect to any property, any sale, transfer or other disposition thereof; and the terms “Dispose” and “Disposed of” shall have correlative meanings;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9" w:name="page20"/>
    <w:bookmarkEnd w:id="19"/>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225"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Commitment</w:t>
      </w:r>
      <w:r>
        <w:rPr>
          <w:rFonts w:ascii="Arial" w:cs="Arial" w:eastAsia="Arial" w:hAnsi="Arial"/>
          <w:sz w:val="16"/>
          <w:szCs w:val="16"/>
          <w:color w:val="auto"/>
        </w:rPr>
        <w:t>” means as to any Lender, the obligation of such Lender, if any, to make Domestic Loans in an aggregate principal amount not to exceed the amount set forth under the heading “Domestic Commitment” opposite such Lender’s name on Schedule 1.1A or in the Assignment and Assumption pursuant to which such Lender became a party hereto, as the same may be changed from time to time pursuant to the terms hereof.</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Competitive Loan</w:t>
      </w:r>
      <w:r>
        <w:rPr>
          <w:rFonts w:ascii="Arial" w:cs="Arial" w:eastAsia="Arial" w:hAnsi="Arial"/>
          <w:sz w:val="18"/>
          <w:szCs w:val="18"/>
          <w:color w:val="auto"/>
        </w:rPr>
        <w:t>” means a Competitive Loan made under the Domestic Facility.</w:t>
      </w:r>
    </w:p>
    <w:p>
      <w:pPr>
        <w:spacing w:after="0" w:line="225"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Extensions of Credit</w:t>
      </w:r>
      <w:r>
        <w:rPr>
          <w:rFonts w:ascii="Arial" w:cs="Arial" w:eastAsia="Arial" w:hAnsi="Arial"/>
          <w:sz w:val="18"/>
          <w:szCs w:val="18"/>
          <w:color w:val="auto"/>
        </w:rPr>
        <w:t>” means, as to any Domestic Lender at any time, an amount equal to the aggregate principal amount of all Domestic Loans held by such Lender then outstanding.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Facility</w:t>
      </w:r>
      <w:r>
        <w:rPr>
          <w:rFonts w:ascii="Arial" w:cs="Arial" w:eastAsia="Arial" w:hAnsi="Arial"/>
          <w:sz w:val="18"/>
          <w:szCs w:val="18"/>
          <w:color w:val="auto"/>
        </w:rPr>
        <w:t>” means the Domestic Commitments and the extensions of credit made thereunder.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Lender</w:t>
      </w:r>
      <w:r>
        <w:rPr>
          <w:rFonts w:ascii="Arial" w:cs="Arial" w:eastAsia="Arial" w:hAnsi="Arial"/>
          <w:sz w:val="16"/>
          <w:szCs w:val="16"/>
          <w:color w:val="auto"/>
        </w:rPr>
        <w:t>” means each Lender that has a Domestic Commitment or that holds Domestic Loans or other Loans made under the Domestic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Loans</w:t>
      </w:r>
      <w:r>
        <w:rPr>
          <w:rFonts w:ascii="Arial" w:cs="Arial" w:eastAsia="Arial" w:hAnsi="Arial"/>
          <w:sz w:val="18"/>
          <w:szCs w:val="18"/>
          <w:color w:val="auto"/>
        </w:rPr>
        <w:t>” has the meaning assigned to such term in Section 2.1.</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Percentage</w:t>
      </w:r>
      <w:r>
        <w:rPr>
          <w:rFonts w:ascii="Arial" w:cs="Arial" w:eastAsia="Arial" w:hAnsi="Arial"/>
          <w:sz w:val="18"/>
          <w:szCs w:val="18"/>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and Domestic Competitive Loans of such Lender then outstanding constitutes of the aggregate Outstanding Amount of Domestic Extensions of Credit and Domestic Competitive Loans of the Domestic Lenders then outstanding.</w:t>
      </w:r>
    </w:p>
    <w:p>
      <w:pPr>
        <w:spacing w:after="0" w:line="188"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 Borrower</w:t>
      </w:r>
      <w:r>
        <w:rPr>
          <w:rFonts w:ascii="Arial" w:cs="Arial" w:eastAsia="Arial" w:hAnsi="Arial"/>
          <w:sz w:val="18"/>
          <w:szCs w:val="18"/>
          <w:color w:val="auto"/>
        </w:rPr>
        <w:t>” means any Subsidiary Borrower which is a Domestic Subsidiary.</w:t>
      </w:r>
    </w:p>
    <w:p>
      <w:pPr>
        <w:spacing w:after="0" w:line="225" w:lineRule="exact"/>
        <w:rPr>
          <w:sz w:val="20"/>
          <w:szCs w:val="20"/>
          <w:color w:val="auto"/>
        </w:rPr>
      </w:pPr>
    </w:p>
    <w:p>
      <w:pPr>
        <w:ind w:right="30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w:t>
      </w:r>
    </w:p>
    <w:p>
      <w:pPr>
        <w:ind w:firstLine="8"/>
        <w:spacing w:after="0" w:line="261"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institution established in an EEA Member Country which is a subsidiary of an institution described in clauses (a) or (b) of this definition and is subject to consolidated supervision with its parent.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0" w:name="page21"/>
    <w:bookmarkEnd w:id="2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81"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Default</w:t>
      </w:r>
      <w:r>
        <w:rPr>
          <w:rFonts w:ascii="Arial" w:cs="Arial" w:eastAsia="Arial" w:hAnsi="Arial"/>
          <w:sz w:val="16"/>
          <w:szCs w:val="16"/>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w:t>
      </w:r>
    </w:p>
    <w:p>
      <w:pPr>
        <w:spacing w:after="0" w:line="1" w:lineRule="exact"/>
        <w:rPr>
          <w:sz w:val="20"/>
          <w:szCs w:val="20"/>
          <w:color w:val="auto"/>
        </w:rPr>
      </w:pPr>
    </w:p>
    <w:p>
      <w:pPr>
        <w:jc w:val="both"/>
        <w:ind w:right="60" w:firstLine="8"/>
        <w:spacing w:after="0" w:line="273"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7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Base Rate</w:t>
      </w:r>
      <w:r>
        <w:rPr>
          <w:rFonts w:ascii="Arial" w:cs="Arial" w:eastAsia="Arial" w:hAnsi="Arial"/>
          <w:sz w:val="16"/>
          <w:szCs w:val="16"/>
          <w:color w:val="auto"/>
        </w:rPr>
        <w:t>” means, with respect to each day during each Interest Period pertaining to a Eurocurrency Loan, the London Interbank offered rate as administered by the ICE Benchmark Administration (or any other Person that takes over the administration of such rate) for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1" w:name="page22"/>
    <w:bookmarkEnd w:id="2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Currency for a period equal to such Interest Period commencing on the first day of such Interest Period as displayed on page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with the consent of the Company (such consent not to be unreasonably withheld); in each case, the “</w:t>
      </w:r>
      <w:r>
        <w:rPr>
          <w:rFonts w:ascii="Arial" w:cs="Arial" w:eastAsia="Arial" w:hAnsi="Arial"/>
          <w:sz w:val="17"/>
          <w:szCs w:val="17"/>
          <w:u w:val="single" w:color="auto"/>
          <w:color w:val="auto"/>
        </w:rPr>
        <w:t>Screen Rate</w:t>
      </w:r>
      <w:r>
        <w:rPr>
          <w:rFonts w:ascii="Arial" w:cs="Arial" w:eastAsia="Arial" w:hAnsi="Arial"/>
          <w:sz w:val="17"/>
          <w:szCs w:val="17"/>
          <w:color w:val="auto"/>
        </w:rPr>
        <w:t xml:space="preserve">”) as of 11:00 A.M., London time, on the Quotation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Screen Rate shall not be available at such time for such Interest Period (an “</w:t>
      </w:r>
      <w:r>
        <w:rPr>
          <w:rFonts w:ascii="Arial" w:cs="Arial" w:eastAsia="Arial" w:hAnsi="Arial"/>
          <w:sz w:val="17"/>
          <w:szCs w:val="17"/>
          <w:u w:val="single" w:color="auto"/>
          <w:color w:val="auto"/>
        </w:rPr>
        <w:t>Impacted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with respect to the applicable Currency, then the Eurocurrency Base Rate shall be the Interpolated Rate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Screen Rate shall be less than zero, such rate shall be deemed to be zero for purposes of this Agreement. “</w:t>
      </w:r>
      <w:r>
        <w:rPr>
          <w:rFonts w:ascii="Arial" w:cs="Arial" w:eastAsia="Arial" w:hAnsi="Arial"/>
          <w:sz w:val="17"/>
          <w:szCs w:val="17"/>
          <w:u w:val="single" w:color="auto"/>
          <w:color w:val="auto"/>
        </w:rPr>
        <w:t>Interpolated Rate</w:t>
      </w:r>
      <w:r>
        <w:rPr>
          <w:rFonts w:ascii="Arial" w:cs="Arial" w:eastAsia="Arial" w:hAnsi="Arial"/>
          <w:sz w:val="17"/>
          <w:szCs w:val="17"/>
          <w:color w:val="auto"/>
        </w:rPr>
        <w:t xml:space="preserve">” means, at any time,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for the applicable Currency) that is shorter than the Impacted Interest Period and (b) the Screen Rate for the shortest period (for which that Screen Rate is available for the applicable Currency) that exceeds the Impacted Interest Period, in each case,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Interpolated Rate shall be less than zero, such rate shall be deemed to be zero for purposes of this Agreement.</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Competitive Loans</w:t>
      </w:r>
      <w:r>
        <w:rPr>
          <w:rFonts w:ascii="Arial" w:cs="Arial" w:eastAsia="Arial" w:hAnsi="Arial"/>
          <w:sz w:val="17"/>
          <w:szCs w:val="17"/>
          <w:color w:val="auto"/>
        </w:rPr>
        <w:t>” means Competitive Loans bearing interest at a rate determined by reference to the Eurocurrency Rate.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Loans</w:t>
      </w:r>
      <w:r>
        <w:rPr>
          <w:rFonts w:ascii="Arial" w:cs="Arial" w:eastAsia="Arial" w:hAnsi="Arial"/>
          <w:sz w:val="18"/>
          <w:szCs w:val="18"/>
          <w:color w:val="auto"/>
        </w:rPr>
        <w:t>” means Loans the rate of interest applicable to which is based upon the Eurocurrency Rate.</w:t>
      </w:r>
    </w:p>
    <w:p>
      <w:pPr>
        <w:spacing w:after="0" w:line="225" w:lineRule="exact"/>
        <w:rPr>
          <w:sz w:val="20"/>
          <w:szCs w:val="20"/>
          <w:color w:val="auto"/>
        </w:rPr>
      </w:pPr>
    </w:p>
    <w:p>
      <w:pPr>
        <w:ind w:right="8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-10160</wp:posOffset>
            </wp:positionV>
            <wp:extent cx="22536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5361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 Eurocurrency Reserve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-19050</wp:posOffset>
            </wp:positionV>
            <wp:extent cx="2263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9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Reserve Requirements</w:t>
      </w:r>
      <w:r>
        <w:rPr>
          <w:rFonts w:ascii="Arial" w:cs="Arial" w:eastAsia="Arial" w:hAnsi="Arial"/>
          <w:sz w:val="17"/>
          <w:szCs w:val="17"/>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pacing w:after="0" w:line="179"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Tranche</w:t>
      </w:r>
      <w:r>
        <w:rPr>
          <w:rFonts w:ascii="Arial" w:cs="Arial" w:eastAsia="Arial" w:hAnsi="Arial"/>
          <w:sz w:val="17"/>
          <w:szCs w:val="17"/>
          <w:color w:val="auto"/>
        </w:rPr>
        <w:t>” means the collective reference to Eurocurrency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2" w:name="page23"/>
    <w:bookmarkEnd w:id="22"/>
    <w:p>
      <w:pPr>
        <w:ind w:right="2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22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for any day with respect to (i) any currency (other than Dollars or Brazilian Reais), the rate at which such currency may be exchanged into Dollars, as set forth at 11:00 A.M., London time, on such day on the applicable Reuters currency page with respect to such currency and</w:t>
      </w:r>
    </w:p>
    <w:p>
      <w:pPr>
        <w:ind w:firstLine="8"/>
        <w:spacing w:after="0" w:line="267" w:lineRule="auto"/>
        <w:tabs>
          <w:tab w:leader="none" w:pos="265" w:val="left"/>
        </w:tabs>
        <w:numPr>
          <w:ilvl w:val="0"/>
          <w:numId w:val="22"/>
        </w:numPr>
        <w:rPr>
          <w:rFonts w:ascii="Arial" w:cs="Arial" w:eastAsia="Arial" w:hAnsi="Arial"/>
          <w:sz w:val="17"/>
          <w:szCs w:val="17"/>
          <w:color w:val="auto"/>
        </w:rPr>
      </w:pPr>
      <w:r>
        <w:rPr>
          <w:rFonts w:ascii="Arial" w:cs="Arial" w:eastAsia="Arial" w:hAnsi="Arial"/>
          <w:sz w:val="17"/>
          <w:szCs w:val="17"/>
          <w:color w:val="auto"/>
        </w:rPr>
        <w:t>Brazilian Reais, the exchange rate (</w:t>
      </w:r>
      <w:r>
        <w:rPr>
          <w:rFonts w:ascii="Arial" w:cs="Arial" w:eastAsia="Arial" w:hAnsi="Arial"/>
          <w:sz w:val="17"/>
          <w:szCs w:val="17"/>
          <w:i w:val="1"/>
          <w:iCs w:val="1"/>
          <w:color w:val="auto"/>
        </w:rPr>
        <w:t>taxa de</w:t>
      </w:r>
      <w:r>
        <w:rPr>
          <w:rFonts w:ascii="Arial" w:cs="Arial" w:eastAsia="Arial" w:hAnsi="Arial"/>
          <w:sz w:val="17"/>
          <w:szCs w:val="17"/>
          <w:color w:val="auto"/>
        </w:rPr>
        <w:t xml:space="preserve"> câmbio) at which such currency may be exchanged into Dollars disclosed by the Central Bank of Brazil on its website (which, at the date hereof, is located at http://www.bcb.gov.br/?txcambio), under transaction “Cotações e Boletins” option “Cotações de fechamento de todas as moedas em uma data”, “Venda” (or any successor screen established by the Central Bank of Brazil), on such day. In the event that such rate does not appear on the applicable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or, with respect to Brazilian Reais, 11:00 A.M., Local Time, on such day for the purchase of Dollars with such currency, for delivery two Business Days later;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87"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means (a) GM Holdings, (b) each of the Initial Excluded Subsidiaries, (c) each Subsidiary of the Company that (i) 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contract, agreement, instrument, indenture or other Contractual Obligation shall not have been entered into in contemplation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Unconsolidated Subsidiary,</w:t>
      </w:r>
    </w:p>
    <w:p>
      <w:pPr>
        <w:spacing w:after="0" w:line="1" w:lineRule="exact"/>
        <w:rPr>
          <w:sz w:val="20"/>
          <w:szCs w:val="20"/>
          <w:color w:val="auto"/>
        </w:rPr>
      </w:pPr>
    </w:p>
    <w:p>
      <w:pPr>
        <w:ind w:right="200" w:firstLine="8"/>
        <w:spacing w:after="0" w:line="254" w:lineRule="auto"/>
        <w:tabs>
          <w:tab w:leader="none" w:pos="2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each Finance Subsidiary of the Company, (g) each Subsidiary that is a dealership and (h) each Subsidiary acquired or formed after the Closing Date primarily to operate an Excluded Subsidiary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Businesses</w:t>
      </w:r>
      <w:r>
        <w:rPr>
          <w:rFonts w:ascii="Arial" w:cs="Arial" w:eastAsia="Arial" w:hAnsi="Arial"/>
          <w:sz w:val="18"/>
          <w:szCs w:val="18"/>
          <w:color w:val="auto"/>
        </w:rPr>
        <w:t>” means the businesses and/or Subsidiaries indicated on Schedule 1.1E.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has the meaning assigned to such term in Section 3.11.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w:t>
      </w:r>
      <w:r>
        <w:rPr>
          <w:rFonts w:ascii="Arial" w:cs="Arial" w:eastAsia="Arial" w:hAnsi="Arial"/>
          <w:sz w:val="18"/>
          <w:szCs w:val="18"/>
          <w:color w:val="auto"/>
        </w:rPr>
        <w:t>” means any “Loan” under and as defined in the Existing Three Year Credit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3" w:name="page24"/>
    <w:bookmarkEnd w:id="2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Existing Required Lenders</w:t>
      </w:r>
      <w:r>
        <w:rPr>
          <w:rFonts w:ascii="Arial" w:cs="Arial" w:eastAsia="Arial" w:hAnsi="Arial"/>
          <w:sz w:val="18"/>
          <w:szCs w:val="18"/>
          <w:color w:val="auto"/>
        </w:rPr>
        <w:t>” means the “Required Lenders” under and as defined in the Existing Three Year Credit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Three Year Credit Agreement</w:t>
      </w:r>
      <w:r>
        <w:rPr>
          <w:rFonts w:ascii="Arial" w:cs="Arial" w:eastAsia="Arial" w:hAnsi="Arial"/>
          <w:sz w:val="18"/>
          <w:szCs w:val="18"/>
          <w:color w:val="auto"/>
        </w:rPr>
        <w:t>” has the meaning assigned to such term in the recitals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2.29(a).</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Extensions of Credit</w:t>
      </w:r>
      <w:r>
        <w:rPr>
          <w:rFonts w:ascii="Arial" w:cs="Arial" w:eastAsia="Arial" w:hAnsi="Arial"/>
          <w:sz w:val="17"/>
          <w:szCs w:val="17"/>
          <w:color w:val="auto"/>
        </w:rPr>
        <w:t>” means, (a) as to any Brazilian Lender, such Lender’s Brazilian Extensions of Credit, (b) as to any Domestic Lender, such Lender’s Domestic Extensions of Credit, (c) as to any L/C Tranche Lender, such Lender’s L/C Tranche Extensions of Credit and (d) 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7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each of (a) the Brazilian Facility, (b) the Domestic Facility, (c) the L/C Tranche Facility, (d) the Multicurrency Facility, (e) any New Local Facility and (f) any Incremental Facility.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2.10(a).</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means, for any day relating to each of the Domestic Facility and the Multicurrency Facility, with respect to the Facility Fees payable hereunder, the applicable rate per annum set forth under the column heading “Facility Fee Rate” in the Applicable Pricing Grid, based upon the Applicable Rating in effect on such day.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Rating</w:t>
      </w:r>
      <w:r>
        <w:rPr>
          <w:rFonts w:ascii="Arial" w:cs="Arial" w:eastAsia="Arial" w:hAnsi="Arial"/>
          <w:sz w:val="16"/>
          <w:szCs w:val="16"/>
          <w:color w:val="auto"/>
        </w:rPr>
        <w:t>” means, as of any date, the credit rating provided by Moody’s, S&amp;P or Fitch, as applicable, for the Facilities provided hereunder.</w:t>
      </w:r>
    </w:p>
    <w:p>
      <w:pPr>
        <w:spacing w:after="0" w:line="248" w:lineRule="exact"/>
        <w:rPr>
          <w:sz w:val="20"/>
          <w:szCs w:val="20"/>
          <w:color w:val="auto"/>
        </w:rPr>
      </w:pPr>
    </w:p>
    <w:p>
      <w:pPr>
        <w:ind w:right="58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73"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Federal Funds Effective Rate shall be less than zero, such rate shall be deemed to be zero for purposes of this Agreement.</w:t>
      </w:r>
    </w:p>
    <w:p>
      <w:pPr>
        <w:spacing w:after="0" w:line="18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17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 or Collateralized).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4" w:name="page25"/>
    <w:bookmarkEnd w:id="24"/>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Finance Subsidiary</w:t>
      </w:r>
      <w:r>
        <w:rPr>
          <w:rFonts w:ascii="Arial" w:cs="Arial" w:eastAsia="Arial" w:hAnsi="Arial"/>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w:t>
      </w:r>
    </w:p>
    <w:p>
      <w:pPr>
        <w:spacing w:after="0" w:line="187"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 per annum specified by the Lender making such Loan in its related Competitive Bid.</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Subsidiary Borrower that is not a Domestic Subsidiary.</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(or other interests that could reasonably be characterized as equity for U.S. federal income tax purposes) of one or more Foreign Subsidiaries or other Foreign Subsidiary Holding Companies.</w:t>
      </w:r>
    </w:p>
    <w:p>
      <w:pPr>
        <w:spacing w:after="0" w:line="181"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 Holdings</w:t>
      </w:r>
      <w:r>
        <w:rPr>
          <w:rFonts w:ascii="Arial" w:cs="Arial" w:eastAsia="Arial" w:hAnsi="Arial"/>
          <w:sz w:val="18"/>
          <w:szCs w:val="18"/>
          <w:color w:val="auto"/>
        </w:rPr>
        <w:t>” means General Motors Holdings LLC, a Delaware limited liability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GMB</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GMGTC</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5" w:name="page26"/>
    <w:bookmarkEnd w:id="25"/>
    <w:p>
      <w:pPr>
        <w:ind w:right="2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Third Amended and Restated Guarantee Agreement to be executed and delivered by the Company, substantially in the form of Exhibit A.</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225"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including any obligation of the guaranteeing person, whether or not contingent, (a) to advance or supply funds for the purchase or payment of any such primary obligation</w:t>
      </w:r>
    </w:p>
    <w:p>
      <w:pPr>
        <w:spacing w:after="0" w:line="2" w:lineRule="exact"/>
        <w:rPr>
          <w:sz w:val="20"/>
          <w:szCs w:val="20"/>
          <w:color w:val="auto"/>
        </w:rPr>
      </w:pPr>
    </w:p>
    <w:p>
      <w:pPr>
        <w:ind w:firstLine="8"/>
        <w:spacing w:after="0" w:line="287" w:lineRule="auto"/>
        <w:tabs>
          <w:tab w:leader="none" w:pos="2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70"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Reinstatement Date</w:t>
      </w:r>
      <w:r>
        <w:rPr>
          <w:rFonts w:ascii="Arial" w:cs="Arial" w:eastAsia="Arial" w:hAnsi="Arial"/>
          <w:sz w:val="16"/>
          <w:szCs w:val="16"/>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65" w:lineRule="exact"/>
        <w:rPr>
          <w:sz w:val="20"/>
          <w:szCs w:val="20"/>
          <w:color w:val="auto"/>
        </w:rPr>
      </w:pPr>
    </w:p>
    <w:p>
      <w:pPr>
        <w:jc w:val="both"/>
        <w:ind w:right="1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Release Date</w:t>
      </w:r>
      <w:r>
        <w:rPr>
          <w:rFonts w:ascii="Arial" w:cs="Arial" w:eastAsia="Arial" w:hAnsi="Arial"/>
          <w:sz w:val="16"/>
          <w:szCs w:val="16"/>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w:t>
      </w:r>
    </w:p>
    <w:p>
      <w:pPr>
        <w:ind w:firstLine="8"/>
        <w:spacing w:after="0" w:line="251"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6" w:name="page27"/>
    <w:bookmarkEnd w:id="26"/>
    <w:p>
      <w:pPr>
        <w:ind w:right="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the Company (with respect to the Obligations and Ancillary Facility Outstandings of any Subsidiary Borrower or Ancillary Borrower, as applicable) and, during any Reinstated Guarantee Period, the Subsidiary Guarantors. For the avoidance of doubt, GM Holdings does not and shall not constitute a Guarantor.</w:t>
      </w:r>
    </w:p>
    <w:p>
      <w:pPr>
        <w:spacing w:after="0" w:line="181"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Obligations</w:t>
      </w:r>
      <w:r>
        <w:rPr>
          <w:rFonts w:ascii="Arial" w:cs="Arial" w:eastAsia="Arial" w:hAnsi="Arial"/>
          <w:sz w:val="17"/>
          <w:szCs w:val="17"/>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HMRC</w:t>
      </w:r>
      <w:r>
        <w:rPr>
          <w:rFonts w:ascii="Arial" w:cs="Arial" w:eastAsia="Arial" w:hAnsi="Arial"/>
          <w:sz w:val="18"/>
          <w:szCs w:val="18"/>
          <w:color w:val="auto"/>
        </w:rPr>
        <w:t>” means Her Majesty’s Revenue and Customs.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HMRC DT Treaty Passport scheme</w:t>
      </w:r>
      <w:r>
        <w:rPr>
          <w:rFonts w:ascii="Arial" w:cs="Arial" w:eastAsia="Arial" w:hAnsi="Arial"/>
          <w:sz w:val="18"/>
          <w:szCs w:val="18"/>
          <w:color w:val="auto"/>
        </w:rPr>
        <w:t>” means the HMRC Double Taxation Treaty Passport scheme.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87"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means any series of Incremental Commitments (other than any Commitment Increase) and the extensions of credit thereunder as provided in any Incremental Loan Activation Notice.</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means, as to any Incremental Facility, the date (which shall be a Business Day) specified in the related Incremental Loan Activation Notice as the first date on which Incremental Loans will be made available thereunder.</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w:t>
      </w:r>
      <w:r>
        <w:rPr>
          <w:rFonts w:ascii="Arial" w:cs="Arial" w:eastAsia="Arial" w:hAnsi="Arial"/>
          <w:sz w:val="18"/>
          <w:szCs w:val="18"/>
          <w:color w:val="auto"/>
        </w:rPr>
        <w:t>” means (a) any Lender designated by the Company (in the case of a Commitment Increase with respect to the L/C Tranche Facility, with the consent of each Material Issuing Lender (unless such Lender is (A) an L/C Tranche Lender or (B) any other bank, financial institution or any other Person that has an investment grade rating from two of S&amp;P, Moody’s and Fitch at the time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7" w:name="page28"/>
    <w:bookmarkEnd w:id="27"/>
    <w:p>
      <w:pPr>
        <w:ind w:right="1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Commitment Increase, in each case, such consents not to be unreasonably withheld)),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L/C Tranche Facility, each Material Issuing Lender at such time (such consents not to be unreasonably withheld), and (c) each Lender which has made, or acquired pursuant to an assignment made in accordance with Section 10.6, an Incremental Commitment.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Activation Notice</w:t>
      </w:r>
      <w:r>
        <w:rPr>
          <w:rFonts w:ascii="Arial" w:cs="Arial" w:eastAsia="Arial" w:hAnsi="Arial"/>
          <w:sz w:val="18"/>
          <w:szCs w:val="18"/>
          <w:color w:val="auto"/>
        </w:rPr>
        <w:t>” means a notice substantially in the form of Exhibit E.</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Maturity Date</w:t>
      </w:r>
      <w:r>
        <w:rPr>
          <w:rFonts w:ascii="Arial" w:cs="Arial" w:eastAsia="Arial" w:hAnsi="Arial"/>
          <w:sz w:val="18"/>
          <w:szCs w:val="18"/>
          <w:color w:val="auto"/>
        </w:rPr>
        <w:t>” means, as to any Incremental Facility, the maturity date specified in the Incremental Loan Activation Notice relating thereto.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has the meaning assigned to such term in Section 2.28(b).</w:t>
      </w:r>
    </w:p>
    <w:p>
      <w:pPr>
        <w:spacing w:after="0" w:line="22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 Rating</w:t>
      </w:r>
      <w:r>
        <w:rPr>
          <w:rFonts w:ascii="Arial" w:cs="Arial" w:eastAsia="Arial" w:hAnsi="Arial"/>
          <w:sz w:val="18"/>
          <w:szCs w:val="18"/>
          <w:color w:val="auto"/>
        </w:rPr>
        <w:t>” means, as of any date, the credit rating provided by Moody’s, S&amp;P or Fitch, as applicable, for senior, unsecured, long-term Indebtedness of the Company.</w:t>
      </w:r>
    </w:p>
    <w:p>
      <w:pPr>
        <w:spacing w:after="0" w:line="17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Assignee</w:t>
      </w:r>
      <w:r>
        <w:rPr>
          <w:rFonts w:ascii="Arial" w:cs="Arial" w:eastAsia="Arial" w:hAnsi="Arial"/>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8" w:name="page29"/>
    <w:bookmarkEnd w:id="28"/>
    <w:p>
      <w:pPr>
        <w:ind w:right="240"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Ineligible Participant</w:t>
      </w:r>
      <w:r>
        <w:rPr>
          <w:rFonts w:ascii="Arial" w:cs="Arial" w:eastAsia="Arial" w:hAnsi="Arial"/>
          <w:sz w:val="16"/>
          <w:szCs w:val="16"/>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means each Subsidiary listed on Schedule 1.1B.</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88"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 as to any Eurocurrency Loan (i) initially, the period commencing on the borrowing or conversion date, as the case may be, with respect to such Loan and ending one, two, three or six (or, if agreed to by all Lenders under the relevant Facility, twelve) months (or additionally, in the case of any Eurocurrency Competitive Loan, one or three weeks) thereafter,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one, two, three or six (or, if agreed to by all Lenders under the relevant Facility, twelve) months (or additionally, in the case of any Eurocurrency Competitive Loan, one or three weeks)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6"/>
          <w:szCs w:val="16"/>
          <w:u w:val="single" w:color="auto"/>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61" w:lineRule="exact"/>
        <w:rPr>
          <w:sz w:val="20"/>
          <w:szCs w:val="20"/>
          <w:color w:val="auto"/>
        </w:rPr>
      </w:pPr>
    </w:p>
    <w:p>
      <w:pPr>
        <w:ind w:left="920" w:right="80" w:firstLine="421"/>
        <w:spacing w:after="0" w:line="286" w:lineRule="auto"/>
        <w:tabs>
          <w:tab w:leader="none" w:pos="1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any Interest Period is one month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57" w:lineRule="exact"/>
        <w:rPr>
          <w:rFonts w:ascii="Arial" w:cs="Arial" w:eastAsia="Arial" w:hAnsi="Arial"/>
          <w:sz w:val="17"/>
          <w:szCs w:val="17"/>
          <w:color w:val="auto"/>
        </w:rPr>
      </w:pPr>
    </w:p>
    <w:p>
      <w:pPr>
        <w:ind w:left="920" w:right="240" w:firstLine="421"/>
        <w:spacing w:after="0" w:line="277" w:lineRule="auto"/>
        <w:tabs>
          <w:tab w:leader="none" w:pos="16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or relevant Subsidiary Borrower may not select an Interest Period under a particular Facility that would extend beyond the earliest Termination Date then in effect for such Facility;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9" w:name="page30"/>
    <w:bookmarkEnd w:id="29"/>
    <w:p>
      <w:pPr>
        <w:ind w:left="920" w:right="80" w:firstLine="421"/>
        <w:spacing w:after="0" w:line="264" w:lineRule="auto"/>
        <w:tabs>
          <w:tab w:leader="none" w:pos="1625"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Interest Period that is one month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(1998), International Chamber of Commerce Publication No. 590 and any subsequent revision thereof adhered to by the Issuing Lenders.</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with respect to a Letter of Credit, the Lender or the Applicable Lending Office thereof that is requested to issue, or that issues, such Letter of Credit pursuant to an L/C Issuing Commitment.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Japanese Yen</w:t>
      </w:r>
      <w:r>
        <w:rPr>
          <w:rFonts w:ascii="Arial" w:cs="Arial" w:eastAsia="Arial" w:hAnsi="Arial"/>
          <w:sz w:val="18"/>
          <w:szCs w:val="18"/>
          <w:color w:val="auto"/>
        </w:rPr>
        <w:t>” means the official currency of Japan.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Fee Letter</w:t>
      </w:r>
      <w:r>
        <w:rPr>
          <w:rFonts w:ascii="Arial" w:cs="Arial" w:eastAsia="Arial" w:hAnsi="Arial"/>
          <w:sz w:val="18"/>
          <w:szCs w:val="18"/>
          <w:color w:val="auto"/>
        </w:rPr>
        <w:t>” means that certain Second Amended and Restated L/C Fee Letter, dated as of the date hereof, among the Company, each L/C Tranche Lender and each Issuing Lender.</w:t>
      </w:r>
    </w:p>
    <w:p>
      <w:pPr>
        <w:spacing w:after="0" w:line="17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Issuing Commitment</w:t>
      </w:r>
      <w:r>
        <w:rPr>
          <w:rFonts w:ascii="Arial" w:cs="Arial" w:eastAsia="Arial" w:hAnsi="Arial"/>
          <w:sz w:val="18"/>
          <w:szCs w:val="18"/>
          <w:color w:val="auto"/>
        </w:rPr>
        <w:t>” means, as to any L/C Tranche Lender (or Applicable Lending Office thereof), the obligation of such Person to issue Letters of Credit pursuant to Section 3 (including any Existing Letters of Credit issued by such L/C Tranche Lender) in an aggregate Outstanding Amount at any time not to exceed the amount set forth under the heading “L/C Issuing Commitment” opposite such Person’s name on Schedule 1.1A or in the Assignment and Assumption pursuant to which such Lender becomes a party thereto, in each case, as the same may be changed from time to time pursuant to the terms hereof, including Section 3.10.</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means, at any time, the Dollar Equivalent of the aggregate Outstanding Amount of all Letters of Credit, after giving effect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3.9.</w:t>
      </w:r>
    </w:p>
    <w:p>
      <w:pPr>
        <w:spacing w:after="0" w:line="21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means, with respect to any Letter of Credit issued by an Issuing Lender, the collective reference to all of the L/C Tranche Lenders (other than the Issuing Lender with respect to such Letter of Credit).</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Commitment</w:t>
      </w:r>
      <w:r>
        <w:rPr>
          <w:rFonts w:ascii="Arial" w:cs="Arial" w:eastAsia="Arial" w:hAnsi="Arial"/>
          <w:sz w:val="18"/>
          <w:szCs w:val="18"/>
          <w:color w:val="auto"/>
        </w:rPr>
        <w:t>” means as to any Lender, the obligation of such Lender, if any, to make L/C Tranche Loans and participate in Letters of Credit in an aggregate principal and/or face amount the Dollar Equivalent of which shall not exceed the amount set forth under the heading “L/C Tranche Commitment” opposite such Lender’s name on Schedule 1.1A or in the Assignment and Assumption pursuant to which such Lender became a party hereto, as the same may be changed from time to time pursuant to the terms hereof.</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Extensions of Credit</w:t>
      </w:r>
      <w:r>
        <w:rPr>
          <w:rFonts w:ascii="Arial" w:cs="Arial" w:eastAsia="Arial" w:hAnsi="Arial"/>
          <w:sz w:val="18"/>
          <w:szCs w:val="18"/>
          <w:color w:val="auto"/>
        </w:rPr>
        <w:t>” means, as to any L/C Tranche Lender at any time, an amount equal to the sum of (a) the Dollar Equivalent of the aggregate principal amount of all L/C Tranche Loans held by such Lender then outstanding and (b) an amount equal to such Lender’s applicable L/C Tranche Percentage of the aggregate L/C Obligations then outstanding.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0" w:name="page31"/>
    <w:bookmarkEnd w:id="3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L/C Tranche Facility</w:t>
      </w:r>
      <w:r>
        <w:rPr>
          <w:rFonts w:ascii="Arial" w:cs="Arial" w:eastAsia="Arial" w:hAnsi="Arial"/>
          <w:sz w:val="18"/>
          <w:szCs w:val="18"/>
          <w:color w:val="auto"/>
        </w:rPr>
        <w:t>” means the L/C Tranche Commitments and the extensions of credit made thereunder.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Lender</w:t>
      </w:r>
      <w:r>
        <w:rPr>
          <w:rFonts w:ascii="Arial" w:cs="Arial" w:eastAsia="Arial" w:hAnsi="Arial"/>
          <w:sz w:val="18"/>
          <w:szCs w:val="18"/>
          <w:color w:val="auto"/>
        </w:rPr>
        <w:t>” means each Lender that has a L/C Tranche Commitment or that holds L/C Tranche Loans.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Tranche Loans</w:t>
      </w:r>
      <w:r>
        <w:rPr>
          <w:rFonts w:ascii="Arial" w:cs="Arial" w:eastAsia="Arial" w:hAnsi="Arial"/>
          <w:sz w:val="18"/>
          <w:szCs w:val="18"/>
          <w:color w:val="auto"/>
        </w:rPr>
        <w:t>” has the meaning assigned to such term in Section 2.7(a).</w:t>
      </w:r>
    </w:p>
    <w:p>
      <w:pPr>
        <w:spacing w:after="0" w:line="225"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Tranche Percentage</w:t>
      </w:r>
      <w:r>
        <w:rPr>
          <w:rFonts w:ascii="Arial" w:cs="Arial" w:eastAsia="Arial" w:hAnsi="Arial"/>
          <w:sz w:val="16"/>
          <w:szCs w:val="16"/>
          <w:color w:val="auto"/>
        </w:rPr>
        <w:t>” means as to any L/C Tranche Lender at any time, the percentage which such Lender’s L/C Tranche Commitment then constitutes of the aggregate amount of the L/C Tranche Commitments then in effect or, at any time after all the L/C Tranche Commitments shall have expired or terminated, the percentage which the aggregate Outstanding Amount of L/C Tranche Extensions of Credit of such Lender then outstanding constitutes of the aggregate Outstanding Amount of L/C Tranche Extensions of Credit of the L/C Tranche Lenders then outstanding.</w:t>
      </w:r>
    </w:p>
    <w:p>
      <w:pPr>
        <w:spacing w:after="0" w:line="154"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93"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assigned to such term in the preamble hereto and shall include, individually and in the aggregate, the Brazilian Lenders, the Domestic Lenders, the L/C Tranche Lenders, the Issuing Lenders and the Multicurrency Lenders. To the extent any Incremental Facility or New Local Facility is established, “Lenders” shall, to the extent appropriate, include any Lender under such Facilities.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has the meaning assigned to such term in Section 3.1(a), after giving effect to Section 3.9.</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 Acknowledgment</w:t>
      </w:r>
      <w:r>
        <w:rPr>
          <w:rFonts w:ascii="Arial" w:cs="Arial" w:eastAsia="Arial" w:hAnsi="Arial"/>
          <w:sz w:val="17"/>
          <w:szCs w:val="17"/>
          <w:color w:val="auto"/>
        </w:rPr>
        <w:t xml:space="preserve">” means an acknowledgment signed by any Applicable Lending Office of an Issuing Lender that issues a Letter of Credit, the Applicable Account Party and the Company pursuant to the terms of Section 3.10(b), substantially in the form of Exhibit N 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only one such acknowledgment shall be required to be executed as between any Applicable Lending Office of an Issuing Lender, the Company and any Applicable Account Party (and shall be delivered in connection with the first issuance of a Letter of Credit by such Applicable Lending Office for the benefit of such Applicable Account Party), unless and until such Applicable Lending Office shall reasonably request an additional acknowledgment be executed to reflect changes to the terms of any Letter of Credit to the extent permitted pursuant to Section 3.12(a)(ii).</w:t>
      </w:r>
    </w:p>
    <w:p>
      <w:pPr>
        <w:spacing w:after="0" w:line="178" w:lineRule="exact"/>
        <w:rPr>
          <w:sz w:val="20"/>
          <w:szCs w:val="20"/>
          <w:color w:val="auto"/>
        </w:rPr>
      </w:pPr>
    </w:p>
    <w:p>
      <w:pPr>
        <w:ind w:right="9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security interest, charge, conditional sale or other title retention agreement or other similar encumbrance.</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L/C Fee Letter, the Brazilian Bank Certificates, the Guarantee, the Notes, each Borrower Joinder Agreement, each Guarantee Joinder and any amendment, waiver, supplement or other modification to any of the foregoing.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1" w:name="page32"/>
    <w:bookmarkEnd w:id="31"/>
    <w:p>
      <w:pPr>
        <w:ind w:right="2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(a) the Company and each Subsidiary Borrower and (b) during any Reinstated Guarantee Period, each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8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 including Brazilian Loans, Domestic Loans, L/C Tranche Loans, Multicurrency Loans and Competitive Loans. To the extent any Incremental Facility or New Local Facility is established, “Loans” shall, to the extent appropriate, include Loans made under such Facilities.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Facility Amendment</w:t>
      </w:r>
      <w:r>
        <w:rPr>
          <w:rFonts w:ascii="Arial" w:cs="Arial" w:eastAsia="Arial" w:hAnsi="Arial"/>
          <w:sz w:val="18"/>
          <w:szCs w:val="18"/>
          <w:color w:val="auto"/>
        </w:rPr>
        <w:t>” has the meaning assigned to such term in Section 2.27(a).</w:t>
      </w:r>
    </w:p>
    <w:p>
      <w:pPr>
        <w:spacing w:after="0" w:line="225"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Local Time</w:t>
      </w:r>
      <w:r>
        <w:rPr>
          <w:rFonts w:ascii="Arial" w:cs="Arial" w:eastAsia="Arial" w:hAnsi="Arial"/>
          <w:sz w:val="16"/>
          <w:szCs w:val="16"/>
          <w:color w:val="auto"/>
        </w:rPr>
        <w:t>” means (i) New York City time in the case of a Loan or other disbursement denominated in Dollars, (ii) London time in the case of a Loan or other disbursement denominated in an Optional Currency other than Brazilian Reais (or any such other local time as otherwise notified to or communicated by the Administrative Agent) and (iii) São Paulo time in the case of any Loan or other disbursement denominated in Brazilian Reais.</w:t>
      </w:r>
    </w:p>
    <w:p>
      <w:pPr>
        <w:spacing w:after="0" w:line="14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Facility Lenders</w:t>
      </w:r>
      <w:r>
        <w:rPr>
          <w:rFonts w:ascii="Arial" w:cs="Arial" w:eastAsia="Arial" w:hAnsi="Arial"/>
          <w:sz w:val="18"/>
          <w:szCs w:val="18"/>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and Competitive Loans thereunder).</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w:t>
      </w:r>
      <w:r>
        <w:rPr>
          <w:rFonts w:ascii="Arial" w:cs="Arial" w:eastAsia="Arial" w:hAnsi="Arial"/>
          <w:sz w:val="18"/>
          <w:szCs w:val="18"/>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81"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Issuing Lender</w:t>
      </w:r>
      <w:r>
        <w:rPr>
          <w:rFonts w:ascii="Arial" w:cs="Arial" w:eastAsia="Arial" w:hAnsi="Arial"/>
          <w:sz w:val="18"/>
          <w:szCs w:val="18"/>
          <w:color w:val="auto"/>
        </w:rPr>
        <w:t>” means any Issuing Lender with an L/C Issuing Commitment of $200 million or more.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2" w:name="page33"/>
    <w:bookmarkEnd w:id="32"/>
    <w:p>
      <w:pPr>
        <w:ind w:right="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Material Loan Party</w:t>
      </w:r>
      <w:r>
        <w:rPr>
          <w:rFonts w:ascii="Arial" w:cs="Arial" w:eastAsia="Arial" w:hAnsi="Arial"/>
          <w:sz w:val="18"/>
          <w:szCs w:val="18"/>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2017 10-K and thereafter in the most recent annual consolidated financial statements of the Company delivered or deemed delivered pursuant to Section 6.1 and (b) at all other times, the Company.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w:t>
      </w:r>
      <w:r>
        <w:rPr>
          <w:rFonts w:ascii="Arial" w:cs="Arial" w:eastAsia="Arial" w:hAnsi="Arial"/>
          <w:sz w:val="18"/>
          <w:szCs w:val="18"/>
          <w:color w:val="auto"/>
        </w:rPr>
        <w:t>” means, as to any Lender, the obligation of such Lender, if any, to make Multicurrency Loans in an aggregate principal amount, the Dollar Equivalent of which shall not exceed the amount set forth under the heading “Multicurrency Commitment” opposite such Lender’s name on Schedule 1.1A or in the Assignment and Assumption pursuant to which such Lender became a party hereto, as the same may be changed from time to time pursuant to the terms hereof (including, with respect to any Lender that has utilized its Multicurrency Commitment to provide any Ancillary Facility, other than for purposes of determining the Required Lenders, the Majority Facility Lenders or Sections 9.7 or 10.6, (x) as reduced by such Ancillary Commitment of such Lender then in effect and (y) as increased by any such Ancillary Commitment to the extent such Ancillary Commitment is reduced or cancelled).</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Competitive Loan</w:t>
      </w:r>
      <w:r>
        <w:rPr>
          <w:rFonts w:ascii="Arial" w:cs="Arial" w:eastAsia="Arial" w:hAnsi="Arial"/>
          <w:sz w:val="18"/>
          <w:szCs w:val="18"/>
          <w:color w:val="auto"/>
        </w:rPr>
        <w:t>” means a Competitive Loan made under the Multicurrency Facility.</w:t>
      </w:r>
    </w:p>
    <w:p>
      <w:pPr>
        <w:spacing w:after="0" w:line="225"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Extensions of Credit</w:t>
      </w:r>
      <w:r>
        <w:rPr>
          <w:rFonts w:ascii="Arial" w:cs="Arial" w:eastAsia="Arial" w:hAnsi="Arial"/>
          <w:sz w:val="18"/>
          <w:szCs w:val="18"/>
          <w:color w:val="auto"/>
        </w:rPr>
        <w:t>” means, as to any Multicurrency Lender at any time, an amount equal to the Dollar Equivalent of the aggregate principal amount of all Multicurrency Loans held by such Lender then outstanding.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w:t>
      </w:r>
      <w:r>
        <w:rPr>
          <w:rFonts w:ascii="Arial" w:cs="Arial" w:eastAsia="Arial" w:hAnsi="Arial"/>
          <w:sz w:val="18"/>
          <w:szCs w:val="18"/>
          <w:color w:val="auto"/>
        </w:rPr>
        <w:t>” means the Multicurrency Commitments and the extensions of credit made thereunder.</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Lender</w:t>
      </w:r>
      <w:r>
        <w:rPr>
          <w:rFonts w:ascii="Arial" w:cs="Arial" w:eastAsia="Arial" w:hAnsi="Arial"/>
          <w:sz w:val="18"/>
          <w:szCs w:val="18"/>
          <w:color w:val="auto"/>
        </w:rPr>
        <w:t>” means each Lender that has a Multicurrency Commitment or that holds Multicurrency Loans or other Loans made under the Multicurrency Facility.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Loans</w:t>
      </w:r>
      <w:r>
        <w:rPr>
          <w:rFonts w:ascii="Arial" w:cs="Arial" w:eastAsia="Arial" w:hAnsi="Arial"/>
          <w:sz w:val="18"/>
          <w:szCs w:val="18"/>
          <w:color w:val="auto"/>
        </w:rPr>
        <w:t>” has the meaning assigned to such term in Section 2.3.</w:t>
      </w:r>
    </w:p>
    <w:p>
      <w:pPr>
        <w:spacing w:after="0" w:line="225"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Percentage</w:t>
      </w:r>
      <w:r>
        <w:rPr>
          <w:rFonts w:ascii="Arial" w:cs="Arial" w:eastAsia="Arial" w:hAnsi="Arial"/>
          <w:sz w:val="16"/>
          <w:szCs w:val="16"/>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and the Dollar Equivalent of outstanding Multicurrency Competitive Loans of such Lender then outstanding constitutes of the aggregate Outstanding Amount of Multicurrency Extensions of Credit and the Dollar Equivalent of outstanding Multicurrency Competitive Loans of the Multicurrency Lenders then outstanding.</w:t>
      </w:r>
    </w:p>
    <w:p>
      <w:pPr>
        <w:spacing w:after="0" w:line="158"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81"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3" w:name="page34"/>
    <w:bookmarkEnd w:id="3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New Local Facility</w:t>
      </w:r>
      <w:r>
        <w:rPr>
          <w:rFonts w:ascii="Arial" w:cs="Arial" w:eastAsia="Arial" w:hAnsi="Arial"/>
          <w:sz w:val="18"/>
          <w:szCs w:val="18"/>
          <w:color w:val="auto"/>
        </w:rPr>
        <w:t>” has the meaning assigned to such term in Section 2.27(a).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 Lender</w:t>
      </w:r>
      <w:r>
        <w:rPr>
          <w:rFonts w:ascii="Arial" w:cs="Arial" w:eastAsia="Arial" w:hAnsi="Arial"/>
          <w:sz w:val="18"/>
          <w:szCs w:val="18"/>
          <w:color w:val="auto"/>
        </w:rPr>
        <w:t>” has the meaning assigned to such term in Section 2.27(a).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2.29(b).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has the meaning assigned to such term in Section 2.21(d).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2.19(g).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7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collectively, the unpaid principal of and interest on the Loans, Reimbursement Obligations and all other obligations and liabilities of the Company, any other Borrower, any Subsidiary Guarantor or any Applicable Account Party (including interest accruing at the then applicable rate provided in this Agreement after the maturity of the Loans and Reimbursement Obligations and Post-Petition Interest) to the Administrative Agent, the Brazilian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Brazilian Administrative Agent, the Lenders or the Issuing Lenders that are required to be paid by the Company, any of the Subsidiary Borrowers, any of the Subsidiary Guarantors or any of the Applicable Account Parties pursuant to the terms of any of the Loan Documents).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Optional Currency</w:t>
      </w:r>
      <w:r>
        <w:rPr>
          <w:rFonts w:ascii="Arial" w:cs="Arial" w:eastAsia="Arial" w:hAnsi="Arial"/>
          <w:sz w:val="17"/>
          <w:szCs w:val="17"/>
          <w:color w:val="auto"/>
        </w:rPr>
        <w:t>” means, (i) with respect to Loans made under each Facility (other than the Brazilian Facility and the Domestic Facility), at any time, Euro, Pounds Sterling, Japanese Yen and such other currencies which are freely convertible into Dollars and are freely traded and available in the London Interbank eurocurrency market with the consent of the Administrative Agent and the Lenders under the applicable Facility and (ii) with respect to Letters of Credit issued under the L/C Tranche Facility, the currencies specified in the L/C Fee Letter.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4" w:name="page35"/>
    <w:bookmarkEnd w:id="34"/>
    <w:p>
      <w:pPr>
        <w:ind w:right="30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54"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xml:space="preserve">” means (a) with respect to indebtedness for borrowed money, the aggregate outstanding principal amount thereof, (b) with respect to banker’s acceptances, letters of credit or letters of guarantee, the aggregate undrawn, unexpired face amount thereof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unreimbursed drawn amount thereof, (c) with respect to Hedging Obligations, the aggregate amount recorded by the applicable obligor as its termination liability thereunder and (d) with respect to any other obligations, the aggregate outstanding amount thereof.</w:t>
      </w:r>
    </w:p>
    <w:p>
      <w:pPr>
        <w:spacing w:after="0" w:line="17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xml:space="preserve">” means, for any day, the rate comprised of both overnight federal funds and overnight eurocurrency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Overnight Bank Funding Rate shall be less than zero, such rate shall be deemed to be zero for purposes of this Agreement.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225" w:lineRule="exact"/>
        <w:rPr>
          <w:sz w:val="20"/>
          <w:szCs w:val="20"/>
          <w:color w:val="auto"/>
        </w:rPr>
      </w:pPr>
    </w:p>
    <w:p>
      <w:pPr>
        <w:jc w:val="both"/>
        <w:ind w:right="14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Percentage</w:t>
      </w:r>
      <w:r>
        <w:rPr>
          <w:rFonts w:ascii="Arial" w:cs="Arial" w:eastAsia="Arial" w:hAnsi="Arial"/>
          <w:sz w:val="16"/>
          <w:szCs w:val="16"/>
          <w:color w:val="auto"/>
        </w:rPr>
        <w:t>” means as to any Lender, the applicable Brazilian Percentage of such Lender, the applicable Domestic Percentage of such Lender, the applicable L/C Tranche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920" w:right="60" w:firstLine="421"/>
        <w:spacing w:after="0" w:line="291" w:lineRule="auto"/>
        <w:tabs>
          <w:tab w:leader="none" w:pos="1585" w:val="left"/>
        </w:tabs>
        <w:numPr>
          <w:ilvl w:val="1"/>
          <w:numId w:val="28"/>
        </w:numPr>
        <w:rPr>
          <w:rFonts w:ascii="Arial" w:cs="Arial" w:eastAsia="Arial" w:hAnsi="Arial"/>
          <w:sz w:val="16"/>
          <w:szCs w:val="16"/>
          <w:color w:val="auto"/>
        </w:rPr>
      </w:pPr>
      <w:r>
        <w:rPr>
          <w:rFonts w:ascii="Arial" w:cs="Arial" w:eastAsia="Arial" w:hAnsi="Arial"/>
          <w:sz w:val="16"/>
          <w:szCs w:val="16"/>
          <w:color w:val="auto"/>
        </w:rPr>
        <w:t>Liens for Taxes, assessments, governmental charges and utility charges, in each case that (i) are not yet delinquent, (ii) are not yet subject to penalties or interest for non-payment, (iii) are due, but the Liens imposed for such Taxes, assessments or charges are unenforceable or</w:t>
      </w:r>
    </w:p>
    <w:p>
      <w:pPr>
        <w:ind w:left="920" w:right="420" w:firstLine="1"/>
        <w:spacing w:after="0" w:line="261" w:lineRule="auto"/>
        <w:tabs>
          <w:tab w:leader="none" w:pos="12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are being contested in good faith by appropriate actions or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that if and to the extent required by GAAP, adequate reserves with respect thereto are maintained on the books of the relevant Person in conformity with GAAP;</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4" w:right="299" w:bottom="1440" w:gutter="0" w:footer="0" w:header="0"/>
        </w:sectPr>
      </w:pPr>
    </w:p>
    <w:bookmarkStart w:id="35" w:name="page36"/>
    <w:bookmarkEnd w:id="35"/>
    <w:p>
      <w:pPr>
        <w:jc w:val="both"/>
        <w:ind w:left="-280" w:right="80" w:firstLine="421"/>
        <w:spacing w:after="0" w:line="264" w:lineRule="auto"/>
        <w:tabs>
          <w:tab w:leader="none" w:pos="395"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73" w:lineRule="exact"/>
        <w:rPr>
          <w:rFonts w:ascii="Arial" w:cs="Arial" w:eastAsia="Arial" w:hAnsi="Arial"/>
          <w:sz w:val="18"/>
          <w:szCs w:val="18"/>
          <w:color w:val="auto"/>
        </w:rPr>
      </w:pPr>
    </w:p>
    <w:p>
      <w:pPr>
        <w:ind w:left="380" w:hanging="239"/>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w:t>
      </w:r>
    </w:p>
    <w:p>
      <w:pPr>
        <w:spacing w:after="0" w:line="117" w:lineRule="exact"/>
        <w:rPr>
          <w:rFonts w:ascii="Arial" w:cs="Arial" w:eastAsia="Arial" w:hAnsi="Arial"/>
          <w:sz w:val="18"/>
          <w:szCs w:val="18"/>
          <w:color w:val="auto"/>
        </w:rPr>
      </w:pPr>
    </w:p>
    <w:p>
      <w:pPr>
        <w:jc w:val="both"/>
        <w:ind w:left="-280" w:right="600" w:firstLine="421"/>
        <w:spacing w:after="0" w:line="264" w:lineRule="auto"/>
        <w:tabs>
          <w:tab w:leader="none" w:pos="3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73" w:lineRule="exact"/>
        <w:rPr>
          <w:rFonts w:ascii="Arial" w:cs="Arial" w:eastAsia="Arial" w:hAnsi="Arial"/>
          <w:sz w:val="18"/>
          <w:szCs w:val="18"/>
          <w:color w:val="auto"/>
        </w:rPr>
      </w:pPr>
    </w:p>
    <w:p>
      <w:pPr>
        <w:ind w:left="-280" w:right="40" w:firstLine="421"/>
        <w:spacing w:after="0" w:line="257" w:lineRule="auto"/>
        <w:tabs>
          <w:tab w:leader="none" w:pos="3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80" w:lineRule="exact"/>
        <w:rPr>
          <w:rFonts w:ascii="Arial" w:cs="Arial" w:eastAsia="Arial" w:hAnsi="Arial"/>
          <w:sz w:val="18"/>
          <w:szCs w:val="18"/>
          <w:color w:val="auto"/>
        </w:rPr>
      </w:pPr>
    </w:p>
    <w:p>
      <w:pPr>
        <w:ind w:left="-280" w:right="60" w:firstLine="421"/>
        <w:spacing w:after="0" w:line="277" w:lineRule="auto"/>
        <w:tabs>
          <w:tab w:leader="none" w:pos="3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62" w:lineRule="exact"/>
        <w:rPr>
          <w:rFonts w:ascii="Arial" w:cs="Arial" w:eastAsia="Arial" w:hAnsi="Arial"/>
          <w:sz w:val="18"/>
          <w:szCs w:val="18"/>
          <w:color w:val="auto"/>
        </w:rPr>
      </w:pPr>
    </w:p>
    <w:p>
      <w:pPr>
        <w:ind w:left="-280" w:right="80" w:firstLine="421"/>
        <w:spacing w:after="0" w:line="255" w:lineRule="auto"/>
        <w:tabs>
          <w:tab w:leader="none" w:pos="3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85" w:lineRule="exact"/>
        <w:rPr>
          <w:rFonts w:ascii="Arial" w:cs="Arial" w:eastAsia="Arial" w:hAnsi="Arial"/>
          <w:sz w:val="18"/>
          <w:szCs w:val="18"/>
          <w:color w:val="auto"/>
        </w:rPr>
      </w:pPr>
    </w:p>
    <w:p>
      <w:pPr>
        <w:ind w:left="-280" w:firstLine="421"/>
        <w:spacing w:after="0" w:line="264" w:lineRule="auto"/>
        <w:tabs>
          <w:tab w:leader="none" w:pos="3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73" w:lineRule="exact"/>
        <w:rPr>
          <w:rFonts w:ascii="Arial" w:cs="Arial" w:eastAsia="Arial" w:hAnsi="Arial"/>
          <w:sz w:val="18"/>
          <w:szCs w:val="18"/>
          <w:color w:val="auto"/>
        </w:rPr>
      </w:pPr>
    </w:p>
    <w:p>
      <w:pPr>
        <w:ind w:left="-280" w:right="80" w:firstLine="421"/>
        <w:spacing w:after="0" w:line="293" w:lineRule="auto"/>
        <w:tabs>
          <w:tab w:leader="none" w:pos="3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20"/>
          </w:cols>
          <w:pgMar w:left="1440" w:top="274" w:right="239" w:bottom="1440" w:gutter="0" w:footer="0" w:header="0"/>
        </w:sectPr>
      </w:pPr>
    </w:p>
    <w:bookmarkStart w:id="36" w:name="page37"/>
    <w:bookmarkEnd w:id="36"/>
    <w:p>
      <w:pPr>
        <w:ind w:left="-1" w:right="280" w:firstLine="421"/>
        <w:spacing w:after="0" w:line="264" w:lineRule="auto"/>
        <w:tabs>
          <w:tab w:leader="none" w:pos="634" w:val="left"/>
        </w:tabs>
        <w:numPr>
          <w:ilvl w:val="1"/>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Liens in existence on the Closing Date and listed on Schedule 1.1D,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73" w:lineRule="exact"/>
        <w:rPr>
          <w:rFonts w:ascii="Arial" w:cs="Arial" w:eastAsia="Arial" w:hAnsi="Arial"/>
          <w:sz w:val="18"/>
          <w:szCs w:val="18"/>
          <w:color w:val="auto"/>
        </w:rPr>
      </w:pPr>
    </w:p>
    <w:p>
      <w:pPr>
        <w:jc w:val="both"/>
        <w:ind w:left="-1" w:right="60" w:firstLine="421"/>
        <w:spacing w:after="0" w:line="312" w:lineRule="auto"/>
        <w:tabs>
          <w:tab w:leader="none" w:pos="674"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Liens on property or Capital Stock of a Person at the time such Person becomes a Loan Party or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Liens are not created, incurred or assumed in connection with, or in contemplation of, such other Person becoming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Lien may not extend to any other property owned by the Company or any Principal Domestic Subsidiary;</w:t>
      </w:r>
    </w:p>
    <w:p>
      <w:pPr>
        <w:spacing w:after="0" w:line="38" w:lineRule="exact"/>
        <w:rPr>
          <w:rFonts w:ascii="Arial" w:cs="Arial" w:eastAsia="Arial" w:hAnsi="Arial"/>
          <w:sz w:val="16"/>
          <w:szCs w:val="16"/>
          <w:color w:val="auto"/>
        </w:rPr>
      </w:pPr>
    </w:p>
    <w:p>
      <w:pPr>
        <w:ind w:left="-1" w:firstLine="421"/>
        <w:spacing w:after="0" w:line="279" w:lineRule="auto"/>
        <w:tabs>
          <w:tab w:leader="none" w:pos="634"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Liens are not created, incurred or assumed in connection with, or in contemplation of, such acquisition;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Company or any Principal Domestic Subsidiary;</w:t>
      </w:r>
    </w:p>
    <w:p>
      <w:pPr>
        <w:spacing w:after="0" w:line="63" w:lineRule="exact"/>
        <w:rPr>
          <w:rFonts w:ascii="Arial" w:cs="Arial" w:eastAsia="Arial" w:hAnsi="Arial"/>
          <w:sz w:val="17"/>
          <w:szCs w:val="17"/>
          <w:color w:val="auto"/>
        </w:rPr>
      </w:pPr>
    </w:p>
    <w:p>
      <w:pPr>
        <w:jc w:val="both"/>
        <w:ind w:left="-1" w:right="20" w:firstLine="421"/>
        <w:spacing w:after="0" w:line="342" w:lineRule="auto"/>
        <w:tabs>
          <w:tab w:leader="none" w:pos="724"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15" w:lineRule="exact"/>
        <w:rPr>
          <w:rFonts w:ascii="Arial" w:cs="Arial" w:eastAsia="Arial" w:hAnsi="Arial"/>
          <w:sz w:val="16"/>
          <w:szCs w:val="16"/>
          <w:color w:val="auto"/>
        </w:rPr>
      </w:pPr>
    </w:p>
    <w:p>
      <w:pPr>
        <w:ind w:left="-1" w:right="260" w:firstLine="421"/>
        <w:spacing w:after="0" w:line="277" w:lineRule="auto"/>
        <w:tabs>
          <w:tab w:leader="none" w:pos="67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Lien arising out of claims under a judgment rendered, decree or claim filed so long as such judgments, decrees or claims do not constitute an Event of Default;</w:t>
      </w:r>
    </w:p>
    <w:p>
      <w:pPr>
        <w:spacing w:after="0" w:line="62" w:lineRule="exact"/>
        <w:rPr>
          <w:rFonts w:ascii="Arial" w:cs="Arial" w:eastAsia="Arial" w:hAnsi="Arial"/>
          <w:sz w:val="18"/>
          <w:szCs w:val="18"/>
          <w:color w:val="auto"/>
        </w:rPr>
      </w:pPr>
    </w:p>
    <w:p>
      <w:pPr>
        <w:ind w:left="679" w:hanging="259"/>
        <w:spacing w:after="0"/>
        <w:tabs>
          <w:tab w:leader="none" w:pos="6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117" w:lineRule="exact"/>
        <w:rPr>
          <w:rFonts w:ascii="Arial" w:cs="Arial" w:eastAsia="Arial" w:hAnsi="Arial"/>
          <w:sz w:val="18"/>
          <w:szCs w:val="18"/>
          <w:color w:val="auto"/>
        </w:rPr>
      </w:pPr>
    </w:p>
    <w:p>
      <w:pPr>
        <w:ind w:left="679" w:hanging="259"/>
        <w:spacing w:after="0"/>
        <w:tabs>
          <w:tab w:leader="none" w:pos="6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w:t>
      </w:r>
    </w:p>
    <w:p>
      <w:pPr>
        <w:spacing w:after="0" w:line="117" w:lineRule="exact"/>
        <w:rPr>
          <w:rFonts w:ascii="Arial" w:cs="Arial" w:eastAsia="Arial" w:hAnsi="Arial"/>
          <w:sz w:val="18"/>
          <w:szCs w:val="18"/>
          <w:color w:val="auto"/>
        </w:rPr>
      </w:pPr>
    </w:p>
    <w:p>
      <w:pPr>
        <w:ind w:left="-1" w:firstLine="421"/>
        <w:spacing w:after="0" w:line="288" w:lineRule="auto"/>
        <w:tabs>
          <w:tab w:leader="none" w:pos="674" w:val="left"/>
        </w:tabs>
        <w:numPr>
          <w:ilvl w:val="1"/>
          <w:numId w:val="31"/>
        </w:numPr>
        <w:rPr>
          <w:rFonts w:ascii="Arial" w:cs="Arial" w:eastAsia="Arial" w:hAnsi="Arial"/>
          <w:sz w:val="16"/>
          <w:szCs w:val="16"/>
          <w:color w:val="auto"/>
        </w:rPr>
      </w:pPr>
      <w:r>
        <w:rPr>
          <w:rFonts w:ascii="Arial" w:cs="Arial" w:eastAsia="Arial" w:hAnsi="Arial"/>
          <w:sz w:val="16"/>
          <w:szCs w:val="16"/>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w:t>
      </w:r>
    </w:p>
    <w:p>
      <w:pPr>
        <w:ind w:left="-1" w:right="100" w:firstLine="1"/>
        <w:spacing w:after="0" w:line="281" w:lineRule="auto"/>
        <w:tabs>
          <w:tab w:leader="none" w:pos="304"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 (viii) rental deposits, (ix) judicial appeals and</w:t>
      </w:r>
    </w:p>
    <w:p>
      <w:pPr>
        <w:spacing w:after="0" w:line="2" w:lineRule="exact"/>
        <w:rPr>
          <w:rFonts w:ascii="Arial" w:cs="Arial" w:eastAsia="Arial" w:hAnsi="Arial"/>
          <w:sz w:val="16"/>
          <w:szCs w:val="16"/>
          <w:color w:val="auto"/>
        </w:rPr>
      </w:pPr>
    </w:p>
    <w:p>
      <w:pPr>
        <w:ind w:left="259" w:hanging="259"/>
        <w:spacing w:after="0"/>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service contracts;</w:t>
      </w:r>
    </w:p>
    <w:p>
      <w:pPr>
        <w:spacing w:after="0" w:line="102" w:lineRule="exact"/>
        <w:rPr>
          <w:rFonts w:ascii="Arial" w:cs="Arial" w:eastAsia="Arial" w:hAnsi="Arial"/>
          <w:sz w:val="18"/>
          <w:szCs w:val="18"/>
          <w:color w:val="auto"/>
        </w:rPr>
      </w:pPr>
    </w:p>
    <w:p>
      <w:pPr>
        <w:ind w:left="639" w:hanging="219"/>
        <w:spacing w:after="0"/>
        <w:tabs>
          <w:tab w:leader="none" w:pos="639" w:val="left"/>
        </w:tabs>
        <w:numPr>
          <w:ilvl w:val="1"/>
          <w:numId w:val="33"/>
        </w:numPr>
        <w:rPr>
          <w:rFonts w:ascii="Arial" w:cs="Arial" w:eastAsia="Arial" w:hAnsi="Arial"/>
          <w:sz w:val="17"/>
          <w:szCs w:val="17"/>
          <w:color w:val="auto"/>
        </w:rPr>
      </w:pPr>
      <w:r>
        <w:rPr>
          <w:rFonts w:ascii="Arial" w:cs="Arial" w:eastAsia="Arial" w:hAnsi="Arial"/>
          <w:sz w:val="17"/>
          <w:szCs w:val="17"/>
          <w:color w:val="auto"/>
        </w:rPr>
        <w:t>Liens securing Indebtedness or other obligations of a Subsidiary owing to the Company or any Principal Domestic Subsidiary;</w:t>
      </w:r>
    </w:p>
    <w:p>
      <w:pPr>
        <w:spacing w:after="0" w:line="169"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419"/>
          </w:cols>
          <w:pgMar w:left="1161" w:top="274" w:right="319" w:bottom="1440" w:gutter="0" w:footer="0" w:header="0"/>
        </w:sectPr>
      </w:pPr>
    </w:p>
    <w:bookmarkStart w:id="37" w:name="page38"/>
    <w:bookmarkEnd w:id="37"/>
    <w:p>
      <w:pPr>
        <w:ind w:left="920" w:right="500" w:firstLine="421"/>
        <w:spacing w:after="0" w:line="264" w:lineRule="auto"/>
        <w:tabs>
          <w:tab w:leader="none" w:pos="1575"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73" w:lineRule="exact"/>
        <w:rPr>
          <w:rFonts w:ascii="Arial" w:cs="Arial" w:eastAsia="Arial" w:hAnsi="Arial"/>
          <w:sz w:val="18"/>
          <w:szCs w:val="18"/>
          <w:color w:val="auto"/>
        </w:rPr>
      </w:pPr>
    </w:p>
    <w:p>
      <w:pPr>
        <w:ind w:left="920" w:right="200" w:firstLine="421"/>
        <w:spacing w:after="0" w:line="279" w:lineRule="auto"/>
        <w:tabs>
          <w:tab w:leader="none" w:pos="15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63" w:lineRule="exact"/>
        <w:rPr>
          <w:rFonts w:ascii="Arial" w:cs="Arial" w:eastAsia="Arial" w:hAnsi="Arial"/>
          <w:sz w:val="17"/>
          <w:szCs w:val="17"/>
          <w:color w:val="auto"/>
        </w:rPr>
      </w:pPr>
    </w:p>
    <w:p>
      <w:pPr>
        <w:ind w:left="1600" w:hanging="259"/>
        <w:spacing w:after="0"/>
        <w:tabs>
          <w:tab w:leader="none" w:pos="1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117" w:lineRule="exact"/>
        <w:rPr>
          <w:rFonts w:ascii="Arial" w:cs="Arial" w:eastAsia="Arial" w:hAnsi="Arial"/>
          <w:sz w:val="18"/>
          <w:szCs w:val="18"/>
          <w:color w:val="auto"/>
        </w:rPr>
      </w:pPr>
    </w:p>
    <w:p>
      <w:pPr>
        <w:ind w:left="920" w:right="20" w:firstLine="421"/>
        <w:spacing w:after="0" w:line="264" w:lineRule="auto"/>
        <w:tabs>
          <w:tab w:leader="none" w:pos="15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Liens arising from security interests granted by Persons who are not affiliates of the Company or any Subsidiary in such Person’s</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co-ownership interest in Intellectual Property that such Person co-owns together with the Company or any Subsidiary;</w:t>
      </w:r>
    </w:p>
    <w:p>
      <w:pPr>
        <w:spacing w:after="0" w:line="103" w:lineRule="exact"/>
        <w:rPr>
          <w:sz w:val="20"/>
          <w:szCs w:val="20"/>
          <w:color w:val="auto"/>
        </w:rPr>
      </w:pPr>
    </w:p>
    <w:p>
      <w:pPr>
        <w:ind w:left="920" w:firstLine="421"/>
        <w:spacing w:after="0" w:line="277" w:lineRule="auto"/>
        <w:tabs>
          <w:tab w:leader="none" w:pos="15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or licenses or sublicenses of Intellectual Property, in each case, entered into in the ordinary course of business;</w:t>
      </w:r>
    </w:p>
    <w:p>
      <w:pPr>
        <w:spacing w:after="0" w:line="62" w:lineRule="exact"/>
        <w:rPr>
          <w:rFonts w:ascii="Arial" w:cs="Arial" w:eastAsia="Arial" w:hAnsi="Arial"/>
          <w:sz w:val="18"/>
          <w:szCs w:val="18"/>
          <w:color w:val="auto"/>
        </w:rPr>
      </w:pPr>
    </w:p>
    <w:p>
      <w:pPr>
        <w:ind w:left="920" w:right="260" w:firstLine="421"/>
        <w:spacing w:after="0" w:line="277" w:lineRule="auto"/>
        <w:tabs>
          <w:tab w:leader="none" w:pos="15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of sellers of goods to any Loan Party arising under Article 2 of the UCC or similar provisions of applicable law in the ordinary course of business; and</w:t>
      </w:r>
    </w:p>
    <w:p>
      <w:pPr>
        <w:spacing w:after="0" w:line="62" w:lineRule="exact"/>
        <w:rPr>
          <w:rFonts w:ascii="Arial" w:cs="Arial" w:eastAsia="Arial" w:hAnsi="Arial"/>
          <w:sz w:val="18"/>
          <w:szCs w:val="18"/>
          <w:color w:val="auto"/>
        </w:rPr>
      </w:pPr>
    </w:p>
    <w:p>
      <w:pPr>
        <w:ind w:left="920" w:right="60" w:firstLine="421"/>
        <w:spacing w:after="0" w:line="312" w:lineRule="auto"/>
        <w:tabs>
          <w:tab w:leader="none" w:pos="15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47"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24"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at a particular time, an employee pension benefit plan covered by Title IV of ERISA or Section 412 of the Code or Section 303 of ERISA, but excluding any Multiemployer Plan, (a) which is sponsored, established, contributed to or maintained by the Company or any ERISA Affiliate,</w:t>
      </w:r>
    </w:p>
    <w:p>
      <w:pPr>
        <w:ind w:right="40" w:firstLine="8"/>
        <w:spacing w:after="0" w:line="255"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8" w:name="page39"/>
    <w:bookmarkEnd w:id="38"/>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Plan Asset Regulations</w:t>
      </w:r>
      <w:r>
        <w:rPr>
          <w:rFonts w:ascii="Arial" w:cs="Arial" w:eastAsia="Arial" w:hAnsi="Arial"/>
          <w:sz w:val="17"/>
          <w:szCs w:val="17"/>
          <w:color w:val="auto"/>
        </w:rPr>
        <w:t xml:space="preserve">” means of 29 CFR § 2510.3-101 </w:t>
      </w:r>
      <w:r>
        <w:rPr>
          <w:rFonts w:ascii="Arial" w:cs="Arial" w:eastAsia="Arial" w:hAnsi="Arial"/>
          <w:sz w:val="17"/>
          <w:szCs w:val="17"/>
          <w:i w:val="1"/>
          <w:iCs w:val="1"/>
          <w:color w:val="auto"/>
        </w:rPr>
        <w:t>et seq.</w:t>
      </w:r>
      <w:r>
        <w:rPr>
          <w:rFonts w:ascii="Arial" w:cs="Arial" w:eastAsia="Arial" w:hAnsi="Arial"/>
          <w:sz w:val="17"/>
          <w:szCs w:val="17"/>
          <w:color w:val="auto"/>
        </w:rPr>
        <w:t>, as modified by Section 3(42) of ERISA, as amended from time to time.</w:t>
      </w:r>
    </w:p>
    <w:p>
      <w:pPr>
        <w:spacing w:after="0" w:line="23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jc w:val="both"/>
        <w:ind w:right="10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Post-Petition Interest</w:t>
      </w:r>
      <w:r>
        <w:rPr>
          <w:rFonts w:ascii="Arial" w:cs="Arial" w:eastAsia="Arial" w:hAnsi="Arial"/>
          <w:sz w:val="17"/>
          <w:szCs w:val="17"/>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right="28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Previously Pledged Assets</w:t>
      </w:r>
      <w:r>
        <w:rPr>
          <w:rFonts w:ascii="Arial" w:cs="Arial" w:eastAsia="Arial" w:hAnsi="Arial"/>
          <w:sz w:val="17"/>
          <w:szCs w:val="17"/>
          <w:color w:val="auto"/>
        </w:rPr>
        <w:t>” means the “Collateral,” under and as defined in that certain Three Year Revolving Credit Agreement, dated as of November 5, 2012, among General Motors Holdings LLC, GMF, GM Europe Treasury Company AB, GMB, the other subsidiary borrowers from time to time party thereto, the several lenders from time to time party thereto, JPMorgan Chase Bank, N.A., as administrative agent, Banco do Brasil S.A., as the Brazilian administrative agent, and the other agents party thereto, determined as if such agreement were still outstanding, and with each reference to Section 7.2(b) therein being deemed to be a reference to Section 7.2 hereof.</w:t>
      </w:r>
    </w:p>
    <w:p>
      <w:pPr>
        <w:spacing w:after="0" w:line="17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borrowers).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Domestic Subsidiary</w:t>
      </w:r>
      <w:r>
        <w:rPr>
          <w:rFonts w:ascii="Arial" w:cs="Arial" w:eastAsia="Arial" w:hAnsi="Arial"/>
          <w:sz w:val="16"/>
          <w:szCs w:val="16"/>
          <w:color w:val="auto"/>
        </w:rPr>
        <w:t>” means (a) during any Reinstated Guarantee Period, (i) GM Holdings and (ii) each Subsidiary Guarantor and</w:t>
      </w:r>
    </w:p>
    <w:p>
      <w:pPr>
        <w:spacing w:after="0" w:line="46" w:lineRule="exact"/>
        <w:rPr>
          <w:sz w:val="20"/>
          <w:szCs w:val="20"/>
          <w:color w:val="auto"/>
        </w:rPr>
      </w:pPr>
    </w:p>
    <w:p>
      <w:pPr>
        <w:ind w:right="60" w:firstLine="8"/>
        <w:spacing w:after="0" w:line="273"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2017 10-K), (B) at least 80% or more of the Capital Stock or Voting Stock of such Domestic Subsidiary is owned, directly or indirectly, by the Company and (C) none of the Capital Stock of such Domestic Subsidiary is publicly held.</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 Holding Company</w:t>
      </w:r>
      <w:r>
        <w:rPr>
          <w:rFonts w:ascii="Arial" w:cs="Arial" w:eastAsia="Arial" w:hAnsi="Arial"/>
          <w:sz w:val="18"/>
          <w:szCs w:val="18"/>
          <w:color w:val="auto"/>
        </w:rPr>
        <w:t>” means any wholly-owned Foreign Subsidiary of the Company to which the Designated Principal Trade Name is transferred.</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xml:space="preserve">” means, in relation to any period for which the Eurocurrency Base Rate is to be determined hereunder, the Business Day on which quotations would ordinarily be given by prime banks in the London Interbank market (or, if the Currency in relation to which such rate is determined is Euro, the European Interbank market) for deposits in the Currency in relation to which such rate is to be determined for delivery on the first day of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for any such period quotations would ordinarily be given on more than one date, the Quotation Date for that period shall be the last of those dates.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9" w:name="page40"/>
    <w:bookmarkEnd w:id="3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has the meaning assigned to such term in Section 3.5.</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means the obligation of the Company or the Applicable Account Party to reimburse an Issuing Lender pursuant to Section 3.5 for amounts drawn under Letters of Credit.</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Period</w:t>
      </w:r>
      <w:r>
        <w:rPr>
          <w:rFonts w:ascii="Arial" w:cs="Arial" w:eastAsia="Arial" w:hAnsi="Arial"/>
          <w:sz w:val="18"/>
          <w:szCs w:val="18"/>
          <w:color w:val="auto"/>
        </w:rPr>
        <w:t>” means a period from and including the 30</w:t>
      </w:r>
      <w:r>
        <w:rPr>
          <w:rFonts w:ascii="Arial" w:cs="Arial" w:eastAsia="Arial" w:hAnsi="Arial"/>
          <w:sz w:val="15"/>
          <w:szCs w:val="15"/>
          <w:color w:val="auto"/>
        </w:rPr>
        <w:t>th</w:t>
      </w:r>
      <w:r>
        <w:rPr>
          <w:rFonts w:ascii="Arial" w:cs="Arial" w:eastAsia="Arial" w:hAnsi="Arial"/>
          <w:sz w:val="18"/>
          <w:szCs w:val="18"/>
          <w:color w:val="auto"/>
        </w:rPr>
        <w:t xml:space="preserve"> day after any Guarantee Reinstatement Date to but excluding the following Guarantee Release Date, if any.</w:t>
      </w:r>
    </w:p>
    <w:p>
      <w:pPr>
        <w:spacing w:after="0" w:line="170"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Requirement Period</w:t>
      </w:r>
      <w:r>
        <w:rPr>
          <w:rFonts w:ascii="Arial" w:cs="Arial" w:eastAsia="Arial" w:hAnsi="Arial"/>
          <w:sz w:val="18"/>
          <w:szCs w:val="18"/>
          <w:color w:val="auto"/>
        </w:rPr>
        <w:t>” means a period from and including any Guarantee Reinstatement Date to but excluding the following Guarantee Release Date, if any.</w:t>
      </w:r>
    </w:p>
    <w:p>
      <w:pPr>
        <w:spacing w:after="0" w:line="170"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the holders of more than 50% of the aggregate amount of the Total Commitments (or, at any time after the Commitments shall have expired or terminated, the holders of more than 50% of the sum of the Total Extensions of Credit plus the aggregate Ancillary Facility Outstandings).</w:t>
      </w:r>
    </w:p>
    <w:p>
      <w:pPr>
        <w:spacing w:after="0" w:line="18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 and its successors.</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has the meaning assigned to such term in Section 4.15.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0" w:name="page41"/>
    <w:bookmarkEnd w:id="40"/>
    <w:p>
      <w:pPr>
        <w:ind w:right="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List</w:t>
      </w:r>
      <w:r>
        <w:rPr>
          <w:rFonts w:ascii="Arial" w:cs="Arial" w:eastAsia="Arial" w:hAnsi="Arial"/>
          <w:sz w:val="18"/>
          <w:szCs w:val="18"/>
          <w:color w:val="auto"/>
        </w:rPr>
        <w:t>” has the meaning assigned to such term in Section 4.15.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225"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65"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Borrower</w:t>
      </w:r>
      <w:r>
        <w:rPr>
          <w:rFonts w:ascii="Arial" w:cs="Arial" w:eastAsia="Arial" w:hAnsi="Arial"/>
          <w:sz w:val="17"/>
          <w:szCs w:val="17"/>
          <w:color w:val="auto"/>
        </w:rPr>
        <w:t>” means GMB (solely with respect to the Brazilian Facility), GMGTC, GMF and any other Subsidiary that becomes a party hereto pursuant to Section 10.1(d) until such time as such Subsidiary Borrower is removed as a party hereto pursuant to Section 10.1(d).</w:t>
      </w:r>
    </w:p>
    <w:p>
      <w:pPr>
        <w:spacing w:after="0" w:line="147" w:lineRule="exact"/>
        <w:rPr>
          <w:sz w:val="20"/>
          <w:szCs w:val="20"/>
          <w:color w:val="auto"/>
        </w:rPr>
      </w:pPr>
    </w:p>
    <w:p>
      <w:pPr>
        <w:jc w:val="both"/>
        <w:ind w:right="12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xml:space="preserve">” means during any Reinstated Guarantee Period, each Domestic Subsidiary that was a Principal Domestic Subsidiary on the applicable Guarantee Reinstatement Date or that became a party to the Guarantee after such Guarantee Reinstatement Date pursuant to Section 6.6(a) or 6.6(b) or Section 10.1(b);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payment system is open for the settlement of payments in Euro.</w:t>
      </w:r>
    </w:p>
    <w:p>
      <w:pPr>
        <w:spacing w:after="0" w:line="170"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24"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as to any Lender under any Facility, initially, the third anniversary of the Closing Date, as such date for such Lender under such Facility may be extended from time to time pursuant to Section 2.29.</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Brazilian Commitments</w:t>
      </w:r>
      <w:r>
        <w:rPr>
          <w:rFonts w:ascii="Arial" w:cs="Arial" w:eastAsia="Arial" w:hAnsi="Arial"/>
          <w:sz w:val="18"/>
          <w:szCs w:val="18"/>
          <w:color w:val="auto"/>
        </w:rPr>
        <w:t>” means, at any time, an amount equal to the excess, if any, of (a) the Total Brazilian Commitments then in effect, over (b) the Total Brazilian Extensions of Credit then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41" w:name="page42"/>
    <w:bookmarkEnd w:id="41"/>
    <w:p>
      <w:pPr>
        <w:ind w:right="3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Domestic Commitments</w:t>
      </w:r>
      <w:r>
        <w:rPr>
          <w:rFonts w:ascii="Arial" w:cs="Arial" w:eastAsia="Arial" w:hAnsi="Arial"/>
          <w:sz w:val="18"/>
          <w:szCs w:val="18"/>
          <w:color w:val="auto"/>
        </w:rPr>
        <w:t>” means, at any time, an amount equal to the excess, if any, of (a) the Total Domestic Commitments then in effect, over (b) the Total Domestic Extensions of Credit then outstanding.</w:t>
      </w:r>
    </w:p>
    <w:p>
      <w:pPr>
        <w:spacing w:after="0" w:line="170" w:lineRule="exact"/>
        <w:rPr>
          <w:sz w:val="20"/>
          <w:szCs w:val="20"/>
          <w:color w:val="auto"/>
        </w:rPr>
      </w:pPr>
    </w:p>
    <w:p>
      <w:pPr>
        <w:ind w:right="9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L/C Tranche Commitments</w:t>
      </w:r>
      <w:r>
        <w:rPr>
          <w:rFonts w:ascii="Arial" w:cs="Arial" w:eastAsia="Arial" w:hAnsi="Arial"/>
          <w:sz w:val="18"/>
          <w:szCs w:val="18"/>
          <w:color w:val="auto"/>
        </w:rPr>
        <w:t>” means, at any time, an amount equal to the excess, if any, of (a) the Total L/C Tranche Commitments then in effect, over (b) the Total L/C Tranche Extensions of Credit then outstanding.</w:t>
      </w:r>
    </w:p>
    <w:p>
      <w:pPr>
        <w:spacing w:after="0" w:line="170"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Multicurrency Commitments</w:t>
      </w:r>
      <w:r>
        <w:rPr>
          <w:rFonts w:ascii="Arial" w:cs="Arial" w:eastAsia="Arial" w:hAnsi="Arial"/>
          <w:sz w:val="18"/>
          <w:szCs w:val="18"/>
          <w:color w:val="auto"/>
        </w:rPr>
        <w:t>” means, at any time, an amount equal to the excess, if any, of (a) the Total Multicurrency Commitments then in effect, over (b) the Total Multicurrency Extensions of Credit then outstanding.</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Commitment</w:t>
      </w:r>
      <w:r>
        <w:rPr>
          <w:rFonts w:ascii="Arial" w:cs="Arial" w:eastAsia="Arial" w:hAnsi="Arial"/>
          <w:sz w:val="18"/>
          <w:szCs w:val="18"/>
          <w:color w:val="auto"/>
        </w:rPr>
        <w:t>” means, at any time, the aggregate amount of the Brazilian Commitments then in effect. The original amount of the Total Brazilian Commitment is $260 million.</w:t>
      </w:r>
    </w:p>
    <w:p>
      <w:pPr>
        <w:spacing w:after="0" w:line="170"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Extensions of Credit</w:t>
      </w:r>
      <w:r>
        <w:rPr>
          <w:rFonts w:ascii="Arial" w:cs="Arial" w:eastAsia="Arial" w:hAnsi="Arial"/>
          <w:sz w:val="18"/>
          <w:szCs w:val="18"/>
          <w:color w:val="auto"/>
        </w:rPr>
        <w:t>” means, at any time, the aggregate Outstanding Amount of the Brazilian Extensions of Credit of the Brazilian Lenders at such time.</w:t>
      </w:r>
    </w:p>
    <w:p>
      <w:pPr>
        <w:spacing w:after="0" w:line="170"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at any time, the aggregate amount of the Commitments then in effect. The original amount of the Total Commitments is $4.0 billion.</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Commitment</w:t>
      </w:r>
      <w:r>
        <w:rPr>
          <w:rFonts w:ascii="Arial" w:cs="Arial" w:eastAsia="Arial" w:hAnsi="Arial"/>
          <w:sz w:val="18"/>
          <w:szCs w:val="18"/>
          <w:color w:val="auto"/>
        </w:rPr>
        <w:t>” means, at any time, the aggregate amount of the Domestic Commitments then in effect. The original amount of the Total Domestic Commitment is $70,579,000.</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Extensions of Credit</w:t>
      </w:r>
      <w:r>
        <w:rPr>
          <w:rFonts w:ascii="Arial" w:cs="Arial" w:eastAsia="Arial" w:hAnsi="Arial"/>
          <w:sz w:val="18"/>
          <w:szCs w:val="18"/>
          <w:color w:val="auto"/>
        </w:rPr>
        <w:t xml:space="preserve">” means, at any time, the aggregate Outstanding Amount of (a) the Domestic Extensions of Credit of the Domestic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Domestic Competitive Loans at such time.</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Extensions of Credit</w:t>
      </w:r>
      <w:r>
        <w:rPr>
          <w:rFonts w:ascii="Arial" w:cs="Arial" w:eastAsia="Arial" w:hAnsi="Arial"/>
          <w:sz w:val="18"/>
          <w:szCs w:val="18"/>
          <w:color w:val="auto"/>
        </w:rPr>
        <w:t xml:space="preserve">” means, at any time, the aggregate Outstanding Amount of (a) the Extensions of Credit of the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Competitive Loans at such time.</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Tranche Commitment</w:t>
      </w:r>
      <w:r>
        <w:rPr>
          <w:rFonts w:ascii="Arial" w:cs="Arial" w:eastAsia="Arial" w:hAnsi="Arial"/>
          <w:sz w:val="18"/>
          <w:szCs w:val="18"/>
          <w:color w:val="auto"/>
        </w:rPr>
        <w:t>” means, at any time, the aggregate amount of the L/C Tranche Commitments then in effect. The original amount of the Total L/C Tranche Commitment is $1,100,000,000.</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L/C Tranche Extensions of Credit</w:t>
      </w:r>
      <w:r>
        <w:rPr>
          <w:rFonts w:ascii="Arial" w:cs="Arial" w:eastAsia="Arial" w:hAnsi="Arial"/>
          <w:sz w:val="18"/>
          <w:szCs w:val="18"/>
          <w:color w:val="auto"/>
        </w:rPr>
        <w:t>” means, at any time, the aggregate Outstanding Amount of the L/C Tranche Extensions of Credit of the L/C Tranche Lenders at such time.</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Multicurrency Commitment</w:t>
      </w:r>
      <w:r>
        <w:rPr>
          <w:rFonts w:ascii="Arial" w:cs="Arial" w:eastAsia="Arial" w:hAnsi="Arial"/>
          <w:sz w:val="18"/>
          <w:szCs w:val="18"/>
          <w:color w:val="auto"/>
        </w:rPr>
        <w:t>” means, at any time, the aggregate amount of the Multicurrency Commitments then in effect. The original amount of the Total Multicurrency Commitment is $2,569,421,000.</w:t>
      </w:r>
    </w:p>
    <w:p>
      <w:pPr>
        <w:spacing w:after="0" w:line="170"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Multicurrency Extensions of Credit</w:t>
      </w:r>
      <w:r>
        <w:rPr>
          <w:rFonts w:ascii="Arial" w:cs="Arial" w:eastAsia="Arial" w:hAnsi="Arial"/>
          <w:sz w:val="17"/>
          <w:szCs w:val="17"/>
          <w:color w:val="auto"/>
        </w:rPr>
        <w:t xml:space="preserve">” means, at any time, the aggregate Outstanding Amount of (a) the Multicurrency Extensions of Credit of the Multicurrency Lenders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Dollar Equivalent of the Multicurrency Competitive Loans at such time.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74" w:right="299" w:bottom="1440" w:gutter="0" w:footer="0" w:header="0"/>
        </w:sectPr>
      </w:pPr>
    </w:p>
    <w:bookmarkStart w:id="42" w:name="page43"/>
    <w:bookmarkEnd w:id="42"/>
    <w:p>
      <w:pPr>
        <w:ind w:right="1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Type</w:t>
      </w:r>
      <w:r>
        <w:rPr>
          <w:rFonts w:ascii="Arial" w:cs="Arial" w:eastAsia="Arial" w:hAnsi="Arial"/>
          <w:sz w:val="18"/>
          <w:szCs w:val="18"/>
          <w:color w:val="auto"/>
        </w:rPr>
        <w:t>” means (a) as to any Loan (other than a Competitive Loan), its nature as an ABR Loan, a CDI Loan or a Eurocurrency Loan and (b) as to any Competitive Loan, its nature as a Eurocurrency Competitive Loan or a Fixed Rate Loan.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the Uniform Customs and Practice for Documentary Credits (2007 Revision), International Chamber of Commerce Publication No. 600, and any subsequent revision thereof adhered to by the Issuing Lenders.</w:t>
      </w:r>
    </w:p>
    <w:p>
      <w:pPr>
        <w:spacing w:after="0" w:line="17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Borrower</w:t>
      </w:r>
      <w:r>
        <w:rPr>
          <w:rFonts w:ascii="Arial" w:cs="Arial" w:eastAsia="Arial" w:hAnsi="Arial"/>
          <w:sz w:val="18"/>
          <w:szCs w:val="18"/>
          <w:color w:val="auto"/>
        </w:rPr>
        <w:t>” means any Borrower (i) that is incorporated under the laws of the United Kingdom or (ii) payments from which under this Agreement or any other Loan Document are subject to withholding Taxes imposed by the laws of the United Kingdom.</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CTA</w:t>
      </w:r>
      <w:r>
        <w:rPr>
          <w:rFonts w:ascii="Arial" w:cs="Arial" w:eastAsia="Arial" w:hAnsi="Arial"/>
          <w:sz w:val="18"/>
          <w:szCs w:val="18"/>
          <w:color w:val="auto"/>
        </w:rPr>
        <w:t>” means the United Kingdom Corporation Tax Act 2009, as amended or re-enacted.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ITA</w:t>
      </w:r>
      <w:r>
        <w:rPr>
          <w:rFonts w:ascii="Arial" w:cs="Arial" w:eastAsia="Arial" w:hAnsi="Arial"/>
          <w:sz w:val="18"/>
          <w:szCs w:val="18"/>
          <w:color w:val="auto"/>
        </w:rPr>
        <w:t>” means the United Kingdom Income Tax Act 2007, as amended or re-enacted.</w:t>
      </w:r>
    </w:p>
    <w:p>
      <w:pPr>
        <w:spacing w:after="0" w:line="225"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Qualifying Lender</w:t>
      </w:r>
      <w:r>
        <w:rPr>
          <w:rFonts w:ascii="Arial" w:cs="Arial" w:eastAsia="Arial" w:hAnsi="Arial"/>
          <w:sz w:val="17"/>
          <w:szCs w:val="17"/>
          <w:color w:val="auto"/>
        </w:rPr>
        <w:t>” means (a) a Lender which is beneficially entitled to interest payable to that Lender in respect of an advance under a Loan Document and is: (i) a Lender: (A) which is a bank (as defined for the purpose of section 879 of the UK ITA) making an advance under a Loan Document and is within the charge to United Kingdom corporation tax as respects any payments of interest made in respect of that advance or would be within such charge as respects such payments apart from section 18A of the UK CTA; or (B) in respect of an advance made under a Loan Document by a person that was a bank (as defined for the purpose of section 879 of the UK ITA) at the time that that advance was made and within the charge to United Kingdom corporation tax as respects any payments of interest made in respect of that advance; or (ii) a Lender which is: (A) a company resident in the United Kingdom for United Kingdom tax purposes; (B)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 or (iii) a UK Treaty Lender; or (b) a Lender which is a building society (as defined for the purposes of section 880 of the UK ITA) making an advance under a Loan Document.</w:t>
      </w:r>
    </w:p>
    <w:p>
      <w:pPr>
        <w:spacing w:after="0" w:line="18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Tax Confirmation</w:t>
      </w:r>
      <w:r>
        <w:rPr>
          <w:rFonts w:ascii="Arial" w:cs="Arial" w:eastAsia="Arial" w:hAnsi="Arial"/>
          <w:sz w:val="16"/>
          <w:szCs w:val="16"/>
          <w:color w:val="auto"/>
        </w:rPr>
        <w:t>” means a confirmation by a Lender that the person beneficially entitled to interest payable to that Lender in respect of an advance under a Loan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3" w:name="page44"/>
    <w:bookmarkEnd w:id="43"/>
    <w:p>
      <w:pPr>
        <w:ind w:right="6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UK Tax Deduction</w:t>
      </w:r>
      <w:r>
        <w:rPr>
          <w:rFonts w:ascii="Arial" w:cs="Arial" w:eastAsia="Arial" w:hAnsi="Arial"/>
          <w:sz w:val="18"/>
          <w:szCs w:val="18"/>
          <w:color w:val="auto"/>
        </w:rPr>
        <w:t>” means a deduction or withholding for or on account of Taxes from a payment under a Loan Document, other than a deduction or withholding required by FATCA.</w:t>
      </w:r>
    </w:p>
    <w:p>
      <w:pPr>
        <w:spacing w:after="0" w:line="170"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Treaty Lender</w:t>
      </w:r>
      <w:r>
        <w:rPr>
          <w:rFonts w:ascii="Arial" w:cs="Arial" w:eastAsia="Arial" w:hAnsi="Arial"/>
          <w:sz w:val="17"/>
          <w:szCs w:val="17"/>
          <w:color w:val="auto"/>
        </w:rPr>
        <w:t>” means a Lender which: (a) is treated as a resident of a UK Treaty State for the purposes of the relevant UK Treaty; (b) does not carry on a business in the United Kingdom through a permanent establishment with which that Lender’s participation in the Loan is effectively connected; and (c) meets all other conditions in the relevant UK Treaty for full exemption from Taxes imposed by the United Kingdom on interest payable to that Lender in respect of an advance under a Loan Document, including the completion of any necessary procedural formalities.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Treaty</w:t>
      </w:r>
      <w:r>
        <w:rPr>
          <w:rFonts w:ascii="Arial" w:cs="Arial" w:eastAsia="Arial" w:hAnsi="Arial"/>
          <w:sz w:val="18"/>
          <w:szCs w:val="18"/>
          <w:color w:val="auto"/>
        </w:rPr>
        <w:t>” has the meaning given to that term in the definition of UK Treaty State.</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Treaty State</w:t>
      </w:r>
      <w:r>
        <w:rPr>
          <w:rFonts w:ascii="Arial" w:cs="Arial" w:eastAsia="Arial" w:hAnsi="Arial"/>
          <w:sz w:val="18"/>
          <w:szCs w:val="18"/>
          <w:color w:val="auto"/>
        </w:rPr>
        <w:t>” means a jurisdiction having a double taxation agreement with the United Kingdom (a “</w:t>
      </w:r>
      <w:r>
        <w:rPr>
          <w:rFonts w:ascii="Arial" w:cs="Arial" w:eastAsia="Arial" w:hAnsi="Arial"/>
          <w:sz w:val="18"/>
          <w:szCs w:val="18"/>
          <w:u w:val="single" w:color="auto"/>
          <w:color w:val="auto"/>
        </w:rPr>
        <w:t>UK Treaty</w:t>
      </w:r>
      <w:r>
        <w:rPr>
          <w:rFonts w:ascii="Arial" w:cs="Arial" w:eastAsia="Arial" w:hAnsi="Arial"/>
          <w:sz w:val="18"/>
          <w:szCs w:val="18"/>
          <w:color w:val="auto"/>
        </w:rPr>
        <w:t>”) which makes provision for full exemption from tax imposed by the United Kingdom on interest.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225"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Company or other Person whose financial results are not, in accordance with GAAP, included in the consolidated financial statements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URDG</w:t>
      </w:r>
      <w:r>
        <w:rPr>
          <w:rFonts w:ascii="Arial" w:cs="Arial" w:eastAsia="Arial" w:hAnsi="Arial"/>
          <w:sz w:val="16"/>
          <w:szCs w:val="16"/>
          <w:color w:val="auto"/>
        </w:rPr>
        <w:t>” means the Uniform Rules for Demand Guarantees, ICC Publication 758, and any subsequent revision thereof adhered to by the Issuing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170"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Definitional Provisions</w:t>
      </w:r>
      <w:r>
        <w:rPr>
          <w:rFonts w:ascii="Arial" w:cs="Arial" w:eastAsia="Arial" w:hAnsi="Arial"/>
          <w:sz w:val="17"/>
          <w:szCs w:val="17"/>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147" w:lineRule="exact"/>
        <w:rPr>
          <w:sz w:val="20"/>
          <w:szCs w:val="20"/>
          <w:color w:val="auto"/>
        </w:rPr>
      </w:pPr>
    </w:p>
    <w:p>
      <w:pPr>
        <w:ind w:left="1180" w:hanging="259"/>
        <w:spacing w:after="0"/>
        <w:tabs>
          <w:tab w:leader="none" w:pos="11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As used herein and in the other Loan Documents, and any certificate or other document made or delivered pursuant hereto or thereto,</w:t>
      </w:r>
    </w:p>
    <w:p>
      <w:pPr>
        <w:spacing w:after="0" w:line="34" w:lineRule="exact"/>
        <w:rPr>
          <w:rFonts w:ascii="Arial" w:cs="Arial" w:eastAsia="Arial" w:hAnsi="Arial"/>
          <w:sz w:val="17"/>
          <w:szCs w:val="17"/>
          <w:color w:val="auto"/>
        </w:rPr>
      </w:pPr>
    </w:p>
    <w:p>
      <w:pPr>
        <w:ind w:right="20" w:firstLine="8"/>
        <w:spacing w:after="0" w:line="281" w:lineRule="auto"/>
        <w:tabs>
          <w:tab w:leader="none" w:pos="2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w:t>
      </w:r>
    </w:p>
    <w:p>
      <w:pPr>
        <w:spacing w:after="0" w:line="1" w:lineRule="exact"/>
        <w:rPr>
          <w:rFonts w:ascii="Arial" w:cs="Arial" w:eastAsia="Arial" w:hAnsi="Arial"/>
          <w:sz w:val="16"/>
          <w:szCs w:val="16"/>
          <w:color w:val="auto"/>
        </w:rPr>
      </w:pPr>
    </w:p>
    <w:p>
      <w:pPr>
        <w:ind w:right="120" w:firstLine="8"/>
        <w:spacing w:after="0" w:line="281" w:lineRule="auto"/>
        <w:tabs>
          <w:tab w:leader="none" w:pos="3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2" w:lineRule="exact"/>
        <w:rPr>
          <w:rFonts w:ascii="Arial" w:cs="Arial" w:eastAsia="Arial" w:hAnsi="Arial"/>
          <w:sz w:val="16"/>
          <w:szCs w:val="16"/>
          <w:color w:val="auto"/>
        </w:rPr>
      </w:pPr>
    </w:p>
    <w:p>
      <w:pPr>
        <w:ind w:right="660" w:firstLine="8"/>
        <w:spacing w:after="0" w:line="261"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references to agreements or other Contractual Obligations shall, unless otherwise specified, be deemed to refer to such agreements or Contractual Obligations as amended, supplemented,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44" w:name="page45"/>
    <w:bookmarkEnd w:id="44"/>
    <w:p>
      <w:pPr>
        <w:jc w:val="both"/>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w:t>
      </w:r>
    </w:p>
    <w:p>
      <w:pPr>
        <w:ind w:left="420" w:hanging="412"/>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unless otherwise specified, references to fiscal periods shall be deemed to be references to fiscal periods of the Company.</w:t>
      </w:r>
    </w:p>
    <w:p>
      <w:pPr>
        <w:spacing w:after="0" w:line="210" w:lineRule="exact"/>
        <w:rPr>
          <w:rFonts w:ascii="Arial" w:cs="Arial" w:eastAsia="Arial" w:hAnsi="Arial"/>
          <w:sz w:val="18"/>
          <w:szCs w:val="18"/>
          <w:color w:val="auto"/>
        </w:rPr>
      </w:pPr>
    </w:p>
    <w:p>
      <w:pPr>
        <w:ind w:right="140" w:firstLine="921"/>
        <w:spacing w:after="0" w:line="264" w:lineRule="auto"/>
        <w:tabs>
          <w:tab w:leader="none" w:pos="11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Conversion of Foreign Currencies</w:t>
      </w:r>
      <w:r>
        <w:rPr>
          <w:rFonts w:ascii="Arial" w:cs="Arial" w:eastAsia="Arial" w:hAnsi="Arial"/>
          <w:sz w:val="18"/>
          <w:szCs w:val="18"/>
          <w:color w:val="auto"/>
        </w:rPr>
        <w:t>.</w:t>
      </w:r>
    </w:p>
    <w:p>
      <w:pPr>
        <w:spacing w:after="0" w:line="225" w:lineRule="exact"/>
        <w:rPr>
          <w:sz w:val="20"/>
          <w:szCs w:val="20"/>
          <w:color w:val="auto"/>
        </w:rPr>
      </w:pPr>
    </w:p>
    <w:p>
      <w:pPr>
        <w:ind w:right="80" w:firstLine="921"/>
        <w:spacing w:after="0" w:line="259" w:lineRule="auto"/>
        <w:tabs>
          <w:tab w:leader="none" w:pos="11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86" w:lineRule="exact"/>
        <w:rPr>
          <w:rFonts w:ascii="Arial" w:cs="Arial" w:eastAsia="Arial" w:hAnsi="Arial"/>
          <w:sz w:val="18"/>
          <w:szCs w:val="18"/>
          <w:color w:val="auto"/>
        </w:rPr>
      </w:pPr>
    </w:p>
    <w:p>
      <w:pPr>
        <w:jc w:val="both"/>
        <w:ind w:right="80" w:firstLine="921"/>
        <w:spacing w:after="0" w:line="302" w:lineRule="auto"/>
        <w:tabs>
          <w:tab w:leader="none" w:pos="1168"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154" w:lineRule="exact"/>
        <w:rPr>
          <w:rFonts w:ascii="Arial" w:cs="Arial" w:eastAsia="Arial" w:hAnsi="Arial"/>
          <w:sz w:val="16"/>
          <w:szCs w:val="16"/>
          <w:color w:val="auto"/>
        </w:rPr>
      </w:pPr>
    </w:p>
    <w:p>
      <w:pPr>
        <w:ind w:firstLine="921"/>
        <w:spacing w:after="0" w:line="286" w:lineRule="auto"/>
        <w:tabs>
          <w:tab w:leader="none" w:pos="115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Administrative Agent and/or the Brazilian Administrative Agent, as applicable,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66"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2. AMOUNT AND TERMS OF COMMITMENTS</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Domestic Commitments</w:t>
      </w:r>
      <w:r>
        <w:rPr>
          <w:rFonts w:ascii="Arial" w:cs="Arial" w:eastAsia="Arial" w:hAnsi="Arial"/>
          <w:sz w:val="18"/>
          <w:szCs w:val="18"/>
          <w:color w:val="auto"/>
        </w:rPr>
        <w:t>. (a) Subject to the terms and conditions hereof, each Domestic Lender severally agrees to make (or cause its Applicable Lending Office to make) revolving loans (“</w:t>
      </w:r>
      <w:r>
        <w:rPr>
          <w:rFonts w:ascii="Arial" w:cs="Arial" w:eastAsia="Arial" w:hAnsi="Arial"/>
          <w:sz w:val="18"/>
          <w:szCs w:val="18"/>
          <w:u w:val="single" w:color="auto"/>
          <w:color w:val="auto"/>
        </w:rPr>
        <w:t>Domestic Loans</w:t>
      </w:r>
      <w:r>
        <w:rPr>
          <w:rFonts w:ascii="Arial" w:cs="Arial" w:eastAsia="Arial" w:hAnsi="Arial"/>
          <w:sz w:val="18"/>
          <w:szCs w:val="18"/>
          <w:color w:val="auto"/>
        </w:rPr>
        <w:t xml:space="preserve">”) in Dollars to the Company or any Domestic Subsidiary Borrower from time to time during the Commitment Period of such Domestic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after giving effect to such borrowing and the use of proceeds thereof, (i) such Lender’s Domestic Extensions of Credit do not exceed the amount of such Lender’s Domestic Commitments, (ii) the Total Domestic Extensions of Credit shall not exceed the Total Domestic Commitments then in effect and (iii) the Total Extensions of Credit shall not exceed the Total Commitments then in effect. During the Commitment Period of the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45" w:name="page46"/>
    <w:bookmarkEnd w:id="45"/>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Eurocurrency Loans, ABR Loans or any combination of the foregoing, as determined by the Company or the relevant Domestic Subsidiary Borrower and notified to the Administrative Agent in accordance with Section 2.2 and 2.14.</w:t>
      </w:r>
    </w:p>
    <w:p>
      <w:pPr>
        <w:spacing w:after="0" w:line="171" w:lineRule="exact"/>
        <w:rPr>
          <w:sz w:val="20"/>
          <w:szCs w:val="20"/>
          <w:color w:val="auto"/>
        </w:rPr>
      </w:pPr>
    </w:p>
    <w:p>
      <w:pPr>
        <w:ind w:firstLine="921"/>
        <w:spacing w:after="0" w:line="277" w:lineRule="auto"/>
        <w:tabs>
          <w:tab w:leader="none" w:pos="116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Domestic Subsidiary Borrower shall repay all outstanding Domestic Loans of a Lender on the Termination Date for such Lender under the Domestic Facility.</w:t>
      </w:r>
    </w:p>
    <w:p>
      <w:pPr>
        <w:spacing w:after="0" w:line="170" w:lineRule="exact"/>
        <w:rPr>
          <w:sz w:val="20"/>
          <w:szCs w:val="20"/>
          <w:color w:val="auto"/>
        </w:rPr>
      </w:pPr>
    </w:p>
    <w:p>
      <w:pPr>
        <w:ind w:right="20" w:firstLine="913"/>
        <w:spacing w:after="0" w:line="26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Procedure for Domestic Loan Borrowing</w:t>
      </w:r>
      <w:r>
        <w:rPr>
          <w:rFonts w:ascii="Arial" w:cs="Arial" w:eastAsia="Arial" w:hAnsi="Arial"/>
          <w:sz w:val="17"/>
          <w:szCs w:val="17"/>
          <w:color w:val="auto"/>
        </w:rPr>
        <w:t xml:space="preserve">. The Company and any Domestic Subsidiary Borrower may borrow under the Domestic Commitments during the applicable Commitment Period on any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or the relevant Domestic Subsidiary Borrower shall give the Administrative Agent a written Borrowing Request (or telephonic notice promptly confirmed with a written Borrowing Request) prior to (a) 1:00 P.M., New York City time, three Business Days prior to the requested Borrowing Date, in the case of Eurocurrency Loans, or (b) 1:00 P.M., New York City time, on the date of the proposed borrowing, in the case of ABR Loans, specifying (i) the amount and Type of Domestic Loans to be borrowed, (ii) the requested Borrowing Date and (iii) in the case of Eurocurrency Loans, the respective lengths of the initial Interest Period(s)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Borrowing Request submitted by a Domestic Subsidiary Borrower shall include the written consent of the Company. If no election as to the Type of a Domestic Loan is specified in any such notice, then the requested borrowing shall be an ABR Loan. If no Interest Period with respect to a Eurocurrency Loan is specified in any such notice, then the Company or the relevant Domestic Subsidiary Borrower shall be deemed to have selected an Interest Period of one month’s duration. Each borrowing under the Domestic Commitments shall be in an amount equal to $25 million (or, if the Total Available Domestic Commitments at such time are less than $25 million, such lesser amount) or a whole multiple of $5 million in excess thereof. Upon receipt of any such notice from the Company or the relevant Domestic Subsidiary Borrower, the Administrative Agent shall promptly notify each Domestic Lender thereof. Each Domestic Lender will make (or cause its Applicable Lending Office to make) the amount of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188"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Multicurrency Commitments</w:t>
      </w:r>
      <w:r>
        <w:rPr>
          <w:rFonts w:ascii="Arial" w:cs="Arial" w:eastAsia="Arial" w:hAnsi="Arial"/>
          <w:sz w:val="17"/>
          <w:szCs w:val="17"/>
          <w:color w:val="auto"/>
        </w:rPr>
        <w:t>. (a) Subject to the terms and conditions hereof, each Multicurrency Lender severally agrees to make (or cause its Applicable Lending Office to make) revolving loans (“</w:t>
      </w:r>
      <w:r>
        <w:rPr>
          <w:rFonts w:ascii="Arial" w:cs="Arial" w:eastAsia="Arial" w:hAnsi="Arial"/>
          <w:sz w:val="17"/>
          <w:szCs w:val="17"/>
          <w:u w:val="single" w:color="auto"/>
          <w:color w:val="auto"/>
        </w:rPr>
        <w:t>Multicurrency Loans</w:t>
      </w:r>
      <w:r>
        <w:rPr>
          <w:rFonts w:ascii="Arial" w:cs="Arial" w:eastAsia="Arial" w:hAnsi="Arial"/>
          <w:sz w:val="17"/>
          <w:szCs w:val="17"/>
          <w:color w:val="auto"/>
        </w:rPr>
        <w:t xml:space="preserve">”) in Dollars or any Optional Currency to the Company, GMF or any Foreign Subsidiary Borrower from time to time during the Commitment Period of such Multicurrency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 (i) such Lender’s Multicurrency Extensions of Credit do not exceed the amount of such Lender’s Multicurrency Commitments, (ii) the Total Multicurrency Extensions of Credit shall not exceed the Total Multicurrency Commitments then in effect and (iii) the Total Extensions of Credit shall not exceed the Total Commitments then in effect. During the Commitment Period of the applicable Multicurrency Lenders for the Multicurrency Facility, the Company and any relevant Subsidiary Borrower may use the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4" w:right="279" w:bottom="1440" w:gutter="0" w:footer="0" w:header="0"/>
        </w:sectPr>
      </w:pPr>
    </w:p>
    <w:bookmarkStart w:id="46" w:name="page47"/>
    <w:bookmarkEnd w:id="46"/>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Multicurrency Commitments by borrowing, prepaying the Multicurrency Loans in whole or in part, and reborrowing, all in accordance with the terms and conditions hereof. The Multicurrency Loans shall be Eurocurrency Loans or (if made to the Company and denominated in Dollars) ABR Loans, in each case, as notified to the Administrative Agent in accordance with Section 2.4 and 2.14.</w:t>
      </w:r>
    </w:p>
    <w:p>
      <w:pPr>
        <w:spacing w:after="0" w:line="181" w:lineRule="exact"/>
        <w:rPr>
          <w:sz w:val="20"/>
          <w:szCs w:val="20"/>
          <w:color w:val="auto"/>
        </w:rPr>
      </w:pPr>
    </w:p>
    <w:p>
      <w:pPr>
        <w:ind w:right="300" w:firstLine="921"/>
        <w:spacing w:after="0" w:line="277" w:lineRule="auto"/>
        <w:tabs>
          <w:tab w:leader="none" w:pos="11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Multicurrency Loans of a Lender on the Termination Date for such Lender under the Multicurrency Facility.</w:t>
      </w:r>
    </w:p>
    <w:p>
      <w:pPr>
        <w:spacing w:after="0" w:line="170" w:lineRule="exact"/>
        <w:rPr>
          <w:rFonts w:ascii="Arial" w:cs="Arial" w:eastAsia="Arial" w:hAnsi="Arial"/>
          <w:sz w:val="18"/>
          <w:szCs w:val="18"/>
          <w:color w:val="auto"/>
        </w:rPr>
      </w:pPr>
    </w:p>
    <w:p>
      <w:pPr>
        <w:jc w:val="both"/>
        <w:ind w:right="40" w:firstLine="921"/>
        <w:spacing w:after="0" w:line="264" w:lineRule="auto"/>
        <w:tabs>
          <w:tab w:leader="none" w:pos="11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the terms of this Agreement and the relevant Ancillary Facility Document(s), any Lender may make all or part of its Multicurrency Commitment available to any Ancillary Borrower as an Ancillary Facility. For the avoidance of doubt, any reference to a Multicurrency Loan, Multicurrency Competitive Loan, Loan or Letter of Credit shall not include any utilization of any Ancillary Facility.</w:t>
      </w:r>
    </w:p>
    <w:p>
      <w:pPr>
        <w:spacing w:after="0" w:line="181"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Procedure for Multicurrency Loan Borrowing</w:t>
      </w:r>
      <w:r>
        <w:rPr>
          <w:rFonts w:ascii="Arial" w:cs="Arial" w:eastAsia="Arial" w:hAnsi="Arial"/>
          <w:sz w:val="16"/>
          <w:szCs w:val="16"/>
          <w:color w:val="auto"/>
        </w:rPr>
        <w:t xml:space="preserve">. The Company and any relevant Subsidiary Borrower may borrow under the Multicurrency Commitments during the applicable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or the relevant Subsidiary Borrower shall deliver to the Administrative Agent (x) in the case of any Multicurrency Loan denominated in Dollars, a written Borrowing Request (or telephonic notice promptly confirmed in a written Borrowing Request) prior to (a) in the case of Eurocurrency Loans (i) in the case of requests made by the Company or any Subsidiary Borrower other than GMGTC, 1:00 P.M., New York City time, three Business Days prior to the requested Borrowing Date or (ii) in the case of requests made by GMGTC, 1:00 P.M., London time, three Business Days prior to the requested Borrowing Date, or (b) 1:00 P.M., New York City time, on the date of the proposed borrowing, in the case of ABR Loans requested by the Company and (y) in the case of any Multicurrency Loan denominated in an Optional Currency, a written Borrowing Request prior to 1:00 P.M., London time, three Business Days prior to the requested Borrowing Date, in each case, specifying</w:t>
      </w:r>
    </w:p>
    <w:p>
      <w:pPr>
        <w:spacing w:after="0" w:line="1" w:lineRule="exact"/>
        <w:rPr>
          <w:sz w:val="20"/>
          <w:szCs w:val="20"/>
          <w:color w:val="auto"/>
        </w:rPr>
      </w:pPr>
    </w:p>
    <w:p>
      <w:pPr>
        <w:ind w:firstLine="8"/>
        <w:spacing w:after="0" w:line="284" w:lineRule="auto"/>
        <w:tabs>
          <w:tab w:leader="none" w:pos="245"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amount, Type and Currency of Multicurrency Loans to be borrowed, (b) the requested Borrowing Date and (c) the respective lengths of the initial Interest Period(s) therefor, if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Borrowing Request submitted by a Subsidiary Borrower shall include the written consent of the Company. If no election as to the Type of a Multicurrency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Upon receipt of any such notice from the Company or the relevant Subsidiary Borrower, the Administrative Agent shall promptly notify each Multicurrency Lender holding Multicurrency Commitments of such notice. Each Multicurrency Lender holding Multicurrency Commitments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borrowing available to the Administrative Agent for the account of the Company or the relevant Subsidiary Borrower at the Funding Office prior to (x) in the case of any Multicurrency Loan denominated in Dollars, (i) 1:00 P.M. (or, in the case of an ABR Loan requested on the proposed Borrowing Date, 3:00 P.M.), New York City time, on the Borrowing Date requested by the Company or the relevant Subsidiary Borrower (excluding GMGTC) and (ii) 1:00 P.M., London time, on the Borrowing Date requested by GMGTC and (y) in the case of any Multicurrency Loan denominated in an Optional Currency, 2:00 P.M., 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47" w:name="page48"/>
    <w:bookmarkEnd w:id="47"/>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the relevant Subsidiary Borrower on the books of such office or such other account as the Company or relevant Subsidiary Borrower may specify to the Administrative Agent with the aggregate of the amounts made available to the Administrative Agent by the applicable Multicurrency Lenders and in like funds as received by the Administrative Agent.</w:t>
      </w:r>
    </w:p>
    <w:p>
      <w:pPr>
        <w:spacing w:after="0" w:line="181" w:lineRule="exact"/>
        <w:rPr>
          <w:sz w:val="20"/>
          <w:szCs w:val="20"/>
          <w:color w:val="auto"/>
        </w:rPr>
      </w:pPr>
    </w:p>
    <w:p>
      <w:pPr>
        <w:ind w:right="260" w:firstLine="913"/>
        <w:spacing w:after="0" w:line="28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Brazilian Commitments</w:t>
      </w:r>
      <w:r>
        <w:rPr>
          <w:rFonts w:ascii="Arial" w:cs="Arial" w:eastAsia="Arial" w:hAnsi="Arial"/>
          <w:sz w:val="16"/>
          <w:szCs w:val="16"/>
          <w:color w:val="auto"/>
        </w:rPr>
        <w:t>. (a) Subject to the terms and conditions hereof, each Brazilian Lender severally agrees to make (or cause its Applicable Lending Office to make) revolving loans (“</w:t>
      </w:r>
      <w:r>
        <w:rPr>
          <w:rFonts w:ascii="Arial" w:cs="Arial" w:eastAsia="Arial" w:hAnsi="Arial"/>
          <w:sz w:val="16"/>
          <w:szCs w:val="16"/>
          <w:u w:val="single" w:color="auto"/>
          <w:color w:val="auto"/>
        </w:rPr>
        <w:t>Brazilian Loans</w:t>
      </w:r>
      <w:r>
        <w:rPr>
          <w:rFonts w:ascii="Arial" w:cs="Arial" w:eastAsia="Arial" w:hAnsi="Arial"/>
          <w:sz w:val="16"/>
          <w:szCs w:val="16"/>
          <w:color w:val="auto"/>
        </w:rPr>
        <w:t xml:space="preserve">”) in Brazilian Reais to any Brazilian Subsidiary Borrower from time to time during the Commitment Period of such Brazilian Lender pursuant to, in accordance with and subject to the terms of, its Brazilian Bank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ind w:right="100" w:firstLine="8"/>
        <w:spacing w:after="0" w:line="252"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after giving effect to such borrowing and the use of proceeds thereof, (i) such Lender’s Brazilian Extensions of Credit do not exceed the amount of such Lender’s Brazilian Commitments then in effect, (ii) the Total Brazilian Extensions of Credit shall not exceed the Total Brazilian Commitment then in effect and (iii) the Total Extensions of Credit shall not exceed the Total Commitments then in effect and (y) each borrowing under the Brazilian Commitments shall be in an amount that is an integral multiple of R$10 million and no less than R$50 million (or, if the Total Available Brazilian Commitments are less than R$50 million at such time, such lesser amount). During the Commitment Period of the applicable Brazilian Lenders for the Brazilian Facility, the relevant Brazilian Subsidiary Borrower may use the Brazilian Commitments by borrowing, prepaying the Brazilian Loans in whole or in part, and reborrowing, all in accordance with the terms and conditions of the Brazilian Bank Certificates, the Brazilian Intercreditor Agreement and this Agreement. The Brazilian Loans shall be CDI Loans.</w:t>
      </w:r>
    </w:p>
    <w:p>
      <w:pPr>
        <w:spacing w:after="0" w:line="191" w:lineRule="exact"/>
        <w:rPr>
          <w:rFonts w:ascii="Arial" w:cs="Arial" w:eastAsia="Arial" w:hAnsi="Arial"/>
          <w:sz w:val="18"/>
          <w:szCs w:val="18"/>
          <w:color w:val="auto"/>
        </w:rPr>
      </w:pPr>
    </w:p>
    <w:p>
      <w:pPr>
        <w:ind w:right="100" w:firstLine="921"/>
        <w:spacing w:after="0" w:line="277" w:lineRule="auto"/>
        <w:tabs>
          <w:tab w:leader="none" w:pos="116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all outstanding Brazilian Loans of a Lender on the Termination Date for such Lender under the Brazilian Facility.</w:t>
      </w:r>
    </w:p>
    <w:p>
      <w:pPr>
        <w:spacing w:after="0" w:line="170" w:lineRule="exact"/>
        <w:rPr>
          <w:rFonts w:ascii="Arial" w:cs="Arial" w:eastAsia="Arial" w:hAnsi="Arial"/>
          <w:sz w:val="18"/>
          <w:szCs w:val="18"/>
          <w:color w:val="auto"/>
        </w:rPr>
      </w:pPr>
    </w:p>
    <w:p>
      <w:pPr>
        <w:ind w:right="360" w:firstLine="921"/>
        <w:spacing w:after="0" w:line="277" w:lineRule="auto"/>
        <w:tabs>
          <w:tab w:leader="none" w:pos="115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any outstanding Brazilian Loans on the dates required by the applicable Brazilian Bank Certificate.</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Brazilian Reporting</w:t>
      </w:r>
      <w:r>
        <w:rPr>
          <w:rFonts w:ascii="Arial" w:cs="Arial" w:eastAsia="Arial" w:hAnsi="Arial"/>
          <w:sz w:val="18"/>
          <w:szCs w:val="18"/>
          <w:color w:val="auto"/>
        </w:rPr>
        <w:t>. Unless otherwise requested by the Administrative Agent, the Brazilian Administrative Agent shall report in writing to the Administrative Agent (i) on the last Business Day of each month, the amount of all Brazilian Loans outstanding, (ii) on each Business Day on which the Brazilian Administrative Agent expects a Brazilian Loan to be made, the aggregate principal amount of such Brazilian Loan to be made on such date and the Dollar Equivalent thereof, and the Brazilian Administrative Agent shall not be permitted to release or deliver to any Brazilian Subsidiary Borrower all or any portion of such Brazilian Loan without first notifying the Administrative Agent as set forth herein, and (iii) on any other Business Day, such other information as the Administrative Agent shall reasonably request, including but not limited to prompt verification of such information as may be requested by the Administrative Agent.</w:t>
      </w:r>
    </w:p>
    <w:p>
      <w:pPr>
        <w:spacing w:after="0" w:line="189"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L/C Tranche Commitments</w:t>
      </w:r>
      <w:r>
        <w:rPr>
          <w:rFonts w:ascii="Arial" w:cs="Arial" w:eastAsia="Arial" w:hAnsi="Arial"/>
          <w:sz w:val="16"/>
          <w:szCs w:val="16"/>
          <w:color w:val="auto"/>
        </w:rPr>
        <w:t>. (a) Subject to the terms and conditions hereof, each L/C Tranche Lender severally agrees to make (or cause its Applicable Lending Office to make) revolving loans (“</w:t>
      </w:r>
      <w:r>
        <w:rPr>
          <w:rFonts w:ascii="Arial" w:cs="Arial" w:eastAsia="Arial" w:hAnsi="Arial"/>
          <w:sz w:val="16"/>
          <w:szCs w:val="16"/>
          <w:u w:val="single" w:color="auto"/>
          <w:color w:val="auto"/>
        </w:rPr>
        <w:t>L/C Tranche Loans</w:t>
      </w:r>
      <w:r>
        <w:rPr>
          <w:rFonts w:ascii="Arial" w:cs="Arial" w:eastAsia="Arial" w:hAnsi="Arial"/>
          <w:sz w:val="16"/>
          <w:szCs w:val="16"/>
          <w:color w:val="auto"/>
        </w:rPr>
        <w:t xml:space="preserve">”) in Dollars or any Optional Currency to the Company or any Foreign Subsidiary Borrower from time to time during the Commitment Period of such L/C Tranche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such Lender’s L/C Tranche Extensions of Credit do not exceed the amount of such Lender’s L/C Tranche Commitments and (ii) the Total Extensions of Credit shall not exceed the Total Commitments then in effect. During the Commitment Period for the applicable L/C Tranche Lenders for the L/C Tranche Facility, the Company and any relevant Subsidiary Borrower may use the L/C Tranche Commitments by borrowing, prepaying the L/C Tranche Loans in whole or in part, and reborrowing, all in accordance with the terms and conditions hereof. The L/C Tranche Loans shall be Eurocurrency Loans or (if made to the Company and denominated in Dollars) ABR Loans as notified to the Administrative Agent in accordance with Section 2.8 and 2.14.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8" w:name="page49"/>
    <w:bookmarkEnd w:id="48"/>
    <w:p>
      <w:pPr>
        <w:ind w:right="420" w:firstLine="921"/>
        <w:spacing w:after="0" w:line="277" w:lineRule="auto"/>
        <w:tabs>
          <w:tab w:leader="none" w:pos="1168"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to the extent of its borrowings, any relevant Subsidiary Borrower shall repay all outstanding L/C Tranche Loans of a Lender on the Termination Date for such Lender under the L/C Tranche Facility.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Procedure for L/C Tranche Loan Borrowing</w:t>
      </w:r>
      <w:r>
        <w:rPr>
          <w:rFonts w:ascii="Arial" w:cs="Arial" w:eastAsia="Arial" w:hAnsi="Arial"/>
          <w:sz w:val="17"/>
          <w:szCs w:val="17"/>
          <w:color w:val="auto"/>
        </w:rPr>
        <w:t>. The Company and any relevant Subsidiary Borrower may borrow under the L/C Tranche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Commitments during the applicable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in the case of a deemed request for an ABR Loan (i)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Reimbursement Date of a Reimbursement Obligation as contemplated by Section 3.5 and (ii) for payment of fees due pursuant to the L/C Fee Letter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contemplated by Section 3.3, the Company or the relevant Subsidiary Borrower shall deliver to the Administrative Agent (x) in the case of any L/C Tranche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denominated in Dollars, a written Borrowing Request (or telephonic notice promptly confirmed in a written Borrowing Request) prior to (a) 1:00 P.M.,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York City time, three Business Days prior to the requested Borrowing Date, in the case of Eurocurrency Loans, or (b) 12:00 Noon, New York City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date of the proposed borrowing, in the case of ABR Loans requested by the Company and (y) in the case of any L/C Tranche Loan denominated in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Optional Currency, a written Borrowing Request prior to 12:00 Noon, London time, three Business Days prior to the requested Borrowing Date, in each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specifying (a) the amount, Type and Currency of L/C Tranche Loans to be borrowed, (b) the requested Borrowing Date and (c) the respective lengths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initial Interest Period(s) therefor, if applicable;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Borrowing Request submitted by a Subsidiary Borrower shall include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written consent of the Company. If no election as to the Type of an L/C Tranche Loan denominated in Dollars and requested by the Company is specified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such notice, then the requested borrowing shall be an ABR Loan. If no Interest Period with respect to any Eurocurrency Loan is specified in any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notice, then the Company or the relevant Subsidiary Borrower shall be deemed to have selected an Interest Period of one month’s duration. Except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contemplated by Sections 3.3 and 3.5, each borrowing under the L/C Tranche Commitments shall be in an amount that is an integral multiple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of the relevant Currency and no less than an amount which is equal to the Dollar Equivalent of $50 million (or, if the Total Available L/C Tranche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Commitments are less than $50 million at such time, such lesser amount). Upon receipt of any such notice from the Company or the relevant Subsidiary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Borrower (or, as provided in Sections 3.3 and 3.5, deemed notice), the Administrative Agent shall promptly notify each L/C Tranche Lender holding 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 Commitments of such notice. Each L/C Tranche Lender holding L/C Tranche Commitments will make (or cause its Applicable Lending Office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borrowing available to the Administrative Agent for the account of the Company or the relevant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Borrower at the Funding Office prior to (x) in the case of any L/C Tranche Loan denominated in Dollars, 1:00 P.M. (or, in the case of an ABR Loan requested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the Company on the proposed Borrowing Date, 3:00 P.M.), New York City time, on the Borrowing Date requested by the Company or the relevant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Subsidiary Borrower and (y) in the case of any L/C Tranche Loan denominated in an Optional Currency, 2:00 P.M., London time, on the Borrowing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requested by the Company or such Subsidiary Borrower in funds immediately available to the Administrative Agent. Subject to Sections 3.3 and 3.5 (where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proceeds of such borrowing shall be applied to repay fees due pursuant to the L/C Fee Letter or the related Reimbursement Obligation, as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borrowing will then be made available to the Company or the relevant Subsidiary Borrower by the Administrative Agent crediting the account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or the relevant Subsidiary Borrower on the books of such office or such other account as the Company or relevant Subsidiary Borrower may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specify to the Administrative Agent with the aggregate of the amounts made available to the Administrative Agent by the applicable L/C Tranche Lenders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in like funds as received by the Administrative Agent.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49" w:name="page50"/>
    <w:bookmarkEnd w:id="49"/>
    <w:p>
      <w:pPr>
        <w:ind w:right="2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 </w:t>
      </w:r>
      <w:r>
        <w:rPr>
          <w:rFonts w:ascii="Arial" w:cs="Arial" w:eastAsia="Arial" w:hAnsi="Arial"/>
          <w:sz w:val="16"/>
          <w:szCs w:val="16"/>
          <w:u w:val="single" w:color="auto"/>
          <w:color w:val="auto"/>
        </w:rPr>
        <w:t>Competitive Bid Procedure</w:t>
      </w:r>
      <w:r>
        <w:rPr>
          <w:rFonts w:ascii="Arial" w:cs="Arial" w:eastAsia="Arial" w:hAnsi="Arial"/>
          <w:sz w:val="16"/>
          <w:szCs w:val="16"/>
          <w:color w:val="auto"/>
        </w:rPr>
        <w:t xml:space="preserve">. (a) (i) Subject to the terms and conditions set forth herein, from time to time during the Commitment Period in respect of Domestic Commitments, the Company or any Domestic Subsidiary Borrower may request Competitive Bids under the Domestic Facility and may (but shall not have any obligation to) accept Competitive Bids and borrow Competitive Loans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such borrowing and the use of proceeds thereof, (i) the Total Domestic Extensions of Credit shall not exceed the Total Domestic Commitments then in effect and (ii) the Total Extensions of Credit shall not exceed the Total Commitments then in effect. To request Competitive Bids under the Domestic Facility, the Company or the relevant Domestic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Domestic Facility, (2) the amount (which shall be a minimum of $50 million) and Type of the requested Competitive Loans, (3) the requested Borrowing Date and (4) the requested Interest Period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or the relevant Domestic Subsidiary Borrower may request offers to make Competitive Loans under the Domestic Facility for more than one Interest Period or for multiple Types of Competitive Loans under the Domestic Facility in a single Competitive Bid Request.</w:t>
      </w:r>
    </w:p>
    <w:p>
      <w:pPr>
        <w:spacing w:after="0" w:line="169" w:lineRule="exact"/>
        <w:rPr>
          <w:sz w:val="20"/>
          <w:szCs w:val="20"/>
          <w:color w:val="auto"/>
        </w:rPr>
      </w:pPr>
    </w:p>
    <w:p>
      <w:pPr>
        <w:ind w:firstLine="921"/>
        <w:spacing w:after="0" w:line="287" w:lineRule="auto"/>
        <w:tabs>
          <w:tab w:leader="none" w:pos="11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from time to time during the Commitment Period in respect of Multicurrency Commitments, the Company or any relevant Subsidiary Borrower may request Competitive Bids under the Multicurrency Facility and may (but shall not have any obligation to) accept Competitive Bids and borrow Competitive Loans in Dollars or any Optional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such borrowing and the use of proceeds thereof, (x) the Total Multicurrency Extensions of Credit shall not exceed the Total Multicurrency Commitments then in effect and (y) the Total Extensions of Credit shall not exceed the Total Commitments then in effect. To request Competitive Bids under the Multicurrency Facility, the Company or the relevant Subsidiary Borrower shall give the Administrative Agent written notice by delivery of a Competitive Bid Request not later than 12:00 Noon London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Multicurrency Facility, (2) the requested Currency, (3) the amount (which shall be a minimum of $50 million or the Dollar Equivalent in any Optional Currency) and Type of the requested Competitive Loans, (4) the requested Borrowing Date and (5) the requested Interest Period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or the relevant Subsidiary Borrower may request offers to make Competitive Loans under the Multicurrency Facility for more than one Interest Period or for multiple Types of Competitive Loans under the Multicurrency Facility in a single Competitive Bid Request.</w:t>
      </w:r>
    </w:p>
    <w:p>
      <w:pPr>
        <w:spacing w:after="0" w:line="169" w:lineRule="exact"/>
        <w:rPr>
          <w:sz w:val="20"/>
          <w:szCs w:val="20"/>
          <w:color w:val="auto"/>
        </w:rPr>
      </w:pPr>
    </w:p>
    <w:p>
      <w:pPr>
        <w:ind w:left="1180" w:hanging="259"/>
        <w:spacing w:after="0"/>
        <w:tabs>
          <w:tab w:leader="none" w:pos="11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Promptly following receipt of a Competitive Bid Request conforming to the requirements of this Section 2.9 (but, in any event, no later than</w:t>
      </w:r>
    </w:p>
    <w:p>
      <w:pPr>
        <w:spacing w:after="0" w:line="46" w:lineRule="exact"/>
        <w:rPr>
          <w:rFonts w:ascii="Arial" w:cs="Arial" w:eastAsia="Arial" w:hAnsi="Arial"/>
          <w:sz w:val="16"/>
          <w:szCs w:val="16"/>
          <w:color w:val="auto"/>
        </w:rPr>
      </w:pPr>
    </w:p>
    <w:p>
      <w:pPr>
        <w:ind w:right="420" w:firstLine="8"/>
        <w:spacing w:after="0" w:line="255"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respect to any such request under the Domestic Facility, 3:00 P.M. New York City time and (y) with respect to any such request under the Multicurrency Facility, 3:00 P.M., London time, in each case, on the date of receipt thereof), the Administrative Agent shall notify the Lenders under the applicable Facility of the details thereof, inviting such Lenders to submit Competitive Bids.</w:t>
      </w:r>
    </w:p>
    <w:p>
      <w:pPr>
        <w:spacing w:after="0" w:line="190" w:lineRule="exact"/>
        <w:rPr>
          <w:rFonts w:ascii="Arial" w:cs="Arial" w:eastAsia="Arial" w:hAnsi="Arial"/>
          <w:sz w:val="18"/>
          <w:szCs w:val="18"/>
          <w:color w:val="auto"/>
        </w:rPr>
      </w:pPr>
    </w:p>
    <w:p>
      <w:pPr>
        <w:ind w:right="20" w:firstLine="921"/>
        <w:spacing w:after="0" w:line="259" w:lineRule="auto"/>
        <w:tabs>
          <w:tab w:leader="none" w:pos="1158"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Lender under the applicable Facility (or any Applicable Lending Office of such Lender) may (but shall not have any obligation to) make one or more Competitive Bids to the Company in response to a Competitive Bid Request. Each Competitive Bid by a Lender must be substantially in the form of Exhibit C and must be received by the Administrative Agent at its office specified in Section 10.2 not later than (x) with respect to any such Competitive Bid made under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50" w:name="page51"/>
    <w:bookmarkEnd w:id="50"/>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Domestic Facility, 9:30 A.M., New York City time, three Business Days before the proposed Borrowing Date, in the case of Eurocurrency Competitive Loans, or 9:30 A.M., New York City time, on the proposed Borrowing Date, in the case of Fixed Rate Loans and (y) with respect to any such Competitive Bid made under the Multicurrency Facility, 9:30 A.M., London time, three Business Days before the proposed Borrowing Date, in the case of Eurocurrency Competitive Loans, or 9:30 A.M., London time, one Business Day before the proposed Borrowing Date, in the case of Fixed Rate Loans. Competitive Bids that do not conform substantially to Exhibit C may be rejected by the Administrative Agent, and the Administrative Agent shall notify the applicable Lender as promptly as practicable if such bid is rejected. Each Competitive Bid shall specify (i) the principal amount (which shall be a minimum of $5 million (or</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5 million units of an Optional Currency) and which may equal the entire principal amount of the Competitive Loans requested by the Company or the relevant Subsidiary Borrower in the applicable Currency)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94" w:lineRule="exact"/>
        <w:rPr>
          <w:sz w:val="20"/>
          <w:szCs w:val="20"/>
          <w:color w:val="auto"/>
        </w:rPr>
      </w:pPr>
    </w:p>
    <w:p>
      <w:pPr>
        <w:jc w:val="both"/>
        <w:ind w:right="280" w:firstLine="921"/>
        <w:spacing w:after="0" w:line="291" w:lineRule="auto"/>
        <w:tabs>
          <w:tab w:leader="none" w:pos="1168"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Administrative Agent shall promptly (and, in any event, by no later than (x) with respect to any such requested Domestic Competitive Loan, 10:00 A.M., New York City time (i) three Business Days before the proposed Borrowing Date, in the case of Eurocurrency Competitive Loans, and</w:t>
      </w:r>
    </w:p>
    <w:p>
      <w:pPr>
        <w:ind w:right="20" w:firstLine="8"/>
        <w:spacing w:after="0" w:line="271" w:lineRule="auto"/>
        <w:tabs>
          <w:tab w:leader="none" w:pos="265" w:val="left"/>
        </w:tabs>
        <w:numPr>
          <w:ilvl w:val="0"/>
          <w:numId w:val="53"/>
        </w:numPr>
        <w:rPr>
          <w:rFonts w:ascii="Arial" w:cs="Arial" w:eastAsia="Arial" w:hAnsi="Arial"/>
          <w:sz w:val="17"/>
          <w:szCs w:val="17"/>
          <w:color w:val="auto"/>
        </w:rPr>
      </w:pPr>
      <w:r>
        <w:rPr>
          <w:rFonts w:ascii="Arial" w:cs="Arial" w:eastAsia="Arial" w:hAnsi="Arial"/>
          <w:sz w:val="17"/>
          <w:szCs w:val="17"/>
          <w:color w:val="auto"/>
        </w:rPr>
        <w:t>on the proposed Borrowing Date, in the case of Fixed Rate Loans and (y) with respect to any such requested Multicurrency Competitive Loan, 10:30 A.M., London time (i) three Business Days before the proposed Borrowing Date, in the case of Eurocurrency Competitive Loans, and (ii) one Business Day before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178" w:lineRule="exact"/>
        <w:rPr>
          <w:rFonts w:ascii="Arial" w:cs="Arial" w:eastAsia="Arial" w:hAnsi="Arial"/>
          <w:sz w:val="17"/>
          <w:szCs w:val="17"/>
          <w:color w:val="auto"/>
        </w:rPr>
      </w:pPr>
    </w:p>
    <w:p>
      <w:pPr>
        <w:ind w:right="60" w:firstLine="921"/>
        <w:spacing w:after="0" w:line="283" w:lineRule="auto"/>
        <w:tabs>
          <w:tab w:leader="none" w:pos="1158"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(x) with respect to any requested Domestic Competitive Loan, 10:30 A.M., New York City time (i) three Business Days before the proposed Borrowing Date, in the case of Eurocurrency Competitive Loans, and (ii) on the proposed Borrowing Date, in the case of Fixed Rate Loans and (y) with respect to any requested Multicurrency Competitive Loan, 11:30 A.M., London time (i) three Business Days before the proposed Borrowing Date, in the case of Eurocurrency Competitive Loans, and (ii) one Business Day before the proposed Borrowing Date, in the case of Fixed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 (C) the aggregate amount of the Competitive Bids accepted by the Company or the relevant Subsidiary Borrower shall not exceed the aggregate amount of the requested Competitive Loans specified in the related Competitive Bid Request, (D) to the extent necessary to comply with clause</w:t>
      </w:r>
    </w:p>
    <w:p>
      <w:pPr>
        <w:spacing w:after="0" w:line="3"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7"/>
          <w:szCs w:val="17"/>
          <w:color w:val="auto"/>
        </w:rPr>
        <w:t xml:space="preserve">(C) 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 amount of</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51" w:name="page52"/>
    <w:bookmarkEnd w:id="51"/>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such Competitive Bid with such amounts rounded (as nearly as possible) to integral multiples of 1 million units of the applicable Currency, in a manner determined by the Company or the relevant Subsidiary Borrower, and (E) except pursuant to clause (D) above, no Competitive Bid shall be accepted for a Competitive Loan made by a Lender unless such Competitive Loan is in a minimum principal amount of $5 million (or 5 million units of an Optional Currency). A notice given by the Company or the relevant Subsidiary Borrower pursuant to this paragraph shall be irrevocable.</w:t>
      </w:r>
    </w:p>
    <w:p>
      <w:pPr>
        <w:spacing w:after="0" w:line="171" w:lineRule="exact"/>
        <w:rPr>
          <w:sz w:val="20"/>
          <w:szCs w:val="20"/>
          <w:color w:val="auto"/>
        </w:rPr>
      </w:pPr>
    </w:p>
    <w:p>
      <w:pPr>
        <w:ind w:right="140" w:firstLine="921"/>
        <w:spacing w:after="0" w:line="272" w:lineRule="auto"/>
        <w:tabs>
          <w:tab w:leader="none" w:pos="113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Administrative Agent shall promptly (and, in any event, by (x) with respect to any requested Domestic Competitive Loan, 11:00 A.M., New York City time (i) three Business Days before the proposed Borrowing Date, in the case of Eurocurrency Competitive Loans, and (ii) on the proposed Borrowing Date, in the case of Fixed Rate Loans and (y) with respect to any requested Multicurrency Competitive Loan, 12:00 Noon, London time (i) three Business Days before the proposed Borrowing Date, in the case of Eurocurrency Competitive Loans, and (ii) one Business Day before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77" w:lineRule="exact"/>
        <w:rPr>
          <w:rFonts w:ascii="Arial" w:cs="Arial" w:eastAsia="Arial" w:hAnsi="Arial"/>
          <w:sz w:val="17"/>
          <w:szCs w:val="17"/>
          <w:color w:val="auto"/>
        </w:rPr>
      </w:pPr>
    </w:p>
    <w:p>
      <w:pPr>
        <w:jc w:val="both"/>
        <w:ind w:right="120" w:firstLine="921"/>
        <w:spacing w:after="0" w:line="264" w:lineRule="auto"/>
        <w:tabs>
          <w:tab w:leader="none" w:pos="11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 2.9.</w:t>
      </w:r>
    </w:p>
    <w:p>
      <w:pPr>
        <w:spacing w:after="0" w:line="181" w:lineRule="exact"/>
        <w:rPr>
          <w:rFonts w:ascii="Arial" w:cs="Arial" w:eastAsia="Arial" w:hAnsi="Arial"/>
          <w:sz w:val="18"/>
          <w:szCs w:val="18"/>
          <w:color w:val="auto"/>
        </w:rPr>
      </w:pPr>
    </w:p>
    <w:p>
      <w:pPr>
        <w:ind w:firstLine="921"/>
        <w:spacing w:after="0" w:line="277" w:lineRule="auto"/>
        <w:tabs>
          <w:tab w:leader="none" w:pos="11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or, to the extent of its borrowings, any relevant Subsidiary Borrower shall repay each outstanding Competitive Loan on the last day of the Interest Period therefor.</w:t>
      </w:r>
    </w:p>
    <w:p>
      <w:pPr>
        <w:spacing w:after="0" w:line="17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Facility Fees, etc.</w:t>
      </w:r>
      <w:r>
        <w:rPr>
          <w:rFonts w:ascii="Arial" w:cs="Arial" w:eastAsia="Arial" w:hAnsi="Arial"/>
          <w:sz w:val="18"/>
          <w:szCs w:val="18"/>
          <w:color w:val="auto"/>
        </w:rPr>
        <w:t>. (a) The Company agrees to pay to the Administrative Agent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for the account of each Domestic Lender and Multicurrency Lender for the period from and including the Closing Date (or such later date as of which such Lender shall become a Lender under the Domestic Facility or Multicurrency Facility, as applicable) to the date on which all Extensions of Credit of such Lender under such Facility have been paid in full (or Collateralized) and the Commitments of such Lender under such Facility have been terminated, computed at the Facility Fee Rate on the average daily amount of the Commitments of such Domestic Lender or Multicurrency Lender, as applicable (whether used or unused) under such Facility, or, if such Commitments have been terminated, on the daily average Extensions of Credit and Competitive Loans of such Lender under such Facility during the related Fee Payment Period for which payment is made, payable in arrears on each Fee Payment Date, commencing on the first such date to occur after the Closing Date.</w:t>
      </w:r>
    </w:p>
    <w:p>
      <w:pPr>
        <w:spacing w:after="0" w:line="192" w:lineRule="exact"/>
        <w:rPr>
          <w:sz w:val="20"/>
          <w:szCs w:val="20"/>
          <w:color w:val="auto"/>
        </w:rPr>
      </w:pPr>
    </w:p>
    <w:p>
      <w:pPr>
        <w:ind w:right="880" w:firstLine="921"/>
        <w:spacing w:after="0" w:line="277" w:lineRule="auto"/>
        <w:tabs>
          <w:tab w:leader="none" w:pos="11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agrees to pay or cause the Applicable Account Party to pay to the L/C Tranche Lenders, the Issuing Lenders or the Administrative Agent, as applicable, the fees in the amounts and on the dates as set forth in the L/C Fee Letter.</w:t>
      </w:r>
    </w:p>
    <w:p>
      <w:pPr>
        <w:spacing w:after="0" w:line="170" w:lineRule="exact"/>
        <w:rPr>
          <w:rFonts w:ascii="Arial" w:cs="Arial" w:eastAsia="Arial" w:hAnsi="Arial"/>
          <w:sz w:val="18"/>
          <w:szCs w:val="18"/>
          <w:color w:val="auto"/>
        </w:rPr>
      </w:pPr>
    </w:p>
    <w:p>
      <w:pPr>
        <w:ind w:right="60" w:firstLine="921"/>
        <w:spacing w:after="0" w:line="264" w:lineRule="auto"/>
        <w:tabs>
          <w:tab w:leader="none" w:pos="11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GMB or any other Brazilian Subsidiary Borrower shall pay to the Brazilian Administrative Agent for the account of each Brazilian Lender the “Commission”( as such term is defined in each Brazilian Bank Certificate pursuant to the terms thereof, on the dates and in the amounts set forth therein).</w:t>
      </w:r>
    </w:p>
    <w:p>
      <w:pPr>
        <w:spacing w:after="0" w:line="181"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Administrative Agent Fee Letter, dated as of February 5, 2018 between the Company and the Administrative Agent.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74" w:right="279" w:bottom="1440" w:gutter="0" w:footer="0" w:header="0"/>
        </w:sectPr>
      </w:pPr>
    </w:p>
    <w:bookmarkStart w:id="52" w:name="page53"/>
    <w:bookmarkEnd w:id="52"/>
    <w:p>
      <w:pPr>
        <w:ind w:left="-60" w:right="460" w:firstLine="921"/>
        <w:spacing w:after="0" w:line="277" w:lineRule="auto"/>
        <w:tabs>
          <w:tab w:leader="none" w:pos="1098"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and timing of payments of fees in respect of any Ancillary Facility will be agreed by the relevant Ancillary Lender and the applicable Foreign Subsidiary under such Ancillary Facility.</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Termination, Reduction and Reallocation of Commitments</w:t>
      </w:r>
      <w:r>
        <w:rPr>
          <w:rFonts w:ascii="Arial" w:cs="Arial" w:eastAsia="Arial" w:hAnsi="Arial"/>
          <w:sz w:val="18"/>
          <w:szCs w:val="18"/>
          <w:color w:val="auto"/>
        </w:rPr>
        <w:t>.</w:t>
      </w:r>
    </w:p>
    <w:p>
      <w:pPr>
        <w:spacing w:after="0" w:line="225" w:lineRule="exact"/>
        <w:rPr>
          <w:sz w:val="20"/>
          <w:szCs w:val="20"/>
          <w:color w:val="auto"/>
        </w:rPr>
      </w:pPr>
    </w:p>
    <w:p>
      <w:pPr>
        <w:ind w:left="-60" w:firstLine="921"/>
        <w:spacing w:after="0" w:line="268" w:lineRule="auto"/>
        <w:tabs>
          <w:tab w:leader="none" w:pos="1098"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Company shall have the right, upon not less than three Business Days’ notice to the Administrative Agent (and, in the case of a reduction or termination of Brazilian Commitments, the Brazilian Administrative Agent), to terminate the Commitments under any Facility or, from time to time, to reduce the amount of Commitments under any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or reduction of such Commitments shall be permitted if, after giving effect thereto and to any prepayments of the Loans (if applicable) made on the effective date thereof, (v) the Total Brazilian Extensions of Credit would exceed the Total Brazilian Commitments then in effect, (w) the Total Domestic Extensions of Credit would exceed the Total Domestic Commitments then in effect, (x) the Domestic Extensions of Credit of any Lender would exceed such Lender’s Domestic Commitment then in effect, (y) the Total L/C Tranche Extensions of Credit would exceed the Total L/C Tranche Commitments then in effect, or (z) the Total Multicurrency Extensions of Credit would exceed the Total Multicurrency Commitments then in effect. In the event that the Administrative Agent (and the Brazilian Administrative Agent, if applicable) receives such notice, the Administrative Agent (or the Brazilian Administrative Agent, if applicable)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2.11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(and the Brazilian Administrative Agent, if applicable)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80" w:lineRule="exact"/>
        <w:rPr>
          <w:rFonts w:ascii="Arial" w:cs="Arial" w:eastAsia="Arial" w:hAnsi="Arial"/>
          <w:sz w:val="17"/>
          <w:szCs w:val="17"/>
          <w:color w:val="auto"/>
        </w:rPr>
      </w:pPr>
    </w:p>
    <w:p>
      <w:pPr>
        <w:ind w:left="-60" w:right="40" w:firstLine="921"/>
        <w:spacing w:after="0" w:line="286" w:lineRule="auto"/>
        <w:tabs>
          <w:tab w:leader="none" w:pos="1108"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Company shall have the right, upon not less than three Business Days’ notice to the Administrative Agent, to require the Lenders under the Multicurrency Facility or L/C Tranche Facility, as applicable, to reallocate the Multicurrency Commitments or L/C Tranche Commitments, as applicable, to the Domestic Facility and the Company may at any time or from time to time after the Closing Date, by notice to the Administrative Agent and the Lenders, request that one or more of the Lenders under the Brazilian Facility reallocate a portion of their respective Brazilian Commitments to the Domestic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such reallocation, (x)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(y) in the case of a reallocation of L/C Tranche Commitments, the Total L/C Tranche Extensions of Credit shall not exceed the Total L/C Tranche Commitments then in effect and (z) in the case of a reallocation of Brazilian Commitments, the Total Brazilian Extensions of Credit shall not exceed the Total Brazilian Commitments then in effect. Except as provided in Section 2.24, any such reallocation shall be in an amount equal to $25 million or a whole multiple of $1 million in excess thereof. Any such reallocation shall reduce the Multicurrency Commitments or L/C Tranche Commitments, as applicable, of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existing Multicurrency Commitments or L/C Tranche Commitments, as applicable, at such time and increase such Lender’s Domestic Commitment by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reallocation would result in amounts being payable by the Company or any Subsidiary Borrower to any Lender under Section 2.20 or 2.21, such Lender shall use reasonable efforts (subject to Section 2.23) to change its Applicable Lending Office to avoid such result. On the date of 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300" w:top="274" w:right="299" w:bottom="1440" w:gutter="0" w:footer="0" w:header="0"/>
        </w:sectPr>
      </w:pPr>
    </w:p>
    <w:bookmarkStart w:id="53" w:name="page54"/>
    <w:bookmarkEnd w:id="5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2.22 as a result of such prepayment. Notwithstanding anything in this clause (b) to the contrary, no Brazilian Lender shall be obligated to reallocate any portion of its Brazilian Commitments to the Domestic Facility unless such Lender agrees.</w:t>
      </w:r>
    </w:p>
    <w:p>
      <w:pPr>
        <w:spacing w:after="0" w:line="167" w:lineRule="exact"/>
        <w:rPr>
          <w:sz w:val="20"/>
          <w:szCs w:val="20"/>
          <w:color w:val="auto"/>
        </w:rPr>
      </w:pPr>
    </w:p>
    <w:p>
      <w:pPr>
        <w:ind w:right="180" w:firstLine="921"/>
        <w:spacing w:after="0" w:line="284" w:lineRule="auto"/>
        <w:tabs>
          <w:tab w:leader="none" w:pos="1158"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The Company may at any time or from time to time after the Closing Date, by notice to the Administrative Agent and the Lenders, request that one or more of the Lenders under the Domestic Facility, L/C Tranche Facility or Brazilian Facility, as applicable, reallocate a portion of their respective Domestic Commitments, L/C Tranche Commitments or Brazilian Commitments, as applicable, to the Multicurrency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such reallocation and any prepayment of the Domestic Loans, L/C Tranche Loans or Brazilian Loans, as applicable (which, notwithstanding anything to the contrary contained herein, may include a non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prepayment of the Lenders agreeing to such reallocation), (i) in the case of a reallocation of Domestic Commitments, (A) the Total Domestic Extensions of Credit shall not exceed the Total Domestic Commitments then in effect and</w:t>
      </w:r>
    </w:p>
    <w:p>
      <w:pPr>
        <w:spacing w:after="0" w:line="4" w:lineRule="exact"/>
        <w:rPr>
          <w:rFonts w:ascii="Arial" w:cs="Arial" w:eastAsia="Arial" w:hAnsi="Arial"/>
          <w:sz w:val="16"/>
          <w:szCs w:val="16"/>
          <w:color w:val="auto"/>
        </w:rPr>
      </w:pPr>
    </w:p>
    <w:p>
      <w:pPr>
        <w:ind w:right="60" w:firstLine="8"/>
        <w:spacing w:after="0" w:line="284" w:lineRule="auto"/>
        <w:tabs>
          <w:tab w:leader="none" w:pos="28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Domestic Extensions of Credit of any Lender shall not exceed the amount of such Lender’s Domestic Commitments then in effect, (ii) in the case of a reallocation of L/C Tranche Commitments, the Total L/C Tranche Extensions of Credit shall not exceed the Total L/C Tranche Commitments then in effect and (iii) in the case of a reallocation of Brazilian Commitments, the Total Brazilian Extensions of Credit shall not exceed the Total Brazilian Commitments then in effect. Each notice from the Company pursuant to this paragraph (c) shall set forth the requested amount of such reallocation and date of such reallocation (which shall be at least three Business Days after the date of such request) and shall also set forth the agreement of the relevant Domestic Lenders, the L/C Tranche Lenders or the Brazilian Lenders, as applicable, to such reallocation. The relevant Lenders agreeing to reallocate a portion of their Domestic Commitments, L/C Tranche Commitments or Brazilian Commitments, as applicable, to the Multicurrency Facility shall have such portion of their Domestic Commitment, L/C Tranche Commitments or Brazilian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 (iii) the Company and any relevant Subsidiary Borrower shall pay to the relevant Lenders the amounts, if any, payable under Section 2.22 as a result of such prepayment(s). Notwithstanding anything in this clause (c) to the contrary, no Domestic Lender, L/C Tranche Lender or Brazilian Lender, as applicable, shall be obligated to reallocate any portion of its Domestic Commitments, L/C Tranche Commitments or Brazilian Commitments, as applicable, to the Multicurrency Facility unless such Lender agrees.</w:t>
      </w:r>
    </w:p>
    <w:p>
      <w:pPr>
        <w:spacing w:after="0" w:line="175" w:lineRule="exact"/>
        <w:rPr>
          <w:rFonts w:ascii="Arial" w:cs="Arial" w:eastAsia="Arial" w:hAnsi="Arial"/>
          <w:sz w:val="16"/>
          <w:szCs w:val="16"/>
          <w:color w:val="auto"/>
        </w:rPr>
      </w:pPr>
    </w:p>
    <w:p>
      <w:pPr>
        <w:ind w:right="60" w:firstLine="921"/>
        <w:spacing w:after="0" w:line="259" w:lineRule="auto"/>
        <w:tabs>
          <w:tab w:leader="none" w:pos="11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The Company may at any time or from time to time after the Closing Date, by notice to the Administrative Agent and the Lenders, request that one or more of the Lenders under the Domestic Facility, Multicurrency Facility or Brazilian Facility, as applicable, reallocate a portion of their respective Domestic Commitments, Multicurrency Commitments or Brazilian Commitments, as applicable, to the L/C Tranche Facility; </w:t>
      </w:r>
      <w:r>
        <w:rPr>
          <w:rFonts w:ascii="Arial" w:cs="Arial" w:eastAsia="Arial" w:hAnsi="Arial"/>
          <w:sz w:val="18"/>
          <w:szCs w:val="18"/>
          <w:u w:val="single" w:color="auto"/>
          <w:color w:val="auto"/>
        </w:rPr>
        <w:t>provided</w:t>
      </w:r>
      <w:r>
        <w:rPr>
          <w:rFonts w:ascii="Arial" w:cs="Arial" w:eastAsia="Arial" w:hAnsi="Arial"/>
          <w:sz w:val="18"/>
          <w:szCs w:val="18"/>
          <w:color w:val="auto"/>
        </w:rPr>
        <w:t>, that, (i) after giving effect to any such reallocation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54" w:name="page55"/>
    <w:bookmarkEnd w:id="54"/>
    <w:p>
      <w:pPr>
        <w:ind w:right="2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prepayment of the Domestic Loans, Multicurrency Loans or Brazilian Loans, as applicable (which, notwithstanding anything to the contrary contained herein, may include a non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prepayment of the Lenders agreeing to such reallocation), (x) in the case of a reallocation of Domestic Commitments,</w:t>
      </w:r>
    </w:p>
    <w:p>
      <w:pPr>
        <w:ind w:firstLine="8"/>
        <w:spacing w:after="0" w:line="284" w:lineRule="auto"/>
        <w:tabs>
          <w:tab w:leader="none" w:pos="2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Total Domestic Extensions of Credit shall not exceed the Total Domestic Commitments then in effect and (B) the Domestic Extensions of Credit of any Lender shall not exceed the amount of such Lender’s Domestic Commitments then in effect, (y)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(z) in the case of a reallocation of Brazilian Commitments, the Total Brazilian Extensions of Credit shall not exceed the Total Brazilian Commitments then in effect and (ii) such reallocation shall have been consented to by each Material Issuing Lender to the extent such consent would be required for an assignment to such Lender pursuant to Section 10.6(b). Each notice from the Company pursuant to this paragraph (d) shall set forth the requested amount of such reallocation and date of such reallocation (which shall be at least three Business Days after the date of such request) and shall also set forth the agreement of the relevant Domestic Lenders, the Multicurrency Lenders or the Brazilian Lenders, as applicable, to such reallocation. The relevant Lenders agreeing to reallocate a portion of their Domestic Commitments, Multicurrency Commitments or Brazilian Commitments, as applicable, to the L/C Tranche Facility shall have such portion of their Domestic Commitments, Multicurrency Commitments or Brazilian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L/C Tranche Loans of the other L/C Tranche Lenders, the L/C Tranche Loans to be held ratably by all L/C Tranche Lenders in accordance with their respective L/C Tranche Commitments after giving effect to such reallocation, (ii) the Company and any relevant Subsidiary Borrower shall be deemed to have prepaid and reborrowed all outstanding L/C Tranche Loans and (iii) the Company and any relevant Subsidiary Borrower shall pay to the relevant Lenders the amounts, if any, payable under Section 2.22 as a result of such prepayment(s). Notwithstanding anything in this clause (d) to the contrary, no Domestic Lender, Multicurrency Lender or Brazilian Lender, as applicable, shall be obligated to reallocate any portion of its Domestic Commitments, Multicurrency Commitments or Brazilian Commitments, as applicable, to the L/C Tranche Facility unless such Lender agrees.</w:t>
      </w:r>
    </w:p>
    <w:p>
      <w:pPr>
        <w:spacing w:after="0" w:line="170" w:lineRule="exact"/>
        <w:rPr>
          <w:rFonts w:ascii="Arial" w:cs="Arial" w:eastAsia="Arial" w:hAnsi="Arial"/>
          <w:sz w:val="16"/>
          <w:szCs w:val="16"/>
          <w:color w:val="auto"/>
        </w:rPr>
      </w:pPr>
    </w:p>
    <w:p>
      <w:pPr>
        <w:jc w:val="both"/>
        <w:ind w:right="60" w:firstLine="921"/>
        <w:spacing w:after="0" w:line="264" w:lineRule="auto"/>
        <w:tabs>
          <w:tab w:leader="none" w:pos="115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reallocation of Brazilian Commitments described above shall be made pursuant to an amendment to the Brazilian Bank Certificates and, to the extent required, this Agreement and, as appropriate, the other Loan Documents, executed by the applicable Brazilian Lenders, each Borrower under the Brazilian Facility, the Administrative Agent and/or the Brazilian Administrative Agent, as applicable.</w:t>
      </w:r>
    </w:p>
    <w:p>
      <w:pPr>
        <w:spacing w:after="0" w:line="181"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The Company and any relevant Subsidiary Borrower may at any time and from time to time prepay the Loans (other than the Brazilian Loans), in whole or in part, without premium or penalty, upon irrevocable notice delivered to the Administrative Agent no later than</w:t>
      </w:r>
    </w:p>
    <w:p>
      <w:pPr>
        <w:ind w:right="80" w:firstLine="8"/>
        <w:spacing w:after="0" w:line="290" w:lineRule="auto"/>
        <w:tabs>
          <w:tab w:leader="none" w:pos="2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with respect to Domestic Loans and Domestic Competitive Loans, 1:00 P.M., New York City time, three Business Days prior thereto, in the case of Eurocurrency Loans, and no later than 1:00 P.M., New York City time, on the day of such prepayment, in the case of ABR Loans, and (y) with respect to L/C Tranche Loans, Multicurrency Loans and Multicurrency Competitive Loans, 11 A.M., London time, three Business Days prior thereto, in each case which notice shall specify the applicable Facility, the date and amount of prepayment and whether the prepayment is of Eurocurrency Loans or ABR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(a) if a Eurocurrency Loan is prepaid on any day other than the last day of the Interest Period applicable thereto, the Company or the relevant Subsidiary Borrower shall also pay any amounts owing pursuant to Section 2.22 and (b) unless otherwise agreed to between the Company and the relevant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5" w:name="page56"/>
    <w:bookmarkEnd w:id="55"/>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Subsidiary Borrower, on the one hand, and the applicable Lender, on the other hand, no Competitive Loan may be prepaid without the consent of the Lender thereof except for any prepayment in connection with a Change of Control or in order to cure an Event of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(other than Brazilian Loans) shall be in an integral multiple of 1 million units of the Currency of such Loan and no less than the Dollar Equivalent of $25 million. Any Brazilian Subsidiary Borrower may at any time and from time to time prepay the Brazilian Loans, in whole or in part, without premium or penalty, upon irrevocable notice delivered to the Brazilian Administrative Agent pursuant to, and in accordance with the terms of, each Brazilian Bank Certificate.</w:t>
      </w:r>
    </w:p>
    <w:p>
      <w:pPr>
        <w:spacing w:after="0" w:line="169"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Mandatory Prepayments</w:t>
      </w:r>
      <w:r>
        <w:rPr>
          <w:rFonts w:ascii="Arial" w:cs="Arial" w:eastAsia="Arial" w:hAnsi="Arial"/>
          <w:sz w:val="17"/>
          <w:szCs w:val="17"/>
          <w:color w:val="auto"/>
        </w:rPr>
        <w:t xml:space="preserve">. (a) 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failure of the Administrative Agent to determine the Total Multicurrency Extensions of Credit as provided in this Section 2.13(a) shall not subject the Administrative Agent to any liability hereunder.</w:t>
      </w:r>
    </w:p>
    <w:p>
      <w:pPr>
        <w:spacing w:after="0" w:line="178" w:lineRule="exact"/>
        <w:rPr>
          <w:sz w:val="20"/>
          <w:szCs w:val="20"/>
          <w:color w:val="auto"/>
        </w:rPr>
      </w:pPr>
    </w:p>
    <w:p>
      <w:pPr>
        <w:ind w:right="60" w:firstLine="921"/>
        <w:spacing w:after="0" w:line="273" w:lineRule="auto"/>
        <w:tabs>
          <w:tab w:leader="none" w:pos="1168"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On each Fee Payment Date, the Administrative Agent shall determine the Total L/C Tranche Extensions of Credit as of the last day of the related Fee Payment Period. If, as of the last day of any Fee Payment Period, the Total L/C Tranche Extensions of Credit exceeds the Total L/C Tranche Commitments then in effect by 5% or more, then the Administrative Agent shall notify the Company and, within five Business Days of such notice, the Company or the relevant Subsidiary Borrower shall prepay L/C Tranche Loans or Collateralize outstanding Letters of Credit in an aggregate principal or face amount at least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failure of the Administrative Agent to determine the Total L/C Tranche Extensions of Credit as provided in this Section 2.13(b) shall not subject the Administrative Agent to any liability hereunder.</w:t>
      </w:r>
    </w:p>
    <w:p>
      <w:pPr>
        <w:spacing w:after="0" w:line="178" w:lineRule="exact"/>
        <w:rPr>
          <w:rFonts w:ascii="Arial" w:cs="Arial" w:eastAsia="Arial" w:hAnsi="Arial"/>
          <w:sz w:val="17"/>
          <w:szCs w:val="17"/>
          <w:color w:val="auto"/>
        </w:rPr>
      </w:pPr>
    </w:p>
    <w:p>
      <w:pPr>
        <w:ind w:firstLine="921"/>
        <w:spacing w:after="0" w:line="255" w:lineRule="auto"/>
        <w:tabs>
          <w:tab w:leader="none" w:pos="11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Brazilian Administrative Agent shall determine the Total Brazilian Extensions of Credit on a quarterly basis as detailed in the Brazilian Bank Certificates. If, as of any quarterly date of determination, the Total Brazilian Extensions of Credit exceeds the Total Brazilian Commitments then in effect by 5% or more, then the Brazilian Administrative Agent shall notify the Administrative Agent and the Company and, within five Business Days of such notice, the Company or the relevant Subsidiary Borrower shall prepay the Brazilian Loans in an aggregate principal amount at least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the Brazilian Administrative Agent to determine the Total Brazilian Extensions of Credit as provided in this Section 2.13(c) shall not subject the Brazilian Administrative Agent to any liability hereunder.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56" w:name="page57"/>
    <w:bookmarkEnd w:id="56"/>
    <w:p>
      <w:pPr>
        <w:ind w:right="6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2.14 </w:t>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 xml:space="preserve">. (a) The Company or any Subsidiary Borrower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conversion of Eurocurrency Loans that is not made on the last day of an Interest Period with respect thereto shall be subject to Section 2.22. The Company or any Subsidiary Borrower may elect from time to time to convert ABR Loans to Eurocurrency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no ABR Loan may be converted into a Eurocurrency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73" w:lineRule="exact"/>
        <w:rPr>
          <w:sz w:val="20"/>
          <w:szCs w:val="20"/>
          <w:color w:val="auto"/>
        </w:rPr>
      </w:pPr>
    </w:p>
    <w:p>
      <w:pPr>
        <w:ind w:right="20" w:firstLine="921"/>
        <w:spacing w:after="0" w:line="287" w:lineRule="auto"/>
        <w:tabs>
          <w:tab w:leader="none" w:pos="1168"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 contrary provision hereof, if (after giving effect to such Loan 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Eurocurrency Loan denominated in Dollars under the relevant Facility shall be converted to an ABR Loan at the end of the Interest Period applicable thereto and (ii) each Eurocurrency Loan denominated in an Optional Currency under the applicable Facility shall be converted at the end of the Interest Period applicable thereto to a Eurocurrency Loan with an Interest Period of two weeks;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69"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Limitations on Eurocurrency Tranches</w:t>
      </w:r>
      <w:r>
        <w:rPr>
          <w:rFonts w:ascii="Arial" w:cs="Arial" w:eastAsia="Arial" w:hAnsi="Arial"/>
          <w:sz w:val="18"/>
          <w:szCs w:val="18"/>
          <w:color w:val="auto"/>
        </w:rPr>
        <w:t>. Notwithstanding anything to the contrary in this Agreement, all borrowings, conversions and continuations of Eurocurrency Loans and all selections of Interest Periods shall be in such amounts and be made pursuant to such elections so that no more than 30 Eurocurrency Tranches shall be outstanding at any one time.</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Interest Rates and Payment Dates</w:t>
      </w:r>
      <w:r>
        <w:rPr>
          <w:rFonts w:ascii="Arial" w:cs="Arial" w:eastAsia="Arial" w:hAnsi="Arial"/>
          <w:sz w:val="18"/>
          <w:szCs w:val="18"/>
          <w:color w:val="auto"/>
        </w:rPr>
        <w:t xml:space="preserve">. (a) Each Eurocurrency Loan that is an L/C Tranche Loan, a Multicurrency Loan or a Domestic Loan shall bear interest for each day during each Interest Period with respect thereto at a rate per annum equal to the Eurocurrency Rate determined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81" w:lineRule="exact"/>
        <w:rPr>
          <w:sz w:val="20"/>
          <w:szCs w:val="20"/>
          <w:color w:val="auto"/>
        </w:rPr>
      </w:pPr>
    </w:p>
    <w:p>
      <w:pPr>
        <w:ind w:right="120" w:firstLine="921"/>
        <w:spacing w:after="0" w:line="277" w:lineRule="auto"/>
        <w:tabs>
          <w:tab w:leader="none" w:pos="11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Each Eurocurrency Competitive Loan shall bear interest at a rate per annum equal to the Eurocurrency Rate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minus, as applicable) the Margin.</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57" w:name="page58"/>
    <w:bookmarkEnd w:id="57"/>
    <w:p>
      <w:pPr>
        <w:ind w:left="1180" w:hanging="259"/>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Fixed Rate Loan shall bear interest at the fixed rate applicable to such Loan.</w:t>
      </w:r>
    </w:p>
    <w:p>
      <w:pPr>
        <w:spacing w:after="0" w:line="225" w:lineRule="exact"/>
        <w:rPr>
          <w:rFonts w:ascii="Arial" w:cs="Arial" w:eastAsia="Arial" w:hAnsi="Arial"/>
          <w:sz w:val="18"/>
          <w:szCs w:val="18"/>
          <w:color w:val="auto"/>
        </w:rPr>
      </w:pPr>
    </w:p>
    <w:p>
      <w:pPr>
        <w:ind w:right="40" w:firstLine="921"/>
        <w:spacing w:after="0" w:line="269" w:lineRule="auto"/>
        <w:tabs>
          <w:tab w:leader="none" w:pos="1158"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 If all or a portion of the principal amount of any Loan (other than any Brazilian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2.16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or (y) in the case of Reimbursement Obligations, the rate applicable to ABR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(ii) if all or a portion of any interest payable on any Loan or Reimbursement Obligation or any Facility Fee payable hereunder (in each case, other than any of the foregoing in connection with the Brazilian Facility) or any fees payable pursuant to the L/C Fee Letter shall not be paid when due (whether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(as well after as before judgment) and (iii) if all or a portion of any principal amount of any Brazilian Loans or any interest payable on any Brazilian Loan or any fee payable in connection with the Brazilian Facility shall not be paid when due (whether at the stated maturity, by acceleration or otherwise), such overdue amount shall bear interest at the rate per annum required by the Brazilian Bank Certificates.</w:t>
      </w:r>
    </w:p>
    <w:p>
      <w:pPr>
        <w:spacing w:after="0" w:line="179" w:lineRule="exact"/>
        <w:rPr>
          <w:rFonts w:ascii="Arial" w:cs="Arial" w:eastAsia="Arial" w:hAnsi="Arial"/>
          <w:sz w:val="17"/>
          <w:szCs w:val="17"/>
          <w:color w:val="auto"/>
        </w:rPr>
      </w:pPr>
    </w:p>
    <w:p>
      <w:pPr>
        <w:jc w:val="both"/>
        <w:ind w:right="360" w:firstLine="921"/>
        <w:spacing w:after="0" w:line="264" w:lineRule="auto"/>
        <w:tabs>
          <w:tab w:leader="none" w:pos="1138"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(x) interest accruing pursuant to Section 2.16(e) shall be payable from time to time on demand and (y) interest accruing in respect of the Brazilian Facility shall be payable in accordance with and pursuant to the terms of the Brazilian Bank Certificates.</w:t>
      </w:r>
    </w:p>
    <w:p>
      <w:pPr>
        <w:spacing w:after="0" w:line="181" w:lineRule="exact"/>
        <w:rPr>
          <w:rFonts w:ascii="Arial" w:cs="Arial" w:eastAsia="Arial" w:hAnsi="Arial"/>
          <w:sz w:val="18"/>
          <w:szCs w:val="18"/>
          <w:color w:val="auto"/>
        </w:rPr>
      </w:pPr>
    </w:p>
    <w:p>
      <w:pPr>
        <w:ind w:right="260" w:firstLine="921"/>
        <w:spacing w:after="0" w:line="277" w:lineRule="auto"/>
        <w:tabs>
          <w:tab w:leader="none" w:pos="11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and timing of payments of interest in respect of any Ancillary Facility will be agreed by the relevant Ancillary Lender and the applicable Ancillary Borrower under such Ancillary Facility.</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interest hereunder shall be paid in the Currency in which the Loan giving rise to such interest is denominated.</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 (a) Interest and fees payable pursuant hereto shall be calculated on the basis of a 360-day year for the actual days elapsed, except that (i) interest computed by reference to ABR at times when ABR is based on the Prime Rate shall be computed on the basis of a year of 365 days (or 366 days in a leap year), and shall be payable for the actual number of days elapsed, (ii) interest computed on Loans and Letters of Credit denominated in Pounds Sterling shall be computed on the basis of a year of 365 days, and shall be payable for the actual number of days elapsed and</w:t>
      </w:r>
    </w:p>
    <w:p>
      <w:pPr>
        <w:spacing w:after="0" w:line="2" w:lineRule="exact"/>
        <w:rPr>
          <w:sz w:val="20"/>
          <w:szCs w:val="20"/>
          <w:color w:val="auto"/>
        </w:rPr>
      </w:pPr>
    </w:p>
    <w:p>
      <w:pPr>
        <w:ind w:right="80" w:firstLine="8"/>
        <w:spacing w:after="0" w:line="252" w:lineRule="auto"/>
        <w:tabs>
          <w:tab w:leader="none" w:pos="3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interest and fees payable in connection with the Brazilian Facility shall be calculated in the manner required by the Brazilian Bank Certificates. The Administrative Agent shall as soon as practicable notify the Company or relevant Subsidiary Borrower and the Lenders of each determination of a Eurocurrency Rate. Any change in the interest rate on a Loan resulting from a change in the ABR, the CDI or the Eurocurrency Reserve Requirements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 (other than any such change in the CDI).</w:t>
      </w:r>
    </w:p>
    <w:p>
      <w:pPr>
        <w:spacing w:after="0" w:line="194" w:lineRule="exact"/>
        <w:rPr>
          <w:rFonts w:ascii="Arial" w:cs="Arial" w:eastAsia="Arial" w:hAnsi="Arial"/>
          <w:sz w:val="18"/>
          <w:szCs w:val="18"/>
          <w:color w:val="auto"/>
        </w:rPr>
      </w:pPr>
    </w:p>
    <w:p>
      <w:pPr>
        <w:ind w:right="160" w:firstLine="921"/>
        <w:spacing w:after="0" w:line="342" w:lineRule="auto"/>
        <w:tabs>
          <w:tab w:leader="none" w:pos="1168" w:val="left"/>
        </w:tabs>
        <w:numPr>
          <w:ilvl w:val="1"/>
          <w:numId w:val="66"/>
        </w:numPr>
        <w:rPr>
          <w:rFonts w:ascii="Arial" w:cs="Arial" w:eastAsia="Arial" w:hAnsi="Arial"/>
          <w:sz w:val="16"/>
          <w:szCs w:val="16"/>
          <w:color w:val="auto"/>
        </w:rPr>
      </w:pPr>
      <w:r>
        <w:rPr>
          <w:rFonts w:ascii="Arial" w:cs="Arial" w:eastAsia="Arial" w:hAnsi="Arial"/>
          <w:sz w:val="16"/>
          <w:szCs w:val="16"/>
          <w:color w:val="auto"/>
        </w:rPr>
        <w:t>Each determination of an interest rate by the Administrative Agent (or, in the case of the CDI, the Brazilian Administrative Agent) pursuant to any provision of this Agreement or any other Loan Document shall be conclusive and binding on the Company, any Subsidiary Borrower and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58" w:name="page59"/>
    <w:bookmarkEnd w:id="58"/>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Lenders in the absence of manifest error. The Administrative Agent (or the Brazilian Administrative Agent, if applicable) shall, at the request of the Company or any Subsidiary Borrower, deliver to the Company or such Subsidiary Borrower a statement showing the quotations used by the Administrative Agent (or the Brazilian Administrative Agent, as the case may be) in determining any interest rate pursuant to Section 2.17(a).</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Inability to Determine Interest Rate; Illegality</w:t>
      </w:r>
      <w:r>
        <w:rPr>
          <w:rFonts w:ascii="Arial" w:cs="Arial" w:eastAsia="Arial" w:hAnsi="Arial"/>
          <w:sz w:val="18"/>
          <w:szCs w:val="18"/>
          <w:color w:val="auto"/>
        </w:rPr>
        <w:t>. (a) If prior to the first day of any Interest Period:</w:t>
      </w:r>
    </w:p>
    <w:p>
      <w:pPr>
        <w:spacing w:after="0" w:line="117" w:lineRule="exact"/>
        <w:rPr>
          <w:sz w:val="20"/>
          <w:szCs w:val="20"/>
          <w:color w:val="auto"/>
        </w:rPr>
      </w:pPr>
    </w:p>
    <w:p>
      <w:pPr>
        <w:jc w:val="both"/>
        <w:ind w:right="680" w:firstLine="921"/>
        <w:spacing w:after="0" w:line="264" w:lineRule="auto"/>
        <w:tabs>
          <w:tab w:leader="none" w:pos="11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Company or relevant Subsidiary Borrower) that, by reason of circumstances affecting the relevant market, adequate and reasonable means do not exist for ascertaining the Eurocurrency Rate for such Interest Period;</w:t>
      </w:r>
    </w:p>
    <w:p>
      <w:pPr>
        <w:spacing w:after="0" w:line="181" w:lineRule="exact"/>
        <w:rPr>
          <w:rFonts w:ascii="Arial" w:cs="Arial" w:eastAsia="Arial" w:hAnsi="Arial"/>
          <w:sz w:val="18"/>
          <w:szCs w:val="18"/>
          <w:color w:val="auto"/>
        </w:rPr>
      </w:pPr>
    </w:p>
    <w:p>
      <w:pPr>
        <w:ind w:right="40" w:firstLine="921"/>
        <w:spacing w:after="0" w:line="264" w:lineRule="auto"/>
        <w:tabs>
          <w:tab w:leader="none" w:pos="11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Majority Facility Lenders in respect of such Facility that the Eurocurrency Rate determined or to be determined for such Interest Period will not adequately and fairly reflect the cost to such Lenders (as conclusively certified by such Lenders) of making or maintaining their affected Loans during such Interest Period; or</w:t>
      </w:r>
    </w:p>
    <w:p>
      <w:pPr>
        <w:spacing w:after="0" w:line="181" w:lineRule="exact"/>
        <w:rPr>
          <w:rFonts w:ascii="Arial" w:cs="Arial" w:eastAsia="Arial" w:hAnsi="Arial"/>
          <w:sz w:val="18"/>
          <w:szCs w:val="18"/>
          <w:color w:val="auto"/>
        </w:rPr>
      </w:pPr>
    </w:p>
    <w:p>
      <w:pPr>
        <w:ind w:right="80" w:firstLine="921"/>
        <w:spacing w:after="0" w:line="264" w:lineRule="auto"/>
        <w:tabs>
          <w:tab w:leader="none" w:pos="12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and binding upon the Company or the relevant Subsidiary Borrower) that deposits in the applicable Currency are not generally available in the applicable market (any Optional Currency affected by the circumstances described in clause (i), (ii) or (iii) is referred to as an “</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w:t>
      </w:r>
    </w:p>
    <w:p>
      <w:pPr>
        <w:spacing w:after="0" w:line="18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Administrative Agent shall give notice thereof to the Company and any relevant Subsidiary Borrower and the relevant Lenders as soon as practicable thereafter. If any such notice is given (A) pursuant to clause (i) or (ii) of this Section 2.18(a) in respect of Eurocurrency Loans denominated in Dollars,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in Dollars under the relevant Facility requested to be made on the first day of such Interest Period shall be made as ABR Loans, (2) any ABR Loans that were to have been converted on the first day of such Interest Period to Eurocurrency Loans denominated in Dollars shall be continued as ABR Loans, (3) any outstanding Eurocurrency Loans denominated in Dollars shall be converted, on the last day of the then-current Interest Period, to ABR Loans, (4) any L/C Tranche Loans or Multicurrency Loans denominated in an Optional Currency requested to be made on the first day of such Interest Period shall not be made and (5) any outstanding L/C Tranche Loans or Multicurrency Loans denominated in an Optional Currency shall be converted to or be made as Alternate Rate Loans (and any request set forth in such interest rate election shall be deemed to be a request for such L/C Tranche Loans or Multicurrency Loans to be converted to or be made as Alternate Rate Loans) and (B) in respect of any L/C Tranche Loans or Multicurrency Loans denominated in an Optional Currency, then thereafter (and until the Administrative Agent notifies the Company and the Lenders that the circumstances giving rise to such notice no longer exist) (such notice to be given promptly upon the Administrative Agent becoming aware of such change in circumstances) if such notice is given pursuant to clause</w:t>
      </w:r>
    </w:p>
    <w:p>
      <w:pPr>
        <w:spacing w:after="0" w:line="3" w:lineRule="exact"/>
        <w:rPr>
          <w:sz w:val="20"/>
          <w:szCs w:val="20"/>
          <w:color w:val="auto"/>
        </w:rPr>
      </w:pPr>
    </w:p>
    <w:p>
      <w:pPr>
        <w:ind w:right="340" w:firstLine="8"/>
        <w:spacing w:after="0" w:line="261" w:lineRule="auto"/>
        <w:tabs>
          <w:tab w:leader="none" w:pos="3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above, any L/C Tranche Loans or Multicurrency Loans in an Affected Foreign Currency requested to be made on the first day of such Interest Period shall not be made.</w:t>
      </w:r>
    </w:p>
    <w:p>
      <w:pPr>
        <w:spacing w:after="0" w:line="183" w:lineRule="exact"/>
        <w:rPr>
          <w:rFonts w:ascii="Arial" w:cs="Arial" w:eastAsia="Arial" w:hAnsi="Arial"/>
          <w:sz w:val="18"/>
          <w:szCs w:val="18"/>
          <w:color w:val="auto"/>
        </w:rPr>
      </w:pPr>
    </w:p>
    <w:p>
      <w:pPr>
        <w:ind w:right="80" w:firstLine="921"/>
        <w:spacing w:after="0" w:line="264" w:lineRule="auto"/>
        <w:tabs>
          <w:tab w:leader="none" w:pos="1168"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the Company and any affected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59" w:name="page60"/>
    <w:bookmarkEnd w:id="59"/>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Borrower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denominated in Dollars, continue such Eurocurrency Loans as such and convert ABR Loans to Eurocurrency Loans denominated in Dollars shall forthwith be cancelled, (ii) such Lender’s outstanding Eurocurrency Loans denominated in Dollars shall be converted automatically on the last day of the then current Interest Periods with respect to such Loans (or within such earlier period as shall be required by law) to ABR Loans and (iii) such Lender’s outstanding Eurocurrency Loans denominated in any Optional Currency shall be paid in full by the applicable Borrower on the respective last days of the then current Interest Periods with respect to such Loans (or within such earlier period as may be required by law). If any such conversion or prepayment of a Eurocurrency Loan occurs on a day which is not the last day of the then current Interest Period with respect thereto, the Company or relevant Subsidiary Borrower shall pay to any Lender whose Loan is converted or prepaid such amounts, if any, as may be required pursuant to Section 2.22.</w:t>
      </w:r>
    </w:p>
    <w:p>
      <w:pPr>
        <w:spacing w:after="0" w:line="195" w:lineRule="exact"/>
        <w:rPr>
          <w:sz w:val="20"/>
          <w:szCs w:val="20"/>
          <w:color w:val="auto"/>
        </w:rPr>
      </w:pPr>
    </w:p>
    <w:p>
      <w:pPr>
        <w:ind w:firstLine="921"/>
        <w:spacing w:after="0" w:line="285" w:lineRule="auto"/>
        <w:tabs>
          <w:tab w:leader="none" w:pos="1158"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If at any time the Administrative Agent determines (which determination shall be conclusive and binding upon the Company or relevant Subsidiary Borrower) that (i) the circumstances set forth in clause (a)(i) have arisen and such circumstances are unlikely to be temporary or (ii) the circumstances set forth in clause (a)(i) have not arisen, but the supervisor for the administrator of the Screen Rate or a Governmental Authority having jurisdiction over the Administrative Agent has made a public statement identifying a specific date after which the Screen Rate for the applicable Currency shall no longer be used for determining interest rates for loans, then the Administrative Agent and the Company shall use their commercially reasonable efforts to endeavor to promptly establish an alternate rate of interest to the Eurocurrency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changes will not include a reduction in the Applicable Margin). Notwithstanding anything to the contrary in Section 10.1,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Majority Facility Lenders in respect of each Facility stating that such Majority Facility Lenders object to such amendment;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alternate rate of interest shall be less than zero, such rate shall be deemed to be zero for the purposes of this Agreement. Until an alternate rate of interest shall be determined in accordance with this clause (c) (but, only to the extent the Screen Rate for the applicable Currency and such Interest Period is not available or published at such time on a current basis), (A) any notice that requests the conversion of any Loans to, or continuation of any Loans as, Eurocurrency Loans shall be ineffective, (B) if any Borrowing Request requests a Eurocurrency Loan, such Loan shall be made as an ABR Loan and (C) any request by the Borrower for a Eurocurrency Competitive Loan shall be ineffective.</w:t>
      </w:r>
    </w:p>
    <w:p>
      <w:pPr>
        <w:spacing w:after="0" w:line="178"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2.19 </w:t>
      </w:r>
      <w:r>
        <w:rPr>
          <w:rFonts w:ascii="Arial" w:cs="Arial" w:eastAsia="Arial" w:hAnsi="Arial"/>
          <w:sz w:val="17"/>
          <w:szCs w:val="17"/>
          <w:u w:val="single" w:color="auto"/>
          <w:color w:val="auto"/>
        </w:rPr>
        <w:t>Pro Rata Treatment and Payments; Evidence of Debt</w:t>
      </w:r>
      <w:r>
        <w:rPr>
          <w:rFonts w:ascii="Arial" w:cs="Arial" w:eastAsia="Arial" w:hAnsi="Arial"/>
          <w:sz w:val="17"/>
          <w:szCs w:val="17"/>
          <w:color w:val="auto"/>
        </w:rPr>
        <w:t xml:space="preserve">. (a) Each borrowing of Loans under any Facility by the Company or any Subsidiary Borrower from the Lenders under such Facility, each payment by the Company or any Subsidiary Borrower on account of any Facility Fee or any fee payable pursuant to the L/C Fee Letter, and any reduction of the Commitments of the Lenders under any Facility shall be made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according to the respective Percentages under such Facility, of the relevant Lenders in such Facility except to the extent required or permitted pursuant to Sections 2.9, 2.11, 2.24, 2.25, 2.27, 2.29 and 2.30 and except, in the case of the L/C Tranche Facility, as otherwise provided in the L/C Fee Letter.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60" w:name="page61"/>
    <w:bookmarkEnd w:id="60"/>
    <w:p>
      <w:pPr>
        <w:ind w:left="-40" w:right="40" w:firstLine="921"/>
        <w:spacing w:after="0" w:line="302" w:lineRule="auto"/>
        <w:tabs>
          <w:tab w:leader="none" w:pos="1128"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payment (including each prepayment) by the Company or any Subsidiary Borrower on account of principal of and interest on the Loans under any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Lenders under such Facility according to the respective outstanding principal amounts of the Loans under such Facility then held by the Lenders under such Facility except to the extent required or permitted pursuant to Sections 2.9, 2.11, 2.24, 2.25, 2.27, 2.29 and 2.30. Except as otherwise provided in Section 8, each such payment shall be paid in the relevant Currency in which such Loan was made.</w:t>
      </w:r>
    </w:p>
    <w:p>
      <w:pPr>
        <w:spacing w:after="0" w:line="154" w:lineRule="exact"/>
        <w:rPr>
          <w:rFonts w:ascii="Arial" w:cs="Arial" w:eastAsia="Arial" w:hAnsi="Arial"/>
          <w:sz w:val="16"/>
          <w:szCs w:val="16"/>
          <w:color w:val="auto"/>
        </w:rPr>
      </w:pPr>
    </w:p>
    <w:p>
      <w:pPr>
        <w:ind w:left="-40" w:right="20" w:firstLine="921"/>
        <w:spacing w:after="0" w:line="269" w:lineRule="auto"/>
        <w:tabs>
          <w:tab w:leader="none" w:pos="1118"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 applicable Currency and in immediately available funds, except that (x) payment of fronting fees owing to any Issuing Lender shall be made as provided in the L/C Fee Letter and (y) payment of all amounts in connection with the Brazilian Facility shall be paid to the Brazilian Administrative Agent pursuant to the terms of the Brazilian Bank Certificates.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79" w:lineRule="exact"/>
        <w:rPr>
          <w:rFonts w:ascii="Arial" w:cs="Arial" w:eastAsia="Arial" w:hAnsi="Arial"/>
          <w:sz w:val="17"/>
          <w:szCs w:val="17"/>
          <w:color w:val="auto"/>
        </w:rPr>
      </w:pPr>
    </w:p>
    <w:p>
      <w:pPr>
        <w:ind w:left="-40" w:firstLine="921"/>
        <w:spacing w:after="0" w:line="268" w:lineRule="auto"/>
        <w:tabs>
          <w:tab w:leader="none" w:pos="1128" w:val="left"/>
        </w:tabs>
        <w:numPr>
          <w:ilvl w:val="0"/>
          <w:numId w:val="70"/>
        </w:numPr>
        <w:rPr>
          <w:rFonts w:ascii="Arial" w:cs="Arial" w:eastAsia="Arial" w:hAnsi="Arial"/>
          <w:sz w:val="17"/>
          <w:szCs w:val="17"/>
          <w:color w:val="auto"/>
        </w:rPr>
      </w:pPr>
      <w:r>
        <w:rPr>
          <w:rFonts w:ascii="Arial" w:cs="Arial" w:eastAsia="Arial" w:hAnsi="Arial"/>
          <w:sz w:val="17"/>
          <w:szCs w:val="17"/>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85" w:lineRule="exact"/>
        <w:rPr>
          <w:rFonts w:ascii="Arial" w:cs="Arial" w:eastAsia="Arial" w:hAnsi="Arial"/>
          <w:sz w:val="17"/>
          <w:szCs w:val="17"/>
          <w:color w:val="auto"/>
        </w:rPr>
      </w:pPr>
    </w:p>
    <w:p>
      <w:pPr>
        <w:ind w:left="-40" w:right="60" w:firstLine="921"/>
        <w:spacing w:after="0" w:line="308" w:lineRule="auto"/>
        <w:tabs>
          <w:tab w:leader="none" w:pos="1118" w:val="left"/>
        </w:tabs>
        <w:numPr>
          <w:ilvl w:val="0"/>
          <w:numId w:val="70"/>
        </w:numPr>
        <w:rPr>
          <w:rFonts w:ascii="Arial" w:cs="Arial" w:eastAsia="Arial" w:hAnsi="Arial"/>
          <w:sz w:val="17"/>
          <w:szCs w:val="17"/>
          <w:color w:val="auto"/>
        </w:rPr>
      </w:pPr>
      <w:r>
        <w:rPr>
          <w:rFonts w:ascii="Arial" w:cs="Arial" w:eastAsia="Arial" w:hAnsi="Arial"/>
          <w:sz w:val="17"/>
          <w:szCs w:val="17"/>
          <w:color w:val="auto"/>
        </w:rPr>
        <w:t>Unless the Administrative Agent shall have been notified in writing by the Company or relevant Subsidiary Borrower prior to the date of any payment due to be made by the Company or such Subsidiary Borrower under any Facility that the Company or such Subsidiary Borrower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80" w:top="274" w:right="259" w:bottom="1440" w:gutter="0" w:footer="0" w:header="0"/>
        </w:sectPr>
      </w:pPr>
    </w:p>
    <w:bookmarkStart w:id="61" w:name="page62"/>
    <w:bookmarkEnd w:id="6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66" w:lineRule="exact"/>
        <w:rPr>
          <w:sz w:val="20"/>
          <w:szCs w:val="20"/>
          <w:color w:val="auto"/>
        </w:rPr>
      </w:pPr>
    </w:p>
    <w:p>
      <w:pPr>
        <w:ind w:right="100" w:firstLine="921"/>
        <w:spacing w:after="0" w:line="264" w:lineRule="auto"/>
        <w:tabs>
          <w:tab w:leader="none" w:pos="1138"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81" w:lineRule="exact"/>
        <w:rPr>
          <w:rFonts w:ascii="Arial" w:cs="Arial" w:eastAsia="Arial" w:hAnsi="Arial"/>
          <w:sz w:val="18"/>
          <w:szCs w:val="18"/>
          <w:color w:val="auto"/>
        </w:rPr>
      </w:pPr>
    </w:p>
    <w:p>
      <w:pPr>
        <w:ind w:firstLine="921"/>
        <w:spacing w:after="0" w:line="312" w:lineRule="auto"/>
        <w:tabs>
          <w:tab w:leader="none" w:pos="1168" w:val="left"/>
        </w:tabs>
        <w:numPr>
          <w:ilvl w:val="0"/>
          <w:numId w:val="71"/>
        </w:numPr>
        <w:rPr>
          <w:rFonts w:ascii="Arial" w:cs="Arial" w:eastAsia="Arial" w:hAnsi="Arial"/>
          <w:sz w:val="16"/>
          <w:szCs w:val="16"/>
          <w:color w:val="auto"/>
        </w:rPr>
      </w:pPr>
      <w:r>
        <w:rPr>
          <w:rFonts w:ascii="Arial" w:cs="Arial" w:eastAsia="Arial" w:hAnsi="Arial"/>
          <w:sz w:val="16"/>
          <w:szCs w:val="16"/>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Arial" w:cs="Arial" w:eastAsia="Arial" w:hAnsi="Arial"/>
          <w:sz w:val="16"/>
          <w:szCs w:val="16"/>
          <w:u w:val="single" w:color="auto"/>
          <w:color w:val="auto"/>
        </w:rPr>
        <w:t>Note</w:t>
      </w:r>
      <w:r>
        <w:rPr>
          <w:rFonts w:ascii="Arial" w:cs="Arial" w:eastAsia="Arial" w:hAnsi="Arial"/>
          <w:sz w:val="16"/>
          <w:szCs w:val="16"/>
          <w:color w:val="auto"/>
        </w:rPr>
        <w:t>”), with appropriate insertions as to date and principal amount.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Except with respect to Competitive Loans to which this Section 2.20 shall not apply: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If any Change in Law shall:</w:t>
      </w:r>
    </w:p>
    <w:p>
      <w:pPr>
        <w:spacing w:after="0" w:line="117" w:lineRule="exact"/>
        <w:rPr>
          <w:sz w:val="20"/>
          <w:szCs w:val="20"/>
          <w:color w:val="auto"/>
        </w:rPr>
      </w:pPr>
    </w:p>
    <w:p>
      <w:pPr>
        <w:ind w:right="60" w:firstLine="921"/>
        <w:spacing w:after="0" w:line="264" w:lineRule="auto"/>
        <w:tabs>
          <w:tab w:leader="none" w:pos="11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impose on such Lender or any London Interbank market any other condition;</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and the result of any of the foregoing is to increase the cost to the Administrative Agent, the Brazilian Administrative Agent or such Lender (or its affiliate, as the case may be), by an amount that the Administrative Agent, the Brazilian Administrative Agent or such Lender reasonably deems material, of making, converting into, continuing or maintaining Eurocurrency Loans, issuing or participating in Letters of Credit, or to reduce any amount receivable hereunder in respect thereof, then, in any such case, the Company and any relevant Subsidiary Borrower shall pay the Administrative Agent, the Brazilian Administrative Agent or such Lender, within 15 Business Days of receipt of notice from the Administrative Agent, the Brazilian Administrative Agent or the relevant Lender as described below, any additional amounts necessary to compensate the Administrative Agent, the Brazilian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the Brazilian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62" w:name="page63"/>
    <w:bookmarkEnd w:id="62"/>
    <w:p>
      <w:pPr>
        <w:ind w:firstLine="921"/>
        <w:spacing w:after="0" w:line="290" w:lineRule="auto"/>
        <w:tabs>
          <w:tab w:leader="none" w:pos="1168"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Lender shall have determined that any Change in Law regarding capital or liquidity requirements has or would have the effect of reducing the rate of return on such Lender’s or an entity controlling such Lender’s capital as a consequence of its obligations hereunder or under or in respect of any Letter of Credit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166" w:lineRule="exact"/>
        <w:rPr>
          <w:rFonts w:ascii="Arial" w:cs="Arial" w:eastAsia="Arial" w:hAnsi="Arial"/>
          <w:sz w:val="16"/>
          <w:szCs w:val="16"/>
          <w:color w:val="auto"/>
        </w:rPr>
      </w:pPr>
    </w:p>
    <w:p>
      <w:pPr>
        <w:ind w:right="60" w:firstLine="921"/>
        <w:spacing w:after="0" w:line="286" w:lineRule="auto"/>
        <w:tabs>
          <w:tab w:leader="none" w:pos="1158"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certificate as to any additional amounts payable pursuant to this Section 2.20 submitted by the Administrative Agent, the Brazilian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the Brazilian Administrative Agent nor any Lender shall be entitled to request any payment or amount under this Section 2.20 unless the Administrative Agent, the Brazilian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Administrative Agent nor the Brazilian Administrative Agent shall be under any obligation to verify any such request of a Lender) and (ii) the Company and any relevant Subsidiary Borrower shall not be required to compensate the Administrative Agent, the Brazilian Administrative Agent or a Lender pursuant to this Section 2.20 for any amounts incurred more than 90 days prior to the date that the Administrative Agent, the Brazilian Administrative Agent or such Lender notifies the Company or relevant Subsidiary Borrower of the Administrative Agent’s, the Brazilian Administrative Agent’s or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172"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or on behalf of any Loan Party under this Agreement (other than in respect of any Competitive Loans as to which this Section 2.21(a) shall not apply) or any other Loan Document shall be made free and clear of, and without deduction or withholding for or on account of, any present or future Taxes, excluding (i) Taxes imposed on or measured by income or profits (including franchise taxes imposed in lieu of or in addition to net income taxes) imposed on the Administrative Agent, the Brazilian Administrative Agent or any Lender as a result of a present or former connection between the Administrative Agent, the Brazilian Administrative Agent or such Lender and the jurisdiction of the Governmental Authority imposing such tax or any political subdivision or taxing authority thereof or therein (other than any such connection arising solely from the Administrative Agent, the Brazilian Administrative Agent or such Lender having executed, delivered or performed its obligations or received a payment under, or enforced, this Agreement or any other Loan Document), (ii) any branch profit Taxes imposed by the United States or any similar tax imposed by any other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Authority in a jurisdiction described in clause (i) above and (iii) any Taxes imposed by reason of FATCA (any such non-excluded Taxes,</w:t>
      </w:r>
    </w:p>
    <w:p>
      <w:pPr>
        <w:spacing w:after="0" w:line="3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Non-Excluded Taxes</w:t>
      </w:r>
      <w:r>
        <w:rPr>
          <w:rFonts w:ascii="Arial" w:cs="Arial" w:eastAsia="Arial" w:hAnsi="Arial"/>
          <w:sz w:val="16"/>
          <w:szCs w:val="16"/>
          <w:color w:val="auto"/>
        </w:rPr>
        <w:t xml:space="preserve">”). If any Taxes are required to be withheld from any amounts payable to the Administrative Agent, the Brazilian Administrative Agent or any Lender under any Loan Document, as determined in good faith by the applicable withholding agent or by the relevant Borrower, to the extent there is no withholding agent, the applicable withholding agent or the relevant Borrower shall make such deductions and shall pay the full amount deducted to the relevant Governmental Authority in accordance with applicable laws. In the case of any Non-Excluded Taxes or Other Taxes, the amounts so payable by the applicable Loan Party to the Administrative Agent, the Brazilian Administrative Agent or such Lender shall be increased to the extent necessary to yield to the Administrative Agent, the Brazilian Administrative Agent or such Lender (after payment of all Non-Excluded Taxes and Other Taxes) an amount equal to the sum which would have been received had no such deduction or withholding been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Loan Party shall be required to increase any such amounts payable to the Administrative Agent, the Brazilian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6"/>
          <w:szCs w:val="16"/>
          <w:u w:val="single" w:color="auto"/>
          <w:color w:val="auto"/>
        </w:rPr>
        <w:t>Change in Tax Law</w:t>
      </w:r>
      <w:r>
        <w:rPr>
          <w:rFonts w:ascii="Arial" w:cs="Arial" w:eastAsia="Arial" w:hAnsi="Arial"/>
          <w:sz w:val="16"/>
          <w:szCs w:val="16"/>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2.21.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(f) of this Section 2.21 except as such failure relates to a Change in Tax Law rendering such Person legally unable to comply.</w:t>
      </w:r>
    </w:p>
    <w:p>
      <w:pPr>
        <w:spacing w:after="0" w:line="176" w:lineRule="exact"/>
        <w:rPr>
          <w:sz w:val="20"/>
          <w:szCs w:val="20"/>
          <w:color w:val="auto"/>
        </w:rPr>
      </w:pPr>
    </w:p>
    <w:p>
      <w:pPr>
        <w:ind w:left="1180" w:hanging="259"/>
        <w:spacing w:after="0"/>
        <w:tabs>
          <w:tab w:leader="none" w:pos="11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addition, each Loan Party shall pay any Other Taxes over to the relevant Governmental Authority in accordance with applicable law.</w:t>
      </w:r>
    </w:p>
    <w:p>
      <w:pPr>
        <w:spacing w:after="0" w:line="236" w:lineRule="exact"/>
        <w:rPr>
          <w:rFonts w:ascii="Arial" w:cs="Arial" w:eastAsia="Arial" w:hAnsi="Arial"/>
          <w:sz w:val="17"/>
          <w:szCs w:val="17"/>
          <w:color w:val="auto"/>
        </w:rPr>
      </w:pPr>
    </w:p>
    <w:p>
      <w:pPr>
        <w:ind w:firstLine="921"/>
        <w:spacing w:after="0" w:line="268" w:lineRule="auto"/>
        <w:tabs>
          <w:tab w:leader="none" w:pos="1158" w:val="left"/>
        </w:tabs>
        <w:numPr>
          <w:ilvl w:val="0"/>
          <w:numId w:val="74"/>
        </w:numPr>
        <w:rPr>
          <w:rFonts w:ascii="Arial" w:cs="Arial" w:eastAsia="Arial" w:hAnsi="Arial"/>
          <w:sz w:val="17"/>
          <w:szCs w:val="17"/>
          <w:color w:val="auto"/>
        </w:rPr>
      </w:pPr>
      <w:r>
        <w:rPr>
          <w:rFonts w:ascii="Arial" w:cs="Arial" w:eastAsia="Arial" w:hAnsi="Arial"/>
          <w:sz w:val="17"/>
          <w:szCs w:val="17"/>
          <w:color w:val="auto"/>
        </w:rPr>
        <w:t>Whenever any Non-Excluded Taxes or Other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Non-Excluded Taxes or Other Taxes when due to the appropriate taxing authority, (ii) any Loan Party fails to remit to the Administrative Agent the required receipts or other required documentary evidence or (iii) any Non-Excluded Taxes or Other Taxes are imposed directly upon the Administrative Agent, the Brazilian Administrative Agent or any Lender, the Loan Parties shall indemnify the Administrative Agent, the Brazilian Administrative Agent and the Lenders for such amount and any incremental taxes, interest, additions to tax, expenses or penalties that may become payable by the Administrative Agent, the Brazilian Administrative Agent or any Lender as a result of any such failure in the case of clauses (i) and (ii), or any such direct imposition in the case of clause (iii). The indemnification payment under this Section 2.21 shall be made within 30 days after the date the Administrative Agent, the Brazilian Administrative Agent or such Lender (as the case may be) makes a written demand therefor (together with a reasonably detailed calculation of such amounts). The UK Borrower shall not be required to indemnify the Administrative Agent, the Brazilian Administrative Agent or the Lenders for any amount which would have been compensated for by an increased payment pursuant to Section 2.21(a) but was not so compensated solely because one of the exclusions in Section 2.21(e)(ii) applied.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64" w:name="page65"/>
    <w:bookmarkEnd w:id="64"/>
    <w:p>
      <w:pPr>
        <w:ind w:left="-8" w:firstLine="921"/>
        <w:spacing w:after="0" w:line="282" w:lineRule="auto"/>
        <w:tabs>
          <w:tab w:leader="none" w:pos="1160" w:val="left"/>
        </w:tabs>
        <w:numPr>
          <w:ilvl w:val="1"/>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Lender (or Transferee) (i) that is not a “United States person” as defined in Section 7701(a)(30) of the Code (a “</w:t>
      </w:r>
      <w:r>
        <w:rPr>
          <w:rFonts w:ascii="Arial" w:cs="Arial" w:eastAsia="Arial" w:hAnsi="Arial"/>
          <w:sz w:val="16"/>
          <w:szCs w:val="16"/>
          <w:u w:val="single" w:color="auto"/>
          <w:color w:val="auto"/>
        </w:rPr>
        <w:t>Non-U.S. Lender</w:t>
      </w:r>
      <w:r>
        <w:rPr>
          <w:rFonts w:ascii="Arial" w:cs="Arial" w:eastAsia="Arial" w:hAnsi="Arial"/>
          <w:sz w:val="16"/>
          <w:szCs w:val="16"/>
          <w:color w:val="auto"/>
        </w:rPr>
        <w:t>”)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(other than clause</w:t>
      </w:r>
    </w:p>
    <w:p>
      <w:pPr>
        <w:spacing w:after="0" w:line="11" w:lineRule="exact"/>
        <w:rPr>
          <w:rFonts w:ascii="Arial" w:cs="Arial" w:eastAsia="Arial" w:hAnsi="Arial"/>
          <w:sz w:val="16"/>
          <w:szCs w:val="16"/>
          <w:color w:val="auto"/>
        </w:rPr>
      </w:pPr>
    </w:p>
    <w:p>
      <w:pPr>
        <w:ind w:left="272" w:hanging="272"/>
        <w:spacing w:after="0"/>
        <w:tabs>
          <w:tab w:leader="none" w:pos="272" w:val="left"/>
        </w:tabs>
        <w:numPr>
          <w:ilvl w:val="0"/>
          <w:numId w:val="76"/>
        </w:numPr>
        <w:rPr>
          <w:rFonts w:ascii="Arial" w:cs="Arial" w:eastAsia="Arial" w:hAnsi="Arial"/>
          <w:sz w:val="18"/>
          <w:szCs w:val="18"/>
          <w:color w:val="auto"/>
        </w:rPr>
      </w:pPr>
      <w:r>
        <w:rPr>
          <w:rFonts w:ascii="Arial" w:cs="Arial" w:eastAsia="Arial" w:hAnsi="Arial"/>
          <w:sz w:val="18"/>
          <w:szCs w:val="18"/>
          <w:color w:val="auto"/>
        </w:rPr>
        <w:t>of the first sentence of this paragraph) that such Lender is not legally able to deliver.</w:t>
      </w:r>
    </w:p>
    <w:p>
      <w:pPr>
        <w:spacing w:after="0" w:line="210" w:lineRule="exact"/>
        <w:rPr>
          <w:rFonts w:ascii="Arial" w:cs="Arial" w:eastAsia="Arial" w:hAnsi="Arial"/>
          <w:sz w:val="18"/>
          <w:szCs w:val="18"/>
          <w:color w:val="auto"/>
        </w:rPr>
      </w:pPr>
    </w:p>
    <w:p>
      <w:pPr>
        <w:ind w:left="1152" w:hanging="239"/>
        <w:spacing w:after="0"/>
        <w:tabs>
          <w:tab w:leader="none" w:pos="1152"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Additional United Kingdom Withholding Tax Matters</w:t>
      </w:r>
      <w:r>
        <w:rPr>
          <w:rFonts w:ascii="Arial" w:cs="Arial" w:eastAsia="Arial" w:hAnsi="Arial"/>
          <w:sz w:val="18"/>
          <w:szCs w:val="18"/>
          <w:color w:val="auto"/>
        </w:rPr>
        <w:t>.</w:t>
      </w:r>
    </w:p>
    <w:p>
      <w:pPr>
        <w:spacing w:after="0" w:line="225" w:lineRule="exact"/>
        <w:rPr>
          <w:sz w:val="20"/>
          <w:szCs w:val="20"/>
          <w:color w:val="auto"/>
        </w:rPr>
      </w:pPr>
    </w:p>
    <w:p>
      <w:pPr>
        <w:jc w:val="both"/>
        <w:ind w:left="-8" w:right="80" w:firstLine="921"/>
        <w:spacing w:after="0" w:line="259" w:lineRule="auto"/>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UK Borrower shall promptly upon becoming aware that it must make a UK Tax Deduction (or that there is any change in the rate or the basis of a UK Tax Deduction) notify the Administrative Agent accordingly. Similarly, a Lender shall promptly notify the Administrative Agent on becoming so aware in respect of a payment payable by any UK Borrower to that Lender. If the Administrative Agent receives such notification from a Lender it shall notify the relevant UK Borrower.</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92"/>
          </w:cols>
          <w:pgMar w:left="248" w:top="274" w:right="259" w:bottom="1440" w:gutter="0" w:footer="0" w:header="0"/>
        </w:sectPr>
      </w:pPr>
    </w:p>
    <w:bookmarkStart w:id="65" w:name="page66"/>
    <w:bookmarkEnd w:id="65"/>
    <w:p>
      <w:pPr>
        <w:ind w:left="-8" w:right="20" w:firstLine="921"/>
        <w:spacing w:after="0" w:line="286" w:lineRule="auto"/>
        <w:tabs>
          <w:tab w:leader="none" w:pos="1170" w:val="left"/>
        </w:tabs>
        <w:numPr>
          <w:ilvl w:val="1"/>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prejudice to the generality of Section 2.21(a), a payment from a UK Borrower shall not be increased pursuant to Section 2.21(a) by reason of a UK Tax Deduction on account of Taxes imposed by the United Kingdom, if on the date on which the payment falls due: (A) the payment could have been made to the relevant Lender without a UK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UK Treaty or any published practice or published concession of any relevant taxing authority; or (B) the relevant Lender is a UK Qualifying Lender solely by virtue of paragraph (a)(ii) of the definition of “UK Qualifying Lender”; an officer of HMRC has given (and not revoked) a direction (a “</w:t>
      </w:r>
      <w:r>
        <w:rPr>
          <w:rFonts w:ascii="Arial" w:cs="Arial" w:eastAsia="Arial" w:hAnsi="Arial"/>
          <w:sz w:val="16"/>
          <w:szCs w:val="16"/>
          <w:u w:val="single" w:color="auto"/>
          <w:color w:val="auto"/>
        </w:rPr>
        <w:t>Direction</w:t>
      </w:r>
      <w:r>
        <w:rPr>
          <w:rFonts w:ascii="Arial" w:cs="Arial" w:eastAsia="Arial" w:hAnsi="Arial"/>
          <w:sz w:val="16"/>
          <w:szCs w:val="16"/>
          <w:color w:val="auto"/>
        </w:rPr>
        <w:t>”) under section 931 of the UK ITA which relates to the payment and that Lender has received from the relevant UK Borrower (or from the Company) a certified copy of that Direction; and the payment could have been made to the Lender without any UK Tax Deduction if that Direction had not been made; or (C) the relevant Lender is a UK Qualifying Lender solely by virtue of paragraph (a)(ii) of the definition of “UK Qualifying Lender”; the relevant Lender has not given a UK Tax Confirmation to the relevant UK Borrower; and the payment could have been made to the Lender without any UK Tax Deduction if the Lender had given a UK Tax Confirmation to the relevant UK Borrower, on the basis that the UK Tax Confirmation would have enabled the relevant UK Borrower to have formed a reasonable belief that the payment was an “excepted payment” for the purpose of section 930 of the UK ITA; or (D) the relevant Lender is a UK Treaty Lender (or would be a UK Treaty Lender following the completion of any necessary procedural formalities) and the relevant UK Borrower is able to demonstrate that the payment could have been made to the Lender without the UK Tax Deduction had that Lender complied with its obligations under Section 2.21(e)(iii) or Section 2.21(e)(iv) (as applicable) below.</w:t>
      </w:r>
    </w:p>
    <w:p>
      <w:pPr>
        <w:spacing w:after="0" w:line="168" w:lineRule="exact"/>
        <w:rPr>
          <w:rFonts w:ascii="Arial" w:cs="Arial" w:eastAsia="Arial" w:hAnsi="Arial"/>
          <w:sz w:val="16"/>
          <w:szCs w:val="16"/>
          <w:color w:val="auto"/>
        </w:rPr>
      </w:pPr>
    </w:p>
    <w:p>
      <w:pPr>
        <w:ind w:left="-8" w:right="20" w:firstLine="921"/>
        <w:spacing w:after="0" w:line="342" w:lineRule="auto"/>
        <w:tabs>
          <w:tab w:leader="none" w:pos="12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Subject to clause (e)(iv) below, each Lender and each UK Borrower which makes a payment to which that Lender is entitled shall co-operate in completing any procedural formalities necessary for such UK Borrower to obtain authorization to make such payment without a UK Tax Deduction.</w:t>
      </w:r>
    </w:p>
    <w:p>
      <w:pPr>
        <w:spacing w:after="0" w:line="123" w:lineRule="exact"/>
        <w:rPr>
          <w:rFonts w:ascii="Arial" w:cs="Arial" w:eastAsia="Arial" w:hAnsi="Arial"/>
          <w:sz w:val="16"/>
          <w:szCs w:val="16"/>
          <w:color w:val="auto"/>
        </w:rPr>
      </w:pPr>
    </w:p>
    <w:p>
      <w:pPr>
        <w:ind w:left="1212" w:hanging="299"/>
        <w:spacing w:after="0"/>
        <w:tabs>
          <w:tab w:leader="none" w:pos="1212" w:val="left"/>
        </w:tabs>
        <w:numPr>
          <w:ilvl w:val="1"/>
          <w:numId w:val="78"/>
        </w:numPr>
        <w:rPr>
          <w:rFonts w:ascii="Arial" w:cs="Arial" w:eastAsia="Arial" w:hAnsi="Arial"/>
          <w:sz w:val="16"/>
          <w:szCs w:val="16"/>
          <w:color w:val="auto"/>
        </w:rPr>
      </w:pPr>
      <w:r>
        <w:rPr>
          <w:rFonts w:ascii="Arial" w:cs="Arial" w:eastAsia="Arial" w:hAnsi="Arial"/>
          <w:sz w:val="16"/>
          <w:szCs w:val="16"/>
          <w:color w:val="auto"/>
        </w:rPr>
        <w:t>(A) A Lender on the day on which this Agreement is entered into that (x) holds a passport under the HMRC DT Treaty Passport scheme and</w:t>
      </w:r>
    </w:p>
    <w:p>
      <w:pPr>
        <w:spacing w:after="0" w:line="46" w:lineRule="exact"/>
        <w:rPr>
          <w:rFonts w:ascii="Arial" w:cs="Arial" w:eastAsia="Arial" w:hAnsi="Arial"/>
          <w:sz w:val="16"/>
          <w:szCs w:val="16"/>
          <w:color w:val="auto"/>
        </w:rPr>
      </w:pPr>
    </w:p>
    <w:p>
      <w:pPr>
        <w:ind w:left="-8" w:right="100" w:firstLine="8"/>
        <w:spacing w:after="0" w:line="261" w:lineRule="auto"/>
        <w:tabs>
          <w:tab w:leader="none" w:pos="2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wishes such scheme to apply to this Agreement, shall confirm its scheme reference number and its jurisdiction of tax residence to each UK Borrower and the Administrative Agent; and</w:t>
      </w:r>
    </w:p>
    <w:p>
      <w:pPr>
        <w:spacing w:after="0" w:line="75" w:lineRule="exact"/>
        <w:rPr>
          <w:rFonts w:ascii="Arial" w:cs="Arial" w:eastAsia="Arial" w:hAnsi="Arial"/>
          <w:sz w:val="18"/>
          <w:szCs w:val="18"/>
          <w:color w:val="auto"/>
        </w:rPr>
      </w:pPr>
    </w:p>
    <w:p>
      <w:pPr>
        <w:ind w:left="912" w:firstLine="421"/>
        <w:spacing w:after="0" w:line="259" w:lineRule="auto"/>
        <w:tabs>
          <w:tab w:leader="none" w:pos="1617" w:val="left"/>
        </w:tabs>
        <w:numPr>
          <w:ilvl w:val="2"/>
          <w:numId w:val="79"/>
        </w:numPr>
        <w:rPr>
          <w:rFonts w:ascii="Arial" w:cs="Arial" w:eastAsia="Arial" w:hAnsi="Arial"/>
          <w:sz w:val="18"/>
          <w:szCs w:val="18"/>
          <w:color w:val="auto"/>
        </w:rPr>
      </w:pPr>
      <w:r>
        <w:rPr>
          <w:rFonts w:ascii="Arial" w:cs="Arial" w:eastAsia="Arial" w:hAnsi="Arial"/>
          <w:sz w:val="18"/>
          <w:szCs w:val="18"/>
          <w:color w:val="auto"/>
        </w:rPr>
        <w:t>A Lender which becomes a Lender hereunder after the day on which this Agreement is entered into (including, for the avoidance of doubt, any Transferee) that (x) holds a passport under the HMRC DT Treaty Passport scheme and (y) wishes such scheme to apply to this Agreement, shall confirm its scheme reference number and its jurisdiction of tax residence to each UK Borrower and the Administrative Agent in the documentation which it executes upon becoming a party to this Agreement, and</w:t>
      </w:r>
    </w:p>
    <w:p>
      <w:pPr>
        <w:spacing w:after="0" w:line="78" w:lineRule="exact"/>
        <w:rPr>
          <w:rFonts w:ascii="Arial" w:cs="Arial" w:eastAsia="Arial" w:hAnsi="Arial"/>
          <w:sz w:val="18"/>
          <w:szCs w:val="18"/>
          <w:color w:val="auto"/>
        </w:rPr>
      </w:pPr>
    </w:p>
    <w:p>
      <w:pPr>
        <w:ind w:left="1612" w:hanging="279"/>
        <w:spacing w:after="0"/>
        <w:tabs>
          <w:tab w:leader="none" w:pos="1612" w:val="left"/>
        </w:tabs>
        <w:numPr>
          <w:ilvl w:val="2"/>
          <w:numId w:val="79"/>
        </w:numPr>
        <w:rPr>
          <w:rFonts w:ascii="Arial" w:cs="Arial" w:eastAsia="Arial" w:hAnsi="Arial"/>
          <w:sz w:val="18"/>
          <w:szCs w:val="18"/>
          <w:color w:val="auto"/>
        </w:rPr>
      </w:pPr>
      <w:r>
        <w:rPr>
          <w:rFonts w:ascii="Arial" w:cs="Arial" w:eastAsia="Arial" w:hAnsi="Arial"/>
          <w:sz w:val="18"/>
          <w:szCs w:val="18"/>
          <w:color w:val="auto"/>
        </w:rPr>
        <w:t>Upon satisfying either clause (A) or (B) above, such Lender shall have satisfied its obligation under clause (e)(iii) above.</w:t>
      </w:r>
    </w:p>
    <w:p>
      <w:pPr>
        <w:spacing w:after="0" w:line="225" w:lineRule="exact"/>
        <w:rPr>
          <w:rFonts w:ascii="Arial" w:cs="Arial" w:eastAsia="Arial" w:hAnsi="Arial"/>
          <w:sz w:val="18"/>
          <w:szCs w:val="18"/>
          <w:color w:val="auto"/>
        </w:rPr>
      </w:pPr>
    </w:p>
    <w:p>
      <w:pPr>
        <w:ind w:left="-8" w:right="180" w:firstLine="921"/>
        <w:spacing w:after="0" w:line="277" w:lineRule="auto"/>
        <w:tabs>
          <w:tab w:leader="none" w:pos="11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If a Lender has confirmed its scheme reference number and its jurisdiction of tax residence in accordance with clause (e)(iv) above, the UK Borrower(s) shall make a Borrower DTTP Filing with respect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if:</w:t>
      </w:r>
    </w:p>
    <w:p>
      <w:pPr>
        <w:spacing w:after="0" w:line="62" w:lineRule="exact"/>
        <w:rPr>
          <w:rFonts w:ascii="Arial" w:cs="Arial" w:eastAsia="Arial" w:hAnsi="Arial"/>
          <w:sz w:val="18"/>
          <w:szCs w:val="18"/>
          <w:color w:val="auto"/>
        </w:rPr>
      </w:pPr>
    </w:p>
    <w:p>
      <w:pPr>
        <w:ind w:left="1632" w:hanging="299"/>
        <w:spacing w:after="0"/>
        <w:tabs>
          <w:tab w:leader="none" w:pos="1632" w:val="left"/>
        </w:tabs>
        <w:numPr>
          <w:ilvl w:val="2"/>
          <w:numId w:val="80"/>
        </w:numPr>
        <w:rPr>
          <w:rFonts w:ascii="Arial" w:cs="Arial" w:eastAsia="Arial" w:hAnsi="Arial"/>
          <w:sz w:val="18"/>
          <w:szCs w:val="18"/>
          <w:color w:val="auto"/>
        </w:rPr>
      </w:pPr>
      <w:r>
        <w:rPr>
          <w:rFonts w:ascii="Arial" w:cs="Arial" w:eastAsia="Arial" w:hAnsi="Arial"/>
          <w:sz w:val="18"/>
          <w:szCs w:val="18"/>
          <w:color w:val="auto"/>
        </w:rPr>
        <w:t>a UK Borrower making a payment to such Lender has not made a Borrower DTTP Filing in respect of such Lender; or</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92"/>
          </w:cols>
          <w:pgMar w:left="248" w:top="274" w:right="259" w:bottom="1440" w:gutter="0" w:footer="0" w:header="0"/>
        </w:sectPr>
      </w:pPr>
    </w:p>
    <w:bookmarkStart w:id="66" w:name="page67"/>
    <w:bookmarkEnd w:id="66"/>
    <w:p>
      <w:pPr>
        <w:ind w:left="1600" w:hanging="279"/>
        <w:spacing w:after="0"/>
        <w:tabs>
          <w:tab w:leader="none" w:pos="1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UK Borrower making a payment to such Lender has made a Borrower DTTP Filing in respect of such Lender but:</w:t>
      </w:r>
    </w:p>
    <w:p>
      <w:pPr>
        <w:spacing w:after="0" w:line="130" w:lineRule="exact"/>
        <w:rPr>
          <w:rFonts w:ascii="Arial" w:cs="Arial" w:eastAsia="Arial" w:hAnsi="Arial"/>
          <w:sz w:val="18"/>
          <w:szCs w:val="18"/>
          <w:color w:val="auto"/>
        </w:rPr>
      </w:pPr>
    </w:p>
    <w:p>
      <w:pPr>
        <w:ind w:left="2380" w:hanging="569"/>
        <w:spacing w:after="0"/>
        <w:tabs>
          <w:tab w:leader="none" w:pos="2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such Borrower DTTP Filing has been rejected by HMRC; or</w:t>
      </w:r>
    </w:p>
    <w:p>
      <w:pPr>
        <w:spacing w:after="0" w:line="130" w:lineRule="exact"/>
        <w:rPr>
          <w:rFonts w:ascii="Arial" w:cs="Arial" w:eastAsia="Arial" w:hAnsi="Arial"/>
          <w:sz w:val="18"/>
          <w:szCs w:val="18"/>
          <w:color w:val="auto"/>
        </w:rPr>
      </w:pPr>
    </w:p>
    <w:p>
      <w:pPr>
        <w:ind w:left="2380" w:right="20" w:hanging="569"/>
        <w:spacing w:after="0" w:line="277" w:lineRule="auto"/>
        <w:tabs>
          <w:tab w:leader="none" w:pos="2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HMRC has not given such UK Borrower authority to make payments to such Lender without a UK Tax Deduction within 60 days of the date of such Borrower DTTP Filing;</w:t>
      </w:r>
    </w:p>
    <w:p>
      <w:pPr>
        <w:spacing w:after="0" w:line="62" w:lineRule="exact"/>
        <w:rPr>
          <w:sz w:val="20"/>
          <w:szCs w:val="20"/>
          <w:color w:val="auto"/>
        </w:rPr>
      </w:pPr>
    </w:p>
    <w:p>
      <w:pPr>
        <w:ind w:left="1920" w:right="40"/>
        <w:spacing w:after="0" w:line="264" w:lineRule="auto"/>
        <w:rPr>
          <w:sz w:val="20"/>
          <w:szCs w:val="20"/>
          <w:color w:val="auto"/>
        </w:rPr>
      </w:pPr>
      <w:r>
        <w:rPr>
          <w:rFonts w:ascii="Arial" w:cs="Arial" w:eastAsia="Arial" w:hAnsi="Arial"/>
          <w:sz w:val="18"/>
          <w:szCs w:val="18"/>
          <w:color w:val="auto"/>
        </w:rPr>
        <w:t>and in each case, such UK Borrower has notified that Lender in writing of either clause (1) or (2) above, then such Lender and such UK Borrower shall co-operate in completing any additional procedural formalities necessary for such UK Borrower to obtain authorization to make that payment without a UK Tax Deduction.</w:t>
      </w:r>
    </w:p>
    <w:p>
      <w:pPr>
        <w:spacing w:after="0" w:line="181" w:lineRule="exact"/>
        <w:rPr>
          <w:sz w:val="20"/>
          <w:szCs w:val="20"/>
          <w:color w:val="auto"/>
        </w:rPr>
      </w:pPr>
    </w:p>
    <w:p>
      <w:pPr>
        <w:ind w:left="-20" w:right="120" w:firstLine="921"/>
        <w:spacing w:after="0" w:line="264" w:lineRule="auto"/>
        <w:tabs>
          <w:tab w:leader="none" w:pos="119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 Lender has not confirmed its scheme reference number and jurisdiction of tax residence in accordance with clause (e)(iv) above, no UK Borrower shall make a Borrower DTTP Filing or file any other form relating to the HMRC DT Treaty Passport scheme in respect of that Lender’s Commitment(s) or its participation in any Loan unless the Lender otherwise agrees.</w:t>
      </w:r>
    </w:p>
    <w:p>
      <w:pPr>
        <w:spacing w:after="0" w:line="181" w:lineRule="exact"/>
        <w:rPr>
          <w:rFonts w:ascii="Arial" w:cs="Arial" w:eastAsia="Arial" w:hAnsi="Arial"/>
          <w:sz w:val="18"/>
          <w:szCs w:val="18"/>
          <w:color w:val="auto"/>
        </w:rPr>
      </w:pPr>
    </w:p>
    <w:p>
      <w:pPr>
        <w:ind w:left="-20" w:firstLine="921"/>
        <w:spacing w:after="0" w:line="277" w:lineRule="auto"/>
        <w:tabs>
          <w:tab w:leader="none" w:pos="12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UK Borrower shall, promptly on making a Borrower DTTP Filing, deliver a copy of such Borrower DTTP Filing to the Administrative Agent for delivery to the relevant Lender.</w:t>
      </w:r>
    </w:p>
    <w:p>
      <w:pPr>
        <w:spacing w:after="0" w:line="170" w:lineRule="exact"/>
        <w:rPr>
          <w:rFonts w:ascii="Arial" w:cs="Arial" w:eastAsia="Arial" w:hAnsi="Arial"/>
          <w:sz w:val="18"/>
          <w:szCs w:val="18"/>
          <w:color w:val="auto"/>
        </w:rPr>
      </w:pPr>
    </w:p>
    <w:p>
      <w:pPr>
        <w:ind w:left="-20" w:right="100" w:firstLine="921"/>
        <w:spacing w:after="0" w:line="259" w:lineRule="auto"/>
        <w:tabs>
          <w:tab w:leader="none" w:pos="1298"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Lender shall notify HMRC, each UK Borrower and the Administrative Agent if it determines in its sole discretion that it is not or ceases to be entitled to claim the benefits of the applicable UK Treaty with respect to payments made by any UK Borrower hereunder, including as the result of any participation under Section 10.6(c) pursuant to which it ceases to be beneficially entitled to any interest payable to it by any UK Borrower under any Loan Document.</w:t>
      </w:r>
    </w:p>
    <w:p>
      <w:pPr>
        <w:spacing w:after="0" w:line="186" w:lineRule="exact"/>
        <w:rPr>
          <w:rFonts w:ascii="Arial" w:cs="Arial" w:eastAsia="Arial" w:hAnsi="Arial"/>
          <w:sz w:val="18"/>
          <w:szCs w:val="18"/>
          <w:color w:val="auto"/>
        </w:rPr>
      </w:pPr>
    </w:p>
    <w:p>
      <w:pPr>
        <w:ind w:left="-20" w:firstLine="921"/>
        <w:spacing w:after="0" w:line="271" w:lineRule="auto"/>
        <w:tabs>
          <w:tab w:leader="none" w:pos="1198" w:val="left"/>
        </w:tabs>
        <w:numPr>
          <w:ilvl w:val="0"/>
          <w:numId w:val="82"/>
        </w:numPr>
        <w:rPr>
          <w:rFonts w:ascii="Arial" w:cs="Arial" w:eastAsia="Arial" w:hAnsi="Arial"/>
          <w:sz w:val="17"/>
          <w:szCs w:val="17"/>
          <w:color w:val="auto"/>
        </w:rPr>
      </w:pPr>
      <w:r>
        <w:rPr>
          <w:rFonts w:ascii="Arial" w:cs="Arial" w:eastAsia="Arial" w:hAnsi="Arial"/>
          <w:sz w:val="17"/>
          <w:szCs w:val="17"/>
          <w:color w:val="auto"/>
        </w:rPr>
        <w:t>Each Lender which becomes a party to this Agreement after the date of this Agreement shall indicate, in the documentation which it executes on becoming a party, and for the benefit of the Administrative Agent and without liability to any Loan Party, which of the following categories it falls in with respect to any UK Borrower to which it will make advances under any Loan Document: (A) not a UK Qualifying Lender; (B) a UK Qualifying Lender (other than a UK Treaty Lender); or (C) a UK Treaty Lender. If such a Lender fails to indicate its status in accordance with this Section 2.21(e)(ix) then that Lender shall be treated for the purposes of this Agreement (including by each UK Borrower) as if it is not a UK Qualifying Lender until such time as it notifies the Administrative Agent which category applies (and the Administrative Agent, upon receipt of such notification, shall inform the Company). For the avoidance of doubt, the documentation which a Lender executes on becoming a party to this Agreement shall not be invalidated by any failure of a Lender to comply with this Section 2.21(e)(ix).</w:t>
      </w:r>
    </w:p>
    <w:p>
      <w:pPr>
        <w:spacing w:after="0" w:line="179" w:lineRule="exact"/>
        <w:rPr>
          <w:sz w:val="20"/>
          <w:szCs w:val="20"/>
          <w:color w:val="auto"/>
        </w:rPr>
      </w:pPr>
    </w:p>
    <w:p>
      <w:pPr>
        <w:ind w:left="-20" w:firstLine="921"/>
        <w:spacing w:after="0" w:line="272" w:lineRule="auto"/>
        <w:tabs>
          <w:tab w:leader="none" w:pos="1118" w:val="left"/>
        </w:tabs>
        <w:numPr>
          <w:ilvl w:val="0"/>
          <w:numId w:val="83"/>
        </w:numPr>
        <w:rPr>
          <w:rFonts w:ascii="Arial" w:cs="Arial" w:eastAsia="Arial" w:hAnsi="Arial"/>
          <w:sz w:val="17"/>
          <w:szCs w:val="17"/>
          <w:color w:val="auto"/>
        </w:rPr>
      </w:pPr>
      <w:r>
        <w:rPr>
          <w:rFonts w:ascii="Arial" w:cs="Arial" w:eastAsia="Arial" w:hAnsi="Arial"/>
          <w:sz w:val="17"/>
          <w:szCs w:val="17"/>
          <w:color w:val="auto"/>
        </w:rPr>
        <w:t>With respect to each Foreign Subsidiary Borrower a Lender or Transferee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or on account of, any Non-Excluded Taxes imposed on such payment under the laws of the jurisdiction under which such Foreign Subsidiary Borrower is incorporated or organized. If any Commitment is reallocated in accordance with Section 2.11(c) or 2.11(d), then the relevant Lender (to whom such Commitment has been reallocated) shall deliver on the effective date of such reallocation, all such forms that it is legally able to deliver, including any form claiming a reduced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60" w:top="274" w:right="259" w:bottom="1440" w:gutter="0" w:footer="0" w:header="0"/>
        </w:sectPr>
      </w:pPr>
    </w:p>
    <w:bookmarkStart w:id="67" w:name="page68"/>
    <w:bookmarkEnd w:id="6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rate of non-U.S. withholding tax on payments made by the relevant Foreign Subsidiary Borrower to such Lender under this Agreement and the other Loan Documents. In the event of a Change in Tax Law after the date such Foreign Subsidiary Borrower makes the first payment, a Lender or Transferee shall deliver all such required forms that it is legally able to deliver, including any form claiming a reduced rate of non-U.S. withholding tax on payments by such Foreign Subsidiary Borrower under this Agreement and the other Loan Documents. With respect to any UK Borrower, in the case of any conflict between this Section 2.21(f) and Section 2.21(e), the provisions of Section 2.21(e) shall prevail.</w:t>
      </w:r>
    </w:p>
    <w:p>
      <w:pPr>
        <w:spacing w:after="0" w:line="188" w:lineRule="exact"/>
        <w:rPr>
          <w:sz w:val="20"/>
          <w:szCs w:val="20"/>
          <w:color w:val="auto"/>
        </w:rPr>
      </w:pPr>
    </w:p>
    <w:p>
      <w:pPr>
        <w:ind w:firstLine="921"/>
        <w:spacing w:after="0" w:line="286" w:lineRule="auto"/>
        <w:tabs>
          <w:tab w:leader="none" w:pos="1168"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If the Administrative Agent, the Brazilian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Non-Excluded Taxes or Other Taxes giving rise to such refund), net of all out-of-pocket expenses of the Administrative Agent, the Brazilian Administrative Agent, such Transferee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Loan Party, upon the request of the Administrative Agent, the Brazilian Administrative Agent, such Transferee or such Lender, agrees to repay the amount paid over to such Loan Party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Administrative Agent, the Brazilian Administrative Agent, such Transferee or such Lender in the event the Administrative Agent, the Brazilian Administrative Agent, such Transferee or such Lender is required to repay such refund to such Governmental Authority. This paragraph shall not be construed to (i) interfere with the right of the Administrative Agent, the Brazilian Administrative Agent, any Transferee or any Lender to arrange its tax affairs in whatever manner it sees fit, (ii) obligate the Administrative Agent, the Brazilian Administrative Agent, any Transferee or any Lender to claim any tax refund, (iii) require the Administrative Agent, the Brazilian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the Brazilian Administrative Agent, any Transferee or any Lender to do anything that would in its sole discretion prejudice its ability to benefit from any other refunds, credits, reliefs, remissions or repayments to which it may be entitled.</w:t>
      </w:r>
    </w:p>
    <w:p>
      <w:pPr>
        <w:spacing w:after="0" w:line="384" w:lineRule="exact"/>
        <w:rPr>
          <w:rFonts w:ascii="Arial" w:cs="Arial" w:eastAsia="Arial" w:hAnsi="Arial"/>
          <w:sz w:val="16"/>
          <w:szCs w:val="16"/>
          <w:color w:val="auto"/>
        </w:rPr>
      </w:pPr>
    </w:p>
    <w:p>
      <w:pPr>
        <w:ind w:right="20" w:firstLine="921"/>
        <w:spacing w:after="0" w:line="272" w:lineRule="auto"/>
        <w:tabs>
          <w:tab w:leader="none" w:pos="1168"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Lender shall indemnify the Administrative Agent and the Brazilian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or the Brazilian Administrative Agent, as applicable, together with all interest, penalties, reasonable costs and expenses arising therefrom or with respect thereto, as determined by the Administrative Agent or the Brazilian Administrative Agent, as applicable, in good faith. A certificate as to the amount of such payment or liability delivered to any Lender by the Administrative Agent or the Brazilian Administrative Agent shall be conclusive absent manifest error.</w:t>
      </w:r>
    </w:p>
    <w:p>
      <w:pPr>
        <w:spacing w:after="0" w:line="177" w:lineRule="exact"/>
        <w:rPr>
          <w:rFonts w:ascii="Arial" w:cs="Arial" w:eastAsia="Arial" w:hAnsi="Arial"/>
          <w:sz w:val="17"/>
          <w:szCs w:val="17"/>
          <w:color w:val="auto"/>
        </w:rPr>
      </w:pPr>
    </w:p>
    <w:p>
      <w:pPr>
        <w:ind w:left="1140" w:hanging="219"/>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Assignee shall be bound by this Section 2.21.</w:t>
      </w:r>
    </w:p>
    <w:p>
      <w:pPr>
        <w:spacing w:after="0" w:line="225" w:lineRule="exact"/>
        <w:rPr>
          <w:rFonts w:ascii="Arial" w:cs="Arial" w:eastAsia="Arial" w:hAnsi="Arial"/>
          <w:sz w:val="18"/>
          <w:szCs w:val="18"/>
          <w:color w:val="auto"/>
        </w:rPr>
      </w:pPr>
    </w:p>
    <w:p>
      <w:pPr>
        <w:ind w:right="460" w:firstLine="921"/>
        <w:spacing w:after="0" w:line="277" w:lineRule="auto"/>
        <w:tabs>
          <w:tab w:leader="none" w:pos="11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agreements in this Section 2.21 shall survive the termination of this Agreement and the payment of the Loans and all other amounts payable hereunder and the other Loan Documents.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68" w:name="page69"/>
    <w:bookmarkEnd w:id="68"/>
    <w:p>
      <w:pPr>
        <w:ind w:right="20"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2.22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7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Change of Applicable Lending Office</w:t>
      </w:r>
      <w:r>
        <w:rPr>
          <w:rFonts w:ascii="Arial" w:cs="Arial" w:eastAsia="Arial" w:hAnsi="Arial"/>
          <w:sz w:val="18"/>
          <w:szCs w:val="18"/>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2.23 shall affect or postpone any of the obligations of the Company or the rights of any Lender pursuant to Section 2.20 or 2.21(a).</w:t>
      </w:r>
    </w:p>
    <w:p>
      <w:pPr>
        <w:spacing w:after="0" w:line="189"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Replacement/Termination of Lenders</w:t>
      </w:r>
      <w:r>
        <w:rPr>
          <w:rFonts w:ascii="Arial" w:cs="Arial" w:eastAsia="Arial" w:hAnsi="Arial"/>
          <w:sz w:val="18"/>
          <w:szCs w:val="18"/>
          <w:color w:val="auto"/>
        </w:rPr>
        <w:t>. The Company shall be permitted (a) to replace with a replacement financial institution or terminate the Commitments under any applicable Facility and repay any outstanding Loans at par under such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such Facility (and such Lender is an affected Lender) and for which the Required Lenders or Majority Facility Lenders under such Facility, as applicable, have consented or (iii) fails to give its consent to an extension of the Termination Date to which the Majority Facility Lenders under such Facility have consented, (b) in the case of any Multicurrency Lender or L/C Tranche Lender that fails to give its consent to the addition of a new Optional Currency to which the Majority Facility Lenders under such Facility have consented, to reallocate such Lender’s Multicurrency Commitment or L/C Tranche Commitment, as applicable, to a Domestic Commitment pursuant to Section 2.11(b) (regardless of whether the amount of such Commitment is less than the minimum amount required under such section) and (c) in the case of 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74" w:right="279" w:bottom="1440" w:gutter="0" w:footer="0" w:header="0"/>
        </w:sectPr>
      </w:pPr>
    </w:p>
    <w:bookmarkStart w:id="69" w:name="page70"/>
    <w:bookmarkEnd w:id="6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Multicurrency Lender or L/C Tranche Lender that fails to give its consent to the addition of a new Borrower pursuant to Section 10.1(d)(i) to which the Administrative Agent has agreed, to reallocate such Lender’s Multicurrency Commitment or L/C Tranche Commitment, as applicable, to a Domestic Commitment pursuant to Section 2.11(b) (regardless of whether the amount of such Commitment is less than the minimum amount required under such section);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w:t>
      </w:r>
    </w:p>
    <w:p>
      <w:pPr>
        <w:spacing w:after="0" w:line="2" w:lineRule="exact"/>
        <w:rPr>
          <w:sz w:val="20"/>
          <w:szCs w:val="20"/>
          <w:color w:val="auto"/>
        </w:rPr>
      </w:pPr>
    </w:p>
    <w:p>
      <w:pPr>
        <w:ind w:right="20" w:firstLine="8"/>
        <w:spacing w:after="0" w:line="267" w:lineRule="auto"/>
        <w:tabs>
          <w:tab w:leader="none" w:pos="285" w:val="left"/>
        </w:tabs>
        <w:numPr>
          <w:ilvl w:val="0"/>
          <w:numId w:val="85"/>
        </w:numPr>
        <w:rPr>
          <w:rFonts w:ascii="Arial" w:cs="Arial" w:eastAsia="Arial" w:hAnsi="Arial"/>
          <w:sz w:val="17"/>
          <w:szCs w:val="17"/>
          <w:color w:val="auto"/>
        </w:rPr>
      </w:pPr>
      <w:r>
        <w:rPr>
          <w:rFonts w:ascii="Arial" w:cs="Arial" w:eastAsia="Arial" w:hAnsi="Arial"/>
          <w:sz w:val="17"/>
          <w:szCs w:val="17"/>
          <w:color w:val="auto"/>
        </w:rPr>
        <w:t>unless otherwise agreed, the Company shall be liable to such replaced or terminated Lender under Section 2.22 if any Eurocurrency Loan owing to such replaced Lender shall be purchased or repaid other than on the last day of the Interest Period relating thereto, (C) any replacement financial institution, if not a Lender, shall be reasonably satisfactory to the Administrative Agent (and the Brazilian Administrative Agent in the case of any such replacement under the Brazilian Facility) and if a Lender, shall not constitute a Defaulting Lender, (D) any replaced Lender shall be obligated to make such replacement in accordance with the provisions of Section 10.6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the Brazilian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Defaulting Lender</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62" w:lineRule="exact"/>
        <w:rPr>
          <w:sz w:val="20"/>
          <w:szCs w:val="20"/>
          <w:color w:val="auto"/>
        </w:rPr>
      </w:pPr>
    </w:p>
    <w:p>
      <w:pPr>
        <w:ind w:left="1160" w:hanging="239"/>
        <w:spacing w:after="0"/>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Facility Fees, if any, shall cease to accrue on the unfunded Commitment of such Defaulting Lender pursuant to Section 2.10;</w:t>
      </w:r>
    </w:p>
    <w:p>
      <w:pPr>
        <w:spacing w:after="0" w:line="225" w:lineRule="exact"/>
        <w:rPr>
          <w:rFonts w:ascii="Arial" w:cs="Arial" w:eastAsia="Arial" w:hAnsi="Arial"/>
          <w:sz w:val="18"/>
          <w:szCs w:val="18"/>
          <w:color w:val="auto"/>
        </w:rPr>
      </w:pPr>
    </w:p>
    <w:p>
      <w:pPr>
        <w:ind w:right="100" w:firstLine="921"/>
        <w:spacing w:after="0" w:line="284" w:lineRule="auto"/>
        <w:tabs>
          <w:tab w:leader="none" w:pos="1168"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or any Reimbursement Obligation owing to such Defaulting Lender, or</w:t>
      </w:r>
    </w:p>
    <w:p>
      <w:pPr>
        <w:spacing w:after="0" w:line="4" w:lineRule="exact"/>
        <w:rPr>
          <w:rFonts w:ascii="Arial" w:cs="Arial" w:eastAsia="Arial" w:hAnsi="Arial"/>
          <w:sz w:val="16"/>
          <w:szCs w:val="16"/>
          <w:color w:val="auto"/>
        </w:rPr>
      </w:pPr>
    </w:p>
    <w:p>
      <w:pPr>
        <w:ind w:right="140" w:firstLine="8"/>
        <w:spacing w:after="0" w:line="255" w:lineRule="auto"/>
        <w:tabs>
          <w:tab w:leader="none" w:pos="3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70" w:name="page71"/>
    <w:bookmarkEnd w:id="7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if any L/C Obligations exist at the time any L/C Tranche Lender becomes a Defaulting Lender then:</w:t>
      </w:r>
    </w:p>
    <w:p>
      <w:pPr>
        <w:spacing w:after="0" w:line="117" w:lineRule="exact"/>
        <w:rPr>
          <w:sz w:val="20"/>
          <w:szCs w:val="20"/>
          <w:color w:val="auto"/>
        </w:rPr>
      </w:pPr>
    </w:p>
    <w:p>
      <w:pPr>
        <w:ind w:right="220" w:firstLine="921"/>
        <w:spacing w:after="0" w:line="302" w:lineRule="auto"/>
        <w:tabs>
          <w:tab w:leader="none" w:pos="1128"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so long as no Event of Default shall have occurred and be continuing at such time, all or any part of the L/C Obligations of such Defaulting Lender shall be reallocated among the L/C Tranche Lenders that are not Defaulting Lenders in accordance with their L/C Tranche Percentages (calculated without regard to such Defaulting Lender) but only to the extent the sum of all non-Defaulting Lenders’ L/C Tranche Extensions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L/C Obligations does not exceed the total of all L/C Tranche Lenders that are not Defaulting Lenders’ L/C Tranche Commitments;</w:t>
      </w:r>
    </w:p>
    <w:p>
      <w:pPr>
        <w:spacing w:after="0" w:line="154" w:lineRule="exact"/>
        <w:rPr>
          <w:rFonts w:ascii="Arial" w:cs="Arial" w:eastAsia="Arial" w:hAnsi="Arial"/>
          <w:sz w:val="16"/>
          <w:szCs w:val="16"/>
          <w:color w:val="auto"/>
        </w:rPr>
      </w:pPr>
    </w:p>
    <w:p>
      <w:pPr>
        <w:ind w:right="220" w:firstLine="921"/>
        <w:spacing w:after="0" w:line="272" w:lineRule="auto"/>
        <w:tabs>
          <w:tab w:leader="none" w:pos="1178"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if any reallocation described in clause (i) above cannot, or can only partially, be effected, the Company or any applicable Subsidiary Borrower shall, at any time and from time to time following notice by the Administrative Agent, Collateralize for the benefit of each Issuing Lender that is not, itself, a Defaulting Lender, the Borrowers’ obligations corresponding to such Defaulting Lender’s L/C Obligations (after giving effect to any partial reallocation pursuant to clause (i) above) for so long as such L/C Obligations are outstanding or, if sooner, so long as such Defaulting Lender remains a Defaulting Lender (it being expressly understood and agreed that all accrued interest on such Collateralization shall be for the account of the Company or such applicable Subsidiary Borrower and shall be paid to the Company or such Subsidiary Borrower at any time and from time to time upon its request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no Event of Default shall have then occurred and be continuing);</w:t>
      </w:r>
    </w:p>
    <w:p>
      <w:pPr>
        <w:spacing w:after="0" w:line="177" w:lineRule="exact"/>
        <w:rPr>
          <w:rFonts w:ascii="Arial" w:cs="Arial" w:eastAsia="Arial" w:hAnsi="Arial"/>
          <w:sz w:val="17"/>
          <w:szCs w:val="17"/>
          <w:color w:val="auto"/>
        </w:rPr>
      </w:pPr>
    </w:p>
    <w:p>
      <w:pPr>
        <w:ind w:left="1240" w:hanging="319"/>
        <w:spacing w:after="0"/>
        <w:tabs>
          <w:tab w:leader="none" w:pos="1240" w:val="left"/>
        </w:tabs>
        <w:numPr>
          <w:ilvl w:val="1"/>
          <w:numId w:val="88"/>
        </w:numPr>
        <w:rPr>
          <w:rFonts w:ascii="Arial" w:cs="Arial" w:eastAsia="Arial" w:hAnsi="Arial"/>
          <w:sz w:val="17"/>
          <w:szCs w:val="17"/>
          <w:color w:val="auto"/>
        </w:rPr>
      </w:pPr>
      <w:r>
        <w:rPr>
          <w:rFonts w:ascii="Arial" w:cs="Arial" w:eastAsia="Arial" w:hAnsi="Arial"/>
          <w:sz w:val="17"/>
          <w:szCs w:val="17"/>
          <w:color w:val="auto"/>
        </w:rPr>
        <w:t>if the Company or any Subsidiary Borrower Collateralizes any portion of such Defaulting Lender’s L/C Obligations pursuant to clause</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above, neither the Company nor any relevant Subsidiary Borrower shall be required to pay any fees to such Defaulting Lender pursuant to Section 3.3</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with respect to such Defaulting Lender’s L/C Obligations during the period and to the extent such Defaulting Lender’s L/C Obligations are so Collateralized;</w:t>
      </w:r>
    </w:p>
    <w:p>
      <w:pPr>
        <w:spacing w:after="0" w:line="233" w:lineRule="exact"/>
        <w:rPr>
          <w:rFonts w:ascii="Arial" w:cs="Arial" w:eastAsia="Arial" w:hAnsi="Arial"/>
          <w:sz w:val="16"/>
          <w:szCs w:val="16"/>
          <w:color w:val="auto"/>
        </w:rPr>
      </w:pPr>
    </w:p>
    <w:p>
      <w:pPr>
        <w:ind w:right="60" w:firstLine="921"/>
        <w:spacing w:after="0" w:line="312" w:lineRule="auto"/>
        <w:tabs>
          <w:tab w:leader="none" w:pos="1218"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the L/C Obligations of the Defaulting Lenders are reallocated pursuant to clause (i) above, then the fees payable to the non-Defaulting Lenders pursuant to Section 2.10 and Section 3.3, as applicable, shall be adjusted in accordance with such non-Defaulting Lenders’ L/C Tranche Percentages of the L/C Tranche Commitments calculated without regard to such Defaulting Lender’s L/C Tranche Percentage of the L/C Tranche Commitments; and</w:t>
      </w:r>
    </w:p>
    <w:p>
      <w:pPr>
        <w:spacing w:after="0" w:line="146" w:lineRule="exact"/>
        <w:rPr>
          <w:rFonts w:ascii="Arial" w:cs="Arial" w:eastAsia="Arial" w:hAnsi="Arial"/>
          <w:sz w:val="16"/>
          <w:szCs w:val="16"/>
          <w:color w:val="auto"/>
        </w:rPr>
      </w:pPr>
    </w:p>
    <w:p>
      <w:pPr>
        <w:ind w:right="100" w:firstLine="921"/>
        <w:spacing w:after="0" w:line="279" w:lineRule="auto"/>
        <w:tabs>
          <w:tab w:leader="none" w:pos="1168" w:val="left"/>
        </w:tabs>
        <w:numPr>
          <w:ilvl w:val="1"/>
          <w:numId w:val="89"/>
        </w:numPr>
        <w:rPr>
          <w:rFonts w:ascii="Arial" w:cs="Arial" w:eastAsia="Arial" w:hAnsi="Arial"/>
          <w:sz w:val="17"/>
          <w:szCs w:val="17"/>
          <w:color w:val="auto"/>
        </w:rPr>
      </w:pPr>
      <w:r>
        <w:rPr>
          <w:rFonts w:ascii="Arial" w:cs="Arial" w:eastAsia="Arial" w:hAnsi="Arial"/>
          <w:sz w:val="17"/>
          <w:szCs w:val="17"/>
          <w:color w:val="auto"/>
        </w:rPr>
        <w:t>if all or any portion of such Defaulting Lender’s L/C Obligations is neither reallocated nor Collateralized pursuant to clause (i) or (ii) above, then, without prejudice to any rights or remedies of the Company or any relevant Subsidiary Borrower, the applicable Issuing Lender or any other L/C Tranche Lender hereunder, all fees payable pursuant to the L/C Fee Letter with respect to such Defaulting Lender’s L/C Obligations shall be payable to the applicable Issuing Lender until and to the extent that such L/C Obligations are so reallocated and/or Collateralized; and</w:t>
      </w:r>
    </w:p>
    <w:p>
      <w:pPr>
        <w:spacing w:after="0" w:line="171" w:lineRule="exact"/>
        <w:rPr>
          <w:sz w:val="20"/>
          <w:szCs w:val="20"/>
          <w:color w:val="auto"/>
        </w:rPr>
      </w:pPr>
    </w:p>
    <w:p>
      <w:pPr>
        <w:ind w:firstLine="921"/>
        <w:spacing w:after="0" w:line="276" w:lineRule="auto"/>
        <w:tabs>
          <w:tab w:leader="none" w:pos="1168"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 Issuing Lender shall be required to issue, renew, amend or increase any Letter of Credit, unless it is reasonably satisfied that the related exposure and such Defaulting Lender’s then outstanding L/C Obligations will be 100% covered by the L/C Tranche Commitments of the L/C Tranche Lenders that are not Defaulting Lenders and/or Collateralized by the Company or any applicable Subsidiary Borrower in accordance with this Section 2.25 and participating interests in any newly issued or increased Letter of Credit shall be allocated among the L/C Tranche Lenders that are not Defaulting Lenders in a manner consistent with this Section 2.25 (and such Defaulting Lender shall not participate therein).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74" w:right="279" w:bottom="1440" w:gutter="0" w:footer="0" w:header="0"/>
        </w:sectPr>
      </w:pPr>
    </w:p>
    <w:bookmarkStart w:id="71" w:name="page72"/>
    <w:bookmarkEnd w:id="71"/>
    <w:p>
      <w:pPr>
        <w:ind w:right="4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(i) either (x) a Lender Insolvency Event with respect to the parent company of any L/C Tranche Lender shall occur following the Closing Date or (y) the parent company of any L/C Tranche Lender shall become the subject of a Bail-In Action following the Closing Date and, in each case, for so long as such event shall continue or (ii) any L/C Tranche Lender has defaulted in fulfilling its obligations under one or more other agreements in which such L/C Tranche Lender commits to extend credit, no Issuing Lender shall be required to issue, amend or increase any Letter of Credit unless such Issuing Lender shall have entered into arrangements with the Company or such L/C Tranche Lender, satisfactory to such Issuing Lender, to defease any risk to it in respect of such L/C Tranche Lender hereunder.</w:t>
      </w:r>
    </w:p>
    <w:p>
      <w:pPr>
        <w:spacing w:after="0" w:line="193"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In the event that an L/C Tranche Lender becomes a Defaulting Lender, the Administrative Agent shall give notice to the Company and each affected Issuing Lender stating that such L/C Tranche Lender has become a Defaulting Lender. In the event that each of the Administrative Agent, the Company, each relevant Subsidiary Borrower and each affected Issuing Lender agrees that such Defaulting Lender has adequately remedied all matters that caused such Defaulting Lender to be a Defaulting Lender, then the L/C Obligations of the L/C Tranche Lenders shall be readjusted to reflect the inclusion of such Defaulting Lender’s L/C Tranche Commitments and, on such date, such L/C Tranche Lender shall purchase at par such of the Loans and/or participations in the L/C Obligations of the other L/C Tranche Lenders as the Administrative Agent shall determine may be necessary in order for such L/C Tranche Lender to hold such L/C Tranche Loans and participations in the L/C Obligations in accordance with its L/C Tranche Percentage of the L/C Tranche Commitments.</w:t>
      </w:r>
    </w:p>
    <w:p>
      <w:pPr>
        <w:spacing w:after="0" w:line="192"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Reallocation of Payments for the Account of Defaulting Lenders</w:t>
      </w:r>
      <w:r>
        <w:rPr>
          <w:rFonts w:ascii="Arial" w:cs="Arial" w:eastAsia="Arial" w:hAnsi="Arial"/>
          <w:sz w:val="16"/>
          <w:szCs w:val="16"/>
          <w:color w:val="auto"/>
        </w:rPr>
        <w:t xml:space="preserve">. Any payment of principal, interest, fees or other amounts received by the Administrative Agent or the Brazilian Administrative Agent, as applicable, for the account of any Defaulting Lender under any Facility (whether voluntary or mandatory, at or prior to maturity, or otherwise),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to the payment of any amounts owing by such Defaulting Lender to the Administrative Agent and the Brazilian Administrative Agent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amounts owed by such Defaulting Lender to the Administrative Agent and the Brazilian Administrative Agent);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in the case of the L/C Tranche Facility only, to the payment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of any amounts owing by such Defaulting Lender to each Issuing Lender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Issuing Lenders in accordance with the amounts owed by such Defaulting Lender to each Issuing Lender);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in the case of the L/C Tranche Facility only, if so determined by the Administrative Agent or requested by the Company or an Issuing Lender, to be held as cash collateral for future funding obligations of such Defaulting Lender of any participation in any Letter of Credit;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under such Facility and, in the case of the L/C Tranche Facility only, the Issuing Lenders, as a result of any judgment of a court of competent jurisdiction obtained by any Lender or any Issuing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72" w:name="page73"/>
    <w:bookmarkEnd w:id="72"/>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Lenders under such Facility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2.26 shall be deemed paid to and redirected by such Defaulting Lender, and each Lender under the applicable Facility irrevocably consents hereto.</w:t>
      </w:r>
    </w:p>
    <w:p>
      <w:pPr>
        <w:spacing w:after="0" w:line="18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u w:val="single" w:color="auto"/>
          <w:color w:val="auto"/>
        </w:rPr>
        <w:t>New Local Facilities</w:t>
      </w:r>
      <w:r>
        <w:rPr>
          <w:rFonts w:ascii="Arial" w:cs="Arial" w:eastAsia="Arial" w:hAnsi="Arial"/>
          <w:sz w:val="16"/>
          <w:szCs w:val="16"/>
          <w:color w:val="auto"/>
        </w:rPr>
        <w:t>.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in a jurisdiction outside of the United States pursuant to a newly established sub-facility or sub-facilities under any Facility or a separate revolving facility hereunder (each, a “</w:t>
      </w:r>
      <w:r>
        <w:rPr>
          <w:rFonts w:ascii="Arial" w:cs="Arial" w:eastAsia="Arial" w:hAnsi="Arial"/>
          <w:sz w:val="16"/>
          <w:szCs w:val="16"/>
          <w:u w:val="single" w:color="auto"/>
          <w:color w:val="auto"/>
        </w:rPr>
        <w:t>New Local Facility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both at the time of any such request and upon the effectiveness of any Local Facility Amendment referred to below, no Default or Event of Default shall have occurred and be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Lender shall be required to make Extensions of Credit in excess of its Commitment then in effect, and (ii) after giving effect to any such New Local Facility, the Total Brazilian Extensions of Credit shall not exceed the Total Brazilian Commitments then in effect, the Total Domestic Extensions of Credit shall not exceed the Total Domestic Commitments then in effect, the Total L/C Tranche Extensions of Credit shall not exceed the Total L/C Tranche Commitments then in effect, the Total Multicurrency Extensions of Credit shall not exceed the Total Multicurrency Commitments and the Extensions of Credit under any other Facility shall not exceed the Commitments then in effect under such Facility. Each New Local Facility shall be in a minimum Dollar Equivalent amount of $25 million. Each notice from the Company pursuant to this Section 2.27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w:t>
      </w:r>
      <w:r>
        <w:rPr>
          <w:rFonts w:ascii="Arial" w:cs="Arial" w:eastAsia="Arial" w:hAnsi="Arial"/>
          <w:sz w:val="16"/>
          <w:szCs w:val="16"/>
          <w:u w:val="single" w:color="auto"/>
          <w:color w:val="auto"/>
        </w:rPr>
        <w:t>New</w:t>
      </w:r>
      <w:r>
        <w:rPr>
          <w:rFonts w:ascii="Arial" w:cs="Arial" w:eastAsia="Arial" w:hAnsi="Arial"/>
          <w:sz w:val="16"/>
          <w:szCs w:val="16"/>
          <w:color w:val="auto"/>
        </w:rPr>
        <w:t xml:space="preserve"> </w:t>
      </w:r>
      <w:r>
        <w:rPr>
          <w:rFonts w:ascii="Arial" w:cs="Arial" w:eastAsia="Arial" w:hAnsi="Arial"/>
          <w:sz w:val="16"/>
          <w:szCs w:val="16"/>
          <w:u w:val="single" w:color="auto"/>
          <w:color w:val="auto"/>
        </w:rPr>
        <w:t>Local Facility Lender</w:t>
      </w:r>
      <w:r>
        <w:rPr>
          <w:rFonts w:ascii="Arial" w:cs="Arial" w:eastAsia="Arial" w:hAnsi="Arial"/>
          <w:sz w:val="16"/>
          <w:szCs w:val="16"/>
          <w:color w:val="auto"/>
        </w:rPr>
        <w:t>”) shall have such portion of their Commitment under such Facility designated to such New Local Facility on a pro rata basis in accordance with the aggregate Commitments of the other New Local Facility Lenders; provided, that no Lender may so reallocate its Commitments to a New Local Facility if such reallocation would result in amounts being payable by the Company or any Subsidiary Borrower under Section 2.20 or 2.21 unless such Lender changes its Applicable Lending Office to avoid such a result or the Company otherwise consents. The designation of Commitments to any New Local Facility shall be made pursuant to an amendment (each, a “</w:t>
      </w:r>
      <w:r>
        <w:rPr>
          <w:rFonts w:ascii="Arial" w:cs="Arial" w:eastAsia="Arial" w:hAnsi="Arial"/>
          <w:sz w:val="16"/>
          <w:szCs w:val="16"/>
          <w:u w:val="single" w:color="auto"/>
          <w:color w:val="auto"/>
        </w:rPr>
        <w:t>Local Facility Amendment</w:t>
      </w:r>
      <w:r>
        <w:rPr>
          <w:rFonts w:ascii="Arial" w:cs="Arial" w:eastAsia="Arial" w:hAnsi="Arial"/>
          <w:sz w:val="16"/>
          <w:szCs w:val="16"/>
          <w:color w:val="auto"/>
        </w:rPr>
        <w:t>”) to this Agreement and, as appropriate, the other Loan Documents, executed by the Loan Parties, the Administrative Agent and each New Local Facility Lender. Notwithstanding anything in this Section 2.27 to the contrary, no Lender shall be obligated to transfer any portion of its Commitments to a New Local Facility unless it so agrees.</w:t>
      </w:r>
    </w:p>
    <w:p>
      <w:pPr>
        <w:spacing w:after="0" w:line="168" w:lineRule="exact"/>
        <w:rPr>
          <w:sz w:val="20"/>
          <w:szCs w:val="20"/>
          <w:color w:val="auto"/>
        </w:rPr>
      </w:pPr>
    </w:p>
    <w:p>
      <w:pPr>
        <w:ind w:right="280" w:firstLine="921"/>
        <w:spacing w:after="0" w:line="259" w:lineRule="auto"/>
        <w:tabs>
          <w:tab w:leader="none" w:pos="1168"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2.27, a copy of which shall be made available to each Lender.</w:t>
      </w:r>
    </w:p>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Incremental Commitments/Facilities</w:t>
      </w:r>
      <w:r>
        <w:rPr>
          <w:rFonts w:ascii="Arial" w:cs="Arial" w:eastAsia="Arial" w:hAnsi="Arial"/>
          <w:sz w:val="18"/>
          <w:szCs w:val="18"/>
          <w:color w:val="auto"/>
        </w:rPr>
        <w:t>.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w:t>
      </w:r>
      <w:r>
        <w:rPr>
          <w:rFonts w:ascii="Arial" w:cs="Arial" w:eastAsia="Arial" w:hAnsi="Arial"/>
          <w:sz w:val="18"/>
          <w:szCs w:val="18"/>
          <w:u w:val="single" w:color="auto"/>
          <w:color w:val="auto"/>
        </w:rPr>
        <w:t>Commitment Increase</w:t>
      </w:r>
      <w:r>
        <w:rPr>
          <w:rFonts w:ascii="Arial" w:cs="Arial" w:eastAsia="Arial" w:hAnsi="Arial"/>
          <w:sz w:val="18"/>
          <w:szCs w:val="18"/>
          <w:color w:val="auto"/>
        </w:rPr>
        <w:t>”) or establishing an Incremental Facility by executing and delivering to the Administrative Agent an Incremental Loan Activation Notice signed by such Lenders or such additional lenders and specifying (i) the respective Incremental Commitments of such Incremental Lenders, (ii) the applicable Incremental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Facility Closing Date or Commitment Increase Date, and (iii) with respect to any Incremental Facility (A) the applicable Incremental Loan Maturity Date,</w:t>
      </w:r>
    </w:p>
    <w:p>
      <w:pPr>
        <w:spacing w:after="0" w:line="35" w:lineRule="exact"/>
        <w:rPr>
          <w:sz w:val="20"/>
          <w:szCs w:val="20"/>
          <w:color w:val="auto"/>
        </w:rPr>
      </w:pPr>
    </w:p>
    <w:p>
      <w:pPr>
        <w:ind w:right="40" w:firstLine="8"/>
        <w:spacing w:after="0" w:line="287" w:lineRule="auto"/>
        <w:tabs>
          <w:tab w:leader="none" w:pos="285"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the Currency or Currencies available under such Incremental Facility, (C) the borrower(s) thereunder (which may be the Company and/or any Subsidiary Borrowers), (D) 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and (y) the sum of the Total Commitments then in effect (including, for the avoidance of doubt, Incremental Commitments), the 5-Year Total Commitments then in effect (including, for the avoidance of doubt, any commitments under incremental facilities under the 5-Year Revolving Credit Agreement) and the aggregate amount of all Ancillary Commitments then in effect shall not exceed $18 billion.</w:t>
      </w:r>
    </w:p>
    <w:p>
      <w:pPr>
        <w:spacing w:after="0" w:line="166" w:lineRule="exact"/>
        <w:rPr>
          <w:rFonts w:ascii="Arial" w:cs="Arial" w:eastAsia="Arial" w:hAnsi="Arial"/>
          <w:sz w:val="16"/>
          <w:szCs w:val="16"/>
          <w:color w:val="auto"/>
        </w:rPr>
      </w:pPr>
    </w:p>
    <w:p>
      <w:pPr>
        <w:ind w:firstLine="921"/>
        <w:spacing w:after="0" w:line="273" w:lineRule="auto"/>
        <w:tabs>
          <w:tab w:leader="none" w:pos="1168" w:val="left"/>
        </w:tabs>
        <w:numPr>
          <w:ilvl w:val="1"/>
          <w:numId w:val="92"/>
        </w:numPr>
        <w:rPr>
          <w:rFonts w:ascii="Arial" w:cs="Arial" w:eastAsia="Arial" w:hAnsi="Arial"/>
          <w:sz w:val="17"/>
          <w:szCs w:val="17"/>
          <w:color w:val="auto"/>
        </w:rPr>
      </w:pPr>
      <w:r>
        <w:rPr>
          <w:rFonts w:ascii="Arial" w:cs="Arial" w:eastAsia="Arial" w:hAnsi="Arial"/>
          <w:sz w:val="17"/>
          <w:szCs w:val="17"/>
          <w:color w:val="auto"/>
        </w:rPr>
        <w:t>Each Incremental Lender that is a signatory to an Incremental Loan Activation Notice severally agrees, on the terms and conditions of this Agreement, to make revolving credit loans (each, an “</w:t>
      </w:r>
      <w:r>
        <w:rPr>
          <w:rFonts w:ascii="Arial" w:cs="Arial" w:eastAsia="Arial" w:hAnsi="Arial"/>
          <w:sz w:val="17"/>
          <w:szCs w:val="17"/>
          <w:u w:val="single" w:color="auto"/>
          <w:color w:val="auto"/>
        </w:rPr>
        <w:t>Incremental Loan</w:t>
      </w:r>
      <w:r>
        <w:rPr>
          <w:rFonts w:ascii="Arial" w:cs="Arial" w:eastAsia="Arial" w:hAnsi="Arial"/>
          <w:sz w:val="17"/>
          <w:szCs w:val="17"/>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2.28 shall be construed to obligate any Lender to execute an Incremental Loan Activation Notice.</w:t>
      </w:r>
    </w:p>
    <w:p>
      <w:pPr>
        <w:spacing w:after="0" w:line="178" w:lineRule="exact"/>
        <w:rPr>
          <w:rFonts w:ascii="Arial" w:cs="Arial" w:eastAsia="Arial" w:hAnsi="Arial"/>
          <w:sz w:val="17"/>
          <w:szCs w:val="17"/>
          <w:color w:val="auto"/>
        </w:rPr>
      </w:pPr>
    </w:p>
    <w:p>
      <w:pPr>
        <w:ind w:right="40" w:firstLine="921"/>
        <w:spacing w:after="0" w:line="271" w:lineRule="auto"/>
        <w:tabs>
          <w:tab w:leader="none" w:pos="1158" w:val="left"/>
        </w:tabs>
        <w:numPr>
          <w:ilvl w:val="1"/>
          <w:numId w:val="92"/>
        </w:numPr>
        <w:rPr>
          <w:rFonts w:ascii="Arial" w:cs="Arial" w:eastAsia="Arial" w:hAnsi="Arial"/>
          <w:sz w:val="17"/>
          <w:szCs w:val="17"/>
          <w:color w:val="auto"/>
        </w:rPr>
      </w:pPr>
      <w:r>
        <w:rPr>
          <w:rFonts w:ascii="Arial" w:cs="Arial" w:eastAsia="Arial" w:hAnsi="Arial"/>
          <w:sz w:val="17"/>
          <w:szCs w:val="17"/>
          <w:color w:val="auto"/>
        </w:rPr>
        <w:t>On any Commitment Increase Date with respect to any Facility, in the event any Loans under such Facility are then outstanding, (i) each relevant Incremental Lender shall make available to the Administrative Agent (or the Brazilian Administrative Agent in the case of the Brazilian Facility) such amounts in immediately available funds as the Administrative Agent (or the Brazilian Administrative Agent in the case of the Brazilian Facility)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as a result of such prepayment.</w:t>
      </w:r>
    </w:p>
    <w:p>
      <w:pPr>
        <w:spacing w:after="0" w:line="179"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u w:val="single" w:color="auto"/>
          <w:color w:val="auto"/>
        </w:rPr>
        <w:t>Termination Date Extension</w:t>
      </w:r>
      <w:r>
        <w:rPr>
          <w:rFonts w:ascii="Arial" w:cs="Arial" w:eastAsia="Arial" w:hAnsi="Arial"/>
          <w:sz w:val="16"/>
          <w:szCs w:val="16"/>
          <w:color w:val="auto"/>
        </w:rPr>
        <w:t>. (a) The Company may at any time and from time to time, by notice to the Administrative Agent and the Brazilian Administrative Agent, if applicable, propose an extension of the Termination Date, which proposal may include a proposal to change the Applicable Margins (including any provision of the Applicable Pricing Grid) for the Lenders as may be specified in such proposal. Upon receipt of any such proposal the Administrative Agent and the Brazilian Administrative Agent, if applicable, shall promptly notify each Lender thereof. Each Lender shall respond to such proposal in writing within 30 calendar days after the date of such proposal and any failure of a Lender to respond within such period shall be deemed to be a rejection of such proposal. If any Lender consents to such proposal (each such consenting Lender,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the Termination 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Section 2.29(b).</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74" w:name="page75"/>
    <w:bookmarkEnd w:id="74"/>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If any Lender does not consent to any extension request that becomes effective pursuant to Section 2.29(a) (each such Lender,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Non-Extending Lender</w:t>
      </w:r>
      <w:r>
        <w:rPr>
          <w:rFonts w:ascii="Arial" w:cs="Arial" w:eastAsia="Arial" w:hAnsi="Arial"/>
          <w:sz w:val="16"/>
          <w:szCs w:val="16"/>
          <w:color w:val="auto"/>
        </w:rPr>
        <w:t>”), then the Termination Date for such Non-Extending Lender shall remain unchanged from that applicable prior to the extension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Commitments of each Non-Extending Lender and the existing Applicable Margins shall, subject to the terms of Section 2.18, continue in full force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11" w:lineRule="exact"/>
        <w:rPr>
          <w:sz w:val="20"/>
          <w:szCs w:val="20"/>
          <w:color w:val="auto"/>
        </w:rPr>
      </w:pPr>
    </w:p>
    <w:p>
      <w:pPr>
        <w:jc w:val="both"/>
        <w:ind w:right="80" w:firstLine="921"/>
        <w:spacing w:after="0" w:line="279" w:lineRule="auto"/>
        <w:tabs>
          <w:tab w:leader="none" w:pos="1158" w:val="left"/>
        </w:tabs>
        <w:numPr>
          <w:ilvl w:val="0"/>
          <w:numId w:val="93"/>
        </w:numPr>
        <w:rPr>
          <w:rFonts w:ascii="Arial" w:cs="Arial" w:eastAsia="Arial" w:hAnsi="Arial"/>
          <w:sz w:val="17"/>
          <w:szCs w:val="17"/>
          <w:color w:val="auto"/>
        </w:rPr>
      </w:pPr>
      <w:r>
        <w:rPr>
          <w:rFonts w:ascii="Arial" w:cs="Arial" w:eastAsia="Arial" w:hAnsi="Arial"/>
          <w:sz w:val="17"/>
          <w:szCs w:val="17"/>
          <w:color w:val="auto"/>
        </w:rPr>
        <w:t>Notwithstanding the provisions of Section 10.1(a), the Company and the Administrative Agent and the Brazilian Administrative Agent, if applicable, (and the Extending Lenders) shall be entitled to enter into any amendments to this Agreement that the Administrative Agent and the Brazilian Administrative Agent, if applicable, believe are necessary or appropriate to reflect, or to provide for the integration of, any extension of the Termination Date or change in Applicable Margins pursuant to this Section 2.29 without the consent of any Non-Extending Lender.</w:t>
      </w:r>
    </w:p>
    <w:p>
      <w:pPr>
        <w:spacing w:after="0" w:line="17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u w:val="single" w:color="auto"/>
          <w:color w:val="auto"/>
        </w:rPr>
        <w:t>Ancillary Facilities</w:t>
      </w:r>
      <w:r>
        <w:rPr>
          <w:rFonts w:ascii="Arial" w:cs="Arial" w:eastAsia="Arial" w:hAnsi="Arial"/>
          <w:sz w:val="18"/>
          <w:szCs w:val="18"/>
          <w:color w:val="auto"/>
        </w:rPr>
        <w:t xml:space="preserve"> . (a) Subject to compliance with the requirements set forth in this Section 2.30, the Company may request from time to time (but in any event prior to the Termination Date for the applicable Multicurrency Lenders in respect of the Multicurrency Facility) and any Multicurrency Lender may agree (in its sole discretion) to establish an Ancillary Facility on a bilateral basis to be made available to any Loan Party or any Foreign Subsidiary (each such Loan Party or Foreign Subsidiary in such capacity, an “</w:t>
      </w:r>
      <w:r>
        <w:rPr>
          <w:rFonts w:ascii="Arial" w:cs="Arial" w:eastAsia="Arial" w:hAnsi="Arial"/>
          <w:sz w:val="18"/>
          <w:szCs w:val="18"/>
          <w:u w:val="single" w:color="auto"/>
          <w:color w:val="auto"/>
        </w:rPr>
        <w:t>Ancillary Borrower</w:t>
      </w:r>
      <w:r>
        <w:rPr>
          <w:rFonts w:ascii="Arial" w:cs="Arial" w:eastAsia="Arial" w:hAnsi="Arial"/>
          <w:sz w:val="18"/>
          <w:szCs w:val="18"/>
          <w:color w:val="auto"/>
        </w:rPr>
        <w:t>”) by conversion of such Lender’s unutilized Multicurrency Commitments (or part thereof) into an Ancillary Commitment (and a corresponding reduction of such Lender’s Multicurrency Commitments then in effect by an amount equal to such Ancillary Commitment).</w:t>
      </w:r>
    </w:p>
    <w:p>
      <w:pPr>
        <w:spacing w:after="0" w:line="193" w:lineRule="exact"/>
        <w:rPr>
          <w:sz w:val="20"/>
          <w:szCs w:val="20"/>
          <w:color w:val="auto"/>
        </w:rPr>
      </w:pPr>
    </w:p>
    <w:p>
      <w:pPr>
        <w:ind w:right="320" w:firstLine="921"/>
        <w:spacing w:after="0" w:line="264" w:lineRule="auto"/>
        <w:tabs>
          <w:tab w:leader="none" w:pos="116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request the creation of an Ancillary Facility, the Company and the applicable Ancillary Borrower(s) shall deliver to the Administrative Agent not later than 3 Business Days (or such shorter period agreed to by the Administrative Agent) prior to the Ancillary Commencement Date for such Ancillary Facility:</w:t>
      </w:r>
    </w:p>
    <w:p>
      <w:pPr>
        <w:spacing w:after="0" w:line="73" w:lineRule="exact"/>
        <w:rPr>
          <w:sz w:val="20"/>
          <w:szCs w:val="20"/>
          <w:color w:val="auto"/>
        </w:rPr>
      </w:pPr>
    </w:p>
    <w:p>
      <w:pPr>
        <w:ind w:left="1140" w:hanging="219"/>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notice in writing specifying:</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Ancillary Borrower(s) to which extensions of credit will be made available thereunder;</w:t>
      </w:r>
    </w:p>
    <w:p>
      <w:pPr>
        <w:spacing w:after="0" w:line="117" w:lineRule="exact"/>
        <w:rPr>
          <w:rFonts w:ascii="Arial" w:cs="Arial" w:eastAsia="Arial" w:hAnsi="Arial"/>
          <w:sz w:val="18"/>
          <w:szCs w:val="18"/>
          <w:color w:val="auto"/>
        </w:rPr>
      </w:pPr>
    </w:p>
    <w:p>
      <w:pPr>
        <w:ind w:left="920" w:right="600" w:firstLine="421"/>
        <w:spacing w:after="0" w:line="277" w:lineRule="auto"/>
        <w:tabs>
          <w:tab w:leader="none" w:pos="1625"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proposed Ancillary Commencement Date and the expiration date of such Ancillary Facility (which shall be no later than the Termination Date for the applicable Lenders under the Multicurrency Facility);</w:t>
      </w:r>
    </w:p>
    <w:p>
      <w:pPr>
        <w:spacing w:after="0" w:line="62" w:lineRule="exact"/>
        <w:rPr>
          <w:rFonts w:ascii="Arial" w:cs="Arial" w:eastAsia="Arial" w:hAnsi="Arial"/>
          <w:sz w:val="18"/>
          <w:szCs w:val="18"/>
          <w:color w:val="auto"/>
        </w:rPr>
      </w:pPr>
    </w:p>
    <w:p>
      <w:pPr>
        <w:ind w:left="920" w:right="660" w:firstLine="421"/>
        <w:spacing w:after="0" w:line="277" w:lineRule="auto"/>
        <w:tabs>
          <w:tab w:leader="none" w:pos="1625"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type of Ancillary Facility being provided (with such type being specified based on the applicable clause of the definition of “Ancillary Facility”);</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identity of the Ancillary Lender(s);</w:t>
      </w:r>
    </w:p>
    <w:p>
      <w:pPr>
        <w:spacing w:after="0" w:line="117" w:lineRule="exact"/>
        <w:rPr>
          <w:rFonts w:ascii="Arial" w:cs="Arial" w:eastAsia="Arial" w:hAnsi="Arial"/>
          <w:sz w:val="18"/>
          <w:szCs w:val="18"/>
          <w:color w:val="auto"/>
        </w:rPr>
      </w:pPr>
    </w:p>
    <w:p>
      <w:pPr>
        <w:ind w:left="920" w:firstLine="421"/>
        <w:spacing w:after="0" w:line="286" w:lineRule="auto"/>
        <w:tabs>
          <w:tab w:leader="none" w:pos="1615"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amount and currency of the proposed Ancillary Commitment with respect to such Ancillary Facility (the Dollar Equivalent of which on the Ancillary Commencement Date shall not exceed such Ancillary Lender’s Available Multicurrency Commitment (determined prior to giving effect to such Ancillary Commitment but after giving effect to any other Ancillary Commitments of such Lender));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75" w:name="page76"/>
    <w:bookmarkEnd w:id="75"/>
    <w:p>
      <w:pPr>
        <w:ind w:left="1100" w:hanging="259"/>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Ancillary Facility Document with respect to such Ancillary Facility; and</w:t>
      </w:r>
    </w:p>
    <w:p>
      <w:pPr>
        <w:spacing w:after="0" w:line="225" w:lineRule="exact"/>
        <w:rPr>
          <w:rFonts w:ascii="Arial" w:cs="Arial" w:eastAsia="Arial" w:hAnsi="Arial"/>
          <w:sz w:val="18"/>
          <w:szCs w:val="18"/>
          <w:color w:val="auto"/>
        </w:rPr>
      </w:pPr>
    </w:p>
    <w:p>
      <w:pPr>
        <w:ind w:left="1160" w:hanging="31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other information that the Administrative Agent may reasonably request in connection with such Ancillary Facility.</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Administrative Agent shall give notice to each Lender with Multicurrency Commitments of such Ancillary Facility notice.</w:t>
      </w:r>
    </w:p>
    <w:p>
      <w:pPr>
        <w:spacing w:after="0" w:line="225" w:lineRule="exact"/>
        <w:rPr>
          <w:sz w:val="20"/>
          <w:szCs w:val="20"/>
          <w:color w:val="auto"/>
        </w:rPr>
      </w:pPr>
    </w:p>
    <w:p>
      <w:pPr>
        <w:ind w:left="-80" w:right="140" w:firstLine="921"/>
        <w:spacing w:after="0" w:line="276" w:lineRule="auto"/>
        <w:tabs>
          <w:tab w:leader="none" w:pos="1078" w:val="left"/>
        </w:tabs>
        <w:numPr>
          <w:ilvl w:val="0"/>
          <w:numId w:val="97"/>
        </w:numPr>
        <w:rPr>
          <w:rFonts w:ascii="Arial" w:cs="Arial" w:eastAsia="Arial" w:hAnsi="Arial"/>
          <w:sz w:val="17"/>
          <w:szCs w:val="17"/>
          <w:color w:val="auto"/>
        </w:rPr>
      </w:pPr>
      <w:r>
        <w:rPr>
          <w:rFonts w:ascii="Arial" w:cs="Arial" w:eastAsia="Arial" w:hAnsi="Arial"/>
          <w:sz w:val="17"/>
          <w:szCs w:val="17"/>
          <w:color w:val="auto"/>
        </w:rPr>
        <w:t>(i) Subject to the terms of this Agreement, an affiliate of any Lender may become an Ancillary Lender, in which case such Lender and such affiliate shall be treated as a single Lender whose Multicurrency Commitments are as set forth in Schedule 1.1A or in the Assignment and Assumption pursuant to which such Lender assumed its applicable Multicurrency Commitment, as the same may be modified in accordance with the definition of “Multicurrency Commitment”; it being understood that the relevant Lender’s Multicurrency Commitment will be reduced by the amount of the Ancillary Commitment of such Lender or such affiliate for so long as such Ancillary Commitments remain outstanding.</w:t>
      </w:r>
    </w:p>
    <w:p>
      <w:pPr>
        <w:spacing w:after="0" w:line="173" w:lineRule="exact"/>
        <w:rPr>
          <w:sz w:val="20"/>
          <w:szCs w:val="20"/>
          <w:color w:val="auto"/>
        </w:rPr>
      </w:pPr>
    </w:p>
    <w:p>
      <w:pPr>
        <w:ind w:left="-80" w:right="20" w:firstLine="921"/>
        <w:spacing w:after="0" w:line="264" w:lineRule="auto"/>
        <w:tabs>
          <w:tab w:leader="none" w:pos="109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the extent that this Agreement or any other Loan Document imposes any obligation on any Ancillary Lender and such Ancillary Lender is an affiliate of a Lender and not a party hereto or thereto, the relevant Lender shall ensure that such obligation is performed by such affiliate in compliance with the terms hereof or such other Loan Document.</w:t>
      </w:r>
    </w:p>
    <w:p>
      <w:pPr>
        <w:spacing w:after="0" w:line="181" w:lineRule="exact"/>
        <w:rPr>
          <w:rFonts w:ascii="Arial" w:cs="Arial" w:eastAsia="Arial" w:hAnsi="Arial"/>
          <w:sz w:val="18"/>
          <w:szCs w:val="18"/>
          <w:color w:val="auto"/>
        </w:rPr>
      </w:pPr>
    </w:p>
    <w:p>
      <w:pPr>
        <w:ind w:left="1160" w:hanging="319"/>
        <w:spacing w:after="0"/>
        <w:tabs>
          <w:tab w:leader="none" w:pos="11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Ancillary Lender, in its capacity as such, hereby appoints the Administrative Agent as its agent for purposes of the Loan Documents.</w:t>
      </w:r>
    </w:p>
    <w:p>
      <w:pPr>
        <w:spacing w:after="0" w:line="248" w:lineRule="exact"/>
        <w:rPr>
          <w:sz w:val="20"/>
          <w:szCs w:val="20"/>
          <w:color w:val="auto"/>
        </w:rPr>
      </w:pPr>
    </w:p>
    <w:p>
      <w:pPr>
        <w:ind w:left="-80" w:firstLine="921"/>
        <w:spacing w:after="0" w:line="267" w:lineRule="auto"/>
        <w:tabs>
          <w:tab w:leader="none" w:pos="1088"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(i) Each Ancillary Facility shall contain terms and conditions acceptable to the applicable Ancillary Lender(s) and the applicable Ancillary Borrower(s)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that such terms shall, in the reasonable business judgment of the Company, be based upon normal commercial terms at the time of the creation of such Ancillary Facility pursuant to paragraph (b) of this Section 2.30 and such terms shall at all times (A) permit extensions of credit thereunder to be made only to the applicable Ancillary Borrower(s); (B) provide that the Ancillary Commitment of any Ancillary Lender under such Ancillary Facility shall not exceed such Ancillary Lender’s Available Multicurrency Commitment as of the Ancillary Commencement Date (determined without giving effect to any reduction pursuant to the definition thereof by the amount of such Ancillary Lender’s Ancillary Commitment in relation to such Ancillary Facility) and that, in the event and on such occasion that such Ancillary Commitment exceeds such Available Multicurrency Commitment (determined as of the Ancillary Commencement Date and without giving effect to any reduction pursuant to the definition thereof by the amount of such Ancillary Lender’s Ancillary Commitment in relation to such Ancillary Facility but after giving effect to any other Ancillary Commitments of such Lender), such Ancillary Commitment shall be automatically reduced by the amount of such excess; (C) provide that the Ancillary Facility Outstandings shall not exceed the Ancillary Commitment with respect to such Ancillary Facility, (D) provide that the Ancillary Commitment under such Ancillary Facility be canceled, and that all Ancillary Facility Outstandings under such Ancillary Facility be repaid, not later than the Termination Date for the applicable Ancillary Lenders under the Multicurrency Facility (or such earlier date as the Multicurrency Commitment of the relevant Ancillary Lender (or its affiliate) is reduced to zero) unless cash collateralized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and, in each case, the Administrative Agent is reasonably satisfied that (x) such Ancillary Facility shall continue on a bilateral basis and the Lenders other than such Ancillary Lender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60"/>
          </w:cols>
          <w:pgMar w:left="320" w:top="274" w:right="319" w:bottom="1440" w:gutter="0" w:footer="0" w:header="0"/>
        </w:sectPr>
      </w:pPr>
    </w:p>
    <w:bookmarkStart w:id="76" w:name="page77"/>
    <w:bookmarkEnd w:id="76"/>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no obligations with respect to such Ancillary Facility or the relevant Ancillary Facility Outstandings, (y) the Ancillary Facility Outstandings in respect of such Ancillary Facility shall not constitute “Guaranteed Obligations” (as defined in the Guarantee) and (z) the Administrative Agent shall have no further obligations with respect to such Ancillary Facility or the related Ancillary Facility Outstandings; and (E) provide that the conditions set forth in Section 5.2 shall be conditions to each extension of credit under such Ancillary Facility (in each case to the extent applicable).</w:t>
      </w:r>
    </w:p>
    <w:p>
      <w:pPr>
        <w:spacing w:after="0" w:line="171" w:lineRule="exact"/>
        <w:rPr>
          <w:sz w:val="20"/>
          <w:szCs w:val="20"/>
          <w:color w:val="auto"/>
        </w:rPr>
      </w:pPr>
    </w:p>
    <w:p>
      <w:pPr>
        <w:ind w:right="60" w:firstLine="921"/>
        <w:spacing w:after="0" w:line="257" w:lineRule="auto"/>
        <w:tabs>
          <w:tab w:leader="none" w:pos="117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 the relevant Ancillary Commencement Date after giving effect to the reduction of the Multicurrency Commitment of each Ancillary Lender, each Multicurrency Lender will participate in the outstanding Multicurrency Loans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w:t>
      </w:r>
    </w:p>
    <w:p>
      <w:pPr>
        <w:spacing w:after="0" w:line="188" w:lineRule="exact"/>
        <w:rPr>
          <w:sz w:val="20"/>
          <w:szCs w:val="20"/>
          <w:color w:val="auto"/>
        </w:rPr>
      </w:pPr>
    </w:p>
    <w:p>
      <w:pPr>
        <w:ind w:right="140" w:firstLine="921"/>
        <w:spacing w:after="0" w:line="276" w:lineRule="auto"/>
        <w:tabs>
          <w:tab w:leader="none" w:pos="115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 An Ancillary Facility shall terminate on the Termination Date for the applicable Ancillary Lender(s) under the Multicurrency Facility (or later if cash collateral arrangements are made or other arrangements are made to the reasonable satisfaction of the applicable Ancillary Lender (which may take the form of an agreement for the relevant facilities to continue on a bilateral basis and not under the Loan Documents from the Termination Date of the Ancillary Lender under the Multicurrency Facility)) or such earlier date (A) as provided in the relevant Ancillary Facility Document or (B) on which its expiry date occurs or on which it is cancelled in accordance with the terms of this Agreement.</w:t>
      </w:r>
    </w:p>
    <w:p>
      <w:pPr>
        <w:spacing w:after="0" w:line="173" w:lineRule="exact"/>
        <w:rPr>
          <w:sz w:val="20"/>
          <w:szCs w:val="20"/>
          <w:color w:val="auto"/>
        </w:rPr>
      </w:pPr>
    </w:p>
    <w:p>
      <w:pPr>
        <w:ind w:firstLine="921"/>
        <w:spacing w:after="0" w:line="264" w:lineRule="auto"/>
        <w:tabs>
          <w:tab w:leader="none" w:pos="11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an Ancillary Facility expires or is otherwise cancelled in accordance with its terms, the Ancillary Commitment of the Ancillary Lender(s) shall be reduced to zero and the Multicurrency Commitment of those Ancillary Lender(s) (or their respective affiliates) then in effect shall be increased by the amount of such Lender’s expired Ancillary Commitment.</w:t>
      </w:r>
    </w:p>
    <w:p>
      <w:pPr>
        <w:spacing w:after="0" w:line="181" w:lineRule="exact"/>
        <w:rPr>
          <w:rFonts w:ascii="Arial" w:cs="Arial" w:eastAsia="Arial" w:hAnsi="Arial"/>
          <w:sz w:val="18"/>
          <w:szCs w:val="18"/>
          <w:color w:val="auto"/>
        </w:rPr>
      </w:pPr>
    </w:p>
    <w:p>
      <w:pPr>
        <w:ind w:right="80" w:firstLine="921"/>
        <w:spacing w:after="0" w:line="342" w:lineRule="auto"/>
        <w:tabs>
          <w:tab w:leader="none" w:pos="122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 Ancillary Lender may demand repayment or prepayment of, or cash collateralization of, any Ancillary Facility Outstandings prior to the expiry date of the relevant Ancillary Facility unless it gives the Company and the relevant Ancillary Borrower(s) not less than 3 Business Days’ notice and:</w:t>
      </w:r>
    </w:p>
    <w:p>
      <w:pPr>
        <w:spacing w:after="0" w:line="15" w:lineRule="exact"/>
        <w:rPr>
          <w:rFonts w:ascii="Arial" w:cs="Arial" w:eastAsia="Arial" w:hAnsi="Arial"/>
          <w:sz w:val="16"/>
          <w:szCs w:val="16"/>
          <w:color w:val="auto"/>
        </w:rPr>
      </w:pPr>
    </w:p>
    <w:p>
      <w:pPr>
        <w:ind w:left="1640" w:hanging="299"/>
        <w:spacing w:after="0"/>
        <w:tabs>
          <w:tab w:leader="none" w:pos="16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Termination Date for the applicable Lender(s) under the Multicurrency Facility has occurred;</w:t>
      </w:r>
    </w:p>
    <w:p>
      <w:pPr>
        <w:spacing w:after="0" w:line="117" w:lineRule="exact"/>
        <w:rPr>
          <w:rFonts w:ascii="Arial" w:cs="Arial" w:eastAsia="Arial" w:hAnsi="Arial"/>
          <w:sz w:val="18"/>
          <w:szCs w:val="18"/>
          <w:color w:val="auto"/>
        </w:rPr>
      </w:pPr>
    </w:p>
    <w:p>
      <w:pPr>
        <w:ind w:left="920" w:right="200" w:firstLine="421"/>
        <w:spacing w:after="0" w:line="264" w:lineRule="auto"/>
        <w:tabs>
          <w:tab w:leader="none" w:pos="162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Required Lenders have accelerated the Multicurrency Loans and terminated the Multicurrency Commitments and demanded repayment of, or otherwise accelerated, the Indebtedness or other obligations thereunder (or such Multicurrency Commitments have otherwise been terminated in full);</w:t>
      </w:r>
    </w:p>
    <w:p>
      <w:pPr>
        <w:spacing w:after="0" w:line="73" w:lineRule="exact"/>
        <w:rPr>
          <w:rFonts w:ascii="Arial" w:cs="Arial" w:eastAsia="Arial" w:hAnsi="Arial"/>
          <w:sz w:val="18"/>
          <w:szCs w:val="18"/>
          <w:color w:val="auto"/>
        </w:rPr>
      </w:pPr>
    </w:p>
    <w:p>
      <w:pPr>
        <w:ind w:left="1620" w:hanging="279"/>
        <w:spacing w:after="0"/>
        <w:tabs>
          <w:tab w:leader="none" w:pos="16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expiration date of such Ancillary Facility has occurred;</w:t>
      </w:r>
    </w:p>
    <w:p>
      <w:pPr>
        <w:spacing w:after="0" w:line="117" w:lineRule="exact"/>
        <w:rPr>
          <w:rFonts w:ascii="Arial" w:cs="Arial" w:eastAsia="Arial" w:hAnsi="Arial"/>
          <w:sz w:val="18"/>
          <w:szCs w:val="18"/>
          <w:color w:val="auto"/>
        </w:rPr>
      </w:pPr>
    </w:p>
    <w:p>
      <w:pPr>
        <w:ind w:left="920" w:right="60" w:firstLine="421"/>
        <w:spacing w:after="0" w:line="264" w:lineRule="auto"/>
        <w:tabs>
          <w:tab w:leader="none" w:pos="163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it becomes unlawful in any applicable jurisdiction for the Ancillary Lender(s) to perform any of their obligations as contemplated by this Agreement or to fund, issue or maintain their participation in the Ancillary Facility (or it becomes unlawful for the applicable affiliate of the Ancillary Lender(s) to do so); or</w:t>
      </w:r>
    </w:p>
    <w:p>
      <w:pPr>
        <w:spacing w:after="0" w:line="73" w:lineRule="exact"/>
        <w:rPr>
          <w:rFonts w:ascii="Arial" w:cs="Arial" w:eastAsia="Arial" w:hAnsi="Arial"/>
          <w:sz w:val="18"/>
          <w:szCs w:val="18"/>
          <w:color w:val="auto"/>
        </w:rPr>
      </w:pPr>
    </w:p>
    <w:p>
      <w:pPr>
        <w:jc w:val="both"/>
        <w:ind w:left="920" w:firstLine="421"/>
        <w:spacing w:after="0" w:line="342" w:lineRule="auto"/>
        <w:tabs>
          <w:tab w:leader="none" w:pos="161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Ancillary Facility Outstandings, if any, under such Ancillary Facility may be refinanced by a Loan under the Multicurrency Facility and the relevant Ancillary Lender(s) provide sufficient notice to permit the refinancing of such Ancillary Facility Outstandings with such a Loan.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74" w:right="279" w:bottom="1440" w:gutter="0" w:footer="0" w:header="0"/>
        </w:sectPr>
      </w:pPr>
    </w:p>
    <w:bookmarkStart w:id="77" w:name="page78"/>
    <w:bookmarkEnd w:id="77"/>
    <w:p>
      <w:pPr>
        <w:ind w:left="1140" w:hanging="219"/>
        <w:spacing w:after="0"/>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of repaying any Ancillary Facility Outstandings pursuant to paragraph (e)(iii)(E) of this Section 2.30:</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Multicurrency Commitment of such Ancillary Lender will be increased by the amount of its Ancillary Commitment so terminated;</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920" w:right="280" w:firstLine="421"/>
        <w:spacing w:after="0" w:line="277" w:lineRule="auto"/>
        <w:tabs>
          <w:tab w:leader="none" w:pos="162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 Loan may be borrowed irrespective of whether a Default is outstanding or any other applicable condition precedent is not satisfied (but only to the extent that the proceeds are applied to refinance those Ancillary Facility Outstandings)</w:t>
      </w:r>
      <w:r>
        <w:rPr>
          <w:rFonts w:ascii="Arial" w:cs="Arial" w:eastAsia="Arial" w:hAnsi="Arial"/>
          <w:sz w:val="18"/>
          <w:szCs w:val="18"/>
          <w:b w:val="1"/>
          <w:bCs w:val="1"/>
          <w:color w:val="auto"/>
        </w:rPr>
        <w:t>.</w:t>
      </w:r>
    </w:p>
    <w:p>
      <w:pPr>
        <w:spacing w:after="0" w:line="1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(g) On the making of such a Loan to refinance Ancillary Facility Outstandings:</w:t>
      </w:r>
    </w:p>
    <w:p>
      <w:pPr>
        <w:spacing w:after="0" w:line="117" w:lineRule="exact"/>
        <w:rPr>
          <w:sz w:val="20"/>
          <w:szCs w:val="20"/>
          <w:color w:val="auto"/>
        </w:rPr>
      </w:pPr>
    </w:p>
    <w:p>
      <w:pPr>
        <w:ind w:left="920" w:firstLine="421"/>
        <w:spacing w:after="0" w:line="259" w:lineRule="auto"/>
        <w:tabs>
          <w:tab w:leader="none" w:pos="163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each Multicurrency Lender will participate in that Loan in an amount (as determined by the Administrative Agent) which will result as nearly as possible in the aggregate amount of its participation in the Multicurrency Loans then outstanding bearing the same proportion to the aggregate amount of the Multicurrency Loans then outstanding as its Multicurrency Commitment bears to the aggregate amount of Multicurrency Commitments; and</w:t>
      </w:r>
    </w:p>
    <w:p>
      <w:pPr>
        <w:spacing w:after="0" w:line="78" w:lineRule="exact"/>
        <w:rPr>
          <w:rFonts w:ascii="Arial" w:cs="Arial" w:eastAsia="Arial" w:hAnsi="Arial"/>
          <w:sz w:val="18"/>
          <w:szCs w:val="18"/>
          <w:color w:val="auto"/>
        </w:rPr>
      </w:pPr>
    </w:p>
    <w:p>
      <w:pPr>
        <w:ind w:left="1620" w:hanging="279"/>
        <w:spacing w:after="0"/>
        <w:tabs>
          <w:tab w:leader="none" w:pos="16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relevant Ancillary Facility shall be cancelled.</w:t>
      </w:r>
    </w:p>
    <w:p>
      <w:pPr>
        <w:spacing w:after="0" w:line="225" w:lineRule="exact"/>
        <w:rPr>
          <w:rFonts w:ascii="Arial" w:cs="Arial" w:eastAsia="Arial" w:hAnsi="Arial"/>
          <w:sz w:val="18"/>
          <w:szCs w:val="18"/>
          <w:color w:val="auto"/>
        </w:rPr>
      </w:pPr>
    </w:p>
    <w:p>
      <w:pPr>
        <w:ind w:right="280" w:firstLine="921"/>
        <w:spacing w:after="0" w:line="259" w:lineRule="auto"/>
        <w:tabs>
          <w:tab w:leader="none" w:pos="116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and each Ancillary Borrower to which an Ancillary Facility has been made available and each Ancillary Lender shall, upon request by the Administrative Agent, promptly supply the Administrative Agent with any information relating to the operation of such Ancillary Facility (including the Ancillary Facility Outstandings) as the Administrative Agent may reasonably request from time to time. The Company and each Ancillary Borrower consent to all such information being released to the Administrative Agent and the Lenders.</w:t>
      </w:r>
    </w:p>
    <w:p>
      <w:pPr>
        <w:spacing w:after="0" w:line="186" w:lineRule="exact"/>
        <w:rPr>
          <w:rFonts w:ascii="Arial" w:cs="Arial" w:eastAsia="Arial" w:hAnsi="Arial"/>
          <w:sz w:val="18"/>
          <w:szCs w:val="18"/>
          <w:color w:val="auto"/>
        </w:rPr>
      </w:pPr>
    </w:p>
    <w:p>
      <w:pPr>
        <w:ind w:right="60" w:firstLine="921"/>
        <w:spacing w:after="0" w:line="277" w:lineRule="auto"/>
        <w:tabs>
          <w:tab w:leader="none" w:pos="11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and each Ancillary Borrower acknowledge and consent that Sections 2.18, 2.20, 2.21 and 2.22 of this Agreement shall apply to each Ancillary Facility (unless expressly waived by the relevant Ancillary Lender in its sole discretion).</w:t>
      </w:r>
    </w:p>
    <w:p>
      <w:pPr>
        <w:spacing w:after="0" w:line="170" w:lineRule="exact"/>
        <w:rPr>
          <w:rFonts w:ascii="Arial" w:cs="Arial" w:eastAsia="Arial" w:hAnsi="Arial"/>
          <w:sz w:val="18"/>
          <w:szCs w:val="18"/>
          <w:color w:val="auto"/>
        </w:rPr>
      </w:pPr>
    </w:p>
    <w:p>
      <w:pPr>
        <w:ind w:right="140" w:firstLine="921"/>
        <w:spacing w:after="0" w:line="264" w:lineRule="auto"/>
        <w:tabs>
          <w:tab w:leader="none" w:pos="11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the extent that this Agreement or any other Loan Document imposes any obligation on any Ancillary Borrower and such Ancillary Borrower is an affiliate of a Borrower and not a party hereto or thereto, the relevant Borrower shall ensure that such obligation is performed by such affiliate in compliance with the terms hereof or such other Loan Document.</w:t>
      </w:r>
    </w:p>
    <w:p>
      <w:pPr>
        <w:spacing w:after="0" w:line="181" w:lineRule="exact"/>
        <w:rPr>
          <w:rFonts w:ascii="Arial" w:cs="Arial" w:eastAsia="Arial" w:hAnsi="Arial"/>
          <w:sz w:val="18"/>
          <w:szCs w:val="18"/>
          <w:color w:val="auto"/>
        </w:rPr>
      </w:pPr>
    </w:p>
    <w:p>
      <w:pPr>
        <w:ind w:right="40" w:firstLine="921"/>
        <w:spacing w:after="0" w:line="273" w:lineRule="auto"/>
        <w:tabs>
          <w:tab w:leader="none" w:pos="116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the event of any conflict between the terms of an Ancillary Facility Document and any Loan Document, the terms of such Loan Document shall govern except for (i) the first sentence of Section 2.17(a) for the purposes of calculating fees, interest or commission relating to the relevant Ancillary Facility, (ii) any Ancillary Facility comprising more than one account where the terms of the Ancillary Facility Documents shall prevail to the extent required to permit the netting of balances in respect of such accounts and (iii) where the relevant term of this Agreement would be contrary to, or inconsistent with, the law governing the relevant Ancillary Facility Document, in which case the relevant term of this Agreement shall be superseded by the terms of the such Ancillary Facility Document solely to the extent necessary to eliminate the subject conflict or inconsistency.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78" w:name="page79"/>
    <w:bookmarkEnd w:id="78"/>
    <w:p>
      <w:pPr>
        <w:ind w:right="220" w:firstLine="921"/>
        <w:spacing w:after="0" w:line="264" w:lineRule="auto"/>
        <w:tabs>
          <w:tab w:leader="none" w:pos="11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amendment or waiver of a term of any Ancillary Facility Document shall require the consent of any Lender other than the relevant Ancillary Lender unless such amendment or waiver itself relates to or gives rise to a matter which would require an amendment of or under this Agreement (including, for the avoidance of doubt, this Section 2.30), in which case Section 10.1 shall apply.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 LETTERS OF CREDIT</w:t>
      </w:r>
    </w:p>
    <w:p>
      <w:pPr>
        <w:spacing w:after="0" w:line="225"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L/C Commitment</w:t>
      </w:r>
      <w:r>
        <w:rPr>
          <w:rFonts w:ascii="Arial" w:cs="Arial" w:eastAsia="Arial" w:hAnsi="Arial"/>
          <w:sz w:val="16"/>
          <w:szCs w:val="16"/>
          <w:color w:val="auto"/>
        </w:rPr>
        <w:t>. (a) Subject to the terms and conditions hereof, each Issuing Lender, in reliance on the agreements of the L/C Tranche Lenders set forth in Section 3.4(a), agrees to issue (or cause its Applicable Lending Office to issue) letters of credit and bank guarantees (each a “</w:t>
      </w:r>
      <w:r>
        <w:rPr>
          <w:rFonts w:ascii="Arial" w:cs="Arial" w:eastAsia="Arial" w:hAnsi="Arial"/>
          <w:sz w:val="16"/>
          <w:szCs w:val="16"/>
          <w:u w:val="single" w:color="auto"/>
          <w:color w:val="auto"/>
        </w:rPr>
        <w:t>Letter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Credit</w:t>
      </w:r>
      <w:r>
        <w:rPr>
          <w:rFonts w:ascii="Arial" w:cs="Arial" w:eastAsia="Arial" w:hAnsi="Arial"/>
          <w:sz w:val="16"/>
          <w:szCs w:val="16"/>
          <w:color w:val="auto"/>
        </w:rPr>
        <w:t>”) under the L/C Tranche Facility for the account of a Loan Party or a Subsidiary of a Loan Party (the “</w:t>
      </w:r>
      <w:r>
        <w:rPr>
          <w:rFonts w:ascii="Arial" w:cs="Arial" w:eastAsia="Arial" w:hAnsi="Arial"/>
          <w:sz w:val="16"/>
          <w:szCs w:val="16"/>
          <w:u w:val="single" w:color="auto"/>
          <w:color w:val="auto"/>
        </w:rPr>
        <w:t>Applicable Account Party</w:t>
      </w:r>
      <w:r>
        <w:rPr>
          <w:rFonts w:ascii="Arial" w:cs="Arial" w:eastAsia="Arial" w:hAnsi="Arial"/>
          <w:sz w:val="16"/>
          <w:szCs w:val="16"/>
          <w:color w:val="auto"/>
        </w:rPr>
        <w:t xml:space="preserve">”) on any Business Day during the Commitment Period of such Issuing Lender in such form as may be reasonable and customary for the purpose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(i) no Applicable Account Party shall request, and no Issuing Lender shall be required to issue (or cause its Applicable Lending Office to issue), any Letter of Credit if, after giving effect to such issuance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(or any Applicable Lending Office thereof) would exceed such Issuing Lender’s L/C Issuing Commitment then in effect, (B) the Total L/C Tranche Extensions of Credit would exceed the Total L/C Tranche Commitment then in effect or</w:t>
      </w:r>
    </w:p>
    <w:p>
      <w:pPr>
        <w:spacing w:after="0" w:line="7" w:lineRule="exact"/>
        <w:rPr>
          <w:sz w:val="20"/>
          <w:szCs w:val="20"/>
          <w:color w:val="auto"/>
        </w:rPr>
      </w:pPr>
    </w:p>
    <w:p>
      <w:pPr>
        <w:ind w:right="40" w:firstLine="8"/>
        <w:spacing w:after="0" w:line="281" w:lineRule="auto"/>
        <w:tabs>
          <w:tab w:leader="none" w:pos="28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the sum of (x) 105% of the Dollar Equivalent of Letters of Credit denominated in Optional Currencies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then Outstanding Amount of the Total L/C Tranche Extensions of Credit other than Letters of Credit denominated in Optional Currencies would exceed the Total L/C Tranche Commitments then in effect and (ii) the Company shall be jointly and severally liable with respect to each Letter of Credit issued for the account of an Applicable Account Party (other than the Company). Each Letter of Credit shall (x) be denominated in Dollars or any Optional Currency and (y) expire no later than the earlier of</w:t>
      </w:r>
    </w:p>
    <w:p>
      <w:pPr>
        <w:spacing w:after="0" w:line="2" w:lineRule="exact"/>
        <w:rPr>
          <w:rFonts w:ascii="Arial" w:cs="Arial" w:eastAsia="Arial" w:hAnsi="Arial"/>
          <w:sz w:val="16"/>
          <w:szCs w:val="16"/>
          <w:color w:val="auto"/>
        </w:rPr>
      </w:pPr>
    </w:p>
    <w:p>
      <w:pPr>
        <w:ind w:right="20" w:firstLine="8"/>
        <w:spacing w:after="0" w:line="267" w:lineRule="auto"/>
        <w:tabs>
          <w:tab w:leader="none" w:pos="29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the date that is one year after the date of issuance of such Letter of Credit and (B) five Business Days prior to the Termination Date of such Issuing Lender then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Letter of Credit with a one-year or shorter tenor may (1) provide for the subsequent or successive renewal or automatic renewal thereof for additional one-year or shorter periods (which shall in no event extend beyond the date referred to in foregoing clause (B), unless and to the extent that such Letter of Credit is Collateralized for the period following such date at 100% of the undrawn and unexpired amount of such Letter of Credit if requested by the relevant Issuing Lender) or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upon request of the Company and with the consent of the relevant Issuing Lender, a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182" w:lineRule="exact"/>
        <w:rPr>
          <w:rFonts w:ascii="Arial" w:cs="Arial" w:eastAsia="Arial" w:hAnsi="Arial"/>
          <w:sz w:val="17"/>
          <w:szCs w:val="17"/>
          <w:color w:val="auto"/>
        </w:rPr>
      </w:pPr>
    </w:p>
    <w:p>
      <w:pPr>
        <w:ind w:right="220" w:firstLine="921"/>
        <w:spacing w:after="0" w:line="264" w:lineRule="auto"/>
        <w:tabs>
          <w:tab w:leader="none" w:pos="116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No Issuing Lender shall at any time be obligated to issue (or cause its Applicable Lending Office to issue) any Letter of Credit if such issuance would conflict with, or cause such Issuing Lender (or any Applicable Lending Office thereof) or any L/C Participant to exceed any limits imposed by, any applicable Requirement of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79" w:name="page80"/>
    <w:bookmarkEnd w:id="79"/>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6"/>
          <w:szCs w:val="16"/>
          <w:u w:val="single" w:color="auto"/>
          <w:color w:val="auto"/>
        </w:rPr>
        <w:t>Procedure for Issuance of Letters of Credit</w:t>
      </w:r>
      <w:r>
        <w:rPr>
          <w:rFonts w:ascii="Arial" w:cs="Arial" w:eastAsia="Arial" w:hAnsi="Arial"/>
          <w:sz w:val="16"/>
          <w:szCs w:val="16"/>
          <w:color w:val="auto"/>
        </w:rPr>
        <w:t>. (a) Any Applicable Account Party, with (in the case of any such Applicable Account Party other than the Company) the written consent of the Company (substantially in the form of Exhibit M hereto or as the Company may otherwise specify from time to time), may from time to time request that any Issuing Lender issue (or cause its Applicable Lending Office to issue) a Letter of Credit by delivering to such Issuing Lender at its address for notices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(or cause its Applicable Lending Office to issue) the Letter of Credit requested thereby (but in no event shall any Issuing Lender be required to issue (or cause its Applicable Lending Office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relevant Issuing Lender and the Applicable Account Party. The relevant Issuing Lender shall furnish a copy of such Letter of Credit to the Applicable Account Party promptly following the issuance thereof. The relevant Issuing Lender shall promptly furnish to the Administrative Agent notice of the issuance of each Letter of Credit (including the amount and currency thereof). No Issuing Lender shall issue (or cause its Applicable Lending Office to issue)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 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168" w:lineRule="exact"/>
        <w:rPr>
          <w:sz w:val="20"/>
          <w:szCs w:val="20"/>
          <w:color w:val="auto"/>
        </w:rPr>
      </w:pPr>
    </w:p>
    <w:p>
      <w:pPr>
        <w:ind w:right="20" w:firstLine="921"/>
        <w:spacing w:after="0" w:line="254" w:lineRule="auto"/>
        <w:tabs>
          <w:tab w:leader="none" w:pos="116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Issuing Lender shall not (and shall not permit any Applicable Lending Office thereof to) (i) amend or cancel any Letter of Credit without the prior written consent of the Company or the Applicable Account Party, (ii) waive presentation of any Letter of Credit or waive any discrepancies in documents presented to effect a draw on a Letter of Credit, in each case, without the prior written consent of the Company or the Applicable Account Party, if and to the extent such waiver materially and adversely affects the Company or such Applicable Account Party, or (iii) replace any lost, mutilated or destroyed Letter of Credit, in each case, without the prior written consent of the Company or the Applicable Account Party. If requested by an Applicable Account Party or the Company, the Issuing Lender shall furnish a draft of such Letter of Credit (or any amendment thereto) to the Applicable Account Party and the Company prior to the issuance thereof to allow the Applicable Account Party and the Company to review such draft for accuracy and to provide any corrections if necessary.</w:t>
      </w:r>
    </w:p>
    <w:p>
      <w:pPr>
        <w:spacing w:after="0" w:line="192"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Fees and Other Charges</w:t>
      </w:r>
      <w:r>
        <w:rPr>
          <w:rFonts w:ascii="Arial" w:cs="Arial" w:eastAsia="Arial" w:hAnsi="Arial"/>
          <w:sz w:val="18"/>
          <w:szCs w:val="18"/>
          <w:color w:val="auto"/>
        </w:rPr>
        <w:t>. The Company shall pay (or cause to be paid) the fees payable to the L/C Tranche Lenders and the Issuing Lenders, as applicable, set forth in the L/C Fee Letter. Notwithstanding any inconsistent provision of this Agreement or the L/C Fee Letter, (x) at the option of the Company and upon notice to the Administrative Agent, all fees payable to any Issuing Lender may, with the consent of such Issuing Lender, be paid in Dollars (regardless of the currency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80" w:name="page81"/>
    <w:bookmarkEnd w:id="80"/>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Letter of Credit) and (y) unless (i) the Company or such Applicable Account Party gives notice to the Administrative Agent that it has paid such fees by 2:00 P.M., New York City time, on the date required pursuant to the L/C Fee Letter or notifies the Administrative Agent that it does not wish to have such obligation paid with the proceeds of an ABR Loan by such time, or (ii) the Administrative Agent has actual knowledge that the conditions precedent to an ABR Loan to be made on such date which are contained in Section 5.2 have not been satisfied or waived, the Company or such Applicable Account Party shall be deemed to have requested that the L/C Tranche Lenders make an ABR Loan on the date such fees are due pursuant to the terms of the L/C Fee Letter in an aggregate principal amount equal to the amount of the related obligation, and such ABR Loan shall be made on such date. If an ABR Loan is deemed to have been requested as aforesaid, such obligation shall be paid with the proceeds of such Loan and no Default or Event of Default shall exist or be continuing in respect thereof. Notwithstanding the last sentence of Section 2.8, the proceeds of such ABR Loan shall be made available to the relevant Issuing Lender or L/C Tranche Lenders, as applicable (and not to the Company or such Applicable Account Party) to the account specified by such Issuing Lender or L/C Tranche Lenders, as applicable, in like funds as received by the Administrative Agent, and, to the extent any such fees are owing to an Issuing Lender or the L/C Tranche Lenders, the Issuing Lender or each of the L/C Tranche Lenders, as applicable, may credit its L/C Tranche Percentage of such ABR Loan to the relevant obligation in lieu of funding such amount to the Administrative Agent.</w:t>
      </w:r>
    </w:p>
    <w:p>
      <w:pPr>
        <w:spacing w:after="0" w:line="169"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L/C Participations</w:t>
      </w:r>
      <w:r>
        <w:rPr>
          <w:rFonts w:ascii="Arial" w:cs="Arial" w:eastAsia="Arial" w:hAnsi="Arial"/>
          <w:sz w:val="16"/>
          <w:szCs w:val="16"/>
          <w:color w:val="auto"/>
        </w:rPr>
        <w:t xml:space="preserve">.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L/C Tranche Percentage in such Issuing Lender’s obligations and rights under and in respect of each Letter of Credit issued, and the amount of each draft or demand paid, by such Issuing Lender thereunder. 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L/C Tranche Percentage of the Dollar Equivalent of the amount of such draft or demand, or any part thereof, that is not so reimbursed (calculated, in the case of any Letter of Credit denominated in an Optional Currency, as of the Reimbursement Date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 L/C Participant be obligated to fund an amount that would cause such L/C Participant’s Total L/C Tranche Extensions of Credit to exceed such L/C Participant’s L/C Tranche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 (iv) any breach of this Agreement or any other Loan Document by the Company, any other Loan Party or any other L/C Participant or (v) any other circumstance, happening or event whatsoever, whether or not similar to any of the foregoing.</w:t>
      </w:r>
    </w:p>
    <w:p>
      <w:pPr>
        <w:spacing w:after="0" w:line="178" w:lineRule="exact"/>
        <w:rPr>
          <w:sz w:val="20"/>
          <w:szCs w:val="20"/>
          <w:color w:val="auto"/>
        </w:rPr>
      </w:pPr>
    </w:p>
    <w:p>
      <w:pPr>
        <w:ind w:right="240" w:firstLine="921"/>
        <w:spacing w:after="0" w:line="276" w:lineRule="auto"/>
        <w:tabs>
          <w:tab w:leader="none" w:pos="116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81" w:name="page82"/>
    <w:bookmarkEnd w:id="8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3.4 shall be conclusive in the absence of manifest error.</w:t>
      </w:r>
    </w:p>
    <w:p>
      <w:pPr>
        <w:spacing w:after="0" w:line="188" w:lineRule="exact"/>
        <w:rPr>
          <w:sz w:val="20"/>
          <w:szCs w:val="20"/>
          <w:color w:val="auto"/>
        </w:rPr>
      </w:pPr>
    </w:p>
    <w:p>
      <w:pPr>
        <w:ind w:right="20" w:firstLine="921"/>
        <w:spacing w:after="0" w:line="273" w:lineRule="auto"/>
        <w:tabs>
          <w:tab w:leader="none" w:pos="115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Whenever, at any time after any Issuing Lender has made payment under any Letter of Credit and has received from any L/C Participant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78"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Reimbursement Obligation of the Company and the Applicable Account Party</w:t>
      </w:r>
      <w:r>
        <w:rPr>
          <w:rFonts w:ascii="Arial" w:cs="Arial" w:eastAsia="Arial" w:hAnsi="Arial"/>
          <w:sz w:val="17"/>
          <w:szCs w:val="17"/>
          <w:color w:val="auto"/>
        </w:rPr>
        <w:t>. If any draft or demand is paid under any Letter of Credit issued for the account of an Applicable Account Party, the Company or such Applicable Account Party, on a joint and several basis, shall reimburse the Issuing Lender for the amount of the draft or demand so paid, not later than 3:00 P.M., New York City time, on the second Business Day immediately following the day that the Company receives notice of payment of such draft or demand (or if notice of such payment is received after 10:00 A.M., New York City time, on a Business Day, on the third Business Day immediately following such date of receipt) (such date, the “</w:t>
      </w:r>
      <w:r>
        <w:rPr>
          <w:rFonts w:ascii="Arial" w:cs="Arial" w:eastAsia="Arial" w:hAnsi="Arial"/>
          <w:sz w:val="17"/>
          <w:szCs w:val="17"/>
          <w:u w:val="single" w:color="auto"/>
          <w:color w:val="auto"/>
        </w:rPr>
        <w:t>Reimbursement Date</w:t>
      </w:r>
      <w:r>
        <w:rPr>
          <w:rFonts w:ascii="Arial" w:cs="Arial" w:eastAsia="Arial" w:hAnsi="Arial"/>
          <w:sz w:val="17"/>
          <w:szCs w:val="17"/>
          <w:color w:val="auto"/>
        </w:rPr>
        <w:t xml:space="preserve">”). Each such payment shall be made to the relevant Issuing Lender in the currency in which such Letter of Credit is denominated and in immediately available funds;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Letter of Credit denominated in an Optional Currency, if such payment, or obligation to make such payment, in an Optional Currency would subject the Administrative Agent, the relevant Issuing Lender or any L/C Tranche Lender to any stamp duty, ad valorem charge or any similar Tax that would not be payable if such payment were paid or required to be paid in Dollars, the Company or such Applicable Account Party shall, at its option, (A) pay the amount of such Tax to the Administrative Agent, the relevant Issuing Lender or the relevant L/C Tranche Lender or (B) pay the Dollar Equivalent of such draft or demand (calculated as of the Reimbursement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such payment is not made on the applicable Reimbursement Date the obligation to pay such draft or demand shall be permanently converted into an obligation to pay the Dollar Equivalent amount of such draft or demand (calculated as of such Reimbursement Date). Interest shall be payable on any such amounts from the Reimbursement Date until payment in full at the rate set forth in Section 2.16(c). Notwithstanding any inconsistent provision of this Agreement, unless (x) the Company or such Applicable Account Party gives notice to the Administrative Agent that it has paid its Reimbursement Obligation by 2:00 P.M., New York City time, on the Reimbursement Date or notifies the Administrative Agent that it does not wish to have such Reimbursement Obligation paid with the proceeds of an ABR Loan by such time, or (y) the Administrative Agent has actual knowledge that the conditions precedent to an ABR Loan to be made on such Reimbursement Date which are contained in Section 5.2 have not been satisfied or waived, the Company or such Applicable Account Party shall be deemed to have requested that the L/C Tranche Lenders make an ABR Loan on such Reimbursement Date in an aggregate principal amount equal to the amount of the related Reimbursement Obligation, and such ABR Loan shall be made on such Reimbursement Date. If an ABR Loan is deemed to have been requested as aforesaid, such Reimbursement Obligation shall be paid with the proceeds of such Loan and no Default or Event of Default shall exist or be continuing in respect thereof. Notwithstanding the last sentence of Section 2.8, the proceeds of such ABR Loan shall be made available to the relevant Issuing Lender (and not to the Company or such Applicable Account Party) to the account specified by such Issuing Lender, in like funds as received by the Administrative Agent, and the Issuing Lender may credit its L/C Tranche Percentage of such ABR Loan to the relevant Reimbursement Obligation in lieu of funding such amount to the Administrative Agent.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274" w:right="279" w:bottom="1440" w:gutter="0" w:footer="0" w:header="0"/>
        </w:sectPr>
      </w:pPr>
    </w:p>
    <w:bookmarkStart w:id="82" w:name="page83"/>
    <w:bookmarkEnd w:id="82"/>
    <w:p>
      <w:pPr>
        <w:ind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3.6 </w:t>
      </w: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obligations of the Company and each Applicable Account Party under this Section 3 shall be 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 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185"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Letter of Credit Payments</w:t>
      </w:r>
      <w:r>
        <w:rPr>
          <w:rFonts w:ascii="Arial" w:cs="Arial" w:eastAsia="Arial" w:hAnsi="Arial"/>
          <w:sz w:val="16"/>
          <w:szCs w:val="16"/>
          <w:color w:val="auto"/>
        </w:rPr>
        <w:t xml:space="preserve">. If any draft or demand shall be presented for payment under any Letter of Credit, the relevant Issuing Lender shall, within the period stipulated by the terms and conditions of the applicable Letter of Credit, examine such draft or demand presented under such Letter of Credit. After such examination, such Issuing Lender will promptly notify the Applicable Account Party and the Company of the date and amount thereof and whether such Issuing Lender has made or will make the payment under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that any failure to give or delay in giving such notice shall not relieve the Applicable Account Party or the Company of its obligation to reimburse such Issuing Lender with respect to any such payment under such Letter of Credit.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169"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Applications</w:t>
      </w:r>
      <w:r>
        <w:rPr>
          <w:rFonts w:ascii="Arial" w:cs="Arial" w:eastAsia="Arial" w:hAnsi="Arial"/>
          <w:sz w:val="18"/>
          <w:szCs w:val="18"/>
          <w:color w:val="auto"/>
        </w:rPr>
        <w:t>. Subject to the requirements of Section 3.12,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Collateralization</w:t>
      </w:r>
      <w:r>
        <w:rPr>
          <w:rFonts w:ascii="Arial" w:cs="Arial" w:eastAsia="Arial" w:hAnsi="Arial"/>
          <w:sz w:val="18"/>
          <w:szCs w:val="18"/>
          <w:color w:val="auto"/>
        </w:rPr>
        <w:t>.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83" w:name="page84"/>
    <w:bookmarkEnd w:id="8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Issuing Lender, the Company or such Applicable Account Party shall Collateralize (or, with the consent of the relevant Issuing Lender, in its sole discretion, enter into alternative arrangements on terms satisfactory to such Issuing Lender in respect of) any Letter of Credit issued for the account of such Applicable Account Party with an expiration date occurring after such Termination Date as provided in Section 3.1. Any Letter of Credit that is Collateralized or subject to such alternative arrangements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an “L/C Obligation” or an “Extension of Credit”.</w:t>
      </w:r>
    </w:p>
    <w:p>
      <w:pPr>
        <w:spacing w:after="0" w:line="189"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New Issuing Lenders; L/C Commitments</w:t>
      </w:r>
      <w:r>
        <w:rPr>
          <w:rFonts w:ascii="Arial" w:cs="Arial" w:eastAsia="Arial" w:hAnsi="Arial"/>
          <w:sz w:val="17"/>
          <w:szCs w:val="17"/>
          <w:color w:val="auto"/>
        </w:rPr>
        <w:t>. (a) The Company may from time to time (i) decrease the L/C Issuing Commitment of any Issuing Lender or terminate any Issuing Lender as an Issuing Lender hereunder (on a prospective basis only) for any reason upon written notice to the Administrative Agent and such Issuing Lender, (ii) add additional Issuing Lenders hereunder and (iii) increase (with the consent of the relevant Issuing Lender) the L/C Issuing Commitment of any existing Issuing Lender. If the Company shall decide to add a new Issuing Lender under this Agreement, then the Company may appoint from among the L/C Tranche Lenders (or an Applicable Lending Office thereof) a new Issuing Lender, with the consent of the Administrative Agent (such consent not to be unreasonably withheld or delayed) and such Issuing Lender,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 Issuing 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Issuing Commitment shall become effective. Any decrease of an L/C Issuing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L/C Tranche Lenders of the effectiveness of any replacement or addition of an Issuing Lender, or any changed L/C Issuing Commitment pursuant to this Section 3.10.</w:t>
      </w:r>
    </w:p>
    <w:p>
      <w:pPr>
        <w:spacing w:after="0" w:line="193" w:lineRule="exact"/>
        <w:rPr>
          <w:sz w:val="20"/>
          <w:szCs w:val="20"/>
          <w:color w:val="auto"/>
        </w:rPr>
      </w:pPr>
    </w:p>
    <w:p>
      <w:pPr>
        <w:ind w:firstLine="921"/>
        <w:spacing w:after="0" w:line="255" w:lineRule="auto"/>
        <w:tabs>
          <w:tab w:leader="none" w:pos="116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event that an Issuing Lender no longer has an Applicable Lending Office in a particular jurisdiction or in the event that an Applicable Lending Office is not legally able to issue a Letter of Credit in such jurisdiction, such Issuing Lender shall use commercially reasonable efforts to arrange, subject to the terms and conditions hereof, for one or more letters of credit to be issued by an unaffiliated bank that is reasonably acceptable to such Issuing Lender, the Company and the Applicable Account Party with the same pricing and mechanics as described herein and in the L/C Fee Letter and in the manner consistent with Section 3.12 below (it being understood and agreed that the use of commercially reasonable efforts pursuant to this 3.10(b) shall not require any Issuing Lender to incur any monetary cost).</w:t>
      </w:r>
    </w:p>
    <w:p>
      <w:pPr>
        <w:spacing w:after="0" w:line="19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Existing Letters of Credit and Designated Letters of Credit</w:t>
      </w:r>
      <w:r>
        <w:rPr>
          <w:rFonts w:ascii="Arial" w:cs="Arial" w:eastAsia="Arial" w:hAnsi="Arial"/>
          <w:sz w:val="18"/>
          <w:szCs w:val="18"/>
          <w:color w:val="auto"/>
        </w:rPr>
        <w:t>. (a) On and as of the Closing Date the letters of credit and letters of guarantee set forth on Exhibit C to the L/C Fee Letter (the “</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will constitute Letters of Credit under this Agreement and for the purposes hereof will be deemed to have been issued for the account of an Applicable Account Party, for which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274" w:right="279" w:bottom="1440" w:gutter="0" w:footer="0" w:header="0"/>
        </w:sectPr>
      </w:pPr>
    </w:p>
    <w:bookmarkStart w:id="84" w:name="page85"/>
    <w:bookmarkEnd w:id="84"/>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shall be jointly and severally liable, on the Closing Date and each issuer thereof shall be deemed to be an Issuing Lender hereunder solely for the purposes of Sections 3.3, 3.4, 3.5, 3.6, 3.7, 3.8 and 3.9 (whether or not such issuer is otherwise an Issuing Lender hereunder). For the avoidance of doubt, each of the letters of credit outstanding under the Existing Three Year Credit Agreement as of the Closing Date shall be listed on Exhibit C to the L/C Fee Letter and shall be Existing Letters of Credit hereunder.</w:t>
      </w:r>
    </w:p>
    <w:p>
      <w:pPr>
        <w:spacing w:after="0" w:line="187" w:lineRule="exact"/>
        <w:rPr>
          <w:sz w:val="20"/>
          <w:szCs w:val="20"/>
          <w:color w:val="auto"/>
        </w:rPr>
      </w:pPr>
    </w:p>
    <w:p>
      <w:pPr>
        <w:ind w:firstLine="921"/>
        <w:spacing w:after="0" w:line="284" w:lineRule="auto"/>
        <w:tabs>
          <w:tab w:leader="none" w:pos="116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Subject to any restrictions imposed by any applicable Requirement of Law, upon notice to the Administrative Agent, the Company may designate letters of credit issued by any Issuing Lender or one of its Applicable Lending Offices for the benefit of the Company or an Applicable Account Party as a Letter of Credit under this Agreement and for the purposes hereof such letter of credit will be deemed to have been issued for the account of the Company or such Applicable Account Party on the date of such designation (such date, the “</w:t>
      </w:r>
      <w:r>
        <w:rPr>
          <w:rFonts w:ascii="Arial" w:cs="Arial" w:eastAsia="Arial" w:hAnsi="Arial"/>
          <w:sz w:val="16"/>
          <w:szCs w:val="16"/>
          <w:u w:val="single" w:color="auto"/>
          <w:color w:val="auto"/>
        </w:rPr>
        <w:t>Designation Date</w:t>
      </w:r>
      <w:r>
        <w:rPr>
          <w:rFonts w:ascii="Arial" w:cs="Arial" w:eastAsia="Arial" w:hAnsi="Arial"/>
          <w:sz w:val="16"/>
          <w:szCs w:val="16"/>
          <w:color w:val="auto"/>
        </w:rPr>
        <w:t>”) and each issuer thereof shall be deemed to be an Issuing Lender hereunder solely for the purposes of Sections 3.3, 3.4, 3.5, 3.6, 3.7, 3.8 and 3.9 (whether or not such issuer is otherwise an Issuing Lender hereunder) (the “</w:t>
      </w:r>
      <w:r>
        <w:rPr>
          <w:rFonts w:ascii="Arial" w:cs="Arial" w:eastAsia="Arial" w:hAnsi="Arial"/>
          <w:sz w:val="16"/>
          <w:szCs w:val="16"/>
          <w:u w:val="single" w:color="auto"/>
          <w:color w:val="auto"/>
        </w:rPr>
        <w:t>Designated Letters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such deemed issuance hereunder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shall not exceed such Issuing Lender’s L/C Issuing Commitment then in effect, (B) the Total L/C Tranche Extensions of Credit shall not exceed the Total L/C Tranche Commitment then in effect and (C) the sum of (x) 105% of the Dollar Equivalent of Letters of Credit denominated in Optional Currencies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then Outstanding Amount of the Total L/C Tranche Extensions of Credit other than Letters of Credit denominated in Optional Currencies shall not exceed the Total L/C Tranche Commitments then in effect, (ii) the Company shall be jointly and severally liable with respect to each such Letter of Credit deemed issued hereunder for the account of an Applicable Account Party and (iii) such deemed issuance will be an Extension of Credit for the purposes of Section 5.2. Each such Letter of Credit shall (x) be denominated in Dollars or any Optional Currency and (y) expire no later than the earlier of (A) the date that is one year after the date of issuance of such Letter of Credit and (B) five Business Days prior to the Termination Date of such Issuing Lender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or shorter tenor may (1) provide for the subsequent or successive renewal or automatic renewal thereof for additional one-year or shorter periods (which shall in no event extend beyond the date referred to in the foregoing clause (B), unless and to the extent that such Letter of Credit is Collateralized for the period following such date at 100% of the undrawn and unexpired amount of such Letter of Credit if requested by the relevant Issuing Lender) and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upon request of the Company and with the consent of the relevant Issuing Lender, any such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w:t>
      </w:r>
    </w:p>
    <w:p>
      <w:pPr>
        <w:spacing w:after="0" w:line="396" w:lineRule="exact"/>
        <w:rPr>
          <w:rFonts w:ascii="Arial" w:cs="Arial" w:eastAsia="Arial" w:hAnsi="Arial"/>
          <w:sz w:val="16"/>
          <w:szCs w:val="16"/>
          <w:color w:val="auto"/>
        </w:rPr>
      </w:pPr>
    </w:p>
    <w:p>
      <w:pPr>
        <w:jc w:val="both"/>
        <w:ind w:right="260" w:firstLine="921"/>
        <w:spacing w:after="0" w:line="259" w:lineRule="auto"/>
        <w:tabs>
          <w:tab w:leader="none" w:pos="115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Replacement of Letters of Credit</w:t>
      </w:r>
      <w:r>
        <w:rPr>
          <w:rFonts w:ascii="Arial" w:cs="Arial" w:eastAsia="Arial" w:hAnsi="Arial"/>
          <w:sz w:val="18"/>
          <w:szCs w:val="18"/>
          <w:color w:val="auto"/>
        </w:rPr>
        <w:t>. On the Closing Date or Designation Date, as applicable, each agreement governing the letters of credit referred to clauses (a) and (b) above that constitute Letters of Credit hereunder (other than, for the avoidance of doubt, the Letter of Credit itself) shall be deemed superseded and replaced in its entirety by the provisions of this Agreement and, if applicable, as such provisions may be modified by any Letter of Credit Acknowledgment with regard to such Letters of Credit.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85" w:name="page86"/>
    <w:bookmarkEnd w:id="85"/>
    <w:p>
      <w:pPr>
        <w:ind w:right="140" w:firstLine="921"/>
        <w:spacing w:after="0" w:line="271" w:lineRule="auto"/>
        <w:tabs>
          <w:tab w:leader="none" w:pos="1168"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Existing Guarantees</w:t>
      </w:r>
      <w:r>
        <w:rPr>
          <w:rFonts w:ascii="Arial" w:cs="Arial" w:eastAsia="Arial" w:hAnsi="Arial"/>
          <w:sz w:val="17"/>
          <w:szCs w:val="17"/>
          <w:color w:val="auto"/>
        </w:rPr>
        <w:t>. To the extent any letter of credit issued outside this Agreement by any Issuing Lender or any affiliate thereof becomes a Letter of Credit hereunder pursuant to paragraph (a) or (b) above, any guarantees provided by the Company, any Loan Party or any Applicable Account Party to such Issuing Lender or such affiliate in respect of such Existing Letters of Credit or Designated Letters of Credit, as applicable (other than any such existing guarantee provided by the Company under the Existing Three Year Credit Agreement), shall automatically terminate with respect to such Existing Letters of Credit or Designated Letters of Credit, as applicable, on the Closing Date or the applicable Designation Date, as the case may be, and be of no further force or effect. Additionally, any collateral provided by the Company, any Loan Party or any Applicable Account Party with regard to such Existing Letters of Credit or Designated Letters of Credit shall be released and returned to the Company or such Applicable Account Party on the Closing Date or the applicable Designation Date, as the case may be.</w:t>
      </w:r>
    </w:p>
    <w:p>
      <w:pPr>
        <w:spacing w:after="0" w:line="179"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Conflicts</w:t>
      </w:r>
      <w:r>
        <w:rPr>
          <w:rFonts w:ascii="Arial" w:cs="Arial" w:eastAsia="Arial" w:hAnsi="Arial"/>
          <w:sz w:val="16"/>
          <w:szCs w:val="16"/>
          <w:color w:val="auto"/>
        </w:rPr>
        <w:t>. (a) In the event of any inconsistency between the terms and conditions of this Agreement and the terms and conditions of any Application or any other application, reimbursement agreement, instrument, certificate or other document submitted by an Applicable Account Party to, or entered into by an Applicable Account Party with the Issuing Lender relating to any Letter of Credit (including any Existing Letters of Credit), (i) with respect to any Letter of Credit issued in the United States, the terms and conditions of this Agreement shall control and (ii) with respect to any Letter of Credit issued in a jurisdiction other than the United States, the terms and conditions of this Agreement shall control, except for (A) operational terms required by such Applicable Lending Office or unaffiliated bank for similarly situated applicants that do not have a material impact on the ability of such Applicable Lending Office or unaffiliated bank to issue such Letters of Credit and are not materially inconsistent with this Agreement and the L/C Fee Letter or (B) if required pursuant to a Requirement of Law. Additionally, each Applicable Lending Office shall sign a Letter of Credit Acknowledgment.</w:t>
      </w:r>
    </w:p>
    <w:p>
      <w:pPr>
        <w:spacing w:after="0" w:line="166" w:lineRule="exact"/>
        <w:rPr>
          <w:sz w:val="20"/>
          <w:szCs w:val="20"/>
          <w:color w:val="auto"/>
        </w:rPr>
      </w:pPr>
    </w:p>
    <w:p>
      <w:pPr>
        <w:ind w:right="120" w:firstLine="921"/>
        <w:spacing w:after="0" w:line="270" w:lineRule="auto"/>
        <w:tabs>
          <w:tab w:leader="none" w:pos="116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a Letter of Credit that is issued in a jurisdiction outside of the United States, such Letter of Credit shall be governed by, and shall be construed in accordance with, the laws of a jurisdiction as specified in the applicable Letter of Credit Acknowledgment or such other jurisdiction requested by the beneficiary and acceptable to the Issuing Lender and the Company, except with respect to terms and conditions of this Agreement that control as provided in Section 3.12(a) above or in any Letter of Credit Acknowledgment, which shall be governed by, and construed in accordance with, the laws of the State of New York, and (ii) to the extent not prohibited by such laws and not materially inconsistent with this agreement,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 REPRESENTATIONS AND WARRANTIES</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To induce the Lenders to enter into this Agreement and to make the Loans and issue or participate in the Letters of Credit the Company hereby represents and warrants to each Lender that:</w:t>
      </w:r>
    </w:p>
    <w:p>
      <w:pPr>
        <w:spacing w:after="0" w:line="170"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The consolidated financial statements of the Company included in its Annual Report on Form 10-K, for the twelve-month period ended December 31, 2017 (the “</w:t>
      </w:r>
      <w:r>
        <w:rPr>
          <w:rFonts w:ascii="Arial" w:cs="Arial" w:eastAsia="Arial" w:hAnsi="Arial"/>
          <w:sz w:val="18"/>
          <w:szCs w:val="18"/>
          <w:u w:val="single" w:color="auto"/>
          <w:color w:val="auto"/>
        </w:rPr>
        <w:t>2017 10-K</w:t>
      </w:r>
      <w:r>
        <w:rPr>
          <w:rFonts w:ascii="Arial" w:cs="Arial" w:eastAsia="Arial" w:hAnsi="Arial"/>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2017;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86" w:name="page87"/>
    <w:bookmarkEnd w:id="86"/>
    <w:p>
      <w:pPr>
        <w:ind w:right="1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Between the date of the financial statements included in the 2017 10-K and the Closing Date, there has been no development or event which has had a Material Adverse Effect.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Existence</w:t>
      </w:r>
      <w:r>
        <w:rPr>
          <w:rFonts w:ascii="Arial" w:cs="Arial" w:eastAsia="Arial" w:hAnsi="Arial"/>
          <w:sz w:val="17"/>
          <w:szCs w:val="17"/>
          <w:color w:val="auto"/>
        </w:rPr>
        <w:t>. Each Loan Party (a) is duly organized, validly existing and in good standing under the laws of its jurisdiction of organization,</w:t>
      </w:r>
    </w:p>
    <w:p>
      <w:pPr>
        <w:spacing w:after="0" w:line="35" w:lineRule="exact"/>
        <w:rPr>
          <w:sz w:val="20"/>
          <w:szCs w:val="20"/>
          <w:color w:val="auto"/>
        </w:rPr>
      </w:pPr>
    </w:p>
    <w:p>
      <w:pPr>
        <w:ind w:right="100" w:firstLine="8"/>
        <w:spacing w:after="0" w:line="255" w:lineRule="auto"/>
        <w:tabs>
          <w:tab w:leader="none" w:pos="2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90"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 (d) 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5"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Agreement and the other Loan Documents by each Loan Party that is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54"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Litigation</w:t>
      </w:r>
      <w:r>
        <w:rPr>
          <w:rFonts w:ascii="Arial" w:cs="Arial" w:eastAsia="Arial" w:hAnsi="Arial"/>
          <w:sz w:val="16"/>
          <w:szCs w:val="16"/>
          <w:color w:val="auto"/>
        </w:rPr>
        <w:t>. Except as set forth on Schedule 4.6 and except as set forth in the 2017 10-K or on any Current Report on Form 8-K of the Company filed with the SEC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As of the Closing Date no Default or Event of Default has occurred and is continuing.</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Ownership of Property</w:t>
      </w:r>
      <w:r>
        <w:rPr>
          <w:rFonts w:ascii="Arial" w:cs="Arial" w:eastAsia="Arial" w:hAnsi="Arial"/>
          <w:sz w:val="18"/>
          <w:szCs w:val="18"/>
          <w:color w:val="auto"/>
        </w:rPr>
        <w:t xml:space="preserve">. As of the Closing Date, the Company and each Principal Domestic Subsidiary, as applicable, has good title to, or a valid leasehold interest in, all of its other property then owned or leased by it;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87" w:name="page88"/>
    <w:bookmarkEnd w:id="87"/>
    <w:p>
      <w:pPr>
        <w:jc w:val="both"/>
        <w:ind w:right="18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4.9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66" w:lineRule="exact"/>
        <w:rPr>
          <w:sz w:val="20"/>
          <w:szCs w:val="20"/>
          <w:color w:val="auto"/>
        </w:rPr>
      </w:pPr>
    </w:p>
    <w:p>
      <w:pPr>
        <w:jc w:val="both"/>
        <w:ind w:right="40" w:firstLine="913"/>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or Letters of Credit, and no other extensions of credit hereunder, will be used for any purpose that violates the provisions of Regulation T, U or X of the Board.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ERISA</w:t>
      </w:r>
      <w:r>
        <w:rPr>
          <w:rFonts w:ascii="Arial" w:cs="Arial" w:eastAsia="Arial" w:hAnsi="Arial"/>
          <w:sz w:val="18"/>
          <w:szCs w:val="18"/>
          <w:color w:val="auto"/>
        </w:rPr>
        <w:t>. No ERISA Default has occurred and is continuing.</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Ownership of the Subsidiary Borrowers</w:t>
      </w:r>
      <w:r>
        <w:rPr>
          <w:rFonts w:ascii="Arial" w:cs="Arial" w:eastAsia="Arial" w:hAnsi="Arial"/>
          <w:sz w:val="18"/>
          <w:szCs w:val="18"/>
          <w:color w:val="auto"/>
        </w:rPr>
        <w:t>. As of the Closing Date, each Subsidiary Borrower is a direct or indirect wholly-owned Subsidiary of the Company.</w:t>
      </w:r>
    </w:p>
    <w:p>
      <w:pPr>
        <w:spacing w:after="0" w:line="170"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and Letters of Credit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81"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or the U.S. Department of State or the European Union (collectively, the “</w:t>
      </w:r>
      <w:r>
        <w:rPr>
          <w:rFonts w:ascii="Arial" w:cs="Arial" w:eastAsia="Arial" w:hAnsi="Arial"/>
          <w:sz w:val="16"/>
          <w:szCs w:val="16"/>
          <w:u w:val="single" w:color="auto"/>
          <w:color w:val="auto"/>
        </w:rPr>
        <w:t>Sanctions Lists</w:t>
      </w:r>
      <w:r>
        <w:rPr>
          <w:rFonts w:ascii="Arial" w:cs="Arial" w:eastAsia="Arial" w:hAnsi="Arial"/>
          <w:sz w:val="16"/>
          <w:szCs w:val="16"/>
          <w:color w:val="auto"/>
        </w:rPr>
        <w:t>”). Neither the Company nor any of its Subsidiaries has a physical place of business, or is organized or resident, in (a) Cuba, Iran, North Korea, Syria or Crimea or (b) in any other Sanctioned Country in violation of U.S. law. The Company and its Subsidiary Borrowers will not knowingly use the proceeds of the Loans or Letters of Credit (i) in violation of any Anti-Corruption Laws or (ii) to fund any activities or business (x) of or with any individual or entity that is included on any Sanctions List or</w:t>
      </w:r>
    </w:p>
    <w:p>
      <w:pPr>
        <w:spacing w:after="0" w:line="1" w:lineRule="exact"/>
        <w:rPr>
          <w:sz w:val="20"/>
          <w:szCs w:val="20"/>
          <w:color w:val="auto"/>
        </w:rPr>
      </w:pPr>
    </w:p>
    <w:p>
      <w:pPr>
        <w:ind w:firstLine="8"/>
        <w:spacing w:after="0" w:line="252" w:lineRule="auto"/>
        <w:tabs>
          <w:tab w:leader="none" w:pos="2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or with the government of, any country, region or territory that is the subject or target of comprehensive territorial sanctions administered by OFAC, the U.S. Department of Treasury or the U.S. Department of State (a “</w:t>
      </w:r>
      <w:r>
        <w:rPr>
          <w:rFonts w:ascii="Arial" w:cs="Arial" w:eastAsia="Arial" w:hAnsi="Arial"/>
          <w:sz w:val="18"/>
          <w:szCs w:val="18"/>
          <w:u w:val="single" w:color="auto"/>
          <w:color w:val="auto"/>
        </w:rPr>
        <w:t>Sanctioned Country</w:t>
      </w:r>
      <w:r>
        <w:rPr>
          <w:rFonts w:ascii="Arial" w:cs="Arial" w:eastAsia="Arial" w:hAnsi="Arial"/>
          <w:sz w:val="18"/>
          <w:szCs w:val="18"/>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274" w:right="27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 CONDITIONS PRECEDENT</w:t>
      </w:r>
    </w:p>
    <w:p>
      <w:pPr>
        <w:spacing w:after="0" w:line="22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Closing Date</w:t>
      </w:r>
      <w:r>
        <w:rPr>
          <w:rFonts w:ascii="Arial" w:cs="Arial" w:eastAsia="Arial" w:hAnsi="Arial"/>
          <w:sz w:val="18"/>
          <w:szCs w:val="18"/>
          <w:color w:val="auto"/>
        </w:rPr>
        <w:t>. This Agreement and the obligation of each Lender to make extensions of credit requested to be made by it hereunder shall be effective upon (1) the execution and delivery of this Agreement by each of the Administrative Agent, the Brazilian Administrative Agent, the Syndication Agent, the Co-Syndication Agent, the Company, each other Borrower, the Existing Required Lenders,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188" w:lineRule="exact"/>
        <w:rPr>
          <w:sz w:val="20"/>
          <w:szCs w:val="20"/>
          <w:color w:val="auto"/>
        </w:rPr>
      </w:pPr>
    </w:p>
    <w:p>
      <w:pPr>
        <w:ind w:right="20" w:firstLine="921"/>
        <w:spacing w:after="0" w:line="259" w:lineRule="auto"/>
        <w:tabs>
          <w:tab w:leader="none" w:pos="115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Other Loan Documents</w:t>
      </w:r>
      <w:r>
        <w:rPr>
          <w:rFonts w:ascii="Arial" w:cs="Arial" w:eastAsia="Arial" w:hAnsi="Arial"/>
          <w:sz w:val="18"/>
          <w:szCs w:val="18"/>
          <w:color w:val="auto"/>
        </w:rPr>
        <w:t>. (w) The Company shall have executed and delivered the Guarantee, (x) the L/C Fee Letter shall have been executed and delivered by the Company, each L/C Tranche Lender and each Issuing Lender, (y) each Brazilian Bank Certificate shall have been executed and delivered by GMB and/or the relevant Brazilian Subsidiary, as applicable and (z) the Brazilian Intercreditor Agreement shall have been executed and delivered by the Brazilian Administrative Agent and each Brazilian Lender.</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Fees</w:t>
      </w:r>
      <w:r>
        <w:rPr>
          <w:rFonts w:ascii="Arial" w:cs="Arial" w:eastAsia="Arial" w:hAnsi="Arial"/>
          <w:sz w:val="17"/>
          <w:szCs w:val="17"/>
          <w:color w:val="auto"/>
        </w:rPr>
        <w:t>. The Lenders, the Administrative Agent, the Brazilian Administrative Agent and the Arrangers shall have received all fees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out-of-pocket expenses required to be paid hereunder and (with respect to such expenses) invoiced at least three (3) Business Days prior to the Closing Date.</w:t>
      </w:r>
    </w:p>
    <w:p>
      <w:pPr>
        <w:spacing w:after="0" w:line="234" w:lineRule="exact"/>
        <w:rPr>
          <w:sz w:val="20"/>
          <w:szCs w:val="20"/>
          <w:color w:val="auto"/>
        </w:rPr>
      </w:pPr>
    </w:p>
    <w:p>
      <w:pPr>
        <w:ind w:right="80" w:firstLine="921"/>
        <w:spacing w:after="0" w:line="284" w:lineRule="auto"/>
        <w:tabs>
          <w:tab w:leader="none" w:pos="1157"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Closing Certificate; Certified Certificate of Incorporation; Good Standing Certificates</w:t>
      </w:r>
      <w:r>
        <w:rPr>
          <w:rFonts w:ascii="Arial" w:cs="Arial" w:eastAsia="Arial" w:hAnsi="Arial"/>
          <w:sz w:val="16"/>
          <w:szCs w:val="16"/>
          <w:color w:val="auto"/>
        </w:rPr>
        <w:t>. The Administrative Agent shall have received (i) a certificate of each Loan Party other than GMGTC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(iii) a certificate of the Company, dated the Closing Date, to the effect that the conditions set forth in Section 5.2 have been satisfied or waived and (iv) a certificate from GMGTC (signed by an authorised signatory), with appropriate insertions and attachments, including its constitutional documents, certifying that:</w:t>
      </w:r>
    </w:p>
    <w:p>
      <w:pPr>
        <w:spacing w:after="0" w:line="2" w:lineRule="exact"/>
        <w:rPr>
          <w:rFonts w:ascii="Arial" w:cs="Arial" w:eastAsia="Arial" w:hAnsi="Arial"/>
          <w:sz w:val="16"/>
          <w:szCs w:val="16"/>
          <w:color w:val="auto"/>
        </w:rPr>
      </w:pPr>
    </w:p>
    <w:p>
      <w:pPr>
        <w:ind w:firstLine="8"/>
        <w:spacing w:after="0" w:line="255" w:lineRule="auto"/>
        <w:tabs>
          <w:tab w:leader="none" w:pos="2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borrowing, guaranteeing or securing (as appropriate) under this Agreement would not cause any borrowing, guarantee, security or similar limit binding on it to be exceeded; and (B) each copy document relating to it in this Section 5.1 (including its constitutional documents) is correct, complete and in full force and effect and has not been amended or superseded prior to the date of this Agreement.</w:t>
      </w:r>
    </w:p>
    <w:p>
      <w:pPr>
        <w:spacing w:after="0" w:line="190" w:lineRule="exact"/>
        <w:rPr>
          <w:rFonts w:ascii="Arial" w:cs="Arial" w:eastAsia="Arial" w:hAnsi="Arial"/>
          <w:sz w:val="18"/>
          <w:szCs w:val="18"/>
          <w:color w:val="auto"/>
        </w:rPr>
      </w:pPr>
    </w:p>
    <w:p>
      <w:pPr>
        <w:ind w:right="40" w:firstLine="921"/>
        <w:spacing w:after="0" w:line="286" w:lineRule="auto"/>
        <w:tabs>
          <w:tab w:leader="none" w:pos="1168"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The Administrative Agent shall have received the executed legal opinion of (i) in-house counsel to the Loan Parties, (ii) Weil Gotshal &amp; Manges LLP, counsel to the Loan Parties, (iii) Demarest Advogados, special Brazil counsel to the Brazilian Administrative Agent and (iv) Weil Gotshal &amp; Manges LLP, special UK counsel to GMGTC, each in form and substance reasonably acceptable to the Administrative Agent.</w:t>
      </w:r>
    </w:p>
    <w:p>
      <w:pPr>
        <w:spacing w:after="0" w:line="165" w:lineRule="exact"/>
        <w:rPr>
          <w:rFonts w:ascii="Arial" w:cs="Arial" w:eastAsia="Arial" w:hAnsi="Arial"/>
          <w:sz w:val="17"/>
          <w:szCs w:val="17"/>
          <w:color w:val="auto"/>
        </w:rPr>
      </w:pPr>
    </w:p>
    <w:p>
      <w:pPr>
        <w:ind w:right="20" w:firstLine="921"/>
        <w:spacing w:after="0" w:line="302" w:lineRule="auto"/>
        <w:tabs>
          <w:tab w:leader="none" w:pos="1157"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Existing Three Year Credit Agreement</w:t>
      </w:r>
      <w:r>
        <w:rPr>
          <w:rFonts w:ascii="Arial" w:cs="Arial" w:eastAsia="Arial" w:hAnsi="Arial"/>
          <w:sz w:val="16"/>
          <w:szCs w:val="16"/>
          <w:color w:val="auto"/>
        </w:rPr>
        <w:t>. The Administrative Agent shall have received reasonably satisfactory evidence that all Existing Loans shall be repaid, the commitments of the lenders under the Existing Three Year Credit Agreement that are not Lenders hereunder shall have been terminated (and the Commitments of all continuing Lenders shall be as set forth on Schedule 1.1(A)) and all accrued interest and fees under the Existing Three Year Credit Agreement shall have been paid, or arrangements satisfactory to the Administrative Agent in respect thereof shall have been made.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89" w:name="page90"/>
    <w:bookmarkEnd w:id="89"/>
    <w:p>
      <w:pPr>
        <w:ind w:right="220" w:firstLine="921"/>
        <w:spacing w:after="0" w:line="264" w:lineRule="auto"/>
        <w:tabs>
          <w:tab w:leader="none" w:pos="113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USA Patriot Act</w:t>
      </w:r>
      <w:r>
        <w:rPr>
          <w:rFonts w:ascii="Arial" w:cs="Arial" w:eastAsia="Arial" w:hAnsi="Arial"/>
          <w:sz w:val="18"/>
          <w:szCs w:val="18"/>
          <w:color w:val="auto"/>
        </w:rPr>
        <w:t>. The Administrative Agent shall have received all documentation and other information reasonably requested by the Administrative Agent or any Lender who is not a lender under the Existing Three Year Credit Agreement under applicable “know your customer” and anti-money-laundering rules and regulations, including the USA Patriot Act.</w:t>
      </w:r>
    </w:p>
    <w:p>
      <w:pPr>
        <w:spacing w:after="0" w:line="18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Each Extension of Credit</w:t>
      </w:r>
      <w:r>
        <w:rPr>
          <w:rFonts w:ascii="Arial" w:cs="Arial" w:eastAsia="Arial" w:hAnsi="Arial"/>
          <w:sz w:val="18"/>
          <w:szCs w:val="18"/>
          <w:color w:val="auto"/>
        </w:rPr>
        <w: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 issued (or amended) by it on any date (including its initial extension of credit) is subject to the Closing Date having occurred and to the satisfaction (or waiver pursuant to Section 10.1) of the following conditions precedent as of the borrowing date for such Loan or the date of any request to issue (or to amend to increase the face amount of) such Letter of Credit:</w:t>
      </w:r>
    </w:p>
    <w:p>
      <w:pPr>
        <w:spacing w:after="0" w:line="193" w:lineRule="exact"/>
        <w:rPr>
          <w:sz w:val="20"/>
          <w:szCs w:val="20"/>
          <w:color w:val="auto"/>
        </w:rPr>
      </w:pPr>
    </w:p>
    <w:p>
      <w:pPr>
        <w:ind w:firstLine="921"/>
        <w:spacing w:after="0" w:line="259" w:lineRule="auto"/>
        <w:tabs>
          <w:tab w:leader="none" w:pos="1157"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86"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70" w:lineRule="exact"/>
        <w:rPr>
          <w:rFonts w:ascii="Arial" w:cs="Arial" w:eastAsia="Arial" w:hAnsi="Arial"/>
          <w:sz w:val="18"/>
          <w:szCs w:val="18"/>
          <w:color w:val="auto"/>
        </w:rPr>
      </w:pPr>
    </w:p>
    <w:p>
      <w:pPr>
        <w:ind w:right="40" w:firstLine="921"/>
        <w:spacing w:after="0" w:line="290" w:lineRule="auto"/>
        <w:tabs>
          <w:tab w:leader="none" w:pos="1157"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No Subsidiary Borrower Bankruptcy Events</w:t>
      </w:r>
      <w:r>
        <w:rPr>
          <w:rFonts w:ascii="Arial" w:cs="Arial" w:eastAsia="Arial" w:hAnsi="Arial"/>
          <w:sz w:val="16"/>
          <w:szCs w:val="16"/>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6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Each borrowing, or issuance of a Letter of Credit (or amendment thereof which increases the face amount thereof) hereunder (including, for the avoidance of doubt, any borrowing of Brazilian Loans pursuant to any Brazilian Bank Certificate)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 AFFIRMATIVE COVENANTS</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The Company hereby agrees that, so long as the Commitments remain in effect or any Letter of Credit remains outstanding or any Loan, Reimbursement Obligation, interest or fee payable hereunder or under any other Loan Document is owing to any Lender:</w:t>
      </w:r>
    </w:p>
    <w:p>
      <w:pPr>
        <w:spacing w:after="0" w:line="62"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financial statements shall be deemed to be delivered upon the filing with the SEC of its Form 10-K or Form 10-Q for the relevant fiscal period;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restatement of previously delivered (or deemed delivered) financial statements shall not constitute a breach or violation of this Section 6.1.</w:t>
      </w:r>
    </w:p>
    <w:p>
      <w:pPr>
        <w:spacing w:after="0" w:line="19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Business; Existence</w:t>
      </w:r>
      <w:r>
        <w:rPr>
          <w:rFonts w:ascii="Arial" w:cs="Arial" w:eastAsia="Arial" w:hAnsi="Arial"/>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78"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Promptly upon a Financial Officer of the Company obtaining actual knowledge thereof, the Company shall give notice to the Administrative Agent and the Brazilian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7"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Reinstated Guarantors, etc.</w:t>
      </w:r>
      <w:r>
        <w:rPr>
          <w:rFonts w:ascii="Arial" w:cs="Arial" w:eastAsia="Arial" w:hAnsi="Arial"/>
          <w:sz w:val="18"/>
          <w:szCs w:val="18"/>
          <w:color w:val="auto"/>
        </w:rPr>
        <w:t xml:space="preserve">. (a) Within 30 days after any Guarantee Reinstatement Date, the Company shall deliver, or cause to be delivered to the Administrative Agent a Guarantee Joinder, executed and delivered by each Domestic Subsidiary that is a Principal Domestic Subsidiary (other than an Excluded Subsidiary) on such Guarantee Reinstatement Date, together with customary secretary’s certificates, resolutions and legal opinions,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requirements shall not apply to GM Holdings.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91" w:name="page92"/>
    <w:bookmarkEnd w:id="91"/>
    <w:p>
      <w:pPr>
        <w:ind w:left="1180" w:hanging="259"/>
        <w:spacing w:after="0"/>
        <w:tabs>
          <w:tab w:leader="none" w:pos="1180" w:val="left"/>
        </w:tabs>
        <w:numPr>
          <w:ilvl w:val="1"/>
          <w:numId w:val="1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any Reinstated Guarantee Requirement Period, within 90 days after the end of any fiscal quarter of the Company, during which</w:t>
      </w:r>
    </w:p>
    <w:p>
      <w:pPr>
        <w:spacing w:after="0" w:line="34" w:lineRule="exact"/>
        <w:rPr>
          <w:rFonts w:ascii="Arial" w:cs="Arial" w:eastAsia="Arial" w:hAnsi="Arial"/>
          <w:sz w:val="17"/>
          <w:szCs w:val="17"/>
          <w:color w:val="auto"/>
        </w:rPr>
      </w:pPr>
    </w:p>
    <w:p>
      <w:pPr>
        <w:ind w:right="20" w:firstLine="8"/>
        <w:spacing w:after="0" w:line="287" w:lineRule="auto"/>
        <w:tabs>
          <w:tab w:leader="none" w:pos="29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pacing w:after="0" w:line="166" w:lineRule="exact"/>
        <w:rPr>
          <w:rFonts w:ascii="Arial" w:cs="Arial" w:eastAsia="Arial" w:hAnsi="Arial"/>
          <w:sz w:val="16"/>
          <w:szCs w:val="16"/>
          <w:color w:val="auto"/>
        </w:rPr>
      </w:pPr>
    </w:p>
    <w:p>
      <w:pPr>
        <w:ind w:right="420" w:firstLine="921"/>
        <w:spacing w:after="0" w:line="277" w:lineRule="auto"/>
        <w:tabs>
          <w:tab w:leader="none" w:pos="115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7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81"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Ratings</w:t>
      </w:r>
      <w:r>
        <w:rPr>
          <w:rFonts w:ascii="Arial" w:cs="Arial" w:eastAsia="Arial" w:hAnsi="Arial"/>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not be required to obtain or maintain, as applicable, a specific Index Debt Rating.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 NEGATIVE COVENANTS</w:t>
      </w:r>
    </w:p>
    <w:p>
      <w:pPr>
        <w:spacing w:after="0" w:line="225" w:lineRule="exact"/>
        <w:rPr>
          <w:sz w:val="20"/>
          <w:szCs w:val="20"/>
          <w:color w:val="auto"/>
        </w:rPr>
      </w:pPr>
    </w:p>
    <w:p>
      <w:pPr>
        <w:ind w:right="800" w:firstLine="913"/>
        <w:spacing w:after="0" w:line="308" w:lineRule="auto"/>
        <w:rPr>
          <w:sz w:val="20"/>
          <w:szCs w:val="20"/>
          <w:color w:val="auto"/>
        </w:rPr>
      </w:pPr>
      <w:r>
        <w:rPr>
          <w:rFonts w:ascii="Arial" w:cs="Arial" w:eastAsia="Arial" w:hAnsi="Arial"/>
          <w:sz w:val="17"/>
          <w:szCs w:val="17"/>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147"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Company shall not at any time permit the Consolidated Global Liquidity to be less than $4 billion or the Consolidated Domestic Liquidity to be less than $2 billion.</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Indebtedness</w:t>
      </w:r>
      <w:r>
        <w:rPr>
          <w:rFonts w:ascii="Arial" w:cs="Arial" w:eastAsia="Arial" w:hAnsi="Arial"/>
          <w:sz w:val="18"/>
          <w:szCs w:val="18"/>
          <w:color w:val="auto"/>
        </w:rPr>
        <w:t>. The Company shall not, and shall not permit any Principal Domestic Subsidiary to, incur Indebtedness that is secured by a Lien on any Previously Pledged Assets other than (A) Indebtedness secured by Permitted Liens on such Previously Pledged Assets and (B) Indebtedness secured by Liens on such Previously Pledged Assets, in an aggregate principal amount, the Dollar Equivalent of which, at the time of the incurrence thereof, does not exceed 7.5% of Consolidated Tangible Assets.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4" w:right="259" w:bottom="1440" w:gutter="0" w:footer="0" w:header="0"/>
        </w:sectPr>
      </w:pPr>
    </w:p>
    <w:bookmarkStart w:id="92" w:name="page93"/>
    <w:bookmarkEnd w:id="92"/>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7.3 </w:t>
      </w:r>
      <w:r>
        <w:rPr>
          <w:rFonts w:ascii="Arial" w:cs="Arial" w:eastAsia="Arial" w:hAnsi="Arial"/>
          <w:sz w:val="18"/>
          <w:szCs w:val="18"/>
          <w:u w:val="single" w:color="auto"/>
          <w:color w:val="auto"/>
        </w:rPr>
        <w:t>Asset Sale Restrictions</w:t>
      </w:r>
      <w:r>
        <w:rPr>
          <w:rFonts w:ascii="Arial" w:cs="Arial" w:eastAsia="Arial" w:hAnsi="Arial"/>
          <w:sz w:val="18"/>
          <w:szCs w:val="18"/>
          <w:color w:val="auto"/>
        </w:rPr>
        <w:t>.</w:t>
      </w:r>
    </w:p>
    <w:p>
      <w:pPr>
        <w:spacing w:after="0" w:line="225" w:lineRule="exact"/>
        <w:rPr>
          <w:sz w:val="20"/>
          <w:szCs w:val="20"/>
          <w:color w:val="auto"/>
        </w:rPr>
      </w:pPr>
    </w:p>
    <w:p>
      <w:pPr>
        <w:ind w:left="-20" w:right="200" w:firstLine="921"/>
        <w:spacing w:after="0" w:line="255" w:lineRule="auto"/>
        <w:tabs>
          <w:tab w:leader="none" w:pos="1137"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All or Substantially All</w:t>
      </w:r>
      <w:r>
        <w:rPr>
          <w:rFonts w:ascii="Arial" w:cs="Arial" w:eastAsia="Arial" w:hAnsi="Arial"/>
          <w:sz w:val="18"/>
          <w:szCs w:val="18"/>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any Reinstated Guarantee Period, any such transfer from a Subsidiary Guarantor shall be to another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notwithstanding the foregoing the Company or any of its Principal Domestic Subsidiaries may Dispose of all or any portion of an Excluded Subsidiary Business to one or more Excluded Subsidiaries.</w:t>
      </w:r>
    </w:p>
    <w:p>
      <w:pPr>
        <w:spacing w:after="0" w:line="189" w:lineRule="exact"/>
        <w:rPr>
          <w:rFonts w:ascii="Arial" w:cs="Arial" w:eastAsia="Arial" w:hAnsi="Arial"/>
          <w:sz w:val="18"/>
          <w:szCs w:val="18"/>
          <w:color w:val="auto"/>
        </w:rPr>
      </w:pPr>
    </w:p>
    <w:p>
      <w:pPr>
        <w:ind w:left="-20" w:right="160" w:firstLine="921"/>
        <w:spacing w:after="0" w:line="255" w:lineRule="auto"/>
        <w:tabs>
          <w:tab w:leader="none" w:pos="114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Principal Trade Names</w:t>
      </w:r>
      <w:r>
        <w:rPr>
          <w:rFonts w:ascii="Arial" w:cs="Arial" w:eastAsia="Arial" w:hAnsi="Arial"/>
          <w:sz w:val="18"/>
          <w:szCs w:val="18"/>
          <w:color w:val="auto"/>
        </w:rPr>
        <w:t xml:space="preserve">.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225" w:lineRule="exact"/>
        <w:rPr>
          <w:sz w:val="20"/>
          <w:szCs w:val="20"/>
          <w:color w:val="auto"/>
        </w:rPr>
      </w:pPr>
    </w:p>
    <w:p>
      <w:pPr>
        <w:ind w:left="-20" w:right="40" w:firstLine="921"/>
        <w:spacing w:after="0" w:line="269" w:lineRule="auto"/>
        <w:tabs>
          <w:tab w:leader="none" w:pos="113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79" w:lineRule="exact"/>
        <w:rPr>
          <w:rFonts w:ascii="Arial" w:cs="Arial" w:eastAsia="Arial" w:hAnsi="Arial"/>
          <w:sz w:val="17"/>
          <w:szCs w:val="17"/>
          <w:color w:val="auto"/>
        </w:rPr>
      </w:pPr>
    </w:p>
    <w:p>
      <w:pPr>
        <w:ind w:left="-20" w:firstLine="921"/>
        <w:spacing w:after="0" w:line="255" w:lineRule="auto"/>
        <w:tabs>
          <w:tab w:leader="none" w:pos="11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60" w:top="274" w:right="239" w:bottom="1440" w:gutter="0" w:footer="0" w:header="0"/>
        </w:sectPr>
      </w:pPr>
    </w:p>
    <w:bookmarkStart w:id="93" w:name="page94"/>
    <w:bookmarkEnd w:id="93"/>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4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and its Subsidiary Borrowers shall not, and shall not permit any of its Subsidiaries to, knowingly use the proceeds of the Loans or Letters of Credit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38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SECTION 8. EVENTS OF DEFAULT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117" w:lineRule="exact"/>
        <w:rPr>
          <w:sz w:val="20"/>
          <w:szCs w:val="20"/>
          <w:color w:val="auto"/>
        </w:rPr>
      </w:pPr>
    </w:p>
    <w:p>
      <w:pPr>
        <w:ind w:firstLine="921"/>
        <w:spacing w:after="0" w:line="273" w:lineRule="auto"/>
        <w:tabs>
          <w:tab w:leader="none" w:pos="115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any Borrower shall fail to pay (i) any principal of any Loan at maturity, (ii) any interest, Facility Fee or any Reimbursement Obligation hereunder or any fee owing pursuant to the L/C Fee Letter or any Brazilian Bank Certificate for a period of five Business Days after receipt of notice of such failure by such Borrower and the Company from the Administrative Agent and, in connection with payments in respect of the Brazilian Facility, the Brazilian Administrative Agent or (iii) any other amount due and payable under any Loan Document for 30 days after receipt of notice of such failure by such Borrower and the Company from the Administrative Agent and, in connection with payments in respect of the Brazilian Facility, the Brazilian Administrative Agent (other than, in the case of amounts in this clause (iii), any such amount being disputed by the Company in good faith); or</w:t>
      </w:r>
    </w:p>
    <w:p>
      <w:pPr>
        <w:spacing w:after="0" w:line="178" w:lineRule="exact"/>
        <w:rPr>
          <w:rFonts w:ascii="Arial" w:cs="Arial" w:eastAsia="Arial" w:hAnsi="Arial"/>
          <w:sz w:val="17"/>
          <w:szCs w:val="17"/>
          <w:color w:val="auto"/>
        </w:rPr>
      </w:pPr>
    </w:p>
    <w:p>
      <w:pPr>
        <w:ind w:right="420" w:firstLine="921"/>
        <w:spacing w:after="0" w:line="342" w:lineRule="auto"/>
        <w:tabs>
          <w:tab w:leader="none" w:pos="116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23" w:lineRule="exact"/>
        <w:rPr>
          <w:rFonts w:ascii="Arial" w:cs="Arial" w:eastAsia="Arial" w:hAnsi="Arial"/>
          <w:sz w:val="16"/>
          <w:szCs w:val="16"/>
          <w:color w:val="auto"/>
        </w:rPr>
      </w:pPr>
    </w:p>
    <w:p>
      <w:pPr>
        <w:ind w:right="80" w:firstLine="921"/>
        <w:spacing w:after="0" w:line="259" w:lineRule="auto"/>
        <w:tabs>
          <w:tab w:leader="none" w:pos="115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to Section 7.4 and 7.5) or in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186" w:lineRule="exact"/>
        <w:rPr>
          <w:rFonts w:ascii="Arial" w:cs="Arial" w:eastAsia="Arial" w:hAnsi="Arial"/>
          <w:sz w:val="18"/>
          <w:szCs w:val="18"/>
          <w:color w:val="auto"/>
        </w:rPr>
      </w:pPr>
    </w:p>
    <w:p>
      <w:pPr>
        <w:ind w:right="60" w:firstLine="921"/>
        <w:spacing w:after="0" w:line="291" w:lineRule="auto"/>
        <w:tabs>
          <w:tab w:leader="none" w:pos="116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w:t>
      </w:r>
    </w:p>
    <w:p>
      <w:pPr>
        <w:ind w:right="140" w:firstLine="8"/>
        <w:spacing w:after="0" w:line="253" w:lineRule="auto"/>
        <w:tabs>
          <w:tab w:leader="none" w:pos="2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274" w:right="279" w:bottom="1440" w:gutter="0" w:footer="0" w:header="0"/>
        </w:sectPr>
      </w:pPr>
    </w:p>
    <w:bookmarkStart w:id="94" w:name="page95"/>
    <w:bookmarkEnd w:id="94"/>
    <w:p>
      <w:pPr>
        <w:ind w:firstLine="921"/>
        <w:spacing w:after="0" w:line="272" w:lineRule="auto"/>
        <w:tabs>
          <w:tab w:leader="none" w:pos="1158" w:val="left"/>
        </w:tabs>
        <w:numPr>
          <w:ilvl w:val="0"/>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77" w:lineRule="exact"/>
        <w:rPr>
          <w:rFonts w:ascii="Arial" w:cs="Arial" w:eastAsia="Arial" w:hAnsi="Arial"/>
          <w:sz w:val="17"/>
          <w:szCs w:val="17"/>
          <w:color w:val="auto"/>
        </w:rPr>
      </w:pPr>
    </w:p>
    <w:p>
      <w:pPr>
        <w:ind w:left="1140" w:hanging="219"/>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occurrence of an ERISA Default; or</w:t>
      </w:r>
    </w:p>
    <w:p>
      <w:pPr>
        <w:spacing w:after="0" w:line="225" w:lineRule="exact"/>
        <w:rPr>
          <w:rFonts w:ascii="Arial" w:cs="Arial" w:eastAsia="Arial" w:hAnsi="Arial"/>
          <w:sz w:val="18"/>
          <w:szCs w:val="18"/>
          <w:color w:val="auto"/>
        </w:rPr>
      </w:pPr>
    </w:p>
    <w:p>
      <w:pPr>
        <w:ind w:right="100" w:firstLine="921"/>
        <w:spacing w:after="0" w:line="259" w:lineRule="auto"/>
        <w:tabs>
          <w:tab w:leader="none" w:pos="116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86"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Guarantee of the Company or, during any Reinstated Guarantee Period, any Subsidiary Guarantor shall cease to be in full force and effect (other than pursuant to or as provided by the terms hereof or any other Loan Document); or</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then, and in any such event, (A) if such event is an Event of Default specified in paragraph (e) above with respect to the Company, automatically the Commitments and Ancillary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and all of the amounts outstanding under the Ancillary Facilities shall immediately become due and payable, and (B) if such event is any other Event of Default, either or both of the following actions may be taken:</w:t>
      </w:r>
    </w:p>
    <w:p>
      <w:pPr>
        <w:spacing w:after="0" w:line="2" w:lineRule="exact"/>
        <w:rPr>
          <w:sz w:val="20"/>
          <w:szCs w:val="20"/>
          <w:color w:val="auto"/>
        </w:rPr>
      </w:pPr>
    </w:p>
    <w:p>
      <w:pPr>
        <w:ind w:right="120" w:firstLine="8"/>
        <w:spacing w:after="0" w:line="268" w:lineRule="auto"/>
        <w:tabs>
          <w:tab w:leader="none" w:pos="21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with the consent of the Required Lenders, the Administrative Agent may, or upon the request of the Required Lenders, the Administrative Agent shall, by notice to the Company declare the Commitments and Ancillary Commitments to be terminated forthwith, whereupon the Commitments and Ancillary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and all of the amounts outstanding under the Ancillary Facilities to be due and payable forthwith, whereupon the same shall immediately become due 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 equal to 100% of the aggregate then undrawn and unexpired amount of such Letters of Credit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95" w:name="page96"/>
    <w:bookmarkEnd w:id="9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(calculated, in the case of Letters of Credit denominated in Optional Currencies, at the Dollar Equivalent thereof on the date of acceleration).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 THE AGENTS</w:t>
      </w:r>
    </w:p>
    <w:p>
      <w:pPr>
        <w:spacing w:after="0" w:line="225" w:lineRule="exact"/>
        <w:rPr>
          <w:sz w:val="20"/>
          <w:szCs w:val="20"/>
          <w:color w:val="auto"/>
        </w:rPr>
      </w:pPr>
    </w:p>
    <w:p>
      <w:pPr>
        <w:ind w:right="80" w:firstLine="913"/>
        <w:spacing w:after="0" w:line="26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Appointment</w:t>
      </w:r>
      <w:r>
        <w:rPr>
          <w:rFonts w:ascii="Arial" w:cs="Arial" w:eastAsia="Arial" w:hAnsi="Arial"/>
          <w:sz w:val="17"/>
          <w:szCs w:val="17"/>
          <w:color w:val="auto"/>
        </w:rPr>
        <w:t>. Each Lender hereby irrevocably designates and appoints the Administrative Agent and the Brazilian Administrative Agent, as applicable, as the agents of such Lender under this Agreement, the other Loan Documents and (in the case of the Brazilian Administrative Agent) the Brazilian Intercreditor Agreement, and each such Lender irrevocably authorizes the Administrative Agent and the Brazilian Administrative Agent, in such capacities, to take such action on its behalf under the provisions of this Agreement, the other Loan Documents and the Brazilian Intercreditor Agreement and to exercise such powers and perform such duties as are expressly delegated to the Administrative Agent or the Brazilian Administrative Agent, as applicable, by the terms of this Agreement, the other Loan Documents and the Brazilian Intercreditor Agreement, together with such other powers as are reasonably incidental thereto. Notwithstanding any provision to the contrary elsewhere in this Agreement, neither the Administrative Agent nor the Brazilian Administrative Agent shall have any duties or responsibilities, except those expressly set forth herein or in any other Loan Document or the Brazilian Intercreditor Agreement, or any fiduciary relationship with any Lender, and no implied covenants, functions, responsibilities, duties, obligations or liabilities shall be read into this Agreement, any other Loan Document or the Brazilian Intercreditor Agreement or otherwise exist against the Administrative Agent or the Brazilian Administrative Agent.</w:t>
      </w:r>
    </w:p>
    <w:p>
      <w:pPr>
        <w:spacing w:after="0" w:line="183" w:lineRule="exact"/>
        <w:rPr>
          <w:sz w:val="20"/>
          <w:szCs w:val="20"/>
          <w:color w:val="auto"/>
        </w:rPr>
      </w:pPr>
    </w:p>
    <w:p>
      <w:pPr>
        <w:ind w:right="220" w:firstLine="913"/>
        <w:spacing w:after="0" w:line="286"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Each Agent may execute any of its duties under this Agreement, the other Loan Documents and the Brazilian Intercreditor Agreement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66"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attorneys-in-fact or affiliates shall be (i) liable for any action lawfully taken or omitted to be taken by it or such Person under or in connection with this Agreement, any other Loan Document or the Brazilian Intercreditor Agreement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any other Loan Document or the Brazilian Intercreditor Agreement or for any failure of any Loan Party a party hereto or thereto to perform its obligations hereunder or thereunder. The Agents shall not be under any obligation to any Lender to ascertain or to inquire as to the observance or performance of any of the agreements contained in, or conditions of, this Agreement, any other Loan Document or the Brazilian Intercreditor Agreement, or to inspect the properties, books or records of any Loan Party.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4" w:right="259" w:bottom="1440" w:gutter="0" w:footer="0" w:header="0"/>
        </w:sectPr>
      </w:pPr>
    </w:p>
    <w:bookmarkStart w:id="96" w:name="page97"/>
    <w:bookmarkEnd w:id="96"/>
    <w:p>
      <w:pPr>
        <w:ind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9.4 </w:t>
      </w:r>
      <w:r>
        <w:rPr>
          <w:rFonts w:ascii="Arial" w:cs="Arial" w:eastAsia="Arial" w:hAnsi="Arial"/>
          <w:sz w:val="17"/>
          <w:szCs w:val="17"/>
          <w:u w:val="single" w:color="auto"/>
          <w:color w:val="auto"/>
        </w:rPr>
        <w:t>Reliance by Administrative Agent and the Brazilian Administrative Agent</w:t>
      </w:r>
      <w:r>
        <w:rPr>
          <w:rFonts w:ascii="Arial" w:cs="Arial" w:eastAsia="Arial" w:hAnsi="Arial"/>
          <w:sz w:val="17"/>
          <w:szCs w:val="17"/>
          <w:color w:val="auto"/>
        </w:rPr>
        <w:t>. Each of the Administrative Agent and the Brazilian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or the Brazilian Administrative Agent, as applicable. The Administrative Agent and the Brazilian Administrative Agent may deem and treat the payee of any Note as the owner thereof for all purposes unless a written notice of assignment, negotiation or transfer thereof shall have been filed with the Administrative Agent. The Administrative Agent and the Brazilian Administrative Agent shall be fully justified in failing or refusing to take any action under this Agreement, any other Loan Document or the Brazilian Intercreditor Agreement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and the Brazilian Administrative Agent shall in all cases be fully protected in acting, or in refraining from acting, under this Agreement, the other Loan Documents and the Brazilian Intercreditor Agreement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8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Notice of Default</w:t>
      </w:r>
      <w:r>
        <w:rPr>
          <w:rFonts w:ascii="Arial" w:cs="Arial" w:eastAsia="Arial" w:hAnsi="Arial"/>
          <w:sz w:val="17"/>
          <w:szCs w:val="17"/>
          <w:color w:val="auto"/>
        </w:rPr>
        <w:t xml:space="preserve">. Neither the Administrative Agent nor the Brazilian Administrative Agent shall be deemed to have knowledge or notice of the occurrence of any Default or Event of Default unless the Administrative Agent or the Brazilian Administrative Agent, as applicable, has received notice from a Lender or the Company referring to this Agreement, describing such Default or Event of Default and stating that such notice is a “notice of default.” In the event that the Administrative Agent or the Brazilian Administrative Agent receives such a notice, the Administrative Agent or the Brazilian Administrative Agent, as applicable, shall give notice thereof to the Lenders as soon as practicable thereafter. The Administrative Agent and the Brazilian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and until the Administrative Agent or the Brazilian Administrative Agent, as applicable, shall have received such directions, each of the Administrative Agent and the Brazilian Administrative Agent may (but shall not be obligated to) take such action, or refrain from taking such action, with respect to such Default or Event of Default as it shall deem advisable in the best interests of the Lenders.</w:t>
      </w:r>
    </w:p>
    <w:p>
      <w:pPr>
        <w:spacing w:after="0" w:line="178"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none of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74" w:right="259" w:bottom="1440" w:gutter="0" w:footer="0" w:header="0"/>
        </w:sectPr>
      </w:pPr>
    </w:p>
    <w:bookmarkStart w:id="97" w:name="page98"/>
    <w:bookmarkEnd w:id="97"/>
    <w:p>
      <w:pPr>
        <w:ind w:right="1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the other Loan Documents and the Brazilian Intercreditor Agreement,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or the Brazilian Administrative Agent, as applicable, hereunder, neither the Administrative Agent nor the Brazilian Administrative Agent shall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the Brazilian Administrative Agent or any of their respective officers, directors, employees, agents, attorneys-in-fact or affiliates.</w:t>
      </w:r>
    </w:p>
    <w:p>
      <w:pPr>
        <w:spacing w:after="0" w:line="16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The Lenders agree to indemnify each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the Brazilian Intercreditor Agreement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9.7 shall survive the payment of the Loans and all other amounts payable hereunder.</w:t>
      </w:r>
    </w:p>
    <w:p>
      <w:pPr>
        <w:spacing w:after="0" w:line="18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as though such Agent were not an Agent. With respect to its Loans made or renewed by it, any Letter of Credit issued or participated in by it and any other extension of credit made by it hereunder, each Agent shall have the same rights and powers under this Agreement, the other Loan Documents and the Brazilian Intercreditor Agreement as any Lender and may exercise the same as though it were not an Agent, and the terms “Lender” and “Lenders” shall include each Agent in its individual capacity.</w:t>
      </w:r>
    </w:p>
    <w:p>
      <w:pPr>
        <w:spacing w:after="0" w:line="188"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98" w:name="page99"/>
    <w:bookmarkEnd w:id="9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83" w:lineRule="exact"/>
        <w:rPr>
          <w:sz w:val="20"/>
          <w:szCs w:val="20"/>
          <w:color w:val="auto"/>
        </w:rPr>
      </w:pPr>
    </w:p>
    <w:p>
      <w:pPr>
        <w:ind w:right="400" w:firstLine="913"/>
        <w:spacing w:after="0" w:line="291"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Replacement of Brazilian Administrative Agent.</w:t>
      </w:r>
      <w:r>
        <w:rPr>
          <w:rFonts w:ascii="Arial" w:cs="Arial" w:eastAsia="Arial" w:hAnsi="Arial"/>
          <w:sz w:val="16"/>
          <w:szCs w:val="16"/>
          <w:color w:val="auto"/>
        </w:rPr>
        <w:t xml:space="preserve"> The Company may replace the Brazilian Administrative Agent, upon 30 days’ written notice to the Brazilian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any proposed successor agent shall require the consent of (x) the Administrative Agent and</w:t>
      </w:r>
    </w:p>
    <w:p>
      <w:pPr>
        <w:ind w:right="80" w:firstLine="8"/>
        <w:spacing w:after="0" w:line="268" w:lineRule="auto"/>
        <w:tabs>
          <w:tab w:leader="none" w:pos="25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Brazilian Lenders (or, if there are more than two Brazilian Lenders at such time, the Majority Facility Lenders under the Brazilian Facility), whereupon such successor agent shall succeed to the rights, powers and duties of the Brazilian Administrative Agent, and the term “Brazilian Administrative Agent” shall mean such successor agent effective upon such appointment and approval, and the former Brazilian Administrative Agent’s rights, powers and duties as Brazilian Administrative Agent shall be terminated, without any other or further act or deed on the part of such former Brazilian Administrative Agent or any of the parties to this Agreement or any holders of the Loans. Upon such replacement, such successor Brazilian Administrative Agent shall thereupon succeed to and become vested with all the rights, powers, privileges and duties of the retiring Brazilian Administrative Agent, and the replaced Brazilian Administrative Agent shall be discharged from its duties and obligations under this Agreement. After any retiring Brazilian Administrative Agent’s resignation as Brazilian Administrative Agent, the provisions of this Section 9 shall inure to its benefit as to any actions taken or omitted to be taken by it while it was Brazilian Administrative Agent under this Agreement and the other Loan Documents.</w:t>
      </w:r>
    </w:p>
    <w:p>
      <w:pPr>
        <w:spacing w:after="0" w:line="18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Bookrunners, Lead Arrangers, Global and Regional Coordinators, Documentation Agents, Syndication Agent and Co-Syndication Agent</w:t>
      </w:r>
      <w:r>
        <w:rPr>
          <w:rFonts w:ascii="Arial" w:cs="Arial" w:eastAsia="Arial" w:hAnsi="Arial"/>
          <w:sz w:val="18"/>
          <w:szCs w:val="18"/>
          <w:color w:val="auto"/>
        </w:rPr>
        <w: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Arial" w:cs="Arial" w:eastAsia="Arial" w:hAnsi="Arial"/>
          <w:sz w:val="18"/>
          <w:szCs w:val="18"/>
          <w:u w:val="single" w:color="auto"/>
          <w:color w:val="auto"/>
        </w:rPr>
        <w:t>Arrangers</w:t>
      </w:r>
      <w:r>
        <w:rPr>
          <w:rFonts w:ascii="Arial" w:cs="Arial" w:eastAsia="Arial" w:hAnsi="Arial"/>
          <w:sz w:val="18"/>
          <w:szCs w:val="18"/>
          <w:color w:val="auto"/>
        </w:rPr>
        <w:t>”) shall have any duties or responsibilities under this Agreement, the other Loan Documents or the Brazilian Intercreditor Agreement in their respective capacities as such, nor shall the consent of any such Person, in its capacity as such, be required for any amendment, modification or supplement to this Agreement, any other Loan Document or the Brazilian Intercreditor Agreement.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Certain ERISA Matters</w:t>
      </w:r>
      <w:r>
        <w:rPr>
          <w:rFonts w:ascii="Arial" w:cs="Arial" w:eastAsia="Arial" w:hAnsi="Arial"/>
          <w:sz w:val="16"/>
          <w:szCs w:val="16"/>
          <w:color w:val="auto"/>
        </w:rPr>
        <w:t>. (a) Each Lender (x) represents and warrants, as of the date such Person became a Lender party hereto, to, and</w:t>
      </w:r>
    </w:p>
    <w:p>
      <w:pPr>
        <w:spacing w:after="0" w:line="46" w:lineRule="exact"/>
        <w:rPr>
          <w:sz w:val="20"/>
          <w:szCs w:val="20"/>
          <w:color w:val="auto"/>
        </w:rPr>
      </w:pPr>
    </w:p>
    <w:p>
      <w:pPr>
        <w:ind w:right="140" w:firstLine="8"/>
        <w:spacing w:after="0" w:line="255" w:lineRule="auto"/>
        <w:tabs>
          <w:tab w:leader="none" w:pos="2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 at least one of the following is and will be true:</w:t>
      </w:r>
    </w:p>
    <w:p>
      <w:pPr>
        <w:spacing w:after="0" w:line="82" w:lineRule="exact"/>
        <w:rPr>
          <w:rFonts w:ascii="Arial" w:cs="Arial" w:eastAsia="Arial" w:hAnsi="Arial"/>
          <w:sz w:val="18"/>
          <w:szCs w:val="18"/>
          <w:color w:val="auto"/>
        </w:rPr>
      </w:pPr>
    </w:p>
    <w:p>
      <w:pPr>
        <w:ind w:left="920" w:right="240" w:firstLine="421"/>
        <w:spacing w:after="0" w:line="277" w:lineRule="auto"/>
        <w:tabs>
          <w:tab w:leader="none" w:pos="155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Letters of Credit or the Commitments,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99" w:name="page100"/>
    <w:bookmarkEnd w:id="99"/>
    <w:p>
      <w:pPr>
        <w:ind w:left="900" w:right="100" w:firstLine="421"/>
        <w:spacing w:after="0" w:line="273" w:lineRule="auto"/>
        <w:tabs>
          <w:tab w:leader="none" w:pos="1585" w:val="left"/>
        </w:tabs>
        <w:numPr>
          <w:ilvl w:val="1"/>
          <w:numId w:val="1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0" w:lineRule="exact"/>
        <w:rPr>
          <w:rFonts w:ascii="Arial" w:cs="Arial" w:eastAsia="Arial" w:hAnsi="Arial"/>
          <w:sz w:val="17"/>
          <w:szCs w:val="17"/>
          <w:color w:val="auto"/>
        </w:rPr>
      </w:pPr>
    </w:p>
    <w:p>
      <w:pPr>
        <w:ind w:left="900" w:right="80" w:firstLine="421"/>
        <w:spacing w:after="0" w:line="255" w:lineRule="auto"/>
        <w:tabs>
          <w:tab w:leader="none" w:pos="163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1" w:lineRule="exact"/>
        <w:rPr>
          <w:rFonts w:ascii="Arial" w:cs="Arial" w:eastAsia="Arial" w:hAnsi="Arial"/>
          <w:sz w:val="18"/>
          <w:szCs w:val="18"/>
          <w:color w:val="auto"/>
        </w:rPr>
      </w:pPr>
    </w:p>
    <w:p>
      <w:pPr>
        <w:ind w:left="900" w:right="80" w:firstLine="421"/>
        <w:spacing w:after="0" w:line="277" w:lineRule="auto"/>
        <w:tabs>
          <w:tab w:leader="none" w:pos="162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20" w:right="60" w:firstLine="921"/>
        <w:spacing w:after="0" w:line="257" w:lineRule="auto"/>
        <w:tabs>
          <w:tab w:leader="none" w:pos="114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w:t>
      </w:r>
    </w:p>
    <w:p>
      <w:pPr>
        <w:spacing w:after="0" w:line="80" w:lineRule="exact"/>
        <w:rPr>
          <w:rFonts w:ascii="Arial" w:cs="Arial" w:eastAsia="Arial" w:hAnsi="Arial"/>
          <w:sz w:val="18"/>
          <w:szCs w:val="18"/>
          <w:color w:val="auto"/>
        </w:rPr>
      </w:pPr>
    </w:p>
    <w:p>
      <w:pPr>
        <w:jc w:val="both"/>
        <w:ind w:left="900" w:right="740" w:firstLine="421"/>
        <w:spacing w:after="0" w:line="264" w:lineRule="auto"/>
        <w:tabs>
          <w:tab w:leader="none" w:pos="153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none of the Agents, or any Arranger or any of their respective Affiliates is a fiduciary with respect to the assets of such Lender (including in connection with the reservation or exercise of any rights by the Agents under this Agreement, any Loan Document or any documents related to hereto or thereto),</w:t>
      </w:r>
    </w:p>
    <w:p>
      <w:pPr>
        <w:spacing w:after="0" w:line="73" w:lineRule="exact"/>
        <w:rPr>
          <w:rFonts w:ascii="Arial" w:cs="Arial" w:eastAsia="Arial" w:hAnsi="Arial"/>
          <w:sz w:val="18"/>
          <w:szCs w:val="18"/>
          <w:color w:val="auto"/>
        </w:rPr>
      </w:pPr>
    </w:p>
    <w:p>
      <w:pPr>
        <w:ind w:left="900" w:firstLine="421"/>
        <w:spacing w:after="0" w:line="291" w:lineRule="auto"/>
        <w:tabs>
          <w:tab w:leader="none" w:pos="158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w:t>
      </w:r>
    </w:p>
    <w:p>
      <w:pPr>
        <w:ind w:left="900"/>
        <w:spacing w:after="0" w:line="323" w:lineRule="auto"/>
        <w:rPr>
          <w:rFonts w:ascii="Arial" w:cs="Arial" w:eastAsia="Arial" w:hAnsi="Arial"/>
          <w:sz w:val="16"/>
          <w:szCs w:val="16"/>
          <w:color w:val="auto"/>
        </w:rPr>
      </w:pPr>
      <w:r>
        <w:rPr>
          <w:rFonts w:ascii="Arial" w:cs="Arial" w:eastAsia="Arial" w:hAnsi="Arial"/>
          <w:sz w:val="16"/>
          <w:szCs w:val="16"/>
          <w:color w:val="auto"/>
        </w:rPr>
        <w:t>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60" w:top="274" w:right="259" w:bottom="1440" w:gutter="0" w:footer="0" w:header="0"/>
        </w:sectPr>
      </w:pPr>
    </w:p>
    <w:bookmarkStart w:id="100" w:name="page101"/>
    <w:bookmarkEnd w:id="100"/>
    <w:p>
      <w:pPr>
        <w:ind w:left="920" w:right="160" w:firstLine="421"/>
        <w:spacing w:after="0" w:line="312" w:lineRule="auto"/>
        <w:tabs>
          <w:tab w:leader="none" w:pos="1655" w:val="left"/>
        </w:tabs>
        <w:numPr>
          <w:ilvl w:val="1"/>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38" w:lineRule="exact"/>
        <w:rPr>
          <w:rFonts w:ascii="Arial" w:cs="Arial" w:eastAsia="Arial" w:hAnsi="Arial"/>
          <w:sz w:val="16"/>
          <w:szCs w:val="16"/>
          <w:color w:val="auto"/>
        </w:rPr>
      </w:pPr>
    </w:p>
    <w:p>
      <w:pPr>
        <w:jc w:val="both"/>
        <w:ind w:left="920" w:right="80" w:firstLine="421"/>
        <w:spacing w:after="0" w:line="259" w:lineRule="auto"/>
        <w:tabs>
          <w:tab w:leader="none" w:pos="164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78" w:lineRule="exact"/>
        <w:rPr>
          <w:rFonts w:ascii="Arial" w:cs="Arial" w:eastAsia="Arial" w:hAnsi="Arial"/>
          <w:sz w:val="18"/>
          <w:szCs w:val="18"/>
          <w:color w:val="auto"/>
        </w:rPr>
      </w:pPr>
    </w:p>
    <w:p>
      <w:pPr>
        <w:ind w:left="920" w:right="440" w:firstLine="421"/>
        <w:spacing w:after="0" w:line="342" w:lineRule="auto"/>
        <w:tabs>
          <w:tab w:leader="none" w:pos="1595" w:val="left"/>
        </w:tabs>
        <w:numPr>
          <w:ilvl w:val="1"/>
          <w:numId w:val="135"/>
        </w:numPr>
        <w:rPr>
          <w:rFonts w:ascii="Arial" w:cs="Arial" w:eastAsia="Arial" w:hAnsi="Arial"/>
          <w:sz w:val="16"/>
          <w:szCs w:val="16"/>
          <w:color w:val="auto"/>
        </w:rPr>
      </w:pPr>
      <w:r>
        <w:rPr>
          <w:rFonts w:ascii="Arial" w:cs="Arial" w:eastAsia="Arial" w:hAnsi="Arial"/>
          <w:sz w:val="16"/>
          <w:szCs w:val="16"/>
          <w:color w:val="auto"/>
        </w:rPr>
        <w:t>no fee or other compensation is being paid directly to the Agents, or any Arranger or any their respective Affiliates for investment advice (as opposed to other services) in connection with the Loans, the Letters of Credit, the Commitments or this Agreement.</w:t>
      </w:r>
    </w:p>
    <w:p>
      <w:pPr>
        <w:spacing w:after="0" w:line="123" w:lineRule="exact"/>
        <w:rPr>
          <w:rFonts w:ascii="Arial" w:cs="Arial" w:eastAsia="Arial" w:hAnsi="Arial"/>
          <w:sz w:val="16"/>
          <w:szCs w:val="16"/>
          <w:color w:val="auto"/>
        </w:rPr>
      </w:pPr>
    </w:p>
    <w:p>
      <w:pPr>
        <w:ind w:firstLine="921"/>
        <w:spacing w:after="0" w:line="270" w:lineRule="auto"/>
        <w:tabs>
          <w:tab w:leader="none" w:pos="115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Agents,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 MISCELLANEOUS</w:t>
      </w:r>
    </w:p>
    <w:p>
      <w:pPr>
        <w:spacing w:after="0" w:line="225"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 Subject to Section 2.18,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L/C Fee Letter, the Brazilian Intercreditor Agreement and the Brazilian Bank Certificates shall be amended, modified, or supplemented in accordance with their individual terms and shall not be subject to the provisions of this Section 10.1 and (ii)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Agents, the Issuing Lenders, the Lenders or of the Loan Parties hereunder 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74" w:right="259" w:bottom="1440" w:gutter="0" w:footer="0" w:header="0"/>
        </w:sectPr>
      </w:pPr>
    </w:p>
    <w:bookmarkStart w:id="101" w:name="page102"/>
    <w:bookmarkEnd w:id="101"/>
    <w:p>
      <w:pPr>
        <w:ind w:right="3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waiver and no such amendment, supplement or modification shall:</w:t>
      </w:r>
    </w:p>
    <w:p>
      <w:pPr>
        <w:spacing w:after="0" w:line="39" w:lineRule="exact"/>
        <w:rPr>
          <w:sz w:val="20"/>
          <w:szCs w:val="20"/>
          <w:color w:val="auto"/>
        </w:rPr>
      </w:pPr>
    </w:p>
    <w:p>
      <w:pPr>
        <w:ind w:left="920" w:firstLine="421"/>
        <w:spacing w:after="0" w:line="297" w:lineRule="auto"/>
        <w:tabs>
          <w:tab w:leader="none" w:pos="163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50" w:lineRule="exact"/>
        <w:rPr>
          <w:rFonts w:ascii="Arial" w:cs="Arial" w:eastAsia="Arial" w:hAnsi="Arial"/>
          <w:sz w:val="16"/>
          <w:szCs w:val="16"/>
          <w:color w:val="auto"/>
        </w:rPr>
      </w:pPr>
    </w:p>
    <w:p>
      <w:pPr>
        <w:ind w:left="1620" w:hanging="279"/>
        <w:spacing w:after="0"/>
        <w:tabs>
          <w:tab w:leader="none" w:pos="16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eliminate or reduce the voting rights of any Lender under this Section 10.1 without the written consent of such Lender;</w:t>
      </w:r>
    </w:p>
    <w:p>
      <w:pPr>
        <w:spacing w:after="0" w:line="117" w:lineRule="exact"/>
        <w:rPr>
          <w:rFonts w:ascii="Arial" w:cs="Arial" w:eastAsia="Arial" w:hAnsi="Arial"/>
          <w:sz w:val="18"/>
          <w:szCs w:val="18"/>
          <w:color w:val="auto"/>
        </w:rPr>
      </w:pPr>
    </w:p>
    <w:p>
      <w:pPr>
        <w:jc w:val="both"/>
        <w:ind w:left="920" w:right="40" w:firstLine="421"/>
        <w:spacing w:after="0" w:line="302" w:lineRule="auto"/>
        <w:tabs>
          <w:tab w:leader="none" w:pos="162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46" w:lineRule="exact"/>
        <w:rPr>
          <w:rFonts w:ascii="Arial" w:cs="Arial" w:eastAsia="Arial" w:hAnsi="Arial"/>
          <w:sz w:val="16"/>
          <w:szCs w:val="16"/>
          <w:color w:val="auto"/>
        </w:rPr>
      </w:pPr>
    </w:p>
    <w:p>
      <w:pPr>
        <w:ind w:left="1640" w:hanging="299"/>
        <w:spacing w:after="0"/>
        <w:tabs>
          <w:tab w:leader="none" w:pos="1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without the written consent of all Lenders;</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61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Majority Facility Lenders with respect to any Facility without the written consent of all Lenders under such Facility;</w:t>
      </w:r>
    </w:p>
    <w:p>
      <w:pPr>
        <w:spacing w:after="0" w:line="62" w:lineRule="exact"/>
        <w:rPr>
          <w:rFonts w:ascii="Arial" w:cs="Arial" w:eastAsia="Arial" w:hAnsi="Arial"/>
          <w:sz w:val="18"/>
          <w:szCs w:val="18"/>
          <w:color w:val="auto"/>
        </w:rPr>
      </w:pPr>
    </w:p>
    <w:p>
      <w:pPr>
        <w:ind w:left="920" w:right="140" w:firstLine="421"/>
        <w:spacing w:after="0" w:line="342" w:lineRule="auto"/>
        <w:tabs>
          <w:tab w:leader="none" w:pos="160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amend, modify or waive any provision of Section 9 in a manner adverse to (i) the Administrative Agent without the written consent of the Administrative Agent or (ii) the Brazilian Administrative Agent without the written consent of the Brazilian Administrative Agent;</w:t>
      </w:r>
    </w:p>
    <w:p>
      <w:pPr>
        <w:spacing w:after="0" w:line="15" w:lineRule="exact"/>
        <w:rPr>
          <w:rFonts w:ascii="Arial" w:cs="Arial" w:eastAsia="Arial" w:hAnsi="Arial"/>
          <w:sz w:val="16"/>
          <w:szCs w:val="16"/>
          <w:color w:val="auto"/>
        </w:rPr>
      </w:pPr>
    </w:p>
    <w:p>
      <w:pPr>
        <w:ind w:left="920" w:right="500" w:firstLine="421"/>
        <w:spacing w:after="0" w:line="277" w:lineRule="auto"/>
        <w:tabs>
          <w:tab w:leader="none" w:pos="16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amend, modify or waive any provision of Section 3 in a manner adverse to an Issuing Lender without the written consent of such Issuing Lender;</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amend, modify or waive any provision of Section 2.19(a) or (b) without the written consent of each Lender adversely affected thereby;</w:t>
      </w:r>
    </w:p>
    <w:p>
      <w:pPr>
        <w:spacing w:after="0" w:line="140" w:lineRule="exact"/>
        <w:rPr>
          <w:rFonts w:ascii="Arial" w:cs="Arial" w:eastAsia="Arial" w:hAnsi="Arial"/>
          <w:sz w:val="16"/>
          <w:szCs w:val="16"/>
          <w:color w:val="auto"/>
        </w:rPr>
      </w:pPr>
    </w:p>
    <w:p>
      <w:pPr>
        <w:ind w:left="920" w:right="460" w:firstLine="421"/>
        <w:spacing w:after="0" w:line="277" w:lineRule="auto"/>
        <w:tabs>
          <w:tab w:leader="none" w:pos="156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affect the rights or duties of any Ancillary Lender, in a manner adverse to such Ancillary Lender, in its capacity as such, under this Agreement or any other Loan Document without the written consent of such Ancillary Lender; or</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add additional available currencies to any Facility without the written consent of each Lender directly affected thereby.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102" w:name="page103"/>
    <w:bookmarkEnd w:id="10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waiver and any such amendment, supplement or modification shall apply equally to each of the Lenders and shall be binding upon the Loan Parties, the Lenders, the Issuing Lenders, the Administrative Agent, the Brazilian Administrative Agent and all future holders of the Loans. In the case of any waiver, the Loan Parties, the Lenders, the Issuing Lenders, the Administrative Agent and the Brazilian Administrative Agent shall be restored to their former positions and rights hereunder and under the other Loan Documents and the Brazilian Intercreditor Agreement, and any Default or Event of Default waived shall be deemed to be cured and not continuing; but no such waiver shall extend to any subsequent or other Default or Event of Default, or impair any right consequent thereon.</w:t>
      </w:r>
    </w:p>
    <w:p>
      <w:pPr>
        <w:spacing w:after="0" w:line="193" w:lineRule="exact"/>
        <w:rPr>
          <w:sz w:val="20"/>
          <w:szCs w:val="20"/>
          <w:color w:val="auto"/>
        </w:rPr>
      </w:pPr>
    </w:p>
    <w:p>
      <w:pPr>
        <w:ind w:right="80" w:firstLine="921"/>
        <w:spacing w:after="0" w:line="287" w:lineRule="auto"/>
        <w:tabs>
          <w:tab w:leader="none" w:pos="116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Notwithstanding the foregoing paragraph (a), without the consent of the Required Lenders or any Issuing Lender, but subject to any consent required by paragraphs (A) through (J) above, (i) the terms of any Facility may be amended, modified or waived in any manner that does not adversely affect the rights or obligations of Lenders under any other Facility with the written consent of the Majority Facility Lenders in respect of such Facility and (ii) the Administrative Agent (on its own behalf and as agent on behalf of each Lender and Issuing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and Issuing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Arial" w:cs="Arial" w:eastAsia="Arial" w:hAnsi="Arial"/>
          <w:sz w:val="16"/>
          <w:szCs w:val="16"/>
          <w:u w:val="single" w:color="auto"/>
          <w:color w:val="auto"/>
        </w:rPr>
        <w:t>provided</w:t>
      </w:r>
      <w:r>
        <w:rPr>
          <w:rFonts w:ascii="Arial" w:cs="Arial" w:eastAsia="Arial" w:hAnsi="Arial"/>
          <w:sz w:val="16"/>
          <w:szCs w:val="16"/>
          <w:color w:val="auto"/>
        </w:rPr>
        <w:t>, that the Administrative Agent shall notify the Lenders and Issuing Lenders of any such amendment, modification, supplement or waiver consummated in accordance with this clause (ii) promptly after consummation thereof.</w:t>
      </w:r>
    </w:p>
    <w:p>
      <w:pPr>
        <w:spacing w:after="0" w:line="168" w:lineRule="exact"/>
        <w:rPr>
          <w:rFonts w:ascii="Arial" w:cs="Arial" w:eastAsia="Arial" w:hAnsi="Arial"/>
          <w:sz w:val="16"/>
          <w:szCs w:val="16"/>
          <w:color w:val="auto"/>
        </w:rPr>
      </w:pPr>
    </w:p>
    <w:p>
      <w:pPr>
        <w:ind w:firstLine="921"/>
        <w:spacing w:after="0" w:line="255" w:lineRule="auto"/>
        <w:tabs>
          <w:tab w:leader="none" w:pos="115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the avoidance of doubt it is understood that (i) any transaction permitted by Sections 2.11, 2.27, 2.28, 2.29 and 2.30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93"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62" w:lineRule="exact"/>
        <w:rPr>
          <w:sz w:val="20"/>
          <w:szCs w:val="20"/>
          <w:color w:val="auto"/>
        </w:rPr>
      </w:pPr>
    </w:p>
    <w:p>
      <w:pPr>
        <w:ind w:firstLine="921"/>
        <w:spacing w:after="0" w:line="272" w:lineRule="auto"/>
        <w:tabs>
          <w:tab w:leader="none" w:pos="112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to designate (v) any Domestic Subsidiary of the Company as a Domestic Subsidiary Borrower, (w) any Foreign Subsidiary incorporated under the laws of England and Wales or Sweden as a Foreign Subsidiary Borrower under the Multicurrency Facility and/or the L/C Tranche Facility, (x) any Foreign Subsidiary organized or domiciled under the laws of Canada, Germany or any other foreign jurisdiction, in each case with the consent of each Lender under either the Multicurrency Facility or the L/C Tranche Facility,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Lender may withhold such consent unless it is unable to make extensions of credit or provide Commitments to such Foreign Subsidiary pursuant to any Requirement of Law) and the Administrative Agent (not to be unreasonably withheld), as a Foreign Subsidiary Borrower under the Multicurrency Facility and/or the L/C Tranche Facility, (y) with the consent of the Brazilian Lenders, any Brazilian Subsidiary as a Brazilian Subsidiary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103" w:name="page104"/>
    <w:bookmarkEnd w:id="10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under the Brazilian Facility and (z) any other Foreign Subsidiary of the Company as a Foreign Subsidiary Borrower under a New Local Facility or any Incremental Facility upon (A) ten Business Days’ prior notice to the Administrative Agent (and, in the case of any additional Brazilian Subsidiary Borrower, the Brazilian Administrative Agent) (such notice to contain the name, primary business address and taxpayer identification number of such Subsidiary), (B) the execution and delivery by the Company, such Subsidiary and the Administrative Agent (and, in the case of any additional Brazilian Subsidiary Borrower, the Brazilian Administrative Agent) of a Borrower Joinder Agreement, providing for such Subsidiary to become a Subsidiary Borrower,</w:t>
      </w:r>
    </w:p>
    <w:p>
      <w:pPr>
        <w:spacing w:after="0" w:line="2" w:lineRule="exact"/>
        <w:rPr>
          <w:sz w:val="20"/>
          <w:szCs w:val="20"/>
          <w:color w:val="auto"/>
        </w:rPr>
      </w:pPr>
    </w:p>
    <w:p>
      <w:pPr>
        <w:ind w:right="40" w:firstLine="8"/>
        <w:spacing w:after="0" w:line="269" w:lineRule="auto"/>
        <w:tabs>
          <w:tab w:leader="none" w:pos="28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agreement and acknowledgment by the Company and, during any Reinstated Guarantee Period, each Subsidiary Guarantor, that the Guarantee covers the Obligations of such Subsidiary, (D) the delivery to the Administrative Agent (and, in the case of any new Brazilian Subsidiary Borrower, the Brazilian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(and, in the case of any new Brazilian Subsidiary Borrower, the Brazilian Administrative Agent) of any documentation or other information reasonably requested by the Administrative Agent (or the Brazilian Administrative Agent, as applicable) and necessary to satisfy obligations of the Lenders described in Section 10.18 or any applicable “know your customer” or other anti-money laundering Requirement of Law; and</w:t>
      </w:r>
    </w:p>
    <w:p>
      <w:pPr>
        <w:spacing w:after="0" w:line="180" w:lineRule="exact"/>
        <w:rPr>
          <w:rFonts w:ascii="Arial" w:cs="Arial" w:eastAsia="Arial" w:hAnsi="Arial"/>
          <w:sz w:val="17"/>
          <w:szCs w:val="17"/>
          <w:color w:val="auto"/>
        </w:rPr>
      </w:pPr>
    </w:p>
    <w:p>
      <w:pPr>
        <w:ind w:right="120" w:firstLine="921"/>
        <w:spacing w:after="0" w:line="272" w:lineRule="auto"/>
        <w:tabs>
          <w:tab w:leader="none" w:pos="1178"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to remove any Subsidiary as a Subsidiary Borrower upon (A) execution and delivery by the Company to the Administrative Agent of a written notification to such effect, (B) repayment 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78"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Notices</w:t>
      </w:r>
      <w:r>
        <w:rPr>
          <w:rFonts w:ascii="Arial" w:cs="Arial" w:eastAsia="Arial" w:hAnsi="Arial"/>
          <w:sz w:val="17"/>
          <w:szCs w:val="17"/>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the Brazilian Administrative Agent and the Administrative Agent, and as set forth in an administrative questionnaire delivered to the Administrative Agent and the Company in the case of the Lenders and Ancillary Lenders, or to such other address as may be hereafter notified by the respective parties hereto:</w:t>
      </w:r>
    </w:p>
    <w:p>
      <w:pPr>
        <w:sectPr>
          <w:pgSz w:w="11900" w:h="16838" w:orient="portrait"/>
          <w:cols w:equalWidth="0" w:num="1">
            <w:col w:w="11400"/>
          </w:cols>
          <w:pgMar w:left="240" w:top="274" w:right="25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Any Borrower: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482-C26-A68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43" w:lineRule="exact"/>
        <w:rPr>
          <w:sz w:val="20"/>
          <w:szCs w:val="20"/>
          <w:color w:val="auto"/>
        </w:rPr>
      </w:pPr>
    </w:p>
    <w:p>
      <w:pPr>
        <w:sectPr>
          <w:pgSz w:w="11900" w:h="16838" w:orient="portrait"/>
          <w:cols w:equalWidth="0" w:num="2">
            <w:col w:w="2620" w:space="720"/>
            <w:col w:w="806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274" w:right="25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7"/>
          <w:szCs w:val="17"/>
          <w:color w:val="auto"/>
        </w:rPr>
        <w:t>Any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-201295</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482-C26-A68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200" w:lineRule="exact"/>
        <w:rPr>
          <w:sz w:val="20"/>
          <w:szCs w:val="20"/>
          <w:color w:val="auto"/>
        </w:rPr>
      </w:pPr>
    </w:p>
    <w:p>
      <w:pPr>
        <w:sectPr>
          <w:pgSz w:w="11900" w:h="16838" w:orient="portrait"/>
          <w:cols w:equalWidth="0" w:num="2">
            <w:col w:w="2620" w:space="720"/>
            <w:col w:w="6879"/>
          </w:cols>
          <w:pgMar w:left="240" w:top="274" w:right="1440" w:bottom="1440" w:gutter="0" w:footer="0" w:header="0"/>
        </w:sectPr>
      </w:pPr>
    </w:p>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Assistant Treasurer</w:t>
      </w:r>
    </w:p>
    <w:p>
      <w:pPr>
        <w:spacing w:after="0" w:line="200" w:lineRule="exact"/>
        <w:rPr>
          <w:sz w:val="20"/>
          <w:szCs w:val="20"/>
          <w:color w:val="auto"/>
        </w:rPr>
      </w:pPr>
    </w:p>
    <w:p>
      <w:pPr>
        <w:sectPr>
          <w:pgSz w:w="11900" w:h="16838" w:orient="portrait"/>
          <w:cols w:equalWidth="0" w:num="2">
            <w:col w:w="2980" w:space="360"/>
            <w:col w:w="6879"/>
          </w:cols>
          <w:pgMar w:left="240" w:top="274" w:right="1440" w:bottom="1440" w:gutter="0" w:footer="0" w:header="0"/>
          <w:type w:val="continuous"/>
        </w:sectPr>
      </w:pP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482-C26-C18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Capital Markets</w:t>
      </w:r>
    </w:p>
    <w:p>
      <w:pPr>
        <w:spacing w:after="0" w:line="200" w:lineRule="exact"/>
        <w:rPr>
          <w:sz w:val="20"/>
          <w:szCs w:val="20"/>
          <w:color w:val="auto"/>
        </w:rPr>
      </w:pPr>
    </w:p>
    <w:p>
      <w:pPr>
        <w:sectPr>
          <w:pgSz w:w="11900" w:h="16838" w:orient="portrait"/>
          <w:cols w:equalWidth="0" w:num="2">
            <w:col w:w="2780" w:space="560"/>
            <w:col w:w="6879"/>
          </w:cols>
          <w:pgMar w:left="240" w:top="274" w:right="1440" w:bottom="1440" w:gutter="0" w:footer="0" w:header="0"/>
          <w:type w:val="continuous"/>
        </w:sectPr>
      </w:pP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482-C26-B98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Treasury Operations</w:t>
      </w:r>
    </w:p>
    <w:p>
      <w:pPr>
        <w:spacing w:after="0" w:line="200" w:lineRule="exact"/>
        <w:rPr>
          <w:sz w:val="20"/>
          <w:szCs w:val="20"/>
          <w:color w:val="auto"/>
        </w:rPr>
      </w:pPr>
    </w:p>
    <w:p>
      <w:pPr>
        <w:sectPr>
          <w:pgSz w:w="11900" w:h="16838" w:orient="portrait"/>
          <w:cols w:equalWidth="0" w:num="2">
            <w:col w:w="2780" w:space="560"/>
            <w:col w:w="6879"/>
          </w:cols>
          <w:pgMar w:left="240" w:top="274" w:right="1440" w:bottom="1440" w:gutter="0" w:footer="0" w:header="0"/>
          <w:type w:val="continuous"/>
        </w:sectPr>
      </w:pP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482-C39-B40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craig.glidden@gm.com</w:t>
      </w:r>
    </w:p>
    <w:p>
      <w:pPr>
        <w:spacing w:after="0" w:line="200" w:lineRule="exact"/>
        <w:rPr>
          <w:sz w:val="20"/>
          <w:szCs w:val="20"/>
          <w:color w:val="auto"/>
        </w:rPr>
      </w:pPr>
    </w:p>
    <w:p>
      <w:pPr>
        <w:sectPr>
          <w:pgSz w:w="11900" w:h="16838" w:orient="portrait"/>
          <w:cols w:equalWidth="0" w:num="2">
            <w:col w:w="2780" w:space="560"/>
            <w:col w:w="6879"/>
          </w:cols>
          <w:pgMar w:left="240" w:top="274" w:right="1440" w:bottom="1440" w:gutter="0" w:footer="0" w:header="0"/>
          <w:type w:val="continuous"/>
        </w:sectPr>
      </w:pP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482-C24-A68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Assistant General Counsel &amp; Corporate Secretary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rick.hansen@gm.com</w:t>
      </w:r>
    </w:p>
    <w:p>
      <w:pPr>
        <w:spacing w:after="0" w:line="143" w:lineRule="exact"/>
        <w:rPr>
          <w:sz w:val="20"/>
          <w:szCs w:val="20"/>
          <w:color w:val="auto"/>
        </w:rPr>
      </w:pPr>
    </w:p>
    <w:p>
      <w:pPr>
        <w:sectPr>
          <w:pgSz w:w="11900" w:h="16838" w:orient="portrait"/>
          <w:cols w:equalWidth="0" w:num="2">
            <w:col w:w="2780" w:space="560"/>
            <w:col w:w="6879"/>
          </w:cols>
          <w:pgMar w:left="240" w:top="274" w:right="1440"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0219"/>
          </w:cols>
          <w:pgMar w:left="240" w:top="274" w:right="1440"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color w:val="auto"/>
        </w:rPr>
        <w:t>Any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all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a further copy (with respect to any notices in connection with the Multicurrency Facility or the LC Tranche Facility)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Brazilian 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-215900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482-C26-A68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Bank, N.A., as Administrative Agent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 Floor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RICHARD.DUKER@jpmorgan.com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212-270-5100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212-270-3057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W. Duker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J.P. Morgan Europe Limited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Loans Agency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25 Bank Street, 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 5JP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Loans Agency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+44 20 7777 2360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loan_and_agency_london@jpmorgan.com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Banco do Brasil S.A.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Avenida Paulista, 2300, 2º Andar, 2659-Large Corporate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Automotivo e Transportes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Bela Vista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CEP 01310-300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Sao Paulo—SP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Leonardo Tadeu Biondo Silva – Global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leonardo.silva@bb.com.br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+55 11 2128-7103</w:t>
      </w:r>
    </w:p>
    <w:p>
      <w:pPr>
        <w:spacing w:after="0" w:line="200" w:lineRule="exact"/>
        <w:rPr>
          <w:sz w:val="20"/>
          <w:szCs w:val="20"/>
          <w:color w:val="auto"/>
        </w:rPr>
      </w:pPr>
    </w:p>
    <w:p>
      <w:pPr>
        <w:sectPr>
          <w:pgSz w:w="11900" w:h="16838" w:orient="portrait"/>
          <w:cols w:equalWidth="0" w:num="2">
            <w:col w:w="3000" w:space="340"/>
            <w:col w:w="8040"/>
          </w:cols>
          <w:pgMar w:left="240" w:top="274" w:right="279" w:bottom="1440" w:gutter="0" w:footer="0" w:header="0"/>
        </w:sectPr>
      </w:pPr>
    </w:p>
    <w:p>
      <w:pPr>
        <w:spacing w:after="0" w:line="24"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any notice, request or demand to or upon the Administrative Agent, Brazilian Administrative Agent or the Lenders pursuant to Section 2.2, 2.4, 2.5, 2.6, 2.9, 2.11, 2.12, 2.14 or 2.30 shall not be effective until received.</w:t>
      </w:r>
    </w:p>
    <w:p>
      <w:pPr>
        <w:spacing w:after="0" w:line="170" w:lineRule="exact"/>
        <w:rPr>
          <w:sz w:val="20"/>
          <w:szCs w:val="20"/>
          <w:color w:val="auto"/>
        </w:rPr>
      </w:pPr>
    </w:p>
    <w:p>
      <w:pPr>
        <w:ind w:right="300" w:firstLine="921"/>
        <w:spacing w:after="0" w:line="259" w:lineRule="auto"/>
        <w:tabs>
          <w:tab w:leader="none" w:pos="116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and the Brazilian Administrative Agent may, but shall not be obligated to, make any notices or other Communications available to the Lenders and the Issuing Lenders by posting such Communications on IntraLinks</w:t>
      </w:r>
      <w:r>
        <w:rPr>
          <w:rFonts w:ascii="Arial" w:cs="Arial" w:eastAsia="Arial" w:hAnsi="Arial"/>
          <w:sz w:val="15"/>
          <w:szCs w:val="15"/>
          <w:color w:val="auto"/>
        </w:rPr>
        <w:t>™</w:t>
      </w:r>
      <w:r>
        <w:rPr>
          <w:rFonts w:ascii="Arial" w:cs="Arial" w:eastAsia="Arial" w:hAnsi="Arial"/>
          <w:sz w:val="18"/>
          <w:szCs w:val="18"/>
          <w:color w:val="auto"/>
        </w:rPr>
        <w:t xml:space="preserve"> or a substantially similar electronic platform chosen by the Administrative Agent or the Brazilian Administrative Agent, as applicable,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274" w:right="279" w:bottom="1440" w:gutter="0" w:footer="0" w:header="0"/>
          <w:type w:val="continuous"/>
        </w:sectPr>
      </w:pPr>
    </w:p>
    <w:bookmarkStart w:id="106" w:name="page107"/>
    <w:bookmarkEnd w:id="106"/>
    <w:p>
      <w:pPr>
        <w:ind w:right="20" w:firstLine="921"/>
        <w:spacing w:after="0" w:line="271" w:lineRule="auto"/>
        <w:tabs>
          <w:tab w:leader="none" w:pos="1158" w:val="left"/>
        </w:tabs>
        <w:numPr>
          <w:ilvl w:val="0"/>
          <w:numId w:val="1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Although the Approved Electronic Platform and its primary web portal are secured with generally-applicable security procedures and policies implemented or modified by the Administrative Agent or the Brazilian Administrative Agent, as applicable,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78" w:lineRule="exact"/>
        <w:rPr>
          <w:rFonts w:ascii="Arial" w:cs="Arial" w:eastAsia="Arial" w:hAnsi="Arial"/>
          <w:sz w:val="17"/>
          <w:szCs w:val="17"/>
          <w:color w:val="auto"/>
        </w:rPr>
      </w:pPr>
    </w:p>
    <w:p>
      <w:pPr>
        <w:ind w:right="60" w:firstLine="921"/>
        <w:spacing w:after="0" w:line="271" w:lineRule="auto"/>
        <w:tabs>
          <w:tab w:leader="none" w:pos="116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APPROVED ELECTRONIC PLATFORM AND THE COMMUNICATIONS ARE PROVIDED “AS IS” AND “AS AVAILABLE”. NONE OF THE ADMINISTRATIVE AGENT, THE BRAZILIAN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OR THE BRAZILIAN ADMINISTRATIVE AGENT IN CONNECTION WITH THE COMMUNICATIONS OR THE APPROVED ELECTRONIC PLATFORM.</w:t>
      </w:r>
    </w:p>
    <w:p>
      <w:pPr>
        <w:spacing w:after="0" w:line="178" w:lineRule="exact"/>
        <w:rPr>
          <w:rFonts w:ascii="Arial" w:cs="Arial" w:eastAsia="Arial" w:hAnsi="Arial"/>
          <w:sz w:val="17"/>
          <w:szCs w:val="17"/>
          <w:color w:val="auto"/>
        </w:rPr>
      </w:pPr>
    </w:p>
    <w:p>
      <w:pPr>
        <w:ind w:firstLine="921"/>
        <w:spacing w:after="0" w:line="264" w:lineRule="auto"/>
        <w:tabs>
          <w:tab w:leader="none" w:pos="115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and the Brazilian Administrative Agent may, but (except as may be required by applicable law) shall not be obligated to, store the Communications on the Approved Electronic Platform in accordance with the Administrative Agent’s or the Brazilian Administrative Agent’s, as applicable, generally-applicable document retention procedures and policies.</w:t>
      </w:r>
    </w:p>
    <w:p>
      <w:pPr>
        <w:spacing w:after="0" w:line="18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Agent or any Lender or Ancillary Lender, any right, remedy, power or privilege hereunder or under the other Loan Documents or the Brazilian Intercreditor Agreement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74" w:right="259" w:bottom="1440" w:gutter="0" w:footer="0" w:header="0"/>
        </w:sectPr>
      </w:pPr>
    </w:p>
    <w:bookmarkStart w:id="107" w:name="page108"/>
    <w:bookmarkEnd w:id="107"/>
    <w:p>
      <w:pPr>
        <w:ind w:firstLine="913"/>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10.5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agrees (a) to pay or reimburse the Administrative Agent, the Brazilian Administrative Agent and the Arrangers for all their reasonable out-of-pocket costs and expenses incurred in connection with the development, preparation and execution of, and any amendment, supplement or modification to, this Agreement, the other Loan Documents and the Brazilian Intercreditor Agreement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to be shared by the Administrative Agent and the Brazilian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and the Brazilian Administrative Agent for all their reasonable out-of-pocket costs and expenses incurred in connection with the enforcement or preservation of any rights under this Agreement, the other Loan Documents and the Brazilian Intercreditor Agreement, including the reasonable fees and out-of-pocket disbursements and other charges of one primary counsel to the Administrative Agent and the Brazilian Administrative Agent, one additional local counsel in each relevant jurisdiction which counsel shall act on behalf of all Lenders to be shared by the Administrative Agent and the Brazilian Administrative Agent and, in the event of a conflict, one separate counsel (and one local counsel in each relevant jurisdiction) for all persons similarly situated as required to address such conflict, (c) to pay, indemnify or reimburse each Lender, each Issuing Lender, the Brazilian Administrative Agent and the Administrative Agent for, and hold each Lender, each Issuing Lender, the Brazilian Administrative Agent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the Brazilian Intercreditor Agreement, and (d) to pay, indemnify or reimburse each Lender, each Issuing Lender, the Brazilian Administrative Agent, the Administrative Agent, their respective affiliates, and their respective officers, directors, partners, employees, advisors, agents, controlling persons and trustees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the other Loan Documents, any Ancillary Facility Document and the Brazilian Intercreditor Agreement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resulted from</w:t>
      </w:r>
    </w:p>
    <w:p>
      <w:pPr>
        <w:spacing w:after="0" w:line="12" w:lineRule="exact"/>
        <w:rPr>
          <w:sz w:val="20"/>
          <w:szCs w:val="20"/>
          <w:color w:val="auto"/>
        </w:rPr>
      </w:pPr>
    </w:p>
    <w:p>
      <w:pPr>
        <w:ind w:left="220" w:hanging="212"/>
        <w:spacing w:after="0"/>
        <w:tabs>
          <w:tab w:leader="none" w:pos="2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gross negligence or willful misconduct of such Indemnitee as determined by a court of competent jurisdiction in a final and non-appealable judgment,</w:t>
      </w:r>
    </w:p>
    <w:p>
      <w:pPr>
        <w:spacing w:after="0" w:line="32" w:lineRule="exact"/>
        <w:rPr>
          <w:rFonts w:ascii="Arial" w:cs="Arial" w:eastAsia="Arial" w:hAnsi="Arial"/>
          <w:sz w:val="16"/>
          <w:szCs w:val="16"/>
          <w:color w:val="auto"/>
        </w:rPr>
      </w:pPr>
    </w:p>
    <w:p>
      <w:pPr>
        <w:ind w:right="60" w:firstLine="8"/>
        <w:spacing w:after="0" w:line="287" w:lineRule="auto"/>
        <w:tabs>
          <w:tab w:leader="none" w:pos="26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 material breach of the Loan Documents or the Brazilian Intercreditor Agreement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the Brazilian Administrative Agent or an Arranger or similar role in respect of the 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4" w:right="239" w:bottom="1440" w:gutter="0" w:footer="0" w:header="0"/>
        </w:sectPr>
      </w:pPr>
    </w:p>
    <w:bookmarkStart w:id="108" w:name="page109"/>
    <w:bookmarkEnd w:id="10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have by statute or otherwise against any Indemnitee unless the same shall have resulted from the gross negligence or willful misconduct of, or material breach of the Loan Documents or the Brazilian Intercreditor Agreement by, such Indemnitee, any of its affiliates or its or their respective officers, directors, partners, employees, advisors, agents, controlling persons or trustees as determined by a court of competent jurisdiction in a final and non-appealable judgment.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The agreements in this Section 10.5 shall survive the repayment of the Loans and all other amounts payable hereunder. In no event shall any party hereto or any other Loan Party be liable for any special, indirect, consequential or punitive damages (including any loss of profits, business or anticipated savings); </w:t>
      </w:r>
      <w:r>
        <w:rPr>
          <w:rFonts w:ascii="Arial" w:cs="Arial" w:eastAsia="Arial" w:hAnsi="Arial"/>
          <w:sz w:val="16"/>
          <w:szCs w:val="16"/>
          <w:u w:val="single" w:color="auto"/>
          <w:color w:val="auto"/>
        </w:rPr>
        <w:t>provided</w:t>
      </w:r>
      <w:r>
        <w:rPr>
          <w:rFonts w:ascii="Arial" w:cs="Arial" w:eastAsia="Arial" w:hAnsi="Arial"/>
          <w:sz w:val="16"/>
          <w:szCs w:val="16"/>
          <w:color w:val="auto"/>
        </w:rPr>
        <w:t>, that this sentence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7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 (a)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w:t>
      </w:r>
    </w:p>
    <w:p>
      <w:pPr>
        <w:spacing w:after="0" w:line="193" w:lineRule="exact"/>
        <w:rPr>
          <w:sz w:val="20"/>
          <w:szCs w:val="20"/>
          <w:color w:val="auto"/>
        </w:rPr>
      </w:pPr>
    </w:p>
    <w:p>
      <w:pPr>
        <w:ind w:right="80" w:firstLine="921"/>
        <w:spacing w:after="0" w:line="259" w:lineRule="auto"/>
        <w:tabs>
          <w:tab w:leader="none" w:pos="116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78" w:lineRule="exact"/>
        <w:rPr>
          <w:rFonts w:ascii="Arial" w:cs="Arial" w:eastAsia="Arial" w:hAnsi="Arial"/>
          <w:sz w:val="18"/>
          <w:szCs w:val="18"/>
          <w:color w:val="auto"/>
        </w:rPr>
      </w:pPr>
    </w:p>
    <w:p>
      <w:pPr>
        <w:ind w:left="920" w:firstLine="421"/>
        <w:spacing w:after="0" w:line="342" w:lineRule="auto"/>
        <w:tabs>
          <w:tab w:leader="none" w:pos="1595"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w:t>
      </w:r>
    </w:p>
    <w:p>
      <w:pPr>
        <w:spacing w:after="0" w:line="15" w:lineRule="exact"/>
        <w:rPr>
          <w:rFonts w:ascii="Arial" w:cs="Arial" w:eastAsia="Arial" w:hAnsi="Arial"/>
          <w:sz w:val="16"/>
          <w:szCs w:val="16"/>
          <w:color w:val="auto"/>
        </w:rPr>
      </w:pPr>
    </w:p>
    <w:p>
      <w:pPr>
        <w:ind w:left="1600" w:hanging="259"/>
        <w:spacing w:after="0"/>
        <w:tabs>
          <w:tab w:leader="none" w:pos="16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74" w:right="259" w:bottom="1440" w:gutter="0" w:footer="0" w:header="0"/>
        </w:sectPr>
      </w:pPr>
    </w:p>
    <w:bookmarkStart w:id="109" w:name="page110"/>
    <w:bookmarkEnd w:id="109"/>
    <w:p>
      <w:pPr>
        <w:ind w:left="920" w:firstLine="421"/>
        <w:spacing w:after="0" w:line="277" w:lineRule="auto"/>
        <w:tabs>
          <w:tab w:leader="none" w:pos="15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any assignment of any rights or interest under the L/C Tranche Facility, each Material Issuing Lender at such time (unless such assignment is to a Lender who has an investment grade rating from two of S&amp;P, Moody’s and Fitch); and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Brazilian Administrative Agent (in the case of any assignment of Brazilian Loans);</w:t>
      </w:r>
    </w:p>
    <w:p>
      <w:pPr>
        <w:spacing w:after="0" w:line="117" w:lineRule="exact"/>
        <w:rPr>
          <w:sz w:val="20"/>
          <w:szCs w:val="20"/>
          <w:color w:val="auto"/>
        </w:rPr>
      </w:pPr>
    </w:p>
    <w:p>
      <w:pPr>
        <w:jc w:val="both"/>
        <w:ind w:left="920" w:right="420"/>
        <w:spacing w:after="0" w:line="31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(x) no consent provided for in clause (2) above shall be required for an assignment to a Lender or an affiliate thereof, (y) no consents provided for in clause (3) above shall be required for an assignment to an L/C Tranche Lender and (z) no consent of the Company provided for in clause (1) above shall be required if an Event of Default under Section 8(a) or (e) has occurred and is continuing.</w:t>
      </w:r>
    </w:p>
    <w:p>
      <w:pPr>
        <w:spacing w:after="0" w:line="14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73" w:lineRule="exact"/>
        <w:rPr>
          <w:sz w:val="20"/>
          <w:szCs w:val="20"/>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920" w:right="40" w:firstLine="421"/>
        <w:spacing w:after="0" w:line="293" w:lineRule="auto"/>
        <w:tabs>
          <w:tab w:leader="none" w:pos="163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56" w:lineRule="exact"/>
        <w:rPr>
          <w:rFonts w:ascii="Arial" w:cs="Arial" w:eastAsia="Arial" w:hAnsi="Arial"/>
          <w:sz w:val="16"/>
          <w:szCs w:val="16"/>
          <w:color w:val="auto"/>
        </w:rPr>
      </w:pPr>
    </w:p>
    <w:p>
      <w:pPr>
        <w:ind w:left="1620" w:hanging="279"/>
        <w:spacing w:after="0"/>
        <w:tabs>
          <w:tab w:leader="none" w:pos="162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parties to each assignment (or, in the case of an assignment made pursuant to the exercise of the Company’s rights under</w:t>
      </w:r>
    </w:p>
    <w:p>
      <w:pPr>
        <w:spacing w:after="0" w:line="35"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82" w:lineRule="exact"/>
        <w:rPr>
          <w:sz w:val="20"/>
          <w:szCs w:val="20"/>
          <w:color w:val="auto"/>
        </w:rPr>
      </w:pPr>
    </w:p>
    <w:p>
      <w:pPr>
        <w:ind w:left="1620" w:hanging="279"/>
        <w:spacing w:after="0"/>
        <w:tabs>
          <w:tab w:leader="none" w:pos="162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and the Company an administrative questionnaire.</w:t>
      </w:r>
    </w:p>
    <w:p>
      <w:pPr>
        <w:spacing w:after="0" w:line="140" w:lineRule="exact"/>
        <w:rPr>
          <w:rFonts w:ascii="Arial" w:cs="Arial" w:eastAsia="Arial" w:hAnsi="Arial"/>
          <w:sz w:val="16"/>
          <w:szCs w:val="16"/>
          <w:color w:val="auto"/>
        </w:rPr>
      </w:pPr>
    </w:p>
    <w:p>
      <w:pPr>
        <w:ind w:left="460" w:right="140" w:firstLine="443"/>
        <w:spacing w:after="0" w:line="273" w:lineRule="auto"/>
        <w:tabs>
          <w:tab w:leader="none" w:pos="121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274" w:right="299" w:bottom="1440" w:gutter="0" w:footer="0" w:header="0"/>
        </w:sectPr>
      </w:pPr>
    </w:p>
    <w:bookmarkStart w:id="110" w:name="page111"/>
    <w:bookmarkEnd w:id="110"/>
    <w:p>
      <w:pPr>
        <w:jc w:val="both"/>
        <w:ind w:left="452"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73" w:lineRule="exact"/>
        <w:rPr>
          <w:sz w:val="20"/>
          <w:szCs w:val="20"/>
          <w:color w:val="auto"/>
        </w:rPr>
      </w:pPr>
    </w:p>
    <w:p>
      <w:pPr>
        <w:ind w:left="452" w:firstLine="443"/>
        <w:spacing w:after="0" w:line="270" w:lineRule="auto"/>
        <w:tabs>
          <w:tab w:leader="none" w:pos="1195"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Subject to the last sentence of (b)(iii) above, the entries in the Register shall be conclusive in the absence of manifest error,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at any reasonable time and from time to time upon reasonable prior notice. The Administrative Agent shall provide a copy of the Register to the Company upon its request at any time and from time to time by electronic communication.</w:t>
      </w:r>
    </w:p>
    <w:p>
      <w:pPr>
        <w:spacing w:after="0" w:line="73" w:lineRule="exact"/>
        <w:rPr>
          <w:rFonts w:ascii="Arial" w:cs="Arial" w:eastAsia="Arial" w:hAnsi="Arial"/>
          <w:sz w:val="17"/>
          <w:szCs w:val="17"/>
          <w:color w:val="auto"/>
        </w:rPr>
      </w:pPr>
    </w:p>
    <w:p>
      <w:pPr>
        <w:ind w:left="452" w:right="80" w:firstLine="443"/>
        <w:spacing w:after="0" w:line="293" w:lineRule="auto"/>
        <w:tabs>
          <w:tab w:leader="none" w:pos="114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64" w:lineRule="exact"/>
        <w:rPr>
          <w:rFonts w:ascii="Arial" w:cs="Arial" w:eastAsia="Arial" w:hAnsi="Arial"/>
          <w:sz w:val="16"/>
          <w:szCs w:val="16"/>
          <w:color w:val="auto"/>
        </w:rPr>
      </w:pPr>
    </w:p>
    <w:p>
      <w:pPr>
        <w:ind w:left="-8" w:right="20" w:firstLine="921"/>
        <w:spacing w:after="0" w:line="284" w:lineRule="auto"/>
        <w:tabs>
          <w:tab w:leader="none" w:pos="1150" w:val="left"/>
        </w:tabs>
        <w:numPr>
          <w:ilvl w:val="2"/>
          <w:numId w:val="149"/>
        </w:numPr>
        <w:rPr>
          <w:rFonts w:ascii="Arial" w:cs="Arial" w:eastAsia="Arial" w:hAnsi="Arial"/>
          <w:sz w:val="16"/>
          <w:szCs w:val="16"/>
          <w:color w:val="auto"/>
        </w:rPr>
      </w:pPr>
      <w:r>
        <w:rPr>
          <w:rFonts w:ascii="Arial" w:cs="Arial" w:eastAsia="Arial" w:hAnsi="Arial"/>
          <w:sz w:val="16"/>
          <w:szCs w:val="16"/>
          <w:color w:val="auto"/>
        </w:rPr>
        <w:t>(i) Any Lender may, without the consent of the Company, any Issuing Lender, the Brazilian Administrative Agent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that (A) such Lender’s obligations under this Agreement shall remain unchanged, (B) such Lender shall remain solely responsible to the other parties hereto for the performance of such obligations, (C) the Loan Parties, the Administrative Agent, the Brazilian Administrative Agent, the Issuing Lenders and the other Lenders shall continue to deal solely and directly with such Lender in connection with such Lender’s rights and obligations under this Agreement, the other Loan Documents and the Brazilian Intercreditor Agreement,</w:t>
      </w:r>
    </w:p>
    <w:p>
      <w:pPr>
        <w:spacing w:after="0" w:line="4" w:lineRule="exact"/>
        <w:rPr>
          <w:rFonts w:ascii="Arial" w:cs="Arial" w:eastAsia="Arial" w:hAnsi="Arial"/>
          <w:sz w:val="16"/>
          <w:szCs w:val="16"/>
          <w:color w:val="auto"/>
        </w:rPr>
      </w:pPr>
    </w:p>
    <w:p>
      <w:pPr>
        <w:ind w:left="-8" w:right="20" w:firstLine="8"/>
        <w:spacing w:after="0" w:line="268" w:lineRule="auto"/>
        <w:tabs>
          <w:tab w:leader="none" w:pos="28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12"/>
          </w:cols>
          <w:pgMar w:left="248" w:top="274" w:right="2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same extent as if it were a Lender and had acquired its interest by assignment pursuant to paragraph (b) of this Section 10.6. Each Lender that sells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participation, acting solely for this purpose as a non-fiduciary agent of the Company, shall maintain a register on which it enters the name and address of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Participant and the principal amounts (and stated interest) of each Participant’s interest in the Loans or other obligations under this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to any Person (including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identity of any Participant or any information relating to a Participant’s interest in any Loans, Letters of Credit or its other obligations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except to the extent that such disclosure is necessary to establish that such Loan, Letter of Credit or other obligation is in registered form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5f.103-1(c) of the United States Treasury Regulations. The entries in the Participant Register shall be conclusive in the absence of manifest error,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Lender, the Company, the Brazilian Administrative Agent and the Administrative Agent shall treat each person whose name is recorded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Participant Register pursuant to the terms hereof as the owner of such participation for all purposes of this Agreement, notwithstanding notice to the contrary.</w:t>
      </w:r>
    </w:p>
    <w:p>
      <w:pPr>
        <w:spacing w:after="0" w:line="126" w:lineRule="exact"/>
        <w:rPr>
          <w:sz w:val="20"/>
          <w:szCs w:val="20"/>
          <w:color w:val="auto"/>
        </w:rPr>
      </w:pPr>
    </w:p>
    <w:p>
      <w:pPr>
        <w:ind w:left="460" w:right="60" w:firstLine="443"/>
        <w:spacing w:after="0" w:line="255" w:lineRule="auto"/>
        <w:tabs>
          <w:tab w:leader="none" w:pos="116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193" w:lineRule="exact"/>
        <w:rPr>
          <w:rFonts w:ascii="Arial" w:cs="Arial" w:eastAsia="Arial" w:hAnsi="Arial"/>
          <w:sz w:val="18"/>
          <w:szCs w:val="18"/>
          <w:color w:val="auto"/>
        </w:rPr>
      </w:pPr>
    </w:p>
    <w:p>
      <w:pPr>
        <w:ind w:right="120" w:firstLine="921"/>
        <w:spacing w:after="0" w:line="297" w:lineRule="auto"/>
        <w:tabs>
          <w:tab w:leader="none" w:pos="116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Any Lender may, without the consent of the Company, the Brazilian Administrative Agent, the Administrative Agent or any Issuing Lender,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pledge or assignment of a security interest shall release a Lender from any of its obligations hereunder or substitute any such pledgee or Assignee for such Lender as a party hereto.</w:t>
      </w:r>
    </w:p>
    <w:p>
      <w:pPr>
        <w:spacing w:after="0" w:line="158" w:lineRule="exact"/>
        <w:rPr>
          <w:rFonts w:ascii="Arial" w:cs="Arial" w:eastAsia="Arial" w:hAnsi="Arial"/>
          <w:sz w:val="16"/>
          <w:szCs w:val="16"/>
          <w:color w:val="auto"/>
        </w:rPr>
      </w:pPr>
    </w:p>
    <w:p>
      <w:pPr>
        <w:ind w:firstLine="921"/>
        <w:spacing w:after="0" w:line="255" w:lineRule="auto"/>
        <w:tabs>
          <w:tab w:leader="none" w:pos="115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9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Adjustments</w:t>
      </w:r>
      <w:r>
        <w:rPr>
          <w:rFonts w:ascii="Arial" w:cs="Arial" w:eastAsia="Arial" w:hAnsi="Arial"/>
          <w:sz w:val="18"/>
          <w:szCs w:val="18"/>
          <w:color w:val="auto"/>
        </w:rPr>
        <w:t>. If any Lender (a “</w:t>
      </w:r>
      <w:r>
        <w:rPr>
          <w:rFonts w:ascii="Arial" w:cs="Arial" w:eastAsia="Arial" w:hAnsi="Arial"/>
          <w:sz w:val="18"/>
          <w:szCs w:val="18"/>
          <w:u w:val="single" w:color="auto"/>
          <w:color w:val="auto"/>
        </w:rPr>
        <w:t>Benefitted Lender</w:t>
      </w:r>
      <w:r>
        <w:rPr>
          <w:rFonts w:ascii="Arial" w:cs="Arial" w:eastAsia="Arial" w:hAnsi="Arial"/>
          <w:sz w:val="18"/>
          <w:szCs w:val="18"/>
          <w:color w:val="auto"/>
        </w:rPr>
        <w:t>”)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(calculated, in the case of any Obligation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274" w:right="279" w:bottom="1440" w:gutter="0" w:footer="0" w:header="0"/>
        </w:sectPr>
      </w:pPr>
    </w:p>
    <w:bookmarkStart w:id="112" w:name="page113"/>
    <w:bookmarkEnd w:id="11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denominated in an Optional Currency, at the Dollar Equivalent thereof as of the date such Obligations became due and payable)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payments in respect of Obligations owing by any Foreign Subsidiary Borrower shall be utilized to satisfy any Obligations owing by the Company or any Domestic Subsidiary Borrower.</w:t>
      </w:r>
    </w:p>
    <w:p>
      <w:pPr>
        <w:spacing w:after="0" w:line="18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87" w:lineRule="exact"/>
        <w:rPr>
          <w:sz w:val="20"/>
          <w:szCs w:val="20"/>
          <w:color w:val="auto"/>
        </w:rPr>
      </w:pPr>
    </w:p>
    <w:p>
      <w:pPr>
        <w:ind w:right="620" w:firstLine="913"/>
        <w:spacing w:after="0" w:line="286"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the other Loan Documents and the Brazilian Intercreditor Agreement represent the entire agreement of the Borrowers, the Administrative Agent, the Brazilian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in the other Loan Documents or in the Brazilian Intercreditor Agreement (other than agreements between any Borrower and any Issuing Lender contemplated by this Agreement).</w:t>
      </w:r>
    </w:p>
    <w:p>
      <w:pPr>
        <w:spacing w:after="0" w:line="188"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UNDER THIS AGREEMENT SHALL BE GOVERNED BY, AND CONSTRUED AND INTERPRETED IN ACCORDANCE WITH, THE LAW OF THE STATE OF NEW YORK.</w:t>
      </w:r>
    </w:p>
    <w:p>
      <w:pPr>
        <w:spacing w:after="0" w:line="14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(a) Each of the Administrative Agent, the Brazilian Administrative Agent, the Lenders, the Issuing Lenders, the Company, each Subsidiary Borrower and each other Loan Party hereby irrevocably and unconditionally:</w:t>
      </w:r>
    </w:p>
    <w:p>
      <w:pPr>
        <w:spacing w:after="0" w:line="62" w:lineRule="exact"/>
        <w:rPr>
          <w:sz w:val="20"/>
          <w:szCs w:val="20"/>
          <w:color w:val="auto"/>
        </w:rPr>
      </w:pPr>
    </w:p>
    <w:p>
      <w:pPr>
        <w:ind w:left="460" w:firstLine="443"/>
        <w:spacing w:after="0" w:line="259" w:lineRule="auto"/>
        <w:tabs>
          <w:tab w:leader="none" w:pos="111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the other Loan Documents and the Brazilian Intercreditor Agreement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113" w:name="page114"/>
    <w:bookmarkEnd w:id="113"/>
    <w:p>
      <w:pPr>
        <w:ind w:left="460" w:firstLine="443"/>
        <w:spacing w:after="0" w:line="264" w:lineRule="auto"/>
        <w:tabs>
          <w:tab w:leader="none" w:pos="1163"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73" w:lineRule="exact"/>
        <w:rPr>
          <w:rFonts w:ascii="Arial" w:cs="Arial" w:eastAsia="Arial" w:hAnsi="Arial"/>
          <w:sz w:val="18"/>
          <w:szCs w:val="18"/>
          <w:color w:val="auto"/>
        </w:rPr>
      </w:pPr>
    </w:p>
    <w:p>
      <w:pPr>
        <w:ind w:left="460" w:right="120" w:firstLine="443"/>
        <w:spacing w:after="0" w:line="277" w:lineRule="auto"/>
        <w:tabs>
          <w:tab w:leader="none" w:pos="121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70" w:lineRule="exact"/>
        <w:rPr>
          <w:rFonts w:ascii="Arial" w:cs="Arial" w:eastAsia="Arial" w:hAnsi="Arial"/>
          <w:sz w:val="18"/>
          <w:szCs w:val="18"/>
          <w:color w:val="auto"/>
        </w:rPr>
      </w:pPr>
    </w:p>
    <w:p>
      <w:pPr>
        <w:ind w:firstLine="921"/>
        <w:spacing w:after="0" w:line="270" w:lineRule="auto"/>
        <w:tabs>
          <w:tab w:leader="none" w:pos="1168" w:val="left"/>
        </w:tabs>
        <w:numPr>
          <w:ilvl w:val="1"/>
          <w:numId w:val="154"/>
        </w:numPr>
        <w:rPr>
          <w:rFonts w:ascii="Arial" w:cs="Arial" w:eastAsia="Arial" w:hAnsi="Arial"/>
          <w:sz w:val="17"/>
          <w:szCs w:val="17"/>
          <w:color w:val="auto"/>
        </w:rPr>
      </w:pPr>
      <w:r>
        <w:rPr>
          <w:rFonts w:ascii="Arial" w:cs="Arial" w:eastAsia="Arial" w:hAnsi="Arial"/>
          <w:sz w:val="17"/>
          <w:szCs w:val="17"/>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10.12.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77" w:lineRule="exact"/>
        <w:rPr>
          <w:rFonts w:ascii="Arial" w:cs="Arial" w:eastAsia="Arial" w:hAnsi="Arial"/>
          <w:sz w:val="17"/>
          <w:szCs w:val="17"/>
          <w:color w:val="auto"/>
        </w:rPr>
      </w:pPr>
    </w:p>
    <w:p>
      <w:pPr>
        <w:ind w:right="60" w:firstLine="921"/>
        <w:spacing w:after="0" w:line="302" w:lineRule="auto"/>
        <w:tabs>
          <w:tab w:leader="none" w:pos="1158"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54"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Judgment</w:t>
      </w:r>
      <w:r>
        <w:rPr>
          <w:rFonts w:ascii="Arial" w:cs="Arial" w:eastAsia="Arial" w:hAnsi="Arial"/>
          <w:sz w:val="17"/>
          <w:szCs w:val="17"/>
          <w:color w:val="auto"/>
        </w:rPr>
        <w:t>. The obligations of the Company or any Subsidiary Borrower in respect of this Agreement and the other Loan Documents due to any party hereto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the sum originally due to such party is denominated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 Obligations, interest and Facility Fees payable hereunder or under any other Loan Document.</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Acknowledgments</w:t>
      </w:r>
      <w:r>
        <w:rPr>
          <w:rFonts w:ascii="Arial" w:cs="Arial" w:eastAsia="Arial" w:hAnsi="Arial"/>
          <w:sz w:val="18"/>
          <w:szCs w:val="18"/>
          <w:color w:val="auto"/>
        </w:rPr>
        <w:t>. Each of the Company and the Subsidiary Borrowers hereby acknowledges that:</w:t>
      </w:r>
    </w:p>
    <w:p>
      <w:pPr>
        <w:spacing w:after="0" w:line="117" w:lineRule="exact"/>
        <w:rPr>
          <w:sz w:val="20"/>
          <w:szCs w:val="20"/>
          <w:color w:val="auto"/>
        </w:rPr>
      </w:pPr>
    </w:p>
    <w:p>
      <w:pPr>
        <w:ind w:left="1160" w:hanging="239"/>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1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105</w:t>
      </w:r>
    </w:p>
    <w:p>
      <w:pPr>
        <w:sectPr>
          <w:pgSz w:w="11900" w:h="16838" w:orient="portrait"/>
          <w:cols w:equalWidth="0" w:num="1">
            <w:col w:w="11400"/>
          </w:cols>
          <w:pgMar w:left="240" w:top="274" w:right="259" w:bottom="1440" w:gutter="0" w:footer="0" w:header="0"/>
        </w:sectPr>
      </w:pPr>
    </w:p>
    <w:bookmarkStart w:id="114" w:name="page115"/>
    <w:bookmarkEnd w:id="114"/>
    <w:p>
      <w:pPr>
        <w:ind w:left="-20" w:right="20" w:firstLine="921"/>
        <w:spacing w:after="0" w:line="259" w:lineRule="auto"/>
        <w:tabs>
          <w:tab w:leader="none" w:pos="1148"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 of the Administrative Agent, the Brazilian Administrative Agent or any Lender has any fiduciary relationship with or duty to the Company or any Subsidiary arising out of or in connection with this Agreement, any of the other Loan Documents or the Brazilian Intercreditor Agreement, and the relationship between Administrative Agent, the Brazilian Administrative Agent and the Lenders, on one hand, and the Company or any Subsidiary, on the other hand, in connection herewith or therewith is solely that of debtor and creditor; and</w:t>
      </w:r>
    </w:p>
    <w:p>
      <w:pPr>
        <w:spacing w:after="0" w:line="186" w:lineRule="exact"/>
        <w:rPr>
          <w:rFonts w:ascii="Arial" w:cs="Arial" w:eastAsia="Arial" w:hAnsi="Arial"/>
          <w:sz w:val="18"/>
          <w:szCs w:val="18"/>
          <w:color w:val="auto"/>
        </w:rPr>
      </w:pPr>
    </w:p>
    <w:p>
      <w:pPr>
        <w:ind w:left="-20" w:right="120" w:firstLine="921"/>
        <w:spacing w:after="0" w:line="277" w:lineRule="auto"/>
        <w:tabs>
          <w:tab w:leader="none" w:pos="113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the Brazilian Intercreditor Agreement or otherwise exists by virtue of the transactions contemplated hereby among the Lenders or among the Company or any Subsidiary and the Lenders.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Releases of Guarantees</w:t>
      </w:r>
      <w:r>
        <w:rPr>
          <w:rFonts w:ascii="Arial" w:cs="Arial" w:eastAsia="Arial" w:hAnsi="Arial"/>
          <w:sz w:val="18"/>
          <w:szCs w:val="18"/>
          <w:color w:val="auto"/>
        </w:rPr>
        <w:t>.</w:t>
      </w:r>
    </w:p>
    <w:p>
      <w:pPr>
        <w:spacing w:after="0" w:line="225" w:lineRule="exact"/>
        <w:rPr>
          <w:sz w:val="20"/>
          <w:szCs w:val="20"/>
          <w:color w:val="auto"/>
        </w:rPr>
      </w:pPr>
    </w:p>
    <w:p>
      <w:pPr>
        <w:ind w:left="-20" w:firstLine="921"/>
        <w:spacing w:after="0" w:line="273" w:lineRule="auto"/>
        <w:tabs>
          <w:tab w:leader="none" w:pos="113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any other Loan Document or the Brazilian Intercreditor Agreement, the Administrative Agent is hereby irrevocably authorized by each Lender, each Ancillary Lender and each Issuing Lender (without requirement of notice to or consent of any Lender, any Ancillary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78" w:lineRule="exact"/>
        <w:rPr>
          <w:rFonts w:ascii="Arial" w:cs="Arial" w:eastAsia="Arial" w:hAnsi="Arial"/>
          <w:sz w:val="17"/>
          <w:szCs w:val="17"/>
          <w:color w:val="auto"/>
        </w:rPr>
      </w:pPr>
    </w:p>
    <w:p>
      <w:pPr>
        <w:ind w:left="-20" w:right="100" w:firstLine="921"/>
        <w:spacing w:after="0" w:line="269" w:lineRule="auto"/>
        <w:tabs>
          <w:tab w:leader="none" w:pos="114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At such time as the Loans, the Reimbursement Obligations, Ancillary Facility Outstandings and interest and fees owing hereunder and under any other Loan Document and any Ancillary Facility Document shall have been paid in full, the Commitments and Ancillary Commitments have been terminated (unless otherwise agreed by the relevant Ancillary Lender) and no Letters of Credit shall be outstanding (or such Letters of Credit are Collateralized), all obligations (other than as expressly provided therein) of each Guarantor under the Guarantee shall terminate, all without delivery of any instrument or performance of any act by any person; provided, however, that amounts under any Ancillary Facility Documents may remain outstanding and the Commitments thereunder may remain available with the consent of the applicable Ancillary Lender if cash collateral arrangements are made or other arrangements are made to the reasonable satisfaction of the applicable Ancillary Lender (which may take the form of an agreement for the relevant facilities to continue on a bilateral basis and not under the Loan Documents after such date) so long as, in each case, the Administrative Agent is reasonably satisfied that (x) such Ancillary Facility shall continue on a bilateral basis and the Lenders other than such Ancillary Lender shall have no obligations with respect to such Ancillary Facility or the relevant Ancillary Facility Outstandings, (y) the Ancillary Facility Outstandings in respect of such Ancillary Facility shall not constitute “Guaranteed Obligations” (as defined in the Guarantee) and (z) the Administrative Agent shall have no further obligations with respect to such Ancillary Facility or the related Ancillary Facility Outstandings.</w:t>
      </w:r>
    </w:p>
    <w:p>
      <w:pPr>
        <w:spacing w:after="0" w:line="179" w:lineRule="exact"/>
        <w:rPr>
          <w:rFonts w:ascii="Arial" w:cs="Arial" w:eastAsia="Arial" w:hAnsi="Arial"/>
          <w:sz w:val="17"/>
          <w:szCs w:val="17"/>
          <w:color w:val="auto"/>
        </w:rPr>
      </w:pPr>
    </w:p>
    <w:p>
      <w:pPr>
        <w:ind w:left="-20" w:right="40" w:firstLine="921"/>
        <w:spacing w:after="0" w:line="293" w:lineRule="auto"/>
        <w:tabs>
          <w:tab w:leader="none" w:pos="113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and the Brazilian Administrative Agent are hereby irrevocably authorized by each Lender and each Issuing Lender (without requirement of notice to or consent of any Lender or any Issuing Lender except as expressly required by Section 10.1) to take, and the Administrative Agent and the Brazilian Administrative Agent hereby agree to take, promptly, any action reasonably requested by the Company having the effect of releasing, or evidencing the release of, the obligations of each Subsidiary Guarantor under the Guarantee.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60" w:top="274" w:right="239" w:bottom="1440" w:gutter="0" w:footer="0" w:header="0"/>
        </w:sectPr>
      </w:pPr>
    </w:p>
    <w:bookmarkStart w:id="115" w:name="page116"/>
    <w:bookmarkEnd w:id="115"/>
    <w:p>
      <w:pPr>
        <w:ind w:firstLine="921"/>
        <w:spacing w:after="0" w:line="264" w:lineRule="auto"/>
        <w:tabs>
          <w:tab w:leader="none" w:pos="1168"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81"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Brazilian Administrative Agent, each Issuing Lender, each Lender and each Transferee (each a “</w:t>
      </w:r>
      <w:r>
        <w:rPr>
          <w:rFonts w:ascii="Arial" w:cs="Arial" w:eastAsia="Arial" w:hAnsi="Arial"/>
          <w:sz w:val="16"/>
          <w:szCs w:val="16"/>
          <w:u w:val="single" w:color="auto"/>
          <w:color w:val="auto"/>
        </w:rPr>
        <w:t>Receiving Party</w:t>
      </w:r>
      <w:r>
        <w:rPr>
          <w:rFonts w:ascii="Arial" w:cs="Arial" w:eastAsia="Arial" w:hAnsi="Arial"/>
          <w:sz w:val="16"/>
          <w:szCs w:val="16"/>
          <w:color w:val="auto"/>
        </w:rPr>
        <w:t xml:space="preserve">”) agrees to keep confidential all non-public information provided to it by or on behalf of any Loan Party or any of its respective Subsidiaries, the Administrative Agent, the Brazilian Administrative Agent, an Issuing Lender or any Lender pursuant to or in connection with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prevent a Receiving Party from disclosing any such information (a) to the Administrative Agent, the Brazilian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directors, trustees, agents, attorneys, accountants and other professional advisors or those of any of its affiliates for performing the purposes of a Loan Document or the Brazilian Intercreditor Agreement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the Brazilian Intercreditor Agreement or (j) with the consent of the Borrower.</w:t>
      </w:r>
    </w:p>
    <w:p>
      <w:pPr>
        <w:spacing w:after="0" w:line="17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THE COMPANY, EACH SUBSIDIARY BORROWER, THE ADMINISTRATIVE AGENT, THE BRAZILIAN ADMINISTRATIVE AGENT, THE ISSUING LENDERS AND THE LENDERS HEREBY IRREVOCABLY AND UNCONDITIONALLY WAIVE TRIAL BY JURY IN ANY LEGAL ACTION OR PROCEEDING RELATING TO THIS AGREEMENT OR ANY OTHER LOAN DOCUMENT OR THE BRAZILIAN INTERCREDITOR AGREEMENT AND FOR ANY COUNTERCLAIM THEREIN.</w:t>
      </w:r>
    </w:p>
    <w:p>
      <w:pPr>
        <w:spacing w:after="0" w:line="18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Company and each Subsidiary Borrower that pursuant to the requirements of the USA Patriot Act (Title III of Pub. L. 107-56 (signed into law October 26, 2001)) (the “</w:t>
      </w:r>
      <w:r>
        <w:rPr>
          <w:rFonts w:ascii="Arial" w:cs="Arial" w:eastAsia="Arial" w:hAnsi="Arial"/>
          <w:sz w:val="16"/>
          <w:szCs w:val="16"/>
          <w:u w:val="single" w:color="auto"/>
          <w:color w:val="auto"/>
        </w:rPr>
        <w:t>USA Patriot Act</w:t>
      </w:r>
      <w:r>
        <w:rPr>
          <w:rFonts w:ascii="Arial" w:cs="Arial" w:eastAsia="Arial" w:hAnsi="Arial"/>
          <w:sz w:val="16"/>
          <w:szCs w:val="16"/>
          <w:color w:val="auto"/>
        </w:rPr>
        <w:t>”),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w:t>
      </w:r>
    </w:p>
    <w:p>
      <w:pPr>
        <w:spacing w:after="0" w:line="154" w:lineRule="exact"/>
        <w:rPr>
          <w:sz w:val="20"/>
          <w:szCs w:val="20"/>
          <w:color w:val="auto"/>
        </w:rPr>
      </w:pPr>
    </w:p>
    <w:p>
      <w:pPr>
        <w:ind w:right="420" w:firstLine="913"/>
        <w:spacing w:after="0" w:line="342" w:lineRule="auto"/>
        <w:rPr>
          <w:sz w:val="20"/>
          <w:szCs w:val="20"/>
          <w:color w:val="auto"/>
        </w:rPr>
      </w:pPr>
      <w:r>
        <w:rPr>
          <w:rFonts w:ascii="Arial" w:cs="Arial" w:eastAsia="Arial" w:hAnsi="Arial"/>
          <w:sz w:val="16"/>
          <w:szCs w:val="16"/>
          <w:color w:val="auto"/>
        </w:rPr>
        <w:t xml:space="preserve">10.19 </w:t>
      </w:r>
      <w:r>
        <w:rPr>
          <w:rFonts w:ascii="Arial" w:cs="Arial" w:eastAsia="Arial" w:hAnsi="Arial"/>
          <w:sz w:val="16"/>
          <w:szCs w:val="16"/>
          <w:u w:val="single" w:color="auto"/>
          <w:color w:val="auto"/>
        </w:rPr>
        <w:t>No Novation</w:t>
      </w:r>
      <w:r>
        <w:rPr>
          <w:rFonts w:ascii="Arial" w:cs="Arial" w:eastAsia="Arial" w:hAnsi="Arial"/>
          <w:sz w:val="16"/>
          <w:szCs w:val="16"/>
          <w:color w:val="auto"/>
        </w:rPr>
        <w:t>. The terms and conditions of the Existing Three Year Credit Agreement are amended as set forth in, and restated in their entirety and superseded by, this Agreement. Nothing in this Agreement shall be deemed to be a novation of any of the Obligations as defined in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74" w:right="239" w:bottom="1440" w:gutter="0" w:footer="0" w:header="0"/>
        </w:sectPr>
      </w:pPr>
    </w:p>
    <w:bookmarkStart w:id="116" w:name="page117"/>
    <w:bookmarkEnd w:id="116"/>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Existing Three Year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Three Year Credit Agreement. From and after the Closing Date, each reference to the “Agreement”, “Credit Agreement” or other reference originally applicable to the Existing Three Year Credit Agreement contained in any Loan Document or the Brazilian Intercreditor Agreement shall be a reference to this Agreement, as amended, supplemented, restated or otherwise modified from time to time.</w:t>
      </w:r>
    </w:p>
    <w:p>
      <w:pPr>
        <w:spacing w:after="0" w:line="15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79" w:lineRule="exact"/>
        <w:rPr>
          <w:sz w:val="20"/>
          <w:szCs w:val="20"/>
          <w:color w:val="auto"/>
        </w:rPr>
      </w:pPr>
    </w:p>
    <w:p>
      <w:pPr>
        <w:ind w:right="180" w:firstLine="921"/>
        <w:spacing w:after="0" w:line="277" w:lineRule="auto"/>
        <w:tabs>
          <w:tab w:leader="none" w:pos="115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60" w:right="220" w:firstLine="443"/>
        <w:spacing w:after="0" w:line="286" w:lineRule="auto"/>
        <w:tabs>
          <w:tab w:leader="none" w:pos="1163"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57" w:lineRule="exact"/>
        <w:rPr>
          <w:rFonts w:ascii="Arial" w:cs="Arial" w:eastAsia="Arial" w:hAnsi="Arial"/>
          <w:sz w:val="17"/>
          <w:szCs w:val="17"/>
          <w:color w:val="auto"/>
        </w:rPr>
      </w:pPr>
    </w:p>
    <w:p>
      <w:pPr>
        <w:ind w:left="1220" w:hanging="317"/>
        <w:spacing w:after="0"/>
        <w:tabs>
          <w:tab w:leader="none" w:pos="12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 EEA Resolution</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274" w:right="279" w:bottom="1440" w:gutter="0" w:footer="0" w:header="0"/>
        </w:sectPr>
      </w:pPr>
    </w:p>
    <w:bookmarkStart w:id="117" w:name="page118"/>
    <w:bookmarkEnd w:id="117"/>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Rick Westenberg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Rick Westenberg</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Treasurer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GENERAL MOTORS FINANCIAL COMPANY, INC.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Susan B. Sheffield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Susan B. Sheffield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 Executive Vice President and Chief Financial</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GM GLOBAL TREASURY CENTRE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Vikas Khare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Vikas Khare</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DO BRASIL LTDA.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Felipe Augusto Marioto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Felipe Augusto Marioto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Treasury Supervisor (Attorney-in-fact)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Neville Tosoni Junior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Neville Tosoni Junior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Treasury Manager (Attorney-in-fact)</w:t>
      </w:r>
    </w:p>
    <w:p>
      <w:pPr>
        <w:spacing w:after="0" w:line="20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940"/>
          </w:cols>
          <w:pgMar w:left="240" w:top="274" w:right="719" w:bottom="1440" w:gutter="0" w:footer="0" w:header="0"/>
        </w:sectPr>
      </w:pPr>
    </w:p>
    <w:bookmarkStart w:id="118" w:name="page119"/>
    <w:bookmarkEnd w:id="11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 Administrative Agent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Gene R. Riego De 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Gene R. Riego De Dios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100"/>
          </w:cols>
          <w:pgMar w:left="1440" w:top="274" w:right="359" w:bottom="1440" w:gutter="0" w:footer="0" w:header="0"/>
        </w:sectPr>
      </w:pPr>
    </w:p>
    <w:bookmarkStart w:id="119" w:name="page120"/>
    <w:bookmarkEnd w:id="11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BANCO DO BRASIL S.A., as Brazilian Administrative Agent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as Lender in the BRL Tranche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Valdir Recalde de Oliveira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Valdir Recalde de Oliveira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Gerente Geral UN</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200"/>
          </w:cols>
          <w:pgMar w:left="1440" w:top="274" w:right="259" w:bottom="1440" w:gutter="0" w:footer="0" w:header="0"/>
        </w:sectPr>
      </w:pPr>
    </w:p>
    <w:bookmarkStart w:id="120" w:name="page121"/>
    <w:bookmarkEnd w:id="12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 as Syndication Agent and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Susan Olsen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640"/>
          </w:cols>
          <w:pgMar w:left="1440" w:top="274" w:right="819" w:bottom="1440" w:gutter="0" w:footer="0" w:header="0"/>
        </w:sectPr>
      </w:pPr>
    </w:p>
    <w:bookmarkStart w:id="121" w:name="page122"/>
    <w:bookmarkEnd w:id="12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AGRICULTURAL BANK OF CHINA LTD.,</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BRANCH, as Lender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Nelson Chou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SVP</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22" w:name="page123"/>
    <w:bookmarkEnd w:id="12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BILBAO VIZCAYA ARGENTARIA, S.A. NEW</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Miriam Trautmann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Crowley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880"/>
          </w:cols>
          <w:pgMar w:left="1440" w:top="274" w:right="579" w:bottom="1440" w:gutter="0" w:footer="0" w:header="0"/>
        </w:sectPr>
      </w:pPr>
    </w:p>
    <w:bookmarkStart w:id="123" w:name="page124"/>
    <w:bookmarkEnd w:id="12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BRADESCO S.A.,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Fabiana Guglielmi Paes de Barros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Fabiana Guglielmi Paes de Barros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BANCO BRADESCO S.A.,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Marcio Martins Bonilha Neto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Marcio Martins Bonilha Neto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Coordinator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20"/>
          </w:cols>
          <w:pgMar w:left="1440" w:top="274" w:right="1439" w:bottom="1440" w:gutter="0" w:footer="0" w:header="0"/>
        </w:sectPr>
      </w:pPr>
    </w:p>
    <w:bookmarkStart w:id="124" w:name="page125"/>
    <w:bookmarkEnd w:id="12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DO BRASIL S.A., acting through its New York</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 as Lender in the Multicurrency Tranche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Joao Fruet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Joao Fruet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General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Mauricio C. Azambuja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Mauricio C. Azambuja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Deputy General Manager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780"/>
          </w:cols>
          <w:pgMar w:left="1440" w:top="274" w:right="679" w:bottom="1440" w:gutter="0" w:footer="0" w:header="0"/>
        </w:sectPr>
      </w:pPr>
    </w:p>
    <w:bookmarkStart w:id="125" w:name="page126"/>
    <w:bookmarkEnd w:id="12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SANTANDER, S.A., NEW YORK BRANCH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Rita Waiz-Cuccioli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Rita Waiz-Cuccioli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Terence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Terence Corcoran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860"/>
          </w:cols>
          <w:pgMar w:left="1440" w:top="274" w:right="599" w:bottom="1440" w:gutter="0" w:footer="0" w:header="0"/>
        </w:sectPr>
      </w:pPr>
    </w:p>
    <w:bookmarkStart w:id="126" w:name="page127"/>
    <w:bookmarkEnd w:id="12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BANGKOK BANK PUBLIC COMPANY LIMITED, NEW</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Thitipong Prasertsilp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 &amp; Branch Manager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000"/>
          </w:cols>
          <w:pgMar w:left="1440" w:top="274" w:right="459" w:bottom="1440" w:gutter="0" w:footer="0" w:header="0"/>
        </w:sectPr>
      </w:pPr>
    </w:p>
    <w:bookmarkStart w:id="127" w:name="page128"/>
    <w:bookmarkEnd w:id="12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N.A.,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Lukehart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28" w:name="page129"/>
    <w:bookmarkEnd w:id="12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CHINA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Raymond Qiao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Vice President</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660"/>
          </w:cols>
          <w:pgMar w:left="1440" w:top="274" w:right="799" w:bottom="1440" w:gutter="0" w:footer="0" w:header="0"/>
        </w:sectPr>
      </w:pPr>
    </w:p>
    <w:bookmarkStart w:id="129" w:name="page130"/>
    <w:bookmarkEnd w:id="12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MONTREAL, CHICAGO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L. Banke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L. Banke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980"/>
          </w:cols>
          <w:pgMar w:left="1440" w:top="274" w:right="479" w:bottom="1440" w:gutter="0" w:footer="0" w:header="0"/>
        </w:sectPr>
      </w:pPr>
    </w:p>
    <w:bookmarkStart w:id="130" w:name="page131"/>
    <w:bookmarkEnd w:id="13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Craig Malloy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31" w:name="page132"/>
    <w:bookmarkEnd w:id="13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BNP PARIBAS,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A.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Name: Michael A Kowalczuk</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Melissa Dyki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Melissa Dyki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32" w:name="page133"/>
    <w:bookmarkEnd w:id="13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CANADIAN IMPERIAL BANK OF COMMERCE, NEW</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Dominic Sorresso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Dominic Sorresso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Melissa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Melissa Brown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920"/>
          </w:cols>
          <w:pgMar w:left="1440" w:top="274" w:right="539" w:bottom="1440" w:gutter="0" w:footer="0" w:header="0"/>
        </w:sectPr>
      </w:pPr>
    </w:p>
    <w:bookmarkStart w:id="133" w:name="page134"/>
    <w:bookmarkEnd w:id="13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CHINA CONSTRUCTION BANK CORPORATION, NEW</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Jun 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Jun Bi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DGM</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020"/>
          </w:cols>
          <w:pgMar w:left="1440" w:top="274" w:right="439" w:bottom="1440" w:gutter="0" w:footer="0" w:header="0"/>
        </w:sectPr>
      </w:pPr>
    </w:p>
    <w:bookmarkStart w:id="134" w:name="page135"/>
    <w:bookmarkEnd w:id="13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CITIZENS BANK, N.A.,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Jonathan Gleit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Jonathan Gleit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SVP</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35" w:name="page136"/>
    <w:bookmarkEnd w:id="13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COMMERZBANK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Ravelo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Ravelo</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Tak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Tak Cheng</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Assistant Vice President</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020"/>
          </w:cols>
          <w:pgMar w:left="1440" w:top="274" w:right="439" w:bottom="1440" w:gutter="0" w:footer="0" w:header="0"/>
        </w:sectPr>
      </w:pPr>
    </w:p>
    <w:bookmarkStart w:id="136" w:name="page137"/>
    <w:bookmarkEnd w:id="13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AGRICOLE CORPORATE AND INVESTMENT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Lana Chervonskaya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Lana Chervonskaya</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Louis-Marie Dubois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Louis-Marie Dubois</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980"/>
          </w:cols>
          <w:pgMar w:left="1440" w:top="274" w:right="479" w:bottom="1440" w:gutter="0" w:footer="0" w:header="0"/>
        </w:sectPr>
      </w:pPr>
    </w:p>
    <w:bookmarkStart w:id="137" w:name="page138"/>
    <w:bookmarkEnd w:id="13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DBS BANK LTD.,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Yeo How Ngee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Yeo How Ngee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Managing Director</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38" w:name="page139"/>
    <w:bookmarkEnd w:id="13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Ming K. Chu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Virginia Cosenza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060"/>
          </w:cols>
          <w:pgMar w:left="1440" w:top="274" w:right="399" w:bottom="1440" w:gutter="0" w:footer="0" w:header="0"/>
        </w:sectPr>
      </w:pPr>
    </w:p>
    <w:bookmarkStart w:id="139" w:name="page140"/>
    <w:bookmarkEnd w:id="13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FIFTH THIRD BANK,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Mike Gifford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Mike Gifford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Director, Corporate Banking</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40" w:name="page141"/>
    <w:bookmarkEnd w:id="14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Ryan Durkin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41" w:name="page142"/>
    <w:bookmarkEnd w:id="14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INDUSTRIAL AND COMMERCIAL BANK OF CHINA</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NEW 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Jing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Jing Qu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Assistant Vice President</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Gang Duan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Gang Duan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880"/>
          </w:cols>
          <w:pgMar w:left="1440" w:top="274" w:right="579" w:bottom="1440" w:gutter="0" w:footer="0" w:header="0"/>
        </w:sectPr>
      </w:pPr>
    </w:p>
    <w:bookmarkStart w:id="142" w:name="page143"/>
    <w:bookmarkEnd w:id="14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ING BANK N.V., DUBLIN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Sean Hassett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Barry Fehily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Barry Fehily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Country Manager</w:t>
      </w:r>
    </w:p>
    <w:p>
      <w:pPr>
        <w:spacing w:after="0" w:line="207"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260"/>
          </w:cols>
          <w:pgMar w:left="1440" w:top="274" w:right="1199" w:bottom="1440" w:gutter="0" w:footer="0" w:header="0"/>
        </w:sectPr>
      </w:pPr>
    </w:p>
    <w:bookmarkStart w:id="143" w:name="page144"/>
    <w:bookmarkEnd w:id="14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INTESA SANPAOLO S.P.A. - NEW YORK BRANCH,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Francesco Calcara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Francesco Calcara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VP-Senior Relationship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Francesco Di Mario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Francesco Di Mario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FVP-Head of Credit</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920"/>
          </w:cols>
          <w:pgMar w:left="1440" w:top="274" w:right="539" w:bottom="1440" w:gutter="0" w:footer="0" w:header="0"/>
        </w:sectPr>
      </w:pPr>
    </w:p>
    <w:bookmarkStart w:id="144" w:name="page145"/>
    <w:bookmarkEnd w:id="14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ITAU UNIBANCO S.A.,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Claudia Lopes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Claudia Lopes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Deputy General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Jorge I.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Jorge I. Vera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Middle Office Manager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080"/>
          </w:cols>
          <w:pgMar w:left="1440" w:top="274" w:right="379" w:bottom="1440" w:gutter="0" w:footer="0" w:header="0"/>
        </w:sectPr>
      </w:pPr>
    </w:p>
    <w:bookmarkStart w:id="145" w:name="page146"/>
    <w:bookmarkEnd w:id="14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LLOYDS BANK PLC,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Daven Popat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Daven Popat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Cheryl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Cheryl Wilson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Head of Operations, North America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40"/>
          </w:cols>
          <w:pgMar w:left="1440" w:top="274" w:right="1419" w:bottom="1440" w:gutter="0" w:footer="0" w:header="0"/>
        </w:sectPr>
      </w:pPr>
    </w:p>
    <w:bookmarkStart w:id="146" w:name="page147"/>
    <w:bookmarkEnd w:id="14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MIZUHO BANK, LTD.,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Tracy Rahn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47" w:name="page148"/>
    <w:bookmarkEnd w:id="14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BANK NORTH AMERICA,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Kenya Yamamoto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Kenya Yamamoto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180"/>
          </w:cols>
          <w:pgMar w:left="1440" w:top="274" w:right="279" w:bottom="1440" w:gutter="0" w:footer="0" w:header="0"/>
        </w:sectPr>
      </w:pPr>
    </w:p>
    <w:bookmarkStart w:id="148" w:name="page149"/>
    <w:bookmarkEnd w:id="14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MUFG BANK, LTD.,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Eric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Eric Hill</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Authorized Signatory</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49" w:name="page150"/>
    <w:bookmarkEnd w:id="14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NBAD AMERICAS N.V.,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Husam Arabiat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Husam Arabiat</w:t>
      </w:r>
    </w:p>
    <w:p>
      <w:pPr>
        <w:spacing w:after="0" w:line="23" w:lineRule="exact"/>
        <w:rPr>
          <w:sz w:val="20"/>
          <w:szCs w:val="20"/>
          <w:color w:val="auto"/>
        </w:rPr>
      </w:pPr>
    </w:p>
    <w:p>
      <w:pPr>
        <w:jc w:val="center"/>
        <w:ind w:left="382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Pamela Sigda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Pamela Sigda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CFO</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50" w:name="page151"/>
    <w:bookmarkEnd w:id="15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PNC BANK, NATIONAL ASSOCIATION,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Scott Neiderheide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Scott Neiderheide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580"/>
          </w:cols>
          <w:pgMar w:left="1440" w:top="274" w:right="879" w:bottom="1440" w:gutter="0" w:footer="0" w:header="0"/>
        </w:sectPr>
      </w:pPr>
    </w:p>
    <w:bookmarkStart w:id="151" w:name="page152"/>
    <w:bookmarkEnd w:id="15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 BANK OF CANADA,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Benjamin Lennon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52" w:name="page153"/>
    <w:bookmarkEnd w:id="15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SOCIETE GENERALE,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Hogan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53" w:name="page154"/>
    <w:bookmarkEnd w:id="15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STANDARD CHARTERED BANK,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Daniel Mattern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Daniel Mattern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Associate Director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80"/>
          </w:cols>
          <w:pgMar w:left="1440" w:top="274" w:right="1379" w:bottom="1440" w:gutter="0" w:footer="0" w:header="0"/>
        </w:sectPr>
      </w:pPr>
    </w:p>
    <w:bookmarkStart w:id="154" w:name="page155"/>
    <w:bookmarkEnd w:id="15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STREET BANK AND TRUST COMPANY,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Mary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Mary H. Carey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200"/>
          </w:cols>
          <w:pgMar w:left="1440" w:top="274" w:right="259" w:bottom="1440" w:gutter="0" w:footer="0" w:header="0"/>
        </w:sectPr>
      </w:pPr>
    </w:p>
    <w:bookmarkStart w:id="155" w:name="page156"/>
    <w:bookmarkEnd w:id="15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SUMITOMO MITSUI BANKING CORPORATION,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Katsuyuki Kubo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Katsuyuki Kubo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720"/>
          </w:cols>
          <w:pgMar w:left="1440" w:top="274" w:right="739" w:bottom="1440" w:gutter="0" w:footer="0" w:header="0"/>
        </w:sectPr>
      </w:pPr>
    </w:p>
    <w:bookmarkStart w:id="156" w:name="page157"/>
    <w:bookmarkEnd w:id="15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Lisa Garling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Lisa Garling</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57" w:name="page158"/>
    <w:bookmarkEnd w:id="15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T. Smathers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440"/>
          </w:cols>
          <w:pgMar w:left="1440" w:top="274" w:right="1019" w:bottom="1440" w:gutter="0" w:footer="0" w:header="0"/>
        </w:sectPr>
      </w:pPr>
    </w:p>
    <w:bookmarkStart w:id="158" w:name="page159"/>
    <w:bookmarkEnd w:id="15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NOVA SCOTIA,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Bradley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Bradley Walker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59" w:name="page160"/>
    <w:bookmarkEnd w:id="15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ROYAL BANK OF SCOTLAND PLC,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Jonathan Eady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660"/>
          </w:cols>
          <w:pgMar w:left="1440" w:top="274" w:right="799" w:bottom="1440" w:gutter="0" w:footer="0" w:header="0"/>
        </w:sectPr>
      </w:pPr>
    </w:p>
    <w:bookmarkStart w:id="160" w:name="page161"/>
    <w:bookmarkEnd w:id="16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TORONTO-DOMINION BANK, NEW YORK</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Savo Bozic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Savo Bozic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500"/>
          </w:cols>
          <w:pgMar w:left="1440" w:top="274" w:right="959" w:bottom="1440" w:gutter="0" w:footer="0" w:header="0"/>
        </w:sectPr>
      </w:pPr>
    </w:p>
    <w:bookmarkStart w:id="161" w:name="page162"/>
    <w:bookmarkEnd w:id="16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Jeffrey S. Johnson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500"/>
          </w:cols>
          <w:pgMar w:left="1440" w:top="274" w:right="959" w:bottom="1440" w:gutter="0" w:footer="0" w:header="0"/>
        </w:sectPr>
      </w:pPr>
    </w:p>
    <w:bookmarkStart w:id="162" w:name="page163"/>
    <w:bookmarkEnd w:id="16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UNICREDIT 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Ken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Ken Hamilton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Kelly 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Kelly Milton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10120"/>
          </w:cols>
          <w:pgMar w:left="1440" w:top="274" w:right="339" w:bottom="1440" w:gutter="0" w:footer="0" w:header="0"/>
        </w:sectPr>
      </w:pPr>
    </w:p>
    <w:bookmarkStart w:id="163" w:name="page164"/>
    <w:bookmarkEnd w:id="16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OVERSEAS BANK LIMITED, NEW YORK</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AGENCY,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Eriberto De Guzman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 &amp; Country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Ike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First Vice President</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700"/>
          </w:cols>
          <w:pgMar w:left="1440" w:top="274" w:right="759" w:bottom="1440" w:gutter="0" w:footer="0" w:header="0"/>
        </w:sectPr>
      </w:pPr>
    </w:p>
    <w:bookmarkStart w:id="164" w:name="page165"/>
    <w:bookmarkEnd w:id="16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Matt J. Perrizo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Matt J. Perrizo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3-Year Revolving Credit Agreement</w:t>
      </w:r>
    </w:p>
    <w:p>
      <w:pPr>
        <w:sectPr>
          <w:pgSz w:w="11900" w:h="16838" w:orient="portrait"/>
          <w:cols w:equalWidth="0" w:num="1">
            <w:col w:w="9019"/>
          </w:cols>
          <w:pgMar w:left="1440" w:top="274" w:right="1440" w:bottom="1440" w:gutter="0" w:footer="0" w:header="0"/>
        </w:sectPr>
      </w:pPr>
    </w:p>
    <w:bookmarkStart w:id="165" w:name="page166"/>
    <w:bookmarkEnd w:id="16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WESTPAC BANKING CORPORATION,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Su-Lin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Su-Lin Watson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3-Year Revolving Credit Agreement</w:t>
      </w:r>
    </w:p>
    <w:p>
      <w:pPr>
        <w:sectPr>
          <w:pgSz w:w="11900" w:h="16838" w:orient="portrait"/>
          <w:cols w:equalWidth="0" w:num="1">
            <w:col w:w="9460"/>
          </w:cols>
          <w:pgMar w:left="1440" w:top="274" w:right="99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SCHEDULE 1.1A</w:t>
            </w:r>
          </w:p>
        </w:tc>
      </w:tr>
      <w:tr>
        <w:trPr>
          <w:trHeight w:val="230"/>
        </w:trPr>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2"/>
              </w:rPr>
              <w:t>to</w:t>
            </w:r>
          </w:p>
        </w:tc>
      </w:tr>
      <w:tr>
        <w:trPr>
          <w:trHeight w:val="230"/>
        </w:trPr>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60" w:type="dxa"/>
            <w:vAlign w:val="bottom"/>
          </w:tcPr>
          <w:p>
            <w:pPr>
              <w:jc w:val="center"/>
              <w:ind w:left="310"/>
              <w:spacing w:after="0"/>
              <w:rPr>
                <w:sz w:val="20"/>
                <w:szCs w:val="20"/>
                <w:color w:val="auto"/>
              </w:rPr>
            </w:pPr>
            <w:r>
              <w:rPr>
                <w:rFonts w:ascii="Arial" w:cs="Arial" w:eastAsia="Arial" w:hAnsi="Arial"/>
                <w:sz w:val="18"/>
                <w:szCs w:val="18"/>
                <w:color w:val="auto"/>
                <w:w w:val="90"/>
              </w:rPr>
              <w:t>Credit Agreement</w:t>
            </w:r>
          </w:p>
        </w:tc>
      </w:tr>
      <w:tr>
        <w:trPr>
          <w:trHeight w:val="608"/>
        </w:trPr>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100" w:type="dxa"/>
            <w:vAlign w:val="bottom"/>
            <w:gridSpan w:val="3"/>
          </w:tcPr>
          <w:p>
            <w:pPr>
              <w:ind w:left="24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OMMITMENTS</w:t>
            </w:r>
            <w:r>
              <w:rPr>
                <w:rFonts w:ascii="Arial" w:cs="Arial" w:eastAsia="Arial" w:hAnsi="Arial"/>
                <w:sz w:val="18"/>
                <w:szCs w:val="18"/>
                <w:b w:val="1"/>
                <w:bCs w:val="1"/>
                <w:color w:val="auto"/>
              </w:rPr>
              <w:t>/DDTP I</w:t>
            </w:r>
            <w:r>
              <w:rPr>
                <w:rFonts w:ascii="Arial" w:cs="Arial" w:eastAsia="Arial" w:hAnsi="Arial"/>
                <w:sz w:val="15"/>
                <w:szCs w:val="15"/>
                <w:b w:val="1"/>
                <w:bCs w:val="1"/>
                <w:color w:val="auto"/>
              </w:rPr>
              <w:t>NFORMATION</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2"/>
        </w:trPr>
        <w:tc>
          <w:tcPr>
            <w:tcW w:w="1840" w:type="dxa"/>
            <w:vAlign w:val="bottom"/>
            <w:gridSpan w:val="2"/>
          </w:tcPr>
          <w:p>
            <w:pPr>
              <w:jc w:val="right"/>
              <w:ind w:right="1359"/>
              <w:spacing w:after="0"/>
              <w:rPr>
                <w:sz w:val="20"/>
                <w:szCs w:val="20"/>
                <w:color w:val="auto"/>
              </w:rPr>
            </w:pPr>
            <w:r>
              <w:rPr>
                <w:rFonts w:ascii="Arial" w:cs="Arial" w:eastAsia="Arial" w:hAnsi="Arial"/>
                <w:sz w:val="18"/>
                <w:szCs w:val="18"/>
                <w:color w:val="auto"/>
              </w:rPr>
              <w:t>[***]</w:t>
            </w:r>
          </w:p>
        </w:tc>
        <w:tc>
          <w:tcPr>
            <w:tcW w:w="2420" w:type="dxa"/>
            <w:vAlign w:val="bottom"/>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2"/>
        </w:trPr>
        <w:tc>
          <w:tcPr>
            <w:tcW w:w="400" w:type="dxa"/>
            <w:vAlign w:val="bottom"/>
            <w:tcBorders>
              <w:top w:val="single" w:sz="8" w:color="auto"/>
            </w:tcBorders>
          </w:tcPr>
          <w:p>
            <w:pPr>
              <w:spacing w:after="0"/>
              <w:rPr>
                <w:sz w:val="24"/>
                <w:szCs w:val="24"/>
                <w:color w:val="auto"/>
              </w:rPr>
            </w:pPr>
          </w:p>
        </w:tc>
        <w:tc>
          <w:tcPr>
            <w:tcW w:w="7540" w:type="dxa"/>
            <w:vAlign w:val="bottom"/>
            <w:gridSpan w:val="4"/>
          </w:tcPr>
          <w:p>
            <w:pPr>
              <w:ind w:left="1440"/>
              <w:spacing w:after="0"/>
              <w:rPr>
                <w:sz w:val="20"/>
                <w:szCs w:val="20"/>
                <w:color w:val="auto"/>
              </w:rPr>
            </w:pPr>
            <w:r>
              <w:rPr>
                <w:rFonts w:ascii="Arial" w:cs="Arial" w:eastAsia="Arial" w:hAnsi="Arial"/>
                <w:sz w:val="14"/>
                <w:szCs w:val="14"/>
                <w:b w:val="1"/>
                <w:bCs w:val="1"/>
                <w:color w:val="auto"/>
              </w:rPr>
              <w:t>Lender</w:t>
            </w:r>
          </w:p>
        </w:tc>
        <w:tc>
          <w:tcPr>
            <w:tcW w:w="3420" w:type="dxa"/>
            <w:vAlign w:val="bottom"/>
            <w:gridSpan w:val="4"/>
          </w:tcPr>
          <w:p>
            <w:pPr>
              <w:jc w:val="right"/>
              <w:ind w:right="1730"/>
              <w:spacing w:after="0"/>
              <w:rPr>
                <w:sz w:val="20"/>
                <w:szCs w:val="20"/>
                <w:color w:val="auto"/>
              </w:rPr>
            </w:pPr>
            <w:r>
              <w:rPr>
                <w:rFonts w:ascii="Arial" w:cs="Arial" w:eastAsia="Arial" w:hAnsi="Arial"/>
                <w:sz w:val="14"/>
                <w:szCs w:val="14"/>
                <w:b w:val="1"/>
                <w:bCs w:val="1"/>
                <w:color w:val="auto"/>
              </w:rPr>
              <w:t>Commitment</w:t>
            </w:r>
          </w:p>
        </w:tc>
      </w:tr>
      <w:tr>
        <w:trPr>
          <w:trHeight w:val="216"/>
        </w:trPr>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Street Bank and Trust Company</w:t>
            </w:r>
          </w:p>
        </w:tc>
        <w:tc>
          <w:tcPr>
            <w:tcW w:w="10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United Overseas Bank Limited, New York Agency</w:t>
            </w:r>
          </w:p>
        </w:tc>
        <w:tc>
          <w:tcPr>
            <w:tcW w:w="10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Bangkok Bank Public Company Limited, New York Branch</w:t>
            </w:r>
          </w:p>
        </w:tc>
        <w:tc>
          <w:tcPr>
            <w:tcW w:w="10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28"/>
        </w:trPr>
        <w:tc>
          <w:tcPr>
            <w:tcW w:w="400" w:type="dxa"/>
            <w:vAlign w:val="bottom"/>
          </w:tcPr>
          <w:p>
            <w:pPr>
              <w:spacing w:after="0"/>
              <w:rPr>
                <w:sz w:val="19"/>
                <w:szCs w:val="19"/>
                <w:color w:val="auto"/>
              </w:rPr>
            </w:pPr>
          </w:p>
        </w:tc>
        <w:tc>
          <w:tcPr>
            <w:tcW w:w="7540" w:type="dxa"/>
            <w:vAlign w:val="bottom"/>
            <w:gridSpan w:val="4"/>
          </w:tcPr>
          <w:p>
            <w:pPr>
              <w:ind w:left="1440"/>
              <w:spacing w:after="0"/>
              <w:rPr>
                <w:sz w:val="20"/>
                <w:szCs w:val="20"/>
                <w:color w:val="auto"/>
              </w:rPr>
            </w:pPr>
            <w:r>
              <w:rPr>
                <w:rFonts w:ascii="Arial" w:cs="Arial" w:eastAsia="Arial" w:hAnsi="Arial"/>
                <w:sz w:val="18"/>
                <w:szCs w:val="18"/>
                <w:b w:val="1"/>
                <w:bCs w:val="1"/>
                <w:color w:val="auto"/>
              </w:rPr>
              <w:t>Total</w:t>
            </w:r>
          </w:p>
        </w:tc>
        <w:tc>
          <w:tcPr>
            <w:tcW w:w="7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spacing w:after="0"/>
              <w:rPr>
                <w:sz w:val="19"/>
                <w:szCs w:val="19"/>
                <w:color w:val="auto"/>
              </w:rPr>
            </w:pPr>
          </w:p>
        </w:tc>
      </w:tr>
    </w:tbl>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Scheme Reference</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36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Commitment</w:t>
            </w:r>
          </w:p>
        </w:tc>
        <w:tc>
          <w:tcPr>
            <w:tcW w:w="2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Number</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Tax Residence</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2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6"/>
              </w:rPr>
              <w:t>13/M/0268710/DTTP</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Citibank, N.A.</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120" w:type="dxa"/>
            <w:vAlign w:val="bottom"/>
            <w:gridSpan w:val="2"/>
          </w:tcPr>
          <w:p>
            <w:pPr>
              <w:jc w:val="right"/>
              <w:ind w:right="480"/>
              <w:spacing w:after="0"/>
              <w:rPr>
                <w:sz w:val="20"/>
                <w:szCs w:val="20"/>
                <w:color w:val="auto"/>
              </w:rPr>
            </w:pPr>
            <w:r>
              <w:rPr>
                <w:rFonts w:ascii="Arial" w:cs="Arial" w:eastAsia="Arial" w:hAnsi="Arial"/>
                <w:sz w:val="18"/>
                <w:szCs w:val="18"/>
                <w:color w:val="auto"/>
              </w:rPr>
              <w:t>13/C/62301/DTTP</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BNP Paribas</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2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5/B/255139/DTTP</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Bank of America, N.A.</w:t>
            </w:r>
            <w:r>
              <w:rPr>
                <w:rFonts w:ascii="Arial" w:cs="Arial" w:eastAsia="Arial" w:hAnsi="Arial"/>
                <w:sz w:val="15"/>
                <w:szCs w:val="15"/>
                <w:color w:val="auto"/>
              </w:rPr>
              <w:t>1</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120" w:type="dxa"/>
            <w:vAlign w:val="bottom"/>
            <w:gridSpan w:val="2"/>
          </w:tcPr>
          <w:p>
            <w:pPr>
              <w:jc w:val="right"/>
              <w:ind w:right="480"/>
              <w:spacing w:after="0"/>
              <w:rPr>
                <w:sz w:val="20"/>
                <w:szCs w:val="20"/>
                <w:color w:val="auto"/>
              </w:rPr>
            </w:pPr>
            <w:r>
              <w:rPr>
                <w:rFonts w:ascii="Arial" w:cs="Arial" w:eastAsia="Arial" w:hAnsi="Arial"/>
                <w:sz w:val="18"/>
                <w:szCs w:val="18"/>
                <w:color w:val="auto"/>
              </w:rPr>
              <w:t>13/B/7418/DTTP</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21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120" w:type="dxa"/>
            <w:vAlign w:val="bottom"/>
            <w:gridSpan w:val="2"/>
          </w:tcPr>
          <w:p>
            <w:pPr>
              <w:jc w:val="right"/>
              <w:ind w:right="480"/>
              <w:spacing w:after="0"/>
              <w:rPr>
                <w:sz w:val="20"/>
                <w:szCs w:val="20"/>
                <w:color w:val="auto"/>
              </w:rPr>
            </w:pPr>
            <w:r>
              <w:rPr>
                <w:rFonts w:ascii="Arial" w:cs="Arial" w:eastAsia="Arial" w:hAnsi="Arial"/>
                <w:sz w:val="18"/>
                <w:szCs w:val="18"/>
                <w:color w:val="auto"/>
              </w:rPr>
              <w:t>07/D/70006/DTTP</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Branch</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2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3/C/80001/DTTP</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Credit Agricole Corporate and Investment Bank</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120" w:type="dxa"/>
            <w:vAlign w:val="bottom"/>
            <w:gridSpan w:val="2"/>
          </w:tcPr>
          <w:p>
            <w:pPr>
              <w:jc w:val="right"/>
              <w:ind w:right="480"/>
              <w:spacing w:after="0"/>
              <w:rPr>
                <w:sz w:val="20"/>
                <w:szCs w:val="20"/>
                <w:color w:val="auto"/>
              </w:rPr>
            </w:pPr>
            <w:r>
              <w:rPr>
                <w:rFonts w:ascii="Arial" w:cs="Arial" w:eastAsia="Arial" w:hAnsi="Arial"/>
                <w:sz w:val="18"/>
                <w:szCs w:val="18"/>
                <w:color w:val="auto"/>
              </w:rPr>
              <w:t>5/C/0222082/DTTP</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Industrial and Commercial Bank of China Limited, New York</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Branch</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vMerge w:val="continue"/>
            <w:shd w:val="clear" w:color="auto" w:fill="CCEEFF"/>
          </w:tcPr>
          <w:p>
            <w:pPr>
              <w:spacing w:after="0"/>
              <w:rPr>
                <w:sz w:val="20"/>
                <w:szCs w:val="20"/>
                <w:color w:val="auto"/>
              </w:rPr>
            </w:pPr>
          </w:p>
        </w:tc>
        <w:tc>
          <w:tcPr>
            <w:tcW w:w="2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23/I/358686/DTTP</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The Bank of New York Mellon</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120" w:type="dxa"/>
            <w:vAlign w:val="bottom"/>
            <w:gridSpan w:val="2"/>
          </w:tcPr>
          <w:p>
            <w:pPr>
              <w:jc w:val="right"/>
              <w:ind w:right="480"/>
              <w:spacing w:after="0"/>
              <w:rPr>
                <w:sz w:val="20"/>
                <w:szCs w:val="20"/>
                <w:color w:val="auto"/>
              </w:rPr>
            </w:pPr>
            <w:r>
              <w:rPr>
                <w:rFonts w:ascii="Arial" w:cs="Arial" w:eastAsia="Arial" w:hAnsi="Arial"/>
                <w:sz w:val="18"/>
                <w:szCs w:val="18"/>
                <w:color w:val="auto"/>
              </w:rPr>
              <w:t>13/B/357401/DTTP</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54" w:lineRule="auto"/>
        <w:tabs>
          <w:tab w:leader="none" w:pos="460" w:val="left"/>
        </w:tabs>
        <w:numPr>
          <w:ilvl w:val="0"/>
          <w:numId w:val="161"/>
        </w:numPr>
        <w:rPr>
          <w:rFonts w:ascii="Arial" w:cs="Arial" w:eastAsia="Arial" w:hAnsi="Arial"/>
          <w:sz w:val="15"/>
          <w:szCs w:val="15"/>
          <w:color w:val="auto"/>
        </w:rPr>
      </w:pPr>
      <w:r>
        <w:rPr>
          <w:rFonts w:ascii="Arial" w:cs="Arial" w:eastAsia="Arial" w:hAnsi="Arial"/>
          <w:sz w:val="18"/>
          <w:szCs w:val="18"/>
          <w:color w:val="auto"/>
        </w:rPr>
        <w:t>Bank of America Merrill Lynch International is a designated Affiliate of Bank of America, N.A. for the purpose of lending to certain Foreign Subsidiary Borrowers. Any reference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Chapter II, Title II of Directive (EU) 2017/1132 (which repeals and codifies the Cross-Border Mergers Directive (2005/56/EC)), as implemented in the United Kingdom and Ireland. Notwithstanding anything to the contrary in any Loan Document, a transfer of rights and obligations from Bank of America Merrill Lynch International Limited to Bank of America Merrill Lynch International Designated Activity Company pursuant to such merger shall be permitted.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80" w:right="680" w:hanging="572"/>
        <w:spacing w:after="0" w:line="277" w:lineRule="auto"/>
        <w:tabs>
          <w:tab w:leader="none" w:pos="5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360"/>
          </w:cols>
          <w:pgMar w:left="240" w:top="274" w:right="29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Scheme Reference</w:t>
            </w:r>
          </w:p>
        </w:tc>
        <w:tc>
          <w:tcPr>
            <w:tcW w:w="4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Lender</w:t>
            </w:r>
          </w:p>
        </w:tc>
        <w:tc>
          <w:tcPr>
            <w:tcW w:w="36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Commitment</w:t>
            </w:r>
          </w:p>
        </w:tc>
        <w:tc>
          <w:tcPr>
            <w:tcW w:w="1680" w:type="dxa"/>
            <w:vAlign w:val="bottom"/>
            <w:gridSpan w:val="3"/>
          </w:tcPr>
          <w:p>
            <w:pPr>
              <w:ind w:left="56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Tax Residence</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6"/>
              </w:rPr>
              <w:t>13/M/0268710/DTTP</w:t>
            </w:r>
          </w:p>
        </w:tc>
        <w:tc>
          <w:tcPr>
            <w:tcW w:w="44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13/C/62301/DTTP</w:t>
            </w:r>
          </w:p>
        </w:tc>
        <w:tc>
          <w:tcPr>
            <w:tcW w:w="4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BNP Paribas</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5/B/255139/DTTP</w:t>
            </w:r>
          </w:p>
        </w:tc>
        <w:tc>
          <w:tcPr>
            <w:tcW w:w="4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AG New York Branch</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07/D/70006/DTTP</w:t>
            </w:r>
          </w:p>
        </w:tc>
        <w:tc>
          <w:tcPr>
            <w:tcW w:w="44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13/B/7418/DTTP</w:t>
            </w:r>
          </w:p>
        </w:tc>
        <w:tc>
          <w:tcPr>
            <w:tcW w:w="4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Branch</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3/C/80001/DTTP</w:t>
            </w:r>
          </w:p>
        </w:tc>
        <w:tc>
          <w:tcPr>
            <w:tcW w:w="44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Credit Agricole Corporate and Investment Bank</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5/C/0222082/DTTP</w:t>
            </w:r>
          </w:p>
        </w:tc>
        <w:tc>
          <w:tcPr>
            <w:tcW w:w="4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Industrial and Commercial Bank of China Limited, New York</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Branch</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vMerge w:val="continue"/>
            <w:shd w:val="clear" w:color="auto" w:fill="CCEEFF"/>
          </w:tcPr>
          <w:p>
            <w:pPr>
              <w:spacing w:after="0"/>
              <w:rPr>
                <w:sz w:val="20"/>
                <w:szCs w:val="20"/>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23/I/358686/DTTP</w:t>
            </w:r>
          </w:p>
        </w:tc>
        <w:tc>
          <w:tcPr>
            <w:tcW w:w="440" w:type="dxa"/>
            <w:vAlign w:val="bottom"/>
            <w:shd w:val="clear" w:color="auto" w:fill="CCEEFF"/>
          </w:tcPr>
          <w:p>
            <w:pPr>
              <w:spacing w:after="0"/>
              <w:rPr>
                <w:sz w:val="20"/>
                <w:szCs w:val="20"/>
                <w:color w:val="auto"/>
              </w:rPr>
            </w:pPr>
          </w:p>
        </w:tc>
        <w:tc>
          <w:tcPr>
            <w:tcW w:w="9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The Bank of New York Mellon</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13/B/357401/DTTP</w:t>
            </w:r>
          </w:p>
        </w:tc>
        <w:tc>
          <w:tcPr>
            <w:tcW w:w="4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9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840" w:type="dxa"/>
            <w:vAlign w:val="bottom"/>
            <w:gridSpan w:val="2"/>
          </w:tcPr>
          <w:p>
            <w:pPr>
              <w:ind w:left="920"/>
              <w:spacing w:after="0"/>
              <w:rPr>
                <w:sz w:val="20"/>
                <w:szCs w:val="20"/>
                <w:color w:val="auto"/>
              </w:rPr>
            </w:pPr>
            <w:r>
              <w:rPr>
                <w:rFonts w:ascii="Arial" w:cs="Arial" w:eastAsia="Arial" w:hAnsi="Arial"/>
                <w:sz w:val="14"/>
                <w:szCs w:val="14"/>
                <w:b w:val="1"/>
                <w:bCs w:val="1"/>
                <w:color w:val="auto"/>
              </w:rPr>
              <w:t>Lender</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Banco Bradesco S.A.</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Banco do Brasil S.A.</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hanging="572"/>
        <w:spacing w:after="0" w:line="277" w:lineRule="auto"/>
        <w:tabs>
          <w:tab w:leader="none" w:pos="5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0680"/>
          </w:cols>
          <w:pgMar w:left="240" w:top="270" w:right="97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tcPr>
          <w:p>
            <w:pPr>
              <w:jc w:val="right"/>
              <w:ind w:right="551"/>
              <w:spacing w:after="0"/>
              <w:rPr>
                <w:sz w:val="20"/>
                <w:szCs w:val="20"/>
                <w:color w:val="auto"/>
              </w:rPr>
            </w:pPr>
            <w:r>
              <w:rPr>
                <w:rFonts w:ascii="Arial" w:cs="Arial" w:eastAsia="Arial" w:hAnsi="Arial"/>
                <w:sz w:val="14"/>
                <w:szCs w:val="14"/>
                <w:b w:val="1"/>
                <w:bCs w:val="1"/>
                <w:color w:val="auto"/>
              </w:rPr>
              <w:t>Scheme Reference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85"/>
        </w:trPr>
        <w:tc>
          <w:tcPr>
            <w:tcW w:w="456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rPr>
              <w:t>Commitment</w:t>
            </w:r>
          </w:p>
        </w:tc>
        <w:tc>
          <w:tcPr>
            <w:tcW w:w="2360" w:type="dxa"/>
            <w:vAlign w:val="bottom"/>
          </w:tcPr>
          <w:p>
            <w:pPr>
              <w:jc w:val="right"/>
              <w:ind w:right="851"/>
              <w:spacing w:after="0"/>
              <w:rPr>
                <w:sz w:val="20"/>
                <w:szCs w:val="20"/>
                <w:color w:val="auto"/>
              </w:rPr>
            </w:pPr>
            <w:r>
              <w:rPr>
                <w:rFonts w:ascii="Arial" w:cs="Arial" w:eastAsia="Arial" w:hAnsi="Arial"/>
                <w:sz w:val="14"/>
                <w:szCs w:val="14"/>
                <w:b w:val="1"/>
                <w:bCs w:val="1"/>
                <w:color w:val="auto"/>
              </w:rPr>
              <w:t>Number</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Tax Residence</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Banco Bilbao Vizcaya Argentaria, S.A. New York Branch</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9/B/75354/DTTP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Commerzbank AG New York Branch</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51"/>
              <w:spacing w:after="0"/>
              <w:rPr>
                <w:sz w:val="20"/>
                <w:szCs w:val="20"/>
                <w:color w:val="auto"/>
              </w:rPr>
            </w:pPr>
            <w:r>
              <w:rPr>
                <w:rFonts w:ascii="Arial" w:cs="Arial" w:eastAsia="Arial" w:hAnsi="Arial"/>
                <w:sz w:val="18"/>
                <w:szCs w:val="18"/>
                <w:color w:val="auto"/>
              </w:rPr>
              <w:t>7/C/25382/DTTP</w:t>
            </w:r>
          </w:p>
        </w:tc>
        <w:tc>
          <w:tcPr>
            <w:tcW w:w="1200" w:type="dxa"/>
            <w:vAlign w:val="bottom"/>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13/G/0351779/DTTP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Lloyds Bank plc</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Mizuho Bank, Ltd.</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43/M/274822/DTTP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Morgan Stanley Bank, N.A.</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51"/>
              <w:spacing w:after="0"/>
              <w:rPr>
                <w:sz w:val="20"/>
                <w:szCs w:val="20"/>
                <w:color w:val="auto"/>
              </w:rPr>
            </w:pPr>
            <w:r>
              <w:rPr>
                <w:rFonts w:ascii="Arial" w:cs="Arial" w:eastAsia="Arial" w:hAnsi="Arial"/>
                <w:sz w:val="18"/>
                <w:szCs w:val="18"/>
                <w:color w:val="auto"/>
              </w:rPr>
              <w:t>13/M/307216/DTTP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3/R/70780/DTTP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Societe Generale</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51"/>
              <w:spacing w:after="0"/>
              <w:rPr>
                <w:sz w:val="20"/>
                <w:szCs w:val="20"/>
                <w:color w:val="auto"/>
              </w:rPr>
            </w:pPr>
            <w:r>
              <w:rPr>
                <w:rFonts w:ascii="Arial" w:cs="Arial" w:eastAsia="Arial" w:hAnsi="Arial"/>
                <w:sz w:val="18"/>
                <w:szCs w:val="18"/>
                <w:color w:val="auto"/>
              </w:rPr>
              <w:t>5/S/70085/DTTP</w:t>
            </w:r>
          </w:p>
        </w:tc>
        <w:tc>
          <w:tcPr>
            <w:tcW w:w="120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43/S/274647/DTTP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The Bank of Nova Scotia</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51"/>
              <w:spacing w:after="0"/>
              <w:rPr>
                <w:sz w:val="20"/>
                <w:szCs w:val="20"/>
                <w:color w:val="auto"/>
              </w:rPr>
            </w:pPr>
            <w:r>
              <w:rPr>
                <w:rFonts w:ascii="Arial" w:cs="Arial" w:eastAsia="Arial" w:hAnsi="Arial"/>
                <w:sz w:val="18"/>
                <w:szCs w:val="18"/>
                <w:color w:val="auto"/>
              </w:rPr>
              <w:t>003/T/0366714/DTTP</w:t>
            </w:r>
          </w:p>
        </w:tc>
        <w:tc>
          <w:tcPr>
            <w:tcW w:w="120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The Royal Bank of Scotland plc</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The Toronto-Dominion Bank, New York Branch</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51"/>
              <w:spacing w:after="0"/>
              <w:rPr>
                <w:sz w:val="20"/>
                <w:szCs w:val="20"/>
                <w:color w:val="auto"/>
              </w:rPr>
            </w:pPr>
            <w:r>
              <w:rPr>
                <w:rFonts w:ascii="Arial" w:cs="Arial" w:eastAsia="Arial" w:hAnsi="Arial"/>
                <w:sz w:val="18"/>
                <w:szCs w:val="18"/>
                <w:color w:val="auto"/>
              </w:rPr>
              <w:t>3/T/80000/DTTP</w:t>
            </w:r>
          </w:p>
        </w:tc>
        <w:tc>
          <w:tcPr>
            <w:tcW w:w="120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Intesa Sanpaolo S.p.A. - New York Branch</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360" w:type="dxa"/>
            <w:vAlign w:val="bottom"/>
            <w:shd w:val="clear" w:color="auto" w:fill="CCEEFF"/>
          </w:tcPr>
          <w:p>
            <w:pPr>
              <w:jc w:val="right"/>
              <w:ind w:right="151"/>
              <w:spacing w:after="0" w:line="201" w:lineRule="exact"/>
              <w:rPr>
                <w:sz w:val="20"/>
                <w:szCs w:val="20"/>
                <w:color w:val="auto"/>
              </w:rPr>
            </w:pPr>
            <w:r>
              <w:rPr>
                <w:rFonts w:ascii="Arial" w:cs="Arial" w:eastAsia="Arial" w:hAnsi="Arial"/>
                <w:sz w:val="18"/>
                <w:szCs w:val="18"/>
                <w:color w:val="auto"/>
              </w:rPr>
              <w:t>N/A (with respect to</w:t>
            </w: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Intesa Sanpaolo S.p.A.,</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London Branch as</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vMerge w:val="continue"/>
            <w:shd w:val="clear" w:color="auto" w:fill="CCEEFF"/>
          </w:tcPr>
          <w:p>
            <w:pPr>
              <w:spacing w:after="0"/>
              <w:rPr>
                <w:sz w:val="20"/>
                <w:szCs w:val="20"/>
                <w:color w:val="auto"/>
              </w:rPr>
            </w:pPr>
          </w:p>
        </w:tc>
        <w:tc>
          <w:tcPr>
            <w:tcW w:w="2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applicable lending office)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UniCredit Bank AG, New York Branch</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51"/>
              <w:spacing w:after="0"/>
              <w:rPr>
                <w:sz w:val="20"/>
                <w:szCs w:val="20"/>
                <w:color w:val="auto"/>
              </w:rPr>
            </w:pPr>
            <w:r>
              <w:rPr>
                <w:rFonts w:ascii="Arial" w:cs="Arial" w:eastAsia="Arial" w:hAnsi="Arial"/>
                <w:sz w:val="18"/>
                <w:szCs w:val="18"/>
                <w:color w:val="auto"/>
              </w:rPr>
              <w:t>7/U/237605/DTTP</w:t>
            </w:r>
          </w:p>
        </w:tc>
        <w:tc>
          <w:tcPr>
            <w:tcW w:w="1200" w:type="dxa"/>
            <w:vAlign w:val="bottom"/>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DBS Bank Ltd.</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67/D/363894/DTTP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51"/>
              <w:spacing w:after="0"/>
              <w:rPr>
                <w:sz w:val="20"/>
                <w:szCs w:val="20"/>
                <w:color w:val="auto"/>
              </w:rPr>
            </w:pPr>
            <w:r>
              <w:rPr>
                <w:rFonts w:ascii="Arial" w:cs="Arial" w:eastAsia="Arial" w:hAnsi="Arial"/>
                <w:sz w:val="18"/>
                <w:szCs w:val="18"/>
                <w:color w:val="auto"/>
              </w:rPr>
              <w:t>13/U/62184/DTTP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Bank of China New York Branch</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23/B/368424/DTTP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Bank of Montreal, Chicago Branch</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51"/>
              <w:spacing w:after="0"/>
              <w:rPr>
                <w:sz w:val="20"/>
                <w:szCs w:val="20"/>
                <w:color w:val="auto"/>
              </w:rPr>
            </w:pPr>
            <w:r>
              <w:rPr>
                <w:rFonts w:ascii="Arial" w:cs="Arial" w:eastAsia="Arial" w:hAnsi="Arial"/>
                <w:sz w:val="18"/>
                <w:szCs w:val="18"/>
                <w:color w:val="auto"/>
              </w:rPr>
              <w:t>3/M/270436/DTTP</w:t>
            </w:r>
          </w:p>
        </w:tc>
        <w:tc>
          <w:tcPr>
            <w:tcW w:w="120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Banco Santander, S.A., New York Branch</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9/S/267974/DTTP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Arial" w:cs="Arial" w:eastAsia="Arial" w:hAnsi="Arial"/>
                <w:sz w:val="18"/>
                <w:szCs w:val="18"/>
                <w:color w:val="auto"/>
              </w:rPr>
              <w:t>MUFG Bank, Ltd.</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51"/>
              <w:spacing w:after="0"/>
              <w:rPr>
                <w:sz w:val="20"/>
                <w:szCs w:val="20"/>
                <w:color w:val="auto"/>
              </w:rPr>
            </w:pPr>
            <w:r>
              <w:rPr>
                <w:rFonts w:ascii="Arial" w:cs="Arial" w:eastAsia="Arial" w:hAnsi="Arial"/>
                <w:sz w:val="18"/>
                <w:szCs w:val="18"/>
                <w:color w:val="auto"/>
              </w:rPr>
              <w:t>43/B/322072/DTTP</w:t>
            </w:r>
          </w:p>
        </w:tc>
        <w:tc>
          <w:tcPr>
            <w:tcW w:w="1200" w:type="dxa"/>
            <w:vAlign w:val="bottom"/>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hanging="572"/>
        <w:spacing w:after="0" w:line="277" w:lineRule="auto"/>
        <w:tabs>
          <w:tab w:leader="none" w:pos="5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0680"/>
          </w:cols>
          <w:pgMar w:left="240" w:top="270" w:right="979" w:bottom="1440" w:gutter="0" w:footer="0" w:header="0"/>
        </w:sectPr>
      </w:pPr>
    </w:p>
    <w:bookmarkStart w:id="169" w:name="page170"/>
    <w:bookmarkEnd w:id="169"/>
    <w:tbl>
      <w:tblPr>
        <w:tblLayout w:type="fixed"/>
        <w:tblInd w:w="9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tcPr>
          <w:p>
            <w:pPr>
              <w:jc w:val="right"/>
              <w:ind w:right="551"/>
              <w:spacing w:after="0"/>
              <w:rPr>
                <w:sz w:val="20"/>
                <w:szCs w:val="20"/>
                <w:color w:val="auto"/>
              </w:rPr>
            </w:pPr>
            <w:r>
              <w:rPr>
                <w:rFonts w:ascii="Arial" w:cs="Arial" w:eastAsia="Arial" w:hAnsi="Arial"/>
                <w:sz w:val="14"/>
                <w:szCs w:val="14"/>
                <w:b w:val="1"/>
                <w:bCs w:val="1"/>
                <w:color w:val="auto"/>
              </w:rPr>
              <w:t>Scheme Reference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Commitment</w:t>
            </w:r>
          </w:p>
        </w:tc>
        <w:tc>
          <w:tcPr>
            <w:tcW w:w="2360" w:type="dxa"/>
            <w:vAlign w:val="bottom"/>
          </w:tcPr>
          <w:p>
            <w:pPr>
              <w:jc w:val="right"/>
              <w:ind w:right="851"/>
              <w:spacing w:after="0"/>
              <w:rPr>
                <w:sz w:val="20"/>
                <w:szCs w:val="20"/>
                <w:color w:val="auto"/>
              </w:rPr>
            </w:pPr>
            <w:r>
              <w:rPr>
                <w:rFonts w:ascii="Arial" w:cs="Arial" w:eastAsia="Arial" w:hAnsi="Arial"/>
                <w:sz w:val="14"/>
                <w:szCs w:val="14"/>
                <w:b w:val="1"/>
                <w:bCs w:val="1"/>
                <w:color w:val="auto"/>
              </w:rPr>
              <w:t>Number</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Tax Residence</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Industrial and Commercial Bank of China Limited, New York</w:t>
            </w:r>
          </w:p>
        </w:tc>
        <w:tc>
          <w:tcPr>
            <w:tcW w:w="4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Branch</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vMerge w:val="continue"/>
            <w:shd w:val="clear" w:color="auto" w:fill="CCEEFF"/>
          </w:tcPr>
          <w:p>
            <w:pPr>
              <w:spacing w:after="0"/>
              <w:rPr>
                <w:sz w:val="20"/>
                <w:szCs w:val="20"/>
                <w:color w:val="auto"/>
              </w:rPr>
            </w:pPr>
          </w:p>
        </w:tc>
        <w:tc>
          <w:tcPr>
            <w:tcW w:w="2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23/I/358686/DTTP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Agricultural Bank of China Ltd., New York Branch</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Itau Unibanco S.A., New York Branch</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71"/>
              <w:spacing w:after="0"/>
              <w:rPr>
                <w:sz w:val="20"/>
                <w:szCs w:val="20"/>
                <w:color w:val="auto"/>
              </w:rPr>
            </w:pPr>
            <w:r>
              <w:rPr>
                <w:rFonts w:ascii="Arial" w:cs="Arial" w:eastAsia="Arial" w:hAnsi="Arial"/>
                <w:sz w:val="18"/>
                <w:szCs w:val="18"/>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Credit Agricole Corporate and Investment Bank</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5/C/0222082/DTTP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ING Bank N.V., Dublin Branch</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60" w:type="dxa"/>
            <w:vAlign w:val="bottom"/>
          </w:tcPr>
          <w:p>
            <w:pPr>
              <w:jc w:val="right"/>
              <w:ind w:right="171"/>
              <w:spacing w:after="0" w:line="201" w:lineRule="exact"/>
              <w:rPr>
                <w:sz w:val="20"/>
                <w:szCs w:val="20"/>
                <w:color w:val="auto"/>
              </w:rPr>
            </w:pPr>
            <w:r>
              <w:rPr>
                <w:rFonts w:ascii="Arial" w:cs="Arial" w:eastAsia="Arial" w:hAnsi="Arial"/>
                <w:sz w:val="18"/>
                <w:szCs w:val="18"/>
                <w:color w:val="auto"/>
              </w:rPr>
              <w:t>12-I-371270-DTTP (with</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jc w:val="right"/>
              <w:ind w:right="171"/>
              <w:spacing w:after="0"/>
              <w:rPr>
                <w:sz w:val="20"/>
                <w:szCs w:val="20"/>
                <w:color w:val="auto"/>
              </w:rPr>
            </w:pPr>
            <w:r>
              <w:rPr>
                <w:rFonts w:ascii="Arial" w:cs="Arial" w:eastAsia="Arial" w:hAnsi="Arial"/>
                <w:sz w:val="18"/>
                <w:szCs w:val="18"/>
                <w:color w:val="auto"/>
              </w:rPr>
              <w:t>respect to ING Ireland</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71"/>
              <w:spacing w:after="0"/>
              <w:rPr>
                <w:sz w:val="20"/>
                <w:szCs w:val="20"/>
                <w:color w:val="auto"/>
              </w:rPr>
            </w:pPr>
            <w:r>
              <w:rPr>
                <w:rFonts w:ascii="Arial" w:cs="Arial" w:eastAsia="Arial" w:hAnsi="Arial"/>
                <w:sz w:val="18"/>
                <w:szCs w:val="18"/>
                <w:color w:val="auto"/>
              </w:rPr>
              <w:t>DAC as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vMerge w:val="continue"/>
          </w:tcPr>
          <w:p>
            <w:pPr>
              <w:spacing w:after="0"/>
              <w:rPr>
                <w:sz w:val="20"/>
                <w:szCs w:val="20"/>
                <w:color w:val="auto"/>
              </w:rPr>
            </w:pPr>
          </w:p>
        </w:tc>
        <w:tc>
          <w:tcPr>
            <w:tcW w:w="2360" w:type="dxa"/>
            <w:vAlign w:val="bottom"/>
          </w:tcPr>
          <w:p>
            <w:pPr>
              <w:jc w:val="right"/>
              <w:ind w:right="171"/>
              <w:spacing w:after="0"/>
              <w:rPr>
                <w:sz w:val="20"/>
                <w:szCs w:val="20"/>
                <w:color w:val="auto"/>
              </w:rPr>
            </w:pPr>
            <w:r>
              <w:rPr>
                <w:rFonts w:ascii="Arial" w:cs="Arial" w:eastAsia="Arial" w:hAnsi="Arial"/>
                <w:sz w:val="18"/>
                <w:szCs w:val="18"/>
                <w:color w:val="auto"/>
              </w:rPr>
              <w:t>lending office)</w:t>
            </w:r>
          </w:p>
        </w:tc>
        <w:tc>
          <w:tcPr>
            <w:tcW w:w="1200" w:type="dxa"/>
            <w:vAlign w:val="bottom"/>
          </w:tcPr>
          <w:p>
            <w:pPr>
              <w:jc w:val="right"/>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13/W/61173/DTTP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Citizens Bank, N.A.</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71"/>
              <w:spacing w:after="0"/>
              <w:rPr>
                <w:sz w:val="20"/>
                <w:szCs w:val="20"/>
                <w:color w:val="auto"/>
              </w:rPr>
            </w:pPr>
            <w:r>
              <w:rPr>
                <w:rFonts w:ascii="Arial" w:cs="Arial" w:eastAsia="Arial" w:hAnsi="Arial"/>
                <w:sz w:val="18"/>
                <w:szCs w:val="18"/>
                <w:color w:val="auto"/>
              </w:rPr>
              <w:t>13/C/356159/DTTP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SunTrust Bank</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13S/67712/DTTP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China Construction Bank Corporation, New York Branch</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Standard Chartered Bank</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N/A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Westpac Banking Corporation</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71"/>
              <w:spacing w:after="0"/>
              <w:rPr>
                <w:sz w:val="20"/>
                <w:szCs w:val="20"/>
                <w:color w:val="auto"/>
              </w:rPr>
            </w:pPr>
            <w:r>
              <w:rPr>
                <w:rFonts w:ascii="Arial" w:cs="Arial" w:eastAsia="Arial" w:hAnsi="Arial"/>
                <w:sz w:val="18"/>
                <w:szCs w:val="18"/>
                <w:color w:val="auto"/>
              </w:rPr>
              <w:t>2/W/313837/DTTP</w:t>
            </w:r>
          </w:p>
        </w:tc>
        <w:tc>
          <w:tcPr>
            <w:tcW w:w="1200" w:type="dxa"/>
            <w:vAlign w:val="bottom"/>
          </w:tcPr>
          <w:p>
            <w:pPr>
              <w:jc w:val="right"/>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Banco do Brasil S.A.</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Fifth Third Bank</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71"/>
              <w:spacing w:after="0"/>
              <w:rPr>
                <w:sz w:val="20"/>
                <w:szCs w:val="20"/>
                <w:color w:val="auto"/>
              </w:rPr>
            </w:pPr>
            <w:r>
              <w:rPr>
                <w:rFonts w:ascii="Arial" w:cs="Arial" w:eastAsia="Arial" w:hAnsi="Arial"/>
                <w:sz w:val="18"/>
                <w:szCs w:val="18"/>
                <w:color w:val="auto"/>
              </w:rPr>
              <w:t>13/F/24267/DTTP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NBAD Americas N.V.</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Curacao</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Bank of America, N.A.</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71"/>
              <w:spacing w:after="0"/>
              <w:rPr>
                <w:sz w:val="20"/>
                <w:szCs w:val="20"/>
                <w:color w:val="auto"/>
              </w:rPr>
            </w:pPr>
            <w:r>
              <w:rPr>
                <w:rFonts w:ascii="Arial" w:cs="Arial" w:eastAsia="Arial" w:hAnsi="Arial"/>
                <w:sz w:val="18"/>
                <w:szCs w:val="18"/>
                <w:color w:val="auto"/>
              </w:rPr>
              <w:t>13/B/7418/DTTP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13/B/357401/DTTP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Barclays Bank PLC</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71"/>
              <w:spacing w:after="0"/>
              <w:rPr>
                <w:sz w:val="20"/>
                <w:szCs w:val="20"/>
                <w:color w:val="auto"/>
              </w:rPr>
            </w:pPr>
            <w:r>
              <w:rPr>
                <w:rFonts w:ascii="Arial" w:cs="Arial" w:eastAsia="Arial" w:hAnsi="Arial"/>
                <w:sz w:val="18"/>
                <w:szCs w:val="18"/>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BNP Paribas</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5/B/255139/DTTP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71"/>
              <w:spacing w:after="0"/>
              <w:rPr>
                <w:sz w:val="20"/>
                <w:szCs w:val="20"/>
                <w:color w:val="auto"/>
              </w:rPr>
            </w:pPr>
            <w:r>
              <w:rPr>
                <w:rFonts w:ascii="Arial" w:cs="Arial" w:eastAsia="Arial" w:hAnsi="Arial"/>
                <w:sz w:val="18"/>
                <w:szCs w:val="18"/>
                <w:color w:val="auto"/>
              </w:rPr>
              <w:t>07/D/70006/DTTP</w:t>
            </w:r>
          </w:p>
        </w:tc>
        <w:tc>
          <w:tcPr>
            <w:tcW w:w="1200" w:type="dxa"/>
            <w:vAlign w:val="bottom"/>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13/M/0268710/DTTP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Arial" w:cs="Arial" w:eastAsia="Arial" w:hAnsi="Arial"/>
                <w:sz w:val="18"/>
                <w:szCs w:val="18"/>
                <w:color w:val="auto"/>
              </w:rPr>
              <w:t>Citibank, N.A.</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171"/>
              <w:spacing w:after="0"/>
              <w:rPr>
                <w:sz w:val="20"/>
                <w:szCs w:val="20"/>
                <w:color w:val="auto"/>
              </w:rPr>
            </w:pPr>
            <w:r>
              <w:rPr>
                <w:rFonts w:ascii="Arial" w:cs="Arial" w:eastAsia="Arial" w:hAnsi="Arial"/>
                <w:sz w:val="18"/>
                <w:szCs w:val="18"/>
                <w:color w:val="auto"/>
              </w:rPr>
              <w:t>13/C/62301/DTTP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Credit Agreement Schedule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hanging="572"/>
        <w:spacing w:after="0" w:line="277" w:lineRule="auto"/>
        <w:tabs>
          <w:tab w:leader="none" w:pos="5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0680"/>
          </w:cols>
          <w:pgMar w:left="240" w:top="253" w:right="979" w:bottom="1440" w:gutter="0" w:footer="0" w:header="0"/>
        </w:sectPr>
      </w:pPr>
    </w:p>
    <w:bookmarkStart w:id="170" w:name="page171"/>
    <w:bookmarkEnd w:id="170"/>
    <w:tbl>
      <w:tblPr>
        <w:tblLayout w:type="fixed"/>
        <w:tblInd w:w="9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Scheme Reference</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Jurisdiction of</w:t>
            </w:r>
          </w:p>
        </w:tc>
      </w:tr>
      <w:tr>
        <w:trPr>
          <w:trHeight w:val="185"/>
        </w:trPr>
        <w:tc>
          <w:tcPr>
            <w:tcW w:w="534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Commitment</w:t>
            </w:r>
          </w:p>
        </w:tc>
        <w:tc>
          <w:tcPr>
            <w:tcW w:w="18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Number</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Tax Residence</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Branch</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3/C/80001/DTTP</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Canada</w:t>
            </w:r>
          </w:p>
        </w:tc>
      </w:tr>
      <w:tr>
        <w:trPr>
          <w:trHeight w:val="228"/>
        </w:trPr>
        <w:tc>
          <w:tcPr>
            <w:tcW w:w="5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Credit Agreement Schedule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hanging="572"/>
        <w:spacing w:after="0" w:line="277" w:lineRule="auto"/>
        <w:tabs>
          <w:tab w:leader="none" w:pos="5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0680"/>
          </w:cols>
          <w:pgMar w:left="240" w:top="253" w:right="979" w:bottom="1440" w:gutter="0" w:footer="0" w:header="0"/>
        </w:sectPr>
      </w:pPr>
    </w:p>
    <w:bookmarkStart w:id="171" w:name="page172"/>
    <w:bookmarkEnd w:id="171"/>
    <w:p>
      <w:pPr>
        <w:jc w:val="center"/>
        <w:ind w:left="9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1.1B</w:t>
      </w:r>
    </w:p>
    <w:p>
      <w:pPr>
        <w:spacing w:after="0" w:line="46"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Credit Agreement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0" w:type="dxa"/>
            <w:vAlign w:val="bottom"/>
            <w:gridSpan w:val="3"/>
          </w:tcPr>
          <w:p>
            <w:pPr>
              <w:jc w:val="right"/>
              <w:ind w:right="2493"/>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NITIAL</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XCLUDED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UBSIDIARIES</w:t>
            </w:r>
          </w:p>
        </w:tc>
        <w:tc>
          <w:tcPr>
            <w:tcW w:w="0" w:type="dxa"/>
            <w:vAlign w:val="bottom"/>
          </w:tcPr>
          <w:p>
            <w:pPr>
              <w:spacing w:after="0"/>
              <w:rPr>
                <w:sz w:val="1"/>
                <w:szCs w:val="1"/>
                <w:color w:val="auto"/>
              </w:rPr>
            </w:pPr>
          </w:p>
        </w:tc>
      </w:tr>
      <w:tr>
        <w:trPr>
          <w:trHeight w:val="389"/>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w w:val="95"/>
              </w:rPr>
              <w:t>Jurisdiction</w:t>
            </w:r>
          </w:p>
        </w:tc>
        <w:tc>
          <w:tcPr>
            <w:tcW w:w="0" w:type="dxa"/>
            <w:vAlign w:val="bottom"/>
          </w:tcPr>
          <w:p>
            <w:pPr>
              <w:spacing w:after="0"/>
              <w:rPr>
                <w:sz w:val="1"/>
                <w:szCs w:val="1"/>
                <w:color w:val="auto"/>
              </w:rPr>
            </w:pPr>
          </w:p>
        </w:tc>
      </w:tr>
      <w:tr>
        <w:trPr>
          <w:trHeight w:val="149"/>
        </w:trPr>
        <w:tc>
          <w:tcPr>
            <w:tcW w:w="4400" w:type="dxa"/>
            <w:vAlign w:val="bottom"/>
            <w:gridSpan w:val="3"/>
            <w:vMerge w:val="restart"/>
          </w:tcPr>
          <w:p>
            <w:pPr>
              <w:ind w:left="1840"/>
              <w:spacing w:after="0"/>
              <w:rPr>
                <w:sz w:val="20"/>
                <w:szCs w:val="20"/>
                <w:color w:val="auto"/>
              </w:rPr>
            </w:pPr>
            <w:r>
              <w:rPr>
                <w:rFonts w:ascii="Arial" w:cs="Arial" w:eastAsia="Arial" w:hAnsi="Arial"/>
                <w:sz w:val="14"/>
                <w:szCs w:val="14"/>
                <w:b w:val="1"/>
                <w:bCs w:val="1"/>
                <w:color w:val="auto"/>
              </w:rPr>
              <w:t>Name of Entity</w:t>
            </w:r>
          </w:p>
        </w:tc>
        <w:tc>
          <w:tcPr>
            <w:tcW w:w="2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8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71"/>
        </w:trPr>
        <w:tc>
          <w:tcPr>
            <w:tcW w:w="4400" w:type="dxa"/>
            <w:vAlign w:val="bottom"/>
            <w:gridSpan w:val="3"/>
            <w:vMerge w:val="continue"/>
          </w:tcPr>
          <w:p>
            <w:pPr>
              <w:spacing w:after="0"/>
              <w:rPr>
                <w:sz w:val="14"/>
                <w:szCs w:val="14"/>
                <w:color w:val="auto"/>
              </w:rPr>
            </w:pPr>
          </w:p>
        </w:tc>
        <w:tc>
          <w:tcPr>
            <w:tcW w:w="262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Cruise LLC</w:t>
            </w:r>
          </w:p>
        </w:tc>
        <w:tc>
          <w:tcPr>
            <w:tcW w:w="2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2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Motors Ventures LLC</w:t>
            </w:r>
          </w:p>
        </w:tc>
        <w:tc>
          <w:tcPr>
            <w:tcW w:w="2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2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Canada Holdings LLC</w:t>
            </w:r>
          </w:p>
        </w:tc>
        <w:tc>
          <w:tcPr>
            <w:tcW w:w="2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2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GMGP Holdings LLC</w:t>
            </w:r>
          </w:p>
        </w:tc>
        <w:tc>
          <w:tcPr>
            <w:tcW w:w="2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2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OnStar LLC</w:t>
            </w:r>
          </w:p>
        </w:tc>
        <w:tc>
          <w:tcPr>
            <w:tcW w:w="2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65"/>
        </w:trPr>
        <w:tc>
          <w:tcPr>
            <w:tcW w:w="4400" w:type="dxa"/>
            <w:vAlign w:val="bottom"/>
            <w:gridSpan w:val="3"/>
          </w:tcPr>
          <w:p>
            <w:pPr>
              <w:spacing w:after="0"/>
              <w:rPr>
                <w:sz w:val="20"/>
                <w:szCs w:val="20"/>
                <w:color w:val="auto"/>
              </w:rPr>
            </w:pPr>
            <w:r>
              <w:rPr>
                <w:rFonts w:ascii="Arial" w:cs="Arial" w:eastAsia="Arial" w:hAnsi="Arial"/>
                <w:sz w:val="18"/>
                <w:szCs w:val="18"/>
                <w:color w:val="auto"/>
              </w:rPr>
              <w:t>Credit Agreement Schedule 1.1B</w:t>
            </w:r>
          </w:p>
        </w:tc>
        <w:tc>
          <w:tcPr>
            <w:tcW w:w="2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4" w:right="319" w:bottom="1440" w:gutter="0" w:footer="0" w:header="0"/>
        </w:sectPr>
      </w:pPr>
    </w:p>
    <w:bookmarkStart w:id="172" w:name="page173"/>
    <w:bookmarkEnd w:id="1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92"/>
              </w:rPr>
              <w:t>SCHEDULE 1.1C</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2"/>
              </w:rPr>
              <w:t>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center"/>
              <w:ind w:left="270"/>
              <w:spacing w:after="0"/>
              <w:rPr>
                <w:sz w:val="20"/>
                <w:szCs w:val="20"/>
                <w:color w:val="auto"/>
              </w:rPr>
            </w:pPr>
            <w:r>
              <w:rPr>
                <w:rFonts w:ascii="Arial" w:cs="Arial" w:eastAsia="Arial" w:hAnsi="Arial"/>
                <w:sz w:val="18"/>
                <w:szCs w:val="18"/>
                <w:color w:val="auto"/>
                <w:w w:val="92"/>
              </w:rPr>
              <w:t>Credit Agreement</w:t>
            </w:r>
          </w:p>
        </w:tc>
        <w:tc>
          <w:tcPr>
            <w:tcW w:w="0" w:type="dxa"/>
            <w:vAlign w:val="bottom"/>
          </w:tcPr>
          <w:p>
            <w:pPr>
              <w:spacing w:after="0"/>
              <w:rPr>
                <w:sz w:val="1"/>
                <w:szCs w:val="1"/>
                <w:color w:val="auto"/>
              </w:rPr>
            </w:pPr>
          </w:p>
        </w:tc>
      </w:tr>
      <w:tr>
        <w:trPr>
          <w:trHeight w:val="608"/>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RICING</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RID</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6"/>
              </w:rPr>
              <w:t>Applicable Margin</w:t>
            </w: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Applicable</w:t>
            </w:r>
          </w:p>
        </w:tc>
        <w:tc>
          <w:tcPr>
            <w:tcW w:w="36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All-in Spread</w:t>
            </w: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S&amp;P / Moody’s / Fitch</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4360" w:type="dxa"/>
            <w:vAlign w:val="bottom"/>
            <w:gridSpan w:val="2"/>
            <w:vMerge w:val="continue"/>
          </w:tcPr>
          <w:p>
            <w:pPr>
              <w:spacing w:after="0"/>
              <w:rPr>
                <w:sz w:val="12"/>
                <w:szCs w:val="12"/>
                <w:color w:val="auto"/>
              </w:rPr>
            </w:pPr>
          </w:p>
        </w:tc>
        <w:tc>
          <w:tcPr>
            <w:tcW w:w="17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92"/>
              </w:rPr>
              <w:t>Facility Fee Rate</w:t>
            </w:r>
          </w:p>
        </w:tc>
        <w:tc>
          <w:tcPr>
            <w:tcW w:w="18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for Eurocurrency</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Margin</w:t>
            </w:r>
          </w:p>
        </w:tc>
        <w:tc>
          <w:tcPr>
            <w:tcW w:w="36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Eurocurrency</w:t>
            </w:r>
          </w:p>
        </w:tc>
        <w:tc>
          <w:tcPr>
            <w:tcW w:w="0" w:type="dxa"/>
            <w:vAlign w:val="bottom"/>
          </w:tcPr>
          <w:p>
            <w:pPr>
              <w:spacing w:after="0"/>
              <w:rPr>
                <w:sz w:val="1"/>
                <w:szCs w:val="1"/>
                <w:color w:val="auto"/>
              </w:rPr>
            </w:pPr>
          </w:p>
        </w:tc>
      </w:tr>
      <w:tr>
        <w:trPr>
          <w:trHeight w:val="171"/>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Company’s Rating</w:t>
            </w:r>
          </w:p>
        </w:tc>
        <w:tc>
          <w:tcPr>
            <w:tcW w:w="1720" w:type="dxa"/>
            <w:vAlign w:val="bottom"/>
            <w:gridSpan w:val="4"/>
            <w:vMerge w:val="continue"/>
          </w:tcPr>
          <w:p>
            <w:pPr>
              <w:spacing w:after="0"/>
              <w:rPr>
                <w:sz w:val="14"/>
                <w:szCs w:val="14"/>
                <w:color w:val="auto"/>
              </w:rPr>
            </w:pPr>
          </w:p>
        </w:tc>
        <w:tc>
          <w:tcPr>
            <w:tcW w:w="18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Loans</w:t>
            </w: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for ABR Loans</w:t>
            </w:r>
          </w:p>
        </w:tc>
        <w:tc>
          <w:tcPr>
            <w:tcW w:w="36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10"/>
        </w:trPr>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³ A/A2/A</w:t>
            </w:r>
          </w:p>
        </w:tc>
        <w:tc>
          <w:tcPr>
            <w:tcW w:w="3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center"/>
              <w:ind w:left="34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A-/A3/A-</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 / Baa1 / BBB+</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BBB / Baa2 / BBB</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 / Baa3 / BBB-</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 xml:space="preserve">BB+ / Ba1 </w:t>
            </w:r>
            <w:r>
              <w:rPr>
                <w:rFonts w:ascii="Arial" w:cs="Arial" w:eastAsia="Arial" w:hAnsi="Arial"/>
                <w:sz w:val="18"/>
                <w:szCs w:val="18"/>
                <w:b w:val="1"/>
                <w:bCs w:val="1"/>
                <w:color w:val="auto"/>
              </w:rPr>
              <w:t>/</w:t>
            </w:r>
            <w:r>
              <w:rPr>
                <w:rFonts w:ascii="Arial" w:cs="Arial" w:eastAsia="Arial" w:hAnsi="Arial"/>
                <w:sz w:val="18"/>
                <w:szCs w:val="18"/>
                <w:color w:val="auto"/>
              </w:rPr>
              <w:t xml:space="preserve"> BB+</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BB / Ba2 / BB</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Changes in the Applicable Margin and Facility Fee Rate shall become effective on the date on which S&amp;P, Moody’s and/or Fitch changes the rating it has issued with respect to the Company’s Applicable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right="720" w:hanging="572"/>
        <w:spacing w:after="0" w:line="277" w:lineRule="auto"/>
        <w:tabs>
          <w:tab w:leader="none" w:pos="5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400"/>
          </w:cols>
          <w:pgMar w:left="240" w:top="274" w:right="259" w:bottom="1440" w:gutter="0" w:footer="0" w:header="0"/>
        </w:sectPr>
      </w:pPr>
    </w:p>
    <w:bookmarkStart w:id="173" w:name="page174"/>
    <w:bookmarkEnd w:id="173"/>
    <w:p>
      <w:pPr>
        <w:jc w:val="center"/>
        <w:ind w:left="98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1.1 D</w:t>
      </w:r>
    </w:p>
    <w:p>
      <w:pPr>
        <w:spacing w:after="0" w:line="35" w:lineRule="exact"/>
        <w:rPr>
          <w:sz w:val="20"/>
          <w:szCs w:val="20"/>
          <w:color w:val="auto"/>
        </w:rPr>
      </w:pPr>
    </w:p>
    <w:p>
      <w:pPr>
        <w:jc w:val="center"/>
        <w:ind w:left="98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Credit Agreement</w:t>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XISTING</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IENS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Liens reflected in the lien search results, dated as of May 17, 2016 delivered to the Administrative Agent in connection with the Existing Three Year Credit Agreement as modified and supplemented by those lien search results, dated as of April 9, 2018 delivered to the Administrative Agent prior to the Closing Date.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1.1D</w:t>
      </w:r>
    </w:p>
    <w:p>
      <w:pPr>
        <w:sectPr>
          <w:pgSz w:w="11900" w:h="16838" w:orient="portrait"/>
          <w:cols w:equalWidth="0" w:num="1">
            <w:col w:w="11320"/>
          </w:cols>
          <w:pgMar w:left="240" w:top="274" w:right="339" w:bottom="1440" w:gutter="0" w:footer="0" w:header="0"/>
        </w:sectPr>
      </w:pPr>
    </w:p>
    <w:bookmarkStart w:id="174" w:name="page175"/>
    <w:bookmarkEnd w:id="174"/>
    <w:p>
      <w:pPr>
        <w:jc w:val="center"/>
        <w:ind w:left="98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 E</w:t>
      </w:r>
    </w:p>
    <w:p>
      <w:pPr>
        <w:spacing w:after="0" w:line="46" w:lineRule="exact"/>
        <w:rPr>
          <w:sz w:val="20"/>
          <w:szCs w:val="20"/>
          <w:color w:val="auto"/>
        </w:rPr>
      </w:pPr>
    </w:p>
    <w:p>
      <w:pPr>
        <w:jc w:val="center"/>
        <w:ind w:left="98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Credit Agreement</w:t>
      </w: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XCLUDED</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UBSIDIARY</w:t>
      </w:r>
      <w:r>
        <w:rPr>
          <w:rFonts w:ascii="Arial" w:cs="Arial" w:eastAsia="Arial" w:hAnsi="Arial"/>
          <w:sz w:val="18"/>
          <w:szCs w:val="18"/>
          <w:b w:val="1"/>
          <w:bCs w:val="1"/>
          <w:u w:val="single" w:color="auto"/>
          <w:color w:val="auto"/>
        </w:rPr>
        <w:t xml:space="preserve"> B</w:t>
      </w:r>
      <w:r>
        <w:rPr>
          <w:rFonts w:ascii="Arial" w:cs="Arial" w:eastAsia="Arial" w:hAnsi="Arial"/>
          <w:sz w:val="15"/>
          <w:szCs w:val="15"/>
          <w:b w:val="1"/>
          <w:bCs w:val="1"/>
          <w:u w:val="single" w:color="auto"/>
          <w:color w:val="auto"/>
        </w:rPr>
        <w:t>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right="620" w:hanging="572"/>
        <w:spacing w:after="0" w:line="277" w:lineRule="auto"/>
        <w:tabs>
          <w:tab w:leader="none" w:pos="5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300"/>
          </w:cols>
          <w:pgMar w:left="240" w:top="274" w:right="359" w:bottom="1440" w:gutter="0" w:footer="0" w:header="0"/>
        </w:sectPr>
      </w:pPr>
    </w:p>
    <w:bookmarkStart w:id="175" w:name="page176"/>
    <w:bookmarkEnd w:id="175"/>
    <w:p>
      <w:pPr>
        <w:jc w:val="center"/>
        <w:ind w:left="99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4.6</w:t>
      </w:r>
    </w:p>
    <w:p>
      <w:pPr>
        <w:spacing w:after="0" w:line="35"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4.6</w:t>
      </w:r>
    </w:p>
    <w:p>
      <w:pPr>
        <w:sectPr>
          <w:pgSz w:w="11900" w:h="16838" w:orient="portrait"/>
          <w:cols w:equalWidth="0" w:num="1">
            <w:col w:w="11320"/>
          </w:cols>
          <w:pgMar w:left="240" w:top="274" w:right="339" w:bottom="1440" w:gutter="0" w:footer="0" w:header="0"/>
        </w:sectPr>
      </w:pPr>
    </w:p>
    <w:bookmarkStart w:id="176" w:name="page177"/>
    <w:bookmarkEnd w:id="176"/>
    <w:p>
      <w:pPr>
        <w:ind w:left="9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ind w:left="94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THIRD AMENDED AND RESTATED GUARANTEE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 xml:space="preserve">AND CERTAIN OTHER PERSONS FROM TIME TO TIME PARTIES HERETO, </w:t>
      </w:r>
      <w:r>
        <w:rPr>
          <w:rFonts w:ascii="Arial" w:cs="Arial" w:eastAsia="Arial" w:hAnsi="Arial"/>
          <w:sz w:val="16"/>
          <w:szCs w:val="16"/>
          <w:i w:val="1"/>
          <w:iCs w:val="1"/>
          <w:color w:val="auto"/>
        </w:rPr>
        <w:t>as the Guarantors</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April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220"/>
          </w:cols>
          <w:pgMar w:left="1440" w:top="270"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10220" w:type="dxa"/>
            <w:vAlign w:val="bottom"/>
          </w:tcPr>
          <w:p>
            <w:pPr>
              <w:ind w:left="394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6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10220" w:type="dxa"/>
            <w:vAlign w:val="bottom"/>
            <w:vMerge w:val="restart"/>
          </w:tcPr>
          <w:p>
            <w:pPr>
              <w:ind w:left="14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860" w:type="dxa"/>
            <w:vAlign w:val="bottom"/>
            <w:vMerge w:val="continue"/>
          </w:tcPr>
          <w:p>
            <w:pPr>
              <w:spacing w:after="0"/>
              <w:rPr>
                <w:sz w:val="19"/>
                <w:szCs w:val="19"/>
                <w:color w:val="auto"/>
              </w:rPr>
            </w:pPr>
          </w:p>
        </w:tc>
        <w:tc>
          <w:tcPr>
            <w:tcW w:w="1022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860" w:type="dxa"/>
            <w:vAlign w:val="bottom"/>
          </w:tcPr>
          <w:p>
            <w:pPr>
              <w:ind w:left="360"/>
              <w:spacing w:after="0"/>
              <w:rPr>
                <w:sz w:val="20"/>
                <w:szCs w:val="20"/>
                <w:color w:val="auto"/>
              </w:rPr>
            </w:pPr>
            <w:r>
              <w:rPr>
                <w:rFonts w:ascii="Arial" w:cs="Arial" w:eastAsia="Arial" w:hAnsi="Arial"/>
                <w:sz w:val="18"/>
                <w:szCs w:val="18"/>
                <w:color w:val="auto"/>
              </w:rPr>
              <w:t>1.1</w:t>
            </w:r>
          </w:p>
        </w:tc>
        <w:tc>
          <w:tcPr>
            <w:tcW w:w="1022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1.2</w:t>
            </w:r>
          </w:p>
        </w:tc>
        <w:tc>
          <w:tcPr>
            <w:tcW w:w="10220" w:type="dxa"/>
            <w:vAlign w:val="bottom"/>
          </w:tcPr>
          <w:p>
            <w:pPr>
              <w:ind w:left="140"/>
              <w:spacing w:after="0"/>
              <w:rPr>
                <w:sz w:val="20"/>
                <w:szCs w:val="20"/>
                <w:color w:val="auto"/>
              </w:rPr>
            </w:pPr>
            <w:r>
              <w:rPr>
                <w:rFonts w:ascii="Arial" w:cs="Arial" w:eastAsia="Arial" w:hAnsi="Arial"/>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Section 2.</w:t>
            </w:r>
          </w:p>
        </w:tc>
        <w:tc>
          <w:tcPr>
            <w:tcW w:w="10220" w:type="dxa"/>
            <w:vAlign w:val="bottom"/>
          </w:tcPr>
          <w:p>
            <w:pPr>
              <w:ind w:left="140"/>
              <w:spacing w:after="0"/>
              <w:rPr>
                <w:sz w:val="20"/>
                <w:szCs w:val="20"/>
                <w:color w:val="auto"/>
              </w:rPr>
            </w:pPr>
            <w:r>
              <w:rPr>
                <w:rFonts w:ascii="Arial" w:cs="Arial" w:eastAsia="Arial" w:hAnsi="Arial"/>
                <w:sz w:val="18"/>
                <w:szCs w:val="18"/>
                <w:color w:val="auto"/>
              </w:rPr>
              <w:t>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860" w:type="dxa"/>
            <w:vAlign w:val="bottom"/>
          </w:tcPr>
          <w:p>
            <w:pPr>
              <w:ind w:left="360"/>
              <w:spacing w:after="0"/>
              <w:rPr>
                <w:sz w:val="20"/>
                <w:szCs w:val="20"/>
                <w:color w:val="auto"/>
              </w:rPr>
            </w:pPr>
            <w:r>
              <w:rPr>
                <w:rFonts w:ascii="Arial" w:cs="Arial" w:eastAsia="Arial" w:hAnsi="Arial"/>
                <w:sz w:val="18"/>
                <w:szCs w:val="18"/>
                <w:color w:val="auto"/>
              </w:rPr>
              <w:t>2.1</w:t>
            </w:r>
          </w:p>
        </w:tc>
        <w:tc>
          <w:tcPr>
            <w:tcW w:w="10220" w:type="dxa"/>
            <w:vAlign w:val="bottom"/>
          </w:tcPr>
          <w:p>
            <w:pPr>
              <w:ind w:left="140"/>
              <w:spacing w:after="0"/>
              <w:rPr>
                <w:sz w:val="20"/>
                <w:szCs w:val="20"/>
                <w:color w:val="auto"/>
              </w:rPr>
            </w:pPr>
            <w:r>
              <w:rPr>
                <w:rFonts w:ascii="Arial" w:cs="Arial" w:eastAsia="Arial" w:hAnsi="Arial"/>
                <w:sz w:val="18"/>
                <w:szCs w:val="18"/>
                <w:color w:val="auto"/>
              </w:rPr>
              <w:t>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2.2</w:t>
            </w:r>
          </w:p>
        </w:tc>
        <w:tc>
          <w:tcPr>
            <w:tcW w:w="10220" w:type="dxa"/>
            <w:vAlign w:val="bottom"/>
          </w:tcPr>
          <w:p>
            <w:pPr>
              <w:ind w:left="140"/>
              <w:spacing w:after="0"/>
              <w:rPr>
                <w:sz w:val="20"/>
                <w:szCs w:val="20"/>
                <w:color w:val="auto"/>
              </w:rPr>
            </w:pPr>
            <w:r>
              <w:rPr>
                <w:rFonts w:ascii="Arial" w:cs="Arial" w:eastAsia="Arial" w:hAnsi="Arial"/>
                <w:sz w:val="18"/>
                <w:szCs w:val="18"/>
                <w:color w:val="auto"/>
              </w:rPr>
              <w:t>Right of Contribution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2.3</w:t>
            </w:r>
          </w:p>
        </w:tc>
        <w:tc>
          <w:tcPr>
            <w:tcW w:w="10220" w:type="dxa"/>
            <w:vAlign w:val="bottom"/>
          </w:tcPr>
          <w:p>
            <w:pPr>
              <w:ind w:left="140"/>
              <w:spacing w:after="0"/>
              <w:rPr>
                <w:sz w:val="20"/>
                <w:szCs w:val="20"/>
                <w:color w:val="auto"/>
              </w:rPr>
            </w:pPr>
            <w:r>
              <w:rPr>
                <w:rFonts w:ascii="Arial" w:cs="Arial" w:eastAsia="Arial" w:hAnsi="Arial"/>
                <w:sz w:val="18"/>
                <w:szCs w:val="18"/>
                <w:color w:val="auto"/>
              </w:rPr>
              <w:t>No Subrogation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2.4</w:t>
            </w:r>
          </w:p>
        </w:tc>
        <w:tc>
          <w:tcPr>
            <w:tcW w:w="10220" w:type="dxa"/>
            <w:vAlign w:val="bottom"/>
          </w:tcPr>
          <w:p>
            <w:pPr>
              <w:ind w:left="140"/>
              <w:spacing w:after="0"/>
              <w:rPr>
                <w:sz w:val="20"/>
                <w:szCs w:val="20"/>
                <w:color w:val="auto"/>
              </w:rPr>
            </w:pPr>
            <w:r>
              <w:rPr>
                <w:rFonts w:ascii="Arial" w:cs="Arial" w:eastAsia="Arial" w:hAnsi="Arial"/>
                <w:sz w:val="18"/>
                <w:szCs w:val="18"/>
                <w:color w:val="auto"/>
              </w:rPr>
              <w:t>Amendments, etc. with respect to the Guaranteed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2.5</w:t>
            </w:r>
          </w:p>
        </w:tc>
        <w:tc>
          <w:tcPr>
            <w:tcW w:w="10220" w:type="dxa"/>
            <w:vAlign w:val="bottom"/>
          </w:tcPr>
          <w:p>
            <w:pPr>
              <w:ind w:left="140"/>
              <w:spacing w:after="0"/>
              <w:rPr>
                <w:sz w:val="20"/>
                <w:szCs w:val="20"/>
                <w:color w:val="auto"/>
              </w:rPr>
            </w:pPr>
            <w:r>
              <w:rPr>
                <w:rFonts w:ascii="Arial" w:cs="Arial" w:eastAsia="Arial" w:hAnsi="Arial"/>
                <w:sz w:val="18"/>
                <w:szCs w:val="18"/>
                <w:color w:val="auto"/>
              </w:rPr>
              <w:t>Guarantee Absolute and Unconditional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2.6</w:t>
            </w:r>
          </w:p>
        </w:tc>
        <w:tc>
          <w:tcPr>
            <w:tcW w:w="1022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2.7</w:t>
            </w:r>
          </w:p>
        </w:tc>
        <w:tc>
          <w:tcPr>
            <w:tcW w:w="10220" w:type="dxa"/>
            <w:vAlign w:val="bottom"/>
          </w:tcPr>
          <w:p>
            <w:pPr>
              <w:ind w:left="140"/>
              <w:spacing w:after="0"/>
              <w:rPr>
                <w:sz w:val="20"/>
                <w:szCs w:val="20"/>
                <w:color w:val="auto"/>
              </w:rPr>
            </w:pPr>
            <w:r>
              <w:rPr>
                <w:rFonts w:ascii="Arial" w:cs="Arial" w:eastAsia="Arial" w:hAnsi="Arial"/>
                <w:sz w:val="18"/>
                <w:szCs w:val="18"/>
                <w:color w:val="auto"/>
              </w:rPr>
              <w:t>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Section 3.</w:t>
            </w:r>
          </w:p>
        </w:tc>
        <w:tc>
          <w:tcPr>
            <w:tcW w:w="1022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860" w:type="dxa"/>
            <w:vAlign w:val="bottom"/>
          </w:tcPr>
          <w:p>
            <w:pPr>
              <w:ind w:left="360"/>
              <w:spacing w:after="0"/>
              <w:rPr>
                <w:sz w:val="20"/>
                <w:szCs w:val="20"/>
                <w:color w:val="auto"/>
              </w:rPr>
            </w:pPr>
            <w:r>
              <w:rPr>
                <w:rFonts w:ascii="Arial" w:cs="Arial" w:eastAsia="Arial" w:hAnsi="Arial"/>
                <w:sz w:val="18"/>
                <w:szCs w:val="18"/>
                <w:color w:val="auto"/>
              </w:rPr>
              <w:t>3.1</w:t>
            </w:r>
          </w:p>
        </w:tc>
        <w:tc>
          <w:tcPr>
            <w:tcW w:w="10220" w:type="dxa"/>
            <w:vAlign w:val="bottom"/>
          </w:tcPr>
          <w:p>
            <w:pPr>
              <w:ind w:left="140"/>
              <w:spacing w:after="0"/>
              <w:rPr>
                <w:sz w:val="20"/>
                <w:szCs w:val="20"/>
                <w:color w:val="auto"/>
              </w:rPr>
            </w:pPr>
            <w:r>
              <w:rPr>
                <w:rFonts w:ascii="Arial" w:cs="Arial" w:eastAsia="Arial" w:hAnsi="Arial"/>
                <w:sz w:val="18"/>
                <w:szCs w:val="18"/>
                <w:color w:val="auto"/>
              </w:rPr>
              <w:t>Authority of Administrative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3.2</w:t>
            </w:r>
          </w:p>
        </w:tc>
        <w:tc>
          <w:tcPr>
            <w:tcW w:w="10220" w:type="dxa"/>
            <w:vAlign w:val="bottom"/>
          </w:tcPr>
          <w:p>
            <w:pPr>
              <w:ind w:left="140"/>
              <w:spacing w:after="0"/>
              <w:rPr>
                <w:sz w:val="20"/>
                <w:szCs w:val="20"/>
                <w:color w:val="auto"/>
              </w:rPr>
            </w:pPr>
            <w:r>
              <w:rPr>
                <w:rFonts w:ascii="Arial" w:cs="Arial" w:eastAsia="Arial" w:hAnsi="Arial"/>
                <w:sz w:val="18"/>
                <w:szCs w:val="18"/>
                <w:color w:val="auto"/>
              </w:rPr>
              <w:t>Amendments in Writing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3.3</w:t>
            </w:r>
          </w:p>
        </w:tc>
        <w:tc>
          <w:tcPr>
            <w:tcW w:w="10220" w:type="dxa"/>
            <w:vAlign w:val="bottom"/>
          </w:tcPr>
          <w:p>
            <w:pPr>
              <w:ind w:left="14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3.4</w:t>
            </w:r>
          </w:p>
        </w:tc>
        <w:tc>
          <w:tcPr>
            <w:tcW w:w="10220" w:type="dxa"/>
            <w:vAlign w:val="bottom"/>
          </w:tcPr>
          <w:p>
            <w:pPr>
              <w:ind w:left="140"/>
              <w:spacing w:after="0"/>
              <w:rPr>
                <w:sz w:val="20"/>
                <w:szCs w:val="20"/>
                <w:color w:val="auto"/>
              </w:rPr>
            </w:pPr>
            <w:r>
              <w:rPr>
                <w:rFonts w:ascii="Arial" w:cs="Arial" w:eastAsia="Arial" w:hAnsi="Arial"/>
                <w:sz w:val="18"/>
                <w:szCs w:val="18"/>
                <w:color w:val="auto"/>
              </w:rPr>
              <w:t>No Waiver by Course of Conduct; Cumulative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3.5</w:t>
            </w:r>
          </w:p>
        </w:tc>
        <w:tc>
          <w:tcPr>
            <w:tcW w:w="10220" w:type="dxa"/>
            <w:vAlign w:val="bottom"/>
          </w:tcPr>
          <w:p>
            <w:pPr>
              <w:ind w:left="140"/>
              <w:spacing w:after="0"/>
              <w:rPr>
                <w:sz w:val="20"/>
                <w:szCs w:val="20"/>
                <w:color w:val="auto"/>
              </w:rPr>
            </w:pPr>
            <w:r>
              <w:rPr>
                <w:rFonts w:ascii="Arial" w:cs="Arial" w:eastAsia="Arial" w:hAnsi="Arial"/>
                <w:sz w:val="18"/>
                <w:szCs w:val="18"/>
                <w:color w:val="auto"/>
              </w:rPr>
              <w:t>Enforcement Expenses;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3.6</w:t>
            </w:r>
          </w:p>
        </w:tc>
        <w:tc>
          <w:tcPr>
            <w:tcW w:w="10220" w:type="dxa"/>
            <w:vAlign w:val="bottom"/>
          </w:tcPr>
          <w:p>
            <w:pPr>
              <w:ind w:left="140"/>
              <w:spacing w:after="0"/>
              <w:rPr>
                <w:sz w:val="20"/>
                <w:szCs w:val="20"/>
                <w:color w:val="auto"/>
              </w:rPr>
            </w:pPr>
            <w:r>
              <w:rPr>
                <w:rFonts w:ascii="Arial" w:cs="Arial" w:eastAsia="Arial" w:hAnsi="Arial"/>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3.7</w:t>
            </w:r>
          </w:p>
        </w:tc>
        <w:tc>
          <w:tcPr>
            <w:tcW w:w="1022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3.8</w:t>
            </w:r>
          </w:p>
        </w:tc>
        <w:tc>
          <w:tcPr>
            <w:tcW w:w="1022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3.9</w:t>
            </w:r>
          </w:p>
        </w:tc>
        <w:tc>
          <w:tcPr>
            <w:tcW w:w="10220" w:type="dxa"/>
            <w:vAlign w:val="bottom"/>
          </w:tcPr>
          <w:p>
            <w:pPr>
              <w:ind w:left="140"/>
              <w:spacing w:after="0"/>
              <w:rPr>
                <w:sz w:val="20"/>
                <w:szCs w:val="20"/>
                <w:color w:val="auto"/>
              </w:rPr>
            </w:pPr>
            <w:r>
              <w:rPr>
                <w:rFonts w:ascii="Arial" w:cs="Arial" w:eastAsia="Arial" w:hAnsi="Arial"/>
                <w:sz w:val="18"/>
                <w:szCs w:val="18"/>
                <w:color w:val="auto"/>
              </w:rPr>
              <w:t>Section Headings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2"/>
        </w:trPr>
        <w:tc>
          <w:tcPr>
            <w:tcW w:w="860" w:type="dxa"/>
            <w:vAlign w:val="bottom"/>
          </w:tcPr>
          <w:p>
            <w:pPr>
              <w:ind w:left="360"/>
              <w:spacing w:after="0"/>
              <w:rPr>
                <w:sz w:val="20"/>
                <w:szCs w:val="20"/>
                <w:color w:val="auto"/>
              </w:rPr>
            </w:pPr>
            <w:r>
              <w:rPr>
                <w:rFonts w:ascii="Arial" w:cs="Arial" w:eastAsia="Arial" w:hAnsi="Arial"/>
                <w:sz w:val="18"/>
                <w:szCs w:val="18"/>
                <w:color w:val="auto"/>
              </w:rPr>
              <w:t>3.10</w:t>
            </w:r>
          </w:p>
        </w:tc>
        <w:tc>
          <w:tcPr>
            <w:tcW w:w="10220" w:type="dxa"/>
            <w:vAlign w:val="bottom"/>
          </w:tcPr>
          <w:p>
            <w:pPr>
              <w:ind w:left="140"/>
              <w:spacing w:after="0"/>
              <w:rPr>
                <w:sz w:val="20"/>
                <w:szCs w:val="20"/>
                <w:color w:val="auto"/>
              </w:rPr>
            </w:pPr>
            <w:r>
              <w:rPr>
                <w:rFonts w:ascii="Arial" w:cs="Arial" w:eastAsia="Arial" w:hAnsi="Arial"/>
                <w:sz w:val="18"/>
                <w:szCs w:val="18"/>
                <w:color w:val="auto"/>
              </w:rPr>
              <w:t>Integration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0"/>
        </w:trPr>
        <w:tc>
          <w:tcPr>
            <w:tcW w:w="860" w:type="dxa"/>
            <w:vAlign w:val="bottom"/>
          </w:tcPr>
          <w:p>
            <w:pPr>
              <w:ind w:left="360"/>
              <w:spacing w:after="0"/>
              <w:rPr>
                <w:sz w:val="20"/>
                <w:szCs w:val="20"/>
                <w:color w:val="auto"/>
              </w:rPr>
            </w:pPr>
            <w:r>
              <w:rPr>
                <w:rFonts w:ascii="Arial" w:cs="Arial" w:eastAsia="Arial" w:hAnsi="Arial"/>
                <w:sz w:val="18"/>
                <w:szCs w:val="18"/>
                <w:color w:val="auto"/>
              </w:rPr>
              <w:t>3.11</w:t>
            </w:r>
          </w:p>
        </w:tc>
        <w:tc>
          <w:tcPr>
            <w:tcW w:w="10220" w:type="dxa"/>
            <w:vAlign w:val="bottom"/>
          </w:tcPr>
          <w:p>
            <w:pPr>
              <w:ind w:left="140"/>
              <w:spacing w:after="0"/>
              <w:rPr>
                <w:sz w:val="20"/>
                <w:szCs w:val="20"/>
                <w:color w:val="auto"/>
              </w:rPr>
            </w:pPr>
            <w:r>
              <w:rPr>
                <w:rFonts w:ascii="Arial" w:cs="Arial" w:eastAsia="Arial" w:hAnsi="Arial"/>
                <w:sz w:val="18"/>
                <w:szCs w:val="18"/>
                <w:b w:val="1"/>
                <w:bCs w:val="1"/>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3.12</w:t>
            </w:r>
          </w:p>
        </w:tc>
        <w:tc>
          <w:tcPr>
            <w:tcW w:w="10220" w:type="dxa"/>
            <w:vAlign w:val="bottom"/>
          </w:tcPr>
          <w:p>
            <w:pPr>
              <w:ind w:left="140"/>
              <w:spacing w:after="0"/>
              <w:rPr>
                <w:sz w:val="20"/>
                <w:szCs w:val="20"/>
                <w:color w:val="auto"/>
              </w:rPr>
            </w:pPr>
            <w:r>
              <w:rPr>
                <w:rFonts w:ascii="Arial" w:cs="Arial" w:eastAsia="Arial" w:hAnsi="Arial"/>
                <w:sz w:val="18"/>
                <w:szCs w:val="18"/>
                <w:color w:val="auto"/>
              </w:rPr>
              <w:t>Submission To Jurisdiction; Waivers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3.13</w:t>
            </w:r>
          </w:p>
        </w:tc>
        <w:tc>
          <w:tcPr>
            <w:tcW w:w="10220" w:type="dxa"/>
            <w:vAlign w:val="bottom"/>
          </w:tcPr>
          <w:p>
            <w:pPr>
              <w:ind w:left="140"/>
              <w:spacing w:after="0"/>
              <w:rPr>
                <w:sz w:val="20"/>
                <w:szCs w:val="20"/>
                <w:color w:val="auto"/>
              </w:rPr>
            </w:pPr>
            <w:r>
              <w:rPr>
                <w:rFonts w:ascii="Arial" w:cs="Arial" w:eastAsia="Arial" w:hAnsi="Arial"/>
                <w:sz w:val="18"/>
                <w:szCs w:val="18"/>
                <w:color w:val="auto"/>
              </w:rPr>
              <w:t>Judgment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3.14</w:t>
            </w:r>
          </w:p>
        </w:tc>
        <w:tc>
          <w:tcPr>
            <w:tcW w:w="10220" w:type="dxa"/>
            <w:vAlign w:val="bottom"/>
          </w:tcPr>
          <w:p>
            <w:pPr>
              <w:ind w:left="140"/>
              <w:spacing w:after="0"/>
              <w:rPr>
                <w:sz w:val="20"/>
                <w:szCs w:val="20"/>
                <w:color w:val="auto"/>
              </w:rPr>
            </w:pPr>
            <w:r>
              <w:rPr>
                <w:rFonts w:ascii="Arial" w:cs="Arial" w:eastAsia="Arial" w:hAnsi="Arial"/>
                <w:sz w:val="18"/>
                <w:szCs w:val="18"/>
                <w:color w:val="auto"/>
              </w:rPr>
              <w:t>Additional Guarantors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2"/>
        </w:trPr>
        <w:tc>
          <w:tcPr>
            <w:tcW w:w="860" w:type="dxa"/>
            <w:vAlign w:val="bottom"/>
          </w:tcPr>
          <w:p>
            <w:pPr>
              <w:ind w:left="360"/>
              <w:spacing w:after="0"/>
              <w:rPr>
                <w:sz w:val="20"/>
                <w:szCs w:val="20"/>
                <w:color w:val="auto"/>
              </w:rPr>
            </w:pPr>
            <w:r>
              <w:rPr>
                <w:rFonts w:ascii="Arial" w:cs="Arial" w:eastAsia="Arial" w:hAnsi="Arial"/>
                <w:sz w:val="18"/>
                <w:szCs w:val="18"/>
                <w:color w:val="auto"/>
              </w:rPr>
              <w:t>3.15</w:t>
            </w:r>
          </w:p>
        </w:tc>
        <w:tc>
          <w:tcPr>
            <w:tcW w:w="10220" w:type="dxa"/>
            <w:vAlign w:val="bottom"/>
          </w:tcPr>
          <w:p>
            <w:pPr>
              <w:ind w:left="140"/>
              <w:spacing w:after="0"/>
              <w:rPr>
                <w:sz w:val="20"/>
                <w:szCs w:val="20"/>
                <w:color w:val="auto"/>
              </w:rPr>
            </w:pPr>
            <w:r>
              <w:rPr>
                <w:rFonts w:ascii="Arial" w:cs="Arial" w:eastAsia="Arial" w:hAnsi="Arial"/>
                <w:sz w:val="18"/>
                <w:szCs w:val="18"/>
                <w:color w:val="auto"/>
              </w:rPr>
              <w:t>Releases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4"/>
        </w:trPr>
        <w:tc>
          <w:tcPr>
            <w:tcW w:w="860" w:type="dxa"/>
            <w:vAlign w:val="bottom"/>
          </w:tcPr>
          <w:p>
            <w:pPr>
              <w:ind w:left="360"/>
              <w:spacing w:after="0"/>
              <w:rPr>
                <w:sz w:val="20"/>
                <w:szCs w:val="20"/>
                <w:color w:val="auto"/>
              </w:rPr>
            </w:pPr>
            <w:r>
              <w:rPr>
                <w:rFonts w:ascii="Arial" w:cs="Arial" w:eastAsia="Arial" w:hAnsi="Arial"/>
                <w:sz w:val="18"/>
                <w:szCs w:val="18"/>
                <w:color w:val="auto"/>
              </w:rPr>
              <w:t>3.16</w:t>
            </w:r>
          </w:p>
        </w:tc>
        <w:tc>
          <w:tcPr>
            <w:tcW w:w="10220" w:type="dxa"/>
            <w:vAlign w:val="bottom"/>
          </w:tcPr>
          <w:p>
            <w:pPr>
              <w:ind w:left="140"/>
              <w:spacing w:after="0"/>
              <w:rPr>
                <w:sz w:val="20"/>
                <w:szCs w:val="20"/>
                <w:color w:val="auto"/>
              </w:rPr>
            </w:pPr>
            <w:r>
              <w:rPr>
                <w:rFonts w:ascii="Arial" w:cs="Arial" w:eastAsia="Arial" w:hAnsi="Arial"/>
                <w:sz w:val="18"/>
                <w:szCs w:val="18"/>
                <w:b w:val="1"/>
                <w:bCs w:val="1"/>
                <w:color w:val="auto"/>
              </w:rPr>
              <w:t>WAIVER OF JURY TRIAL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ANNEX</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Annex I</w:t>
      </w:r>
      <w:r>
        <w:rPr>
          <w:sz w:val="20"/>
          <w:szCs w:val="20"/>
          <w:color w:val="auto"/>
        </w:rPr>
        <w:tab/>
      </w:r>
      <w:r>
        <w:rPr>
          <w:rFonts w:ascii="Arial" w:cs="Arial" w:eastAsia="Arial" w:hAnsi="Arial"/>
          <w:sz w:val="16"/>
          <w:szCs w:val="16"/>
          <w:color w:val="auto"/>
        </w:rPr>
        <w:t>Form of Joinder Agreement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178" w:name="page179"/>
    <w:bookmarkEnd w:id="178"/>
    <w:p>
      <w:pPr>
        <w:ind w:right="100" w:firstLine="91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AMENDED AND RESTATED GUARANTEE AGREEMENT, dated as of April 18, 2018 (this “</w:t>
      </w:r>
      <w:r>
        <w:rPr>
          <w:rFonts w:ascii="Arial" w:cs="Arial" w:eastAsia="Arial" w:hAnsi="Arial"/>
          <w:sz w:val="17"/>
          <w:szCs w:val="17"/>
          <w:u w:val="single" w:color="auto"/>
          <w:color w:val="auto"/>
        </w:rPr>
        <w:t>Agreement</w:t>
      </w:r>
      <w:r>
        <w:rPr>
          <w:rFonts w:ascii="Arial" w:cs="Arial" w:eastAsia="Arial" w:hAnsi="Arial"/>
          <w:sz w:val="17"/>
          <w:szCs w:val="17"/>
          <w:color w:val="auto"/>
        </w:rPr>
        <w:t>”), made by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each of the Subsidiary Guarantors (such term and certain other capitalized terms used herein being defined in </w:t>
      </w:r>
      <w:r>
        <w:rPr>
          <w:rFonts w:ascii="Arial" w:cs="Arial" w:eastAsia="Arial" w:hAnsi="Arial"/>
          <w:sz w:val="17"/>
          <w:szCs w:val="17"/>
          <w:u w:val="single" w:color="auto"/>
          <w:color w:val="auto"/>
        </w:rPr>
        <w:t>Section 1.1</w:t>
      </w:r>
      <w:r>
        <w:rPr>
          <w:rFonts w:ascii="Arial" w:cs="Arial" w:eastAsia="Arial" w:hAnsi="Arial"/>
          <w:sz w:val="17"/>
          <w:szCs w:val="17"/>
          <w:color w:val="auto"/>
        </w:rPr>
        <w:t>) from time to time party hereto, and each of the Other Guarantors from time to time party hereto (together with the Company and the Subsidiary Guarantors,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in favor of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from time to time party to the Third Amended and Restated Three Year Revolving Credit Agreement, dated as of the date hereof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 General Motors Financial Company, Inc., a Texas Corporation, GM Global Treasury Centre Limited, a corporation organized under the laws of England and Wales, General Motors do Brasil Ltda., a Brazilian limited liability company, the other Subsidiary Borrowers from time to time parties thereto, the Lenders, the Administrative Agent, Banco do Brasil S.A., as Brazilian Administrative Agent (the “</w:t>
      </w:r>
      <w:r>
        <w:rPr>
          <w:rFonts w:ascii="Arial" w:cs="Arial" w:eastAsia="Arial" w:hAnsi="Arial"/>
          <w:sz w:val="17"/>
          <w:szCs w:val="17"/>
          <w:u w:val="single" w:color="auto"/>
          <w:color w:val="auto"/>
        </w:rPr>
        <w:t>Brazilian Administrative Agent</w:t>
      </w:r>
      <w:r>
        <w:rPr>
          <w:rFonts w:ascii="Arial" w:cs="Arial" w:eastAsia="Arial" w:hAnsi="Arial"/>
          <w:sz w:val="17"/>
          <w:szCs w:val="17"/>
          <w:color w:val="auto"/>
        </w:rPr>
        <w:t>”), Citibank, 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Bank of America, N.A., as co-syndication agent (in such capacity, the “</w:t>
      </w:r>
      <w:r>
        <w:rPr>
          <w:rFonts w:ascii="Arial" w:cs="Arial" w:eastAsia="Arial" w:hAnsi="Arial"/>
          <w:sz w:val="17"/>
          <w:szCs w:val="17"/>
          <w:u w:val="single" w:color="auto"/>
          <w:color w:val="auto"/>
        </w:rPr>
        <w:t>Co-Syndication Agent</w:t>
      </w:r>
      <w:r>
        <w:rPr>
          <w:rFonts w:ascii="Arial" w:cs="Arial" w:eastAsia="Arial" w:hAnsi="Arial"/>
          <w:sz w:val="17"/>
          <w:szCs w:val="17"/>
          <w:color w:val="auto"/>
        </w:rPr>
        <w:t>”), and the other agents named therein.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70"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WHEREAS, each of the Company, the Subsidiary Borrowers, any Ancillary Borrower and any Applicable Account Party is a member of an affiliated group of companies that includes each other Guarantor;</w:t>
      </w:r>
    </w:p>
    <w:p>
      <w:pPr>
        <w:spacing w:after="0" w:line="17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WHEREAS, each Guarantor will derive substantial direct and indirect benefit from the making of the extensions of credit made by the Lenders and any Ancillary Lender to or for the account of the Company, any Subsidiary Borrower, any Ancillary Borrower or any Applicable Account Party, as applicable, under the Credit Agreement; and</w:t>
      </w:r>
    </w:p>
    <w:p>
      <w:pPr>
        <w:spacing w:after="0" w:line="181"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WHEREAS, it is a condition precedent to the obligation of the Lenders and the Ancillary Lenders to make their respective extensions of credit to or for the account of the Company, any Subsidiary Borrower, any Ancillary Borrower or any Applicable Account Party, as applicable, under the Credit Agreement or any Ancillary Facility Document that each Guarantor shall have executed and delivered this Agreement to the Administrative Agent;</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NOW, THEREFORE, in consideration of the premises and to induce the Administrative Agent, the Brazilian Administrative Agent and the Lenders to enter into the Credit Agreement and any Ancillary Facility Document, as applicable, and to induce the Lenders and any Ancillary Lender to make their respective extensions of credit to or for the account of the Company, any Subsidiary Borrower, any Ancillary Borrower or any Applicable Account Party, as applicable, under the Credit Agreement or any Ancillary Facility Document, as applicable, each Guarantor hereby agrees with the Administrative Agent, for the benefit of the Guaranteed Parties, as follows:</w:t>
      </w:r>
    </w:p>
    <w:p>
      <w:pPr>
        <w:sectPr>
          <w:pgSz w:w="11900" w:h="16838" w:orient="portrait"/>
          <w:cols w:equalWidth="0" w:num="1">
            <w:col w:w="11420"/>
          </w:cols>
          <w:pgMar w:left="240" w:top="274" w:right="23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 DEFINED TERMS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440" w:firstLine="464"/>
        <w:spacing w:after="0" w:line="277" w:lineRule="auto"/>
        <w:tabs>
          <w:tab w:leader="none" w:pos="70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Unless otherwise defined herein, terms defined in the Credit Agreement and used herein shall have the meanings assigned to such terms in the Credit Agreement.</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means, collectively, the unpaid principal of and interest on the Loans, Reimbursement Obligations, Ancillary Facility Outstandings and all other obligations and liabilities of the Company, the Subsidiary Borrowers, any Ancillary Borrowers and any Applicable Account Party (including interest on such other obligations or liabilities accruing at the then applicable rate provided in the Credit Agreement or any Ancillary Facility Document, as applicable, after the maturity of the Loans and Reimbursement Obligations or Ancillary Facility Outstandings, as the case may be, and interest accruing on the Loans, Reimbursement Obligations, Ancillary Facility Outstandings and such other obligations and liabilities at the then applicable rate provided in the Credit Agreement or relevant Ancillary Facility Document, as the case may be, after the filing of any petition in bankruptcy, or the commencement of any insolvency, reorganization or like proceeding, relating to the Company, any Subsidiary Borrower, any Ancillary Borrower or any Applicable Account Party, whether or not a claim for post-filing or post-petition interest is allowed in such proceeding) to the Administrative Agent, the Brazilian Administrative Agent, any Lender, any Ancillary Lender or any Issuing Lender thereunder, whether direct or indirect, absolute or contingent, due or to become due, or now existing or hereafter incurred, which may arise under, out of, or in connection with, the Loan Documents or Ancillary Facility Documents to which the Company, any Subsidiary Borrower, any Ancillary Borrower or any Applicable Account Party is a party, in each case whether on account of principal, interest, reimbursement obligations, fees, prepayment premiums, indemnities, costs, expenses or otherwise (including all reasonable fees and out-of-pocket disbursements of external counsel to the Administrative Agent, the Brazilian Administrative Agent, the Lenders, any Ancillary Lenders or the Issuing Lenders that are required to be paid by the Company, any Subsidiary Borrower, any Ancillary Borrower or any Applicable Account Party pursuant to the terms of any of the Loan Documents or Ancillary Facility Documents, as applicable).</w:t>
      </w:r>
    </w:p>
    <w:p>
      <w:pPr>
        <w:spacing w:after="0" w:line="183"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Parties</w:t>
      </w:r>
      <w:r>
        <w:rPr>
          <w:rFonts w:ascii="Arial" w:cs="Arial" w:eastAsia="Arial" w:hAnsi="Arial"/>
          <w:sz w:val="18"/>
          <w:szCs w:val="18"/>
          <w:color w:val="auto"/>
        </w:rPr>
        <w:t>” means, collectively, the Administrative Agent, the Brazilian Administrative Agent, the Lenders, the Ancillary Lenders and each other Person that holds a Guaranteed Obligation.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80" w:name="page181"/>
    <w:bookmarkEnd w:id="18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Guarantors</w:t>
      </w:r>
      <w:r>
        <w:rPr>
          <w:rFonts w:ascii="Arial" w:cs="Arial" w:eastAsia="Arial" w:hAnsi="Arial"/>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170"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paid in full</w:t>
      </w:r>
      <w:r>
        <w:rPr>
          <w:rFonts w:ascii="Arial" w:cs="Arial" w:eastAsia="Arial" w:hAnsi="Arial"/>
          <w:sz w:val="17"/>
          <w:szCs w:val="17"/>
          <w:color w:val="auto"/>
        </w:rPr>
        <w:t>” or “</w:t>
      </w:r>
      <w:r>
        <w:rPr>
          <w:rFonts w:ascii="Arial" w:cs="Arial" w:eastAsia="Arial" w:hAnsi="Arial"/>
          <w:sz w:val="17"/>
          <w:szCs w:val="17"/>
          <w:u w:val="single" w:color="auto"/>
          <w:color w:val="auto"/>
        </w:rPr>
        <w:t>payment in full</w:t>
      </w:r>
      <w:r>
        <w:rPr>
          <w:rFonts w:ascii="Arial" w:cs="Arial" w:eastAsia="Arial" w:hAnsi="Arial"/>
          <w:sz w:val="17"/>
          <w:szCs w:val="17"/>
          <w:color w:val="auto"/>
        </w:rPr>
        <w:t>” means with respect to the Guaranteed Obligations, the payment in full in cash of the principal of and accrued (but unpaid) interest (including post-petition interest) and premium, if any, on, all such Guaranteed Obligations and, with respect to Letters of Credit outstanding thereunder, delivery of cash collateral or backstop letters of credit in respect thereof in compliance with the Loan Documents or any Ancillary Facility Document, as applicable, in each case, after or concurrently with termination of all commitments thereunder and payment in full in cash of all fees payable with respect to a Guaranteed Obligation at or prior to the time such principal and interest are paid.</w:t>
      </w:r>
    </w:p>
    <w:p>
      <w:pPr>
        <w:spacing w:after="0" w:line="173" w:lineRule="exact"/>
        <w:rPr>
          <w:sz w:val="20"/>
          <w:szCs w:val="20"/>
          <w:color w:val="auto"/>
        </w:rPr>
      </w:pPr>
    </w:p>
    <w:p>
      <w:pPr>
        <w:jc w:val="both"/>
        <w:ind w:right="6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during any Reinstated Guarantee Period, each Domestic Subsidiary that was a Principal Domestic Subsidiary on the applicable Guarantee Reinstatement Date or that became a party to this Agreement after such Guarantee Reinstatement Date pursuant to Section 6.6(b) or 10.1(b)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 (ii) any Excluded Subsidiary,</w:t>
      </w:r>
    </w:p>
    <w:p>
      <w:pPr>
        <w:ind w:right="180" w:firstLine="8"/>
        <w:spacing w:after="0" w:line="255" w:lineRule="auto"/>
        <w:tabs>
          <w:tab w:leader="none" w:pos="31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Foreign Subsidiary Holding Company and (iv) any such Person from and after the date such Person ceases to be a party to this Agreement in accordance with the terms hereof until the date such Person becomes or is required to become a party to this Agreement. It is understood and agreed that, as of the date hereof, no “Subsidiary Guarantors” are party to this Agreement.</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308" w:lineRule="auto"/>
        <w:tabs>
          <w:tab w:leader="none" w:pos="70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rFonts w:ascii="Arial" w:cs="Arial" w:eastAsia="Arial" w:hAnsi="Arial"/>
          <w:sz w:val="18"/>
          <w:szCs w:val="18"/>
          <w:color w:val="auto"/>
        </w:rPr>
      </w:pPr>
    </w:p>
    <w:p>
      <w:pPr>
        <w:ind w:right="40" w:firstLine="464"/>
        <w:spacing w:after="0" w:line="302" w:lineRule="auto"/>
        <w:tabs>
          <w:tab w:leader="none" w:pos="70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References to agreements defined in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2. GUARANTEE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64" w:lineRule="auto"/>
        <w:tabs>
          <w:tab w:leader="none" w:pos="70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each Subsidiary Borrower, each Ancillary Borrower and each Applicable Account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 as applicable, when due (whether at the stated maturity, by acceleration or otherwise) and at all times thereafter, of all Guaranteed Obligations.</w:t>
      </w:r>
    </w:p>
    <w:p>
      <w:pPr>
        <w:spacing w:after="0" w:line="237" w:lineRule="exact"/>
        <w:rPr>
          <w:sz w:val="20"/>
          <w:szCs w:val="20"/>
          <w:color w:val="auto"/>
        </w:rPr>
      </w:pPr>
    </w:p>
    <w:p>
      <w:pPr>
        <w:ind w:firstLine="464"/>
        <w:spacing w:after="0" w:line="264" w:lineRule="auto"/>
        <w:tabs>
          <w:tab w:leader="none" w:pos="71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Anything herein or in any other Loan Document or any Ancillary Facility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80" w:firstLine="464"/>
        <w:spacing w:after="0" w:line="342" w:lineRule="auto"/>
        <w:tabs>
          <w:tab w:leader="none" w:pos="70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affecting the rights and remedies of the Guaranteed Parties hereunder.</w:t>
      </w:r>
    </w:p>
    <w:p>
      <w:pPr>
        <w:spacing w:after="0" w:line="123" w:lineRule="exact"/>
        <w:rPr>
          <w:rFonts w:ascii="Arial" w:cs="Arial" w:eastAsia="Arial" w:hAnsi="Arial"/>
          <w:sz w:val="16"/>
          <w:szCs w:val="16"/>
          <w:color w:val="auto"/>
        </w:rPr>
      </w:pPr>
    </w:p>
    <w:p>
      <w:pPr>
        <w:ind w:firstLine="464"/>
        <w:spacing w:after="0" w:line="264" w:lineRule="auto"/>
        <w:tabs>
          <w:tab w:leader="none" w:pos="71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any Ancillary Borrower or any Applicable Account Party may be free from any Guaranteed Obligations.</w:t>
      </w:r>
    </w:p>
    <w:p>
      <w:pPr>
        <w:spacing w:after="0" w:line="181" w:lineRule="exact"/>
        <w:rPr>
          <w:rFonts w:ascii="Arial" w:cs="Arial" w:eastAsia="Arial" w:hAnsi="Arial"/>
          <w:sz w:val="18"/>
          <w:szCs w:val="18"/>
          <w:color w:val="auto"/>
        </w:rPr>
      </w:pPr>
    </w:p>
    <w:p>
      <w:pPr>
        <w:ind w:right="80" w:firstLine="464"/>
        <w:spacing w:after="0" w:line="291" w:lineRule="auto"/>
        <w:tabs>
          <w:tab w:leader="none" w:pos="70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No payment made by the Company, any Subsidiary Borrower, any Ancillary Borrower, any Applicable Account Party, any of the Guarantors, any other guarantor or any other Person or received or collected by any Guaranteed Party from the Company, any Subsidiary Borrower, any Ancillary Borrower, any Applicable Account Party,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w:t>
      </w:r>
    </w:p>
    <w:p>
      <w:pPr>
        <w:spacing w:after="0" w:line="225" w:lineRule="exact"/>
        <w:rPr>
          <w:sz w:val="20"/>
          <w:szCs w:val="20"/>
          <w:color w:val="auto"/>
        </w:rPr>
      </w:pPr>
    </w:p>
    <w:p>
      <w:pPr>
        <w:ind w:right="20" w:firstLine="1484"/>
        <w:spacing w:after="0" w:line="257" w:lineRule="auto"/>
        <w:rPr>
          <w:sz w:val="20"/>
          <w:szCs w:val="20"/>
          <w:color w:val="auto"/>
        </w:rPr>
      </w:pPr>
      <w:r>
        <w:rPr>
          <w:rFonts w:ascii="Arial" w:cs="Arial" w:eastAsia="Arial" w:hAnsi="Arial"/>
          <w:sz w:val="18"/>
          <w:szCs w:val="18"/>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Subrogation</w:t>
      </w:r>
      <w:r>
        <w:rPr>
          <w:rFonts w:ascii="Arial" w:cs="Arial" w:eastAsia="Arial" w:hAnsi="Arial"/>
          <w:sz w:val="18"/>
          <w:szCs w:val="18"/>
          <w:color w:val="auto"/>
        </w:rPr>
        <w:t>.</w:t>
      </w:r>
    </w:p>
    <w:p>
      <w:pPr>
        <w:spacing w:after="0" w:line="225" w:lineRule="exact"/>
        <w:rPr>
          <w:sz w:val="20"/>
          <w:szCs w:val="20"/>
          <w:color w:val="auto"/>
        </w:rPr>
      </w:pPr>
    </w:p>
    <w:p>
      <w:pPr>
        <w:ind w:right="20" w:firstLine="1484"/>
        <w:spacing w:after="0" w:line="272" w:lineRule="auto"/>
        <w:rPr>
          <w:sz w:val="20"/>
          <w:szCs w:val="20"/>
          <w:color w:val="auto"/>
        </w:rPr>
      </w:pPr>
      <w:r>
        <w:rPr>
          <w:rFonts w:ascii="Arial" w:cs="Arial" w:eastAsia="Arial" w:hAnsi="Arial"/>
          <w:sz w:val="17"/>
          <w:szCs w:val="17"/>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any Ancillary Borrower, any Applicable Account Party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any Ancillary Borrower, any Applicable Account Party or any other Guarantor in respect of payments made by such Guarantor hereunder, until all amounts owing to the Guaranteed Parties by the Company, the Subsidiary Borrowers, any Ancillary Borrower and any Applicable Account Party on account of the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82" w:name="page183"/>
    <w:bookmarkEnd w:id="182"/>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Amendments, etc. with respect to the Guaranteed Obligations</w:t>
      </w:r>
      <w:r>
        <w:rPr>
          <w:rFonts w:ascii="Arial" w:cs="Arial" w:eastAsia="Arial" w:hAnsi="Arial"/>
          <w:sz w:val="18"/>
          <w:szCs w:val="18"/>
          <w:color w:val="auto"/>
        </w:rPr>
        <w:t>.</w:t>
      </w:r>
    </w:p>
    <w:p>
      <w:pPr>
        <w:spacing w:after="0" w:line="225" w:lineRule="exact"/>
        <w:rPr>
          <w:sz w:val="20"/>
          <w:szCs w:val="20"/>
          <w:color w:val="auto"/>
        </w:rPr>
      </w:pPr>
    </w:p>
    <w:p>
      <w:pPr>
        <w:ind w:right="40" w:firstLine="1484"/>
        <w:spacing w:after="0" w:line="287" w:lineRule="auto"/>
        <w:rPr>
          <w:sz w:val="20"/>
          <w:szCs w:val="20"/>
          <w:color w:val="auto"/>
        </w:rPr>
      </w:pPr>
      <w:r>
        <w:rPr>
          <w:rFonts w:ascii="Arial" w:cs="Arial" w:eastAsia="Arial" w:hAnsi="Arial"/>
          <w:sz w:val="16"/>
          <w:szCs w:val="16"/>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any Ancillary Facility Documents and any other documents executed and delivered in connection therewith may be amended, modified, supplemented or terminated, in whole or in part, as the Administrative Agent (or the Required Lenders, the Majority Facility Lenders, all affected Lenders, or all Lenders, or any Ancillary Lender,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Guarantee Absolute and Unconditional</w:t>
      </w:r>
      <w:r>
        <w:rPr>
          <w:rFonts w:ascii="Arial" w:cs="Arial" w:eastAsia="Arial" w:hAnsi="Arial"/>
          <w:sz w:val="18"/>
          <w:szCs w:val="18"/>
          <w:color w:val="auto"/>
        </w:rPr>
        <w:t>.</w:t>
      </w:r>
    </w:p>
    <w:p>
      <w:pPr>
        <w:spacing w:after="0" w:line="225" w:lineRule="exact"/>
        <w:rPr>
          <w:sz w:val="20"/>
          <w:szCs w:val="20"/>
          <w:color w:val="auto"/>
        </w:rPr>
      </w:pPr>
    </w:p>
    <w:p>
      <w:pPr>
        <w:ind w:firstLine="1484"/>
        <w:spacing w:after="0" w:line="283" w:lineRule="auto"/>
        <w:rPr>
          <w:sz w:val="20"/>
          <w:szCs w:val="20"/>
          <w:color w:val="auto"/>
        </w:rPr>
      </w:pPr>
      <w:r>
        <w:rPr>
          <w:rFonts w:ascii="Arial" w:cs="Arial" w:eastAsia="Arial" w:hAnsi="Arial"/>
          <w:sz w:val="16"/>
          <w:szCs w:val="16"/>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any Ancillary Borrower, any Applicable Account Party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any of the Ancillary Borrowers, any of the Applicable Account Parties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any other Loan Document or any Ancillary Facility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any Ancillary Borrower, any Applicable Account Party or any other Person against any Guaranteed Party,</w:t>
      </w:r>
    </w:p>
    <w:p>
      <w:pPr>
        <w:spacing w:after="0" w:line="3" w:lineRule="exact"/>
        <w:rPr>
          <w:sz w:val="20"/>
          <w:szCs w:val="20"/>
          <w:color w:val="auto"/>
        </w:rPr>
      </w:pPr>
    </w:p>
    <w:p>
      <w:pPr>
        <w:ind w:left="5660" w:right="2160" w:hanging="5652"/>
        <w:spacing w:after="0" w:line="433" w:lineRule="auto"/>
        <w:tabs>
          <w:tab w:leader="none" w:pos="24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law or regulation of any jurisdiction or any other event affecting any term of the Guaranteed Obligations or (d) any other 5</w:t>
      </w:r>
    </w:p>
    <w:p>
      <w:pPr>
        <w:sectPr>
          <w:pgSz w:w="11900" w:h="16838" w:orient="portrait"/>
          <w:cols w:equalWidth="0" w:num="1">
            <w:col w:w="11420"/>
          </w:cols>
          <w:pgMar w:left="240" w:top="274" w:right="239" w:bottom="1440" w:gutter="0" w:footer="0" w:header="0"/>
        </w:sectPr>
      </w:pPr>
    </w:p>
    <w:bookmarkStart w:id="183" w:name="page184"/>
    <w:bookmarkEnd w:id="18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circumstance whatsoever (with or without notice to or knowledge of the Company, any Subsidiary Borrower, any Ancillary Borrower, any Applicable Account Party or such Guarantor) which constitutes, or might be construed to constitute, an equitable or legal discharge or defense of a surety or guarantor or any other obligor on any obligation of the Company, any Subsidiary Borrower, any Ancillary Borrower or any Applicable Account Party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occurrence of any Guarantee Release Date, but subject to any release of such obligations hereunder to the extent provided in, and pursuant to the terms of, Section 3.15 and (y) 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Ancillary Borrower, any Applicable Account Party,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Ancillary Borrower, any Applicable Account Party, any other Guarantor or any other Person or to realize upon any such collateral security or guarantee or to exercise any such right of offset, or any release of the Company, any Subsidiary Borrower, any Ancillary Borrower, any Applicable Account Party,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right="200" w:firstLine="1484"/>
        <w:spacing w:after="0" w:line="255" w:lineRule="auto"/>
        <w:rPr>
          <w:sz w:val="20"/>
          <w:szCs w:val="20"/>
          <w:color w:val="auto"/>
        </w:rPr>
      </w:pPr>
      <w:r>
        <w:rPr>
          <w:rFonts w:ascii="Arial" w:cs="Arial" w:eastAsia="Arial" w:hAnsi="Arial"/>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any Ancillary Borrower, any Applicable Account Party or any Guarantor, or upon or as a result of the appointment of a receiver, intervenor or conservator of, or trustee or similar officer for, the Company, any Subsidiary Borrower, any Ancillary Borrower, any Applicable Account Party or any Guarantor or any substantial part of its property, or otherwise, all as though such payments had not been made.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25" w:lineRule="exact"/>
        <w:rPr>
          <w:sz w:val="20"/>
          <w:szCs w:val="20"/>
          <w:color w:val="auto"/>
        </w:rPr>
      </w:pPr>
    </w:p>
    <w:p>
      <w:pPr>
        <w:jc w:val="both"/>
        <w:ind w:right="160" w:firstLine="1484"/>
        <w:spacing w:after="0" w:line="264" w:lineRule="auto"/>
        <w:rPr>
          <w:sz w:val="20"/>
          <w:szCs w:val="20"/>
          <w:color w:val="auto"/>
        </w:rPr>
      </w:pPr>
      <w:r>
        <w:rPr>
          <w:rFonts w:ascii="Arial" w:cs="Arial" w:eastAsia="Arial" w:hAnsi="Arial"/>
          <w:sz w:val="18"/>
          <w:szCs w:val="18"/>
          <w:color w:val="auto"/>
        </w:rPr>
        <w:t>Each Guarantor hereby guarantees that payments hereunder will be paid to the Administrative Agent without set-off or counterclaim in Dollars or the Currency in which the relevant Guaranteed Obligations are required to be paid, at the Funding Office. All payments made hereunder shall be made in accordance with Sections 1.3 and 2.21 of the Credit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3. MISCELLANEOUS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Authority of Administrative Agent</w:t>
      </w:r>
      <w:r>
        <w:rPr>
          <w:rFonts w:ascii="Arial" w:cs="Arial" w:eastAsia="Arial" w:hAnsi="Arial"/>
          <w:sz w:val="18"/>
          <w:szCs w:val="18"/>
          <w:color w:val="auto"/>
        </w:rPr>
        <w:t>.</w:t>
      </w:r>
    </w:p>
    <w:p>
      <w:pPr>
        <w:spacing w:after="0" w:line="225" w:lineRule="exact"/>
        <w:rPr>
          <w:sz w:val="20"/>
          <w:szCs w:val="20"/>
          <w:color w:val="auto"/>
        </w:rPr>
      </w:pPr>
    </w:p>
    <w:p>
      <w:pPr>
        <w:ind w:right="140" w:firstLine="1484"/>
        <w:spacing w:after="0" w:line="277" w:lineRule="auto"/>
        <w:rPr>
          <w:sz w:val="20"/>
          <w:szCs w:val="20"/>
          <w:color w:val="auto"/>
        </w:rPr>
      </w:pPr>
      <w:r>
        <w:rPr>
          <w:rFonts w:ascii="Arial" w:cs="Arial" w:eastAsia="Arial" w:hAnsi="Arial"/>
          <w:sz w:val="18"/>
          <w:szCs w:val="18"/>
          <w:color w:val="auto"/>
        </w:rPr>
        <w:t>Each Guarantor acknowledges that the rights and responsibilities of the Administrative Agent under this Agreement with respect to any action taken by the Administrative Agent or the exercise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84" w:name="page185"/>
    <w:bookmarkEnd w:id="18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and any Ancillary Lender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w:t>
      </w:r>
    </w:p>
    <w:p>
      <w:pPr>
        <w:spacing w:after="0" w:line="225" w:lineRule="exact"/>
        <w:rPr>
          <w:sz w:val="20"/>
          <w:szCs w:val="20"/>
          <w:color w:val="auto"/>
        </w:rPr>
      </w:pPr>
    </w:p>
    <w:p>
      <w:pPr>
        <w:ind w:right="140" w:firstLine="1484"/>
        <w:spacing w:after="0" w:line="277" w:lineRule="auto"/>
        <w:rPr>
          <w:sz w:val="20"/>
          <w:szCs w:val="20"/>
          <w:color w:val="auto"/>
        </w:rPr>
      </w:pPr>
      <w:r>
        <w:rPr>
          <w:rFonts w:ascii="Arial" w:cs="Arial" w:eastAsia="Arial" w:hAnsi="Arial"/>
          <w:sz w:val="18"/>
          <w:szCs w:val="18"/>
          <w:color w:val="auto"/>
        </w:rPr>
        <w:t xml:space="preserve">None of the terms or provisions of this Agreement may be waived, amended, supplemented or otherwise modified except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240" w:firstLine="1484"/>
        <w:spacing w:after="0" w:line="259" w:lineRule="auto"/>
        <w:rPr>
          <w:sz w:val="20"/>
          <w:szCs w:val="20"/>
          <w:color w:val="auto"/>
        </w:rPr>
      </w:pPr>
      <w:r>
        <w:rPr>
          <w:rFonts w:ascii="Arial" w:cs="Arial" w:eastAsia="Arial" w:hAnsi="Arial"/>
          <w:sz w:val="18"/>
          <w:szCs w:val="18"/>
          <w:color w:val="auto"/>
        </w:rPr>
        <w:t xml:space="preserve">All notices, requests and demands to or upon the Administrative Agent or any Guarantor hereunder shall be effected in the manner provided for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provided, that any such notice, request or demand to or upon any Guarantor shall be addressed to the Company at the addresses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(or such other address as the Company may at any time or from time to time provide for purposes of the Credit Agreement and this Agreement).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 Waiver by Course of Conduct; Cumulative Remedies</w:t>
      </w:r>
      <w:r>
        <w:rPr>
          <w:rFonts w:ascii="Arial" w:cs="Arial" w:eastAsia="Arial" w:hAnsi="Arial"/>
          <w:sz w:val="18"/>
          <w:szCs w:val="18"/>
          <w:color w:val="auto"/>
        </w:rPr>
        <w:t>.</w:t>
      </w:r>
    </w:p>
    <w:p>
      <w:pPr>
        <w:spacing w:after="0" w:line="225" w:lineRule="exact"/>
        <w:rPr>
          <w:sz w:val="20"/>
          <w:szCs w:val="20"/>
          <w:color w:val="auto"/>
        </w:rPr>
      </w:pPr>
    </w:p>
    <w:p>
      <w:pPr>
        <w:ind w:right="100" w:firstLine="1484"/>
        <w:spacing w:after="0" w:line="272" w:lineRule="auto"/>
        <w:rPr>
          <w:sz w:val="20"/>
          <w:szCs w:val="20"/>
          <w:color w:val="auto"/>
        </w:rPr>
      </w:pPr>
      <w:r>
        <w:rPr>
          <w:rFonts w:ascii="Arial" w:cs="Arial" w:eastAsia="Arial" w:hAnsi="Arial"/>
          <w:sz w:val="17"/>
          <w:szCs w:val="17"/>
          <w:color w:val="auto"/>
        </w:rPr>
        <w:t xml:space="preserve">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302" w:lineRule="auto"/>
        <w:tabs>
          <w:tab w:leader="none" w:pos="70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Without intending to duplicate the obligations of the Guarantors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if and to the extent that the Company is required to pay or reimburse the Guaranteed Parties (or any of them), for various costs and expenses contemplated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each Guarantor, jointly and severally, hereby agrees to make such payments or reimbursements and to provide such indemnification.</w:t>
      </w:r>
    </w:p>
    <w:p>
      <w:pPr>
        <w:spacing w:after="0" w:line="154" w:lineRule="exact"/>
        <w:rPr>
          <w:rFonts w:ascii="Arial" w:cs="Arial" w:eastAsia="Arial" w:hAnsi="Arial"/>
          <w:sz w:val="16"/>
          <w:szCs w:val="16"/>
          <w:color w:val="auto"/>
        </w:rPr>
      </w:pPr>
    </w:p>
    <w:p>
      <w:pPr>
        <w:ind w:right="220" w:firstLine="464"/>
        <w:spacing w:after="0" w:line="277" w:lineRule="auto"/>
        <w:tabs>
          <w:tab w:leader="none" w:pos="71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The agreements of each Guarantor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survive repayment of the Guaranteed Obligations and all other amounts payable under the Credit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85" w:name="page186"/>
    <w:bookmarkEnd w:id="18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right="180" w:firstLine="1484"/>
        <w:spacing w:after="0" w:line="259" w:lineRule="auto"/>
        <w:rPr>
          <w:sz w:val="20"/>
          <w:szCs w:val="20"/>
          <w:color w:val="auto"/>
        </w:rPr>
      </w:pPr>
      <w:r>
        <w:rPr>
          <w:rFonts w:ascii="Arial" w:cs="Arial" w:eastAsia="Arial" w:hAnsi="Arial"/>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1484"/>
        <w:spacing w:after="0" w:line="264" w:lineRule="auto"/>
        <w:rPr>
          <w:sz w:val="20"/>
          <w:szCs w:val="20"/>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right="80" w:firstLine="1484"/>
        <w:spacing w:after="0" w:line="264" w:lineRule="auto"/>
        <w:rPr>
          <w:sz w:val="20"/>
          <w:szCs w:val="20"/>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Section Headings</w:t>
      </w:r>
      <w:r>
        <w:rPr>
          <w:rFonts w:ascii="Arial" w:cs="Arial" w:eastAsia="Arial" w:hAnsi="Arial"/>
          <w:sz w:val="18"/>
          <w:szCs w:val="18"/>
          <w:color w:val="auto"/>
        </w:rPr>
        <w:t>.</w:t>
      </w:r>
    </w:p>
    <w:p>
      <w:pPr>
        <w:spacing w:after="0" w:line="225" w:lineRule="exact"/>
        <w:rPr>
          <w:sz w:val="20"/>
          <w:szCs w:val="20"/>
          <w:color w:val="auto"/>
        </w:rPr>
      </w:pPr>
    </w:p>
    <w:p>
      <w:pPr>
        <w:ind w:right="320" w:firstLine="1484"/>
        <w:spacing w:after="0" w:line="277" w:lineRule="auto"/>
        <w:rPr>
          <w:sz w:val="20"/>
          <w:szCs w:val="20"/>
          <w:color w:val="auto"/>
        </w:rPr>
      </w:pPr>
      <w:r>
        <w:rPr>
          <w:rFonts w:ascii="Arial" w:cs="Arial" w:eastAsia="Arial" w:hAnsi="Arial"/>
          <w:sz w:val="18"/>
          <w:szCs w:val="18"/>
          <w:color w:val="auto"/>
        </w:rPr>
        <w:t>The Section headings used in this Agreement are for convenience of reference only and are not to affect the construction hereof or be taken into consideration in the interpretation 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Integration</w:t>
      </w:r>
      <w:r>
        <w:rPr>
          <w:rFonts w:ascii="Arial" w:cs="Arial" w:eastAsia="Arial" w:hAnsi="Arial"/>
          <w:sz w:val="18"/>
          <w:szCs w:val="18"/>
          <w:color w:val="auto"/>
        </w:rPr>
        <w:t>.</w:t>
      </w:r>
    </w:p>
    <w:p>
      <w:pPr>
        <w:spacing w:after="0" w:line="225"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This Agreement, the other Loan Documents and any Ancillary Facility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 or in any Ancillary Facility Documents.</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40" w:firstLine="1484"/>
        <w:spacing w:after="0" w:line="282" w:lineRule="auto"/>
        <w:rPr>
          <w:sz w:val="20"/>
          <w:szCs w:val="20"/>
          <w:color w:val="auto"/>
        </w:rPr>
      </w:pPr>
      <w:r>
        <w:rPr>
          <w:rFonts w:ascii="Arial" w:cs="Arial" w:eastAsia="Arial" w:hAnsi="Arial"/>
          <w:sz w:val="18"/>
          <w:szCs w:val="18"/>
          <w:b w:val="1"/>
          <w:bCs w:val="1"/>
          <w:color w:val="auto"/>
        </w:rPr>
        <w:t>THIS AGREEMENT AND THE RIGHTS AND OBLIGATIONS OF THE PARTIES UNDER THIS AGREEMENT SHALL BE GOVERNED BY, AND CONSTRUED AND INTERPRETED IN ACCORDANCE WITH, THE LAW OF THE STATE OF NEW YORK.</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Each Guarantor hereby irrevocably and unconditionally:</w:t>
      </w:r>
    </w:p>
    <w:p>
      <w:pPr>
        <w:spacing w:after="0" w:line="225" w:lineRule="exact"/>
        <w:rPr>
          <w:sz w:val="20"/>
          <w:szCs w:val="20"/>
          <w:color w:val="auto"/>
        </w:rPr>
      </w:pPr>
    </w:p>
    <w:p>
      <w:pPr>
        <w:ind w:right="80" w:firstLine="464"/>
        <w:spacing w:after="0" w:line="259" w:lineRule="auto"/>
        <w:tabs>
          <w:tab w:leader="none" w:pos="70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the other Loan Documents and the Ancillary Facility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86" w:name="page187"/>
    <w:bookmarkEnd w:id="186"/>
    <w:p>
      <w:pPr>
        <w:ind w:firstLine="464"/>
        <w:spacing w:after="0" w:line="264" w:lineRule="auto"/>
        <w:tabs>
          <w:tab w:leader="none" w:pos="711"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right="340" w:firstLine="464"/>
        <w:spacing w:after="0" w:line="264" w:lineRule="auto"/>
        <w:tabs>
          <w:tab w:leader="none" w:pos="70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right="200" w:firstLine="464"/>
        <w:spacing w:after="0" w:line="277" w:lineRule="auto"/>
        <w:tabs>
          <w:tab w:leader="none" w:pos="71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170" w:lineRule="exact"/>
        <w:rPr>
          <w:rFonts w:ascii="Arial" w:cs="Arial" w:eastAsia="Arial" w:hAnsi="Arial"/>
          <w:sz w:val="18"/>
          <w:szCs w:val="18"/>
          <w:color w:val="auto"/>
        </w:rPr>
      </w:pPr>
    </w:p>
    <w:p>
      <w:pPr>
        <w:ind w:right="20" w:firstLine="464"/>
        <w:spacing w:after="0" w:line="277" w:lineRule="auto"/>
        <w:tabs>
          <w:tab w:leader="none" w:pos="70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70" w:lineRule="exact"/>
        <w:rPr>
          <w:rFonts w:ascii="Arial" w:cs="Arial" w:eastAsia="Arial" w:hAnsi="Arial"/>
          <w:sz w:val="18"/>
          <w:szCs w:val="18"/>
          <w:color w:val="auto"/>
        </w:rPr>
      </w:pPr>
    </w:p>
    <w:p>
      <w:pPr>
        <w:ind w:right="140" w:firstLine="464"/>
        <w:spacing w:after="0" w:line="277" w:lineRule="auto"/>
        <w:tabs>
          <w:tab w:leader="none" w:pos="68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Judgment</w:t>
      </w:r>
      <w:r>
        <w:rPr>
          <w:rFonts w:ascii="Arial" w:cs="Arial" w:eastAsia="Arial" w:hAnsi="Arial"/>
          <w:sz w:val="18"/>
          <w:szCs w:val="18"/>
          <w:color w:val="auto"/>
        </w:rPr>
        <w: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The parties hereto agree that Section 10.13 of the Credit Agreement shall apply to the obligations of the Guarantors hereunder, </w:t>
      </w:r>
      <w:r>
        <w:rPr>
          <w:rFonts w:ascii="Arial" w:cs="Arial" w:eastAsia="Arial" w:hAnsi="Arial"/>
          <w:sz w:val="16"/>
          <w:szCs w:val="16"/>
          <w:i w:val="1"/>
          <w:iCs w:val="1"/>
          <w:color w:val="auto"/>
        </w:rPr>
        <w:t>mutatis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w:t>
      </w:r>
    </w:p>
    <w:p>
      <w:pPr>
        <w:spacing w:after="0" w:line="225" w:lineRule="exact"/>
        <w:rPr>
          <w:sz w:val="20"/>
          <w:szCs w:val="20"/>
          <w:color w:val="auto"/>
        </w:rPr>
      </w:pPr>
    </w:p>
    <w:p>
      <w:pPr>
        <w:ind w:right="180" w:firstLine="1484"/>
        <w:spacing w:after="0" w:line="291" w:lineRule="auto"/>
        <w:rPr>
          <w:sz w:val="20"/>
          <w:szCs w:val="20"/>
          <w:color w:val="auto"/>
        </w:rPr>
      </w:pPr>
      <w:r>
        <w:rPr>
          <w:rFonts w:ascii="Arial" w:cs="Arial" w:eastAsia="Arial" w:hAnsi="Arial"/>
          <w:sz w:val="16"/>
          <w:szCs w:val="16"/>
          <w:color w:val="auto"/>
        </w:rPr>
        <w:t xml:space="preserve">Each Subsidiary of the Company that is required to become a party to this Agreement pursuant to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of the Credit Agreement, and each other Person (whether or not a Subsidiary of the Company) that the Company desires to become a party to this Agreement pursuant to</w:t>
      </w:r>
    </w:p>
    <w:p>
      <w:pPr>
        <w:ind w:right="400"/>
        <w:spacing w:after="0" w:line="261" w:lineRule="auto"/>
        <w:rPr>
          <w:sz w:val="20"/>
          <w:szCs w:val="20"/>
          <w:color w:val="auto"/>
        </w:rPr>
      </w:pPr>
      <w:r>
        <w:rPr>
          <w:rFonts w:ascii="Arial" w:cs="Arial" w:eastAsia="Arial" w:hAnsi="Arial"/>
          <w:sz w:val="18"/>
          <w:szCs w:val="18"/>
          <w:color w:val="auto"/>
        </w:rPr>
        <w:t xml:space="preserve">Section 10.1(b) of the Credit Agreement or otherwise, shall become a Guarantor for all purposes of this Agreement upon execution and delivery by such Subsidiary or other Person of a Joinder Agreement in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(a “</w:t>
      </w:r>
      <w:r>
        <w:rPr>
          <w:rFonts w:ascii="Arial" w:cs="Arial" w:eastAsia="Arial" w:hAnsi="Arial"/>
          <w:sz w:val="18"/>
          <w:szCs w:val="18"/>
          <w:u w:val="single" w:color="auto"/>
          <w:color w:val="auto"/>
        </w:rPr>
        <w:t>Joinder Agreement</w:t>
      </w:r>
      <w:r>
        <w:rPr>
          <w:rFonts w:ascii="Arial" w:cs="Arial" w:eastAsia="Arial" w:hAnsi="Arial"/>
          <w:sz w:val="18"/>
          <w:szCs w:val="18"/>
          <w:color w:val="auto"/>
        </w:rPr>
        <w:t>”).</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4" w:lineRule="auto"/>
        <w:tabs>
          <w:tab w:leader="none" w:pos="70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10.15(b)</w:t>
      </w:r>
      <w:r>
        <w:rPr>
          <w:rFonts w:ascii="Arial" w:cs="Arial" w:eastAsia="Arial" w:hAnsi="Arial"/>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10.15(c)</w:t>
      </w:r>
      <w:r>
        <w:rPr>
          <w:rFonts w:ascii="Arial" w:cs="Arial" w:eastAsia="Arial" w:hAnsi="Arial"/>
          <w:sz w:val="18"/>
          <w:szCs w:val="18"/>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ind w:right="60" w:firstLine="464"/>
        <w:spacing w:after="0" w:line="264" w:lineRule="auto"/>
        <w:tabs>
          <w:tab w:leader="none" w:pos="70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10.15(d)</w:t>
      </w:r>
      <w:r>
        <w:rPr>
          <w:rFonts w:ascii="Arial" w:cs="Arial" w:eastAsia="Arial" w:hAnsi="Arial"/>
          <w:sz w:val="18"/>
          <w:szCs w:val="18"/>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87" w:name="page188"/>
    <w:bookmarkEnd w:id="187"/>
    <w:p>
      <w:pPr>
        <w:ind w:firstLine="464"/>
        <w:spacing w:after="0" w:line="264" w:lineRule="auto"/>
        <w:tabs>
          <w:tab w:leader="none" w:pos="711"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w:t>
      </w:r>
    </w:p>
    <w:p>
      <w:pPr>
        <w:spacing w:after="0" w:line="117" w:lineRule="exact"/>
        <w:rPr>
          <w:sz w:val="20"/>
          <w:szCs w:val="20"/>
          <w:color w:val="auto"/>
        </w:rPr>
      </w:pPr>
    </w:p>
    <w:p>
      <w:pPr>
        <w:ind w:right="440" w:firstLine="1484"/>
        <w:spacing w:after="0" w:line="266" w:lineRule="auto"/>
        <w:rPr>
          <w:sz w:val="20"/>
          <w:szCs w:val="20"/>
          <w:color w:val="auto"/>
        </w:rPr>
      </w:pPr>
      <w:r>
        <w:rPr>
          <w:rFonts w:ascii="Arial" w:cs="Arial" w:eastAsia="Arial" w:hAnsi="Arial"/>
          <w:sz w:val="18"/>
          <w:szCs w:val="18"/>
          <w:b w:val="1"/>
          <w:bCs w:val="1"/>
          <w:color w:val="auto"/>
        </w:rPr>
        <w:t>EACH GUARANTOR AND THE ADMINISTRATIVE AGENT HEREBY IRREVOCABLY AND UNCONDITIONALLY WAIVE TRIAL BY JURY IN ANY LEGAL ACTION OR PROCEEDING RELATING TO THIS AGREEMENT, ANY OTHER LOAN DOCUMENT OR ANY ANCILLARY FACILITY DOCUMENT AND FOR ANY COUNTERCLAIM THEREIN.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4" w:right="319" w:bottom="1440" w:gutter="0" w:footer="0" w:header="0"/>
        </w:sectPr>
      </w:pPr>
    </w:p>
    <w:bookmarkStart w:id="188" w:name="page189"/>
    <w:bookmarkEnd w:id="18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GENERAL MOTORS COMPANY, </w:t>
      </w:r>
      <w:r>
        <w:rPr>
          <w:rFonts w:ascii="Arial" w:cs="Arial" w:eastAsia="Arial" w:hAnsi="Arial"/>
          <w:sz w:val="18"/>
          <w:szCs w:val="18"/>
          <w:i w:val="1"/>
          <w:iCs w:val="1"/>
          <w:color w:val="auto"/>
        </w:rPr>
        <w:t>as the Company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22860</wp:posOffset>
            </wp:positionV>
            <wp:extent cx="32499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-121920</wp:posOffset>
            </wp:positionV>
            <wp:extent cx="32499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6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Signature Page to 3-Year Guarantee Agreement</w:t>
      </w:r>
    </w:p>
    <w:p>
      <w:pPr>
        <w:sectPr>
          <w:pgSz w:w="11900" w:h="16838" w:orient="portrait"/>
          <w:cols w:equalWidth="0" w:num="1">
            <w:col w:w="10880"/>
          </w:cols>
          <w:pgMar w:left="240" w:top="274" w:right="77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153" w:lineRule="exact"/>
        <w:rPr>
          <w:sz w:val="20"/>
          <w:szCs w:val="20"/>
          <w:color w:val="auto"/>
        </w:rPr>
      </w:pPr>
    </w:p>
    <w:p>
      <w:pPr>
        <w:jc w:val="right"/>
        <w:ind w:right="2679"/>
        <w:spacing w:after="0"/>
        <w:rPr>
          <w:sz w:val="20"/>
          <w:szCs w:val="20"/>
          <w:color w:val="auto"/>
        </w:rPr>
      </w:pPr>
      <w:r>
        <w:rPr>
          <w:rFonts w:ascii="Arial" w:cs="Arial" w:eastAsia="Arial" w:hAnsi="Arial"/>
          <w:sz w:val="18"/>
          <w:szCs w:val="18"/>
          <w:b w:val="1"/>
          <w:bCs w:val="1"/>
          <w:color w:val="auto"/>
        </w:rPr>
        <w:t>Signature Page to 3-Year Guarantee Agreement</w:t>
      </w:r>
    </w:p>
    <w:p>
      <w:pPr>
        <w:sectPr>
          <w:pgSz w:w="11900" w:h="16838" w:orient="portrait"/>
          <w:cols w:equalWidth="0" w:num="1">
            <w:col w:w="10219"/>
          </w:cols>
          <w:pgMar w:left="240" w:top="274" w:right="1440" w:bottom="1440" w:gutter="0" w:footer="0" w:header="0"/>
        </w:sectPr>
      </w:pPr>
    </w:p>
    <w:bookmarkStart w:id="190" w:name="page191"/>
    <w:bookmarkEnd w:id="190"/>
    <w:p>
      <w:pPr>
        <w:jc w:val="center"/>
        <w:ind w:left="9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3" w:lineRule="exact"/>
        <w:rPr>
          <w:sz w:val="20"/>
          <w:szCs w:val="20"/>
          <w:color w:val="auto"/>
        </w:rPr>
      </w:pPr>
    </w:p>
    <w:p>
      <w:pPr>
        <w:jc w:val="center"/>
        <w:ind w:left="98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840"/>
        <w:spacing w:after="0"/>
        <w:rPr>
          <w:sz w:val="20"/>
          <w:szCs w:val="20"/>
          <w:color w:val="auto"/>
        </w:rPr>
      </w:pPr>
      <w:r>
        <w:rPr>
          <w:rFonts w:ascii="Arial" w:cs="Arial" w:eastAsia="Arial" w:hAnsi="Arial"/>
          <w:sz w:val="15"/>
          <w:szCs w:val="15"/>
          <w:color w:val="auto"/>
        </w:rPr>
        <w:t>Guarantee Agreement</w:t>
      </w:r>
    </w:p>
    <w:p>
      <w:pPr>
        <w:spacing w:after="0" w:line="24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JOINDER AGREEMENT, dated as of , 20 (the “</w:t>
      </w:r>
      <w:r>
        <w:rPr>
          <w:rFonts w:ascii="Arial" w:cs="Arial" w:eastAsia="Arial" w:hAnsi="Arial"/>
          <w:sz w:val="18"/>
          <w:szCs w:val="18"/>
          <w:u w:val="single" w:color="auto"/>
          <w:color w:val="auto"/>
        </w:rPr>
        <w:t>Joinder Agreement</w:t>
      </w:r>
      <w:r>
        <w:rPr>
          <w:rFonts w:ascii="Arial" w:cs="Arial" w:eastAsia="Arial" w:hAnsi="Arial"/>
          <w:sz w:val="18"/>
          <w:szCs w:val="18"/>
          <w:color w:val="auto"/>
        </w:rPr>
        <w:t>”), made by (the “</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WHEREAS, pursuant to the terms of the certain Third Amended and Restated Three Year Revolving Credit Agreement, dated as of April 18, 2018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GM Global Treasury Centre Limited, a corporation organized under the laws of England and Wales (“</w:t>
      </w:r>
      <w:r>
        <w:rPr>
          <w:rFonts w:ascii="Arial" w:cs="Arial" w:eastAsia="Arial" w:hAnsi="Arial"/>
          <w:sz w:val="17"/>
          <w:szCs w:val="17"/>
          <w:u w:val="single" w:color="auto"/>
          <w:color w:val="auto"/>
        </w:rPr>
        <w:t>GMGTC</w:t>
      </w:r>
      <w:r>
        <w:rPr>
          <w:rFonts w:ascii="Arial" w:cs="Arial" w:eastAsia="Arial" w:hAnsi="Arial"/>
          <w:sz w:val="17"/>
          <w:szCs w:val="17"/>
          <w:color w:val="auto"/>
        </w:rPr>
        <w:t>”), General Motors do Brasil Ltda., a Brazilian limited liability company (“</w:t>
      </w:r>
      <w:r>
        <w:rPr>
          <w:rFonts w:ascii="Arial" w:cs="Arial" w:eastAsia="Arial" w:hAnsi="Arial"/>
          <w:sz w:val="17"/>
          <w:szCs w:val="17"/>
          <w:u w:val="single" w:color="auto"/>
          <w:color w:val="auto"/>
        </w:rPr>
        <w:t>GMB</w:t>
      </w:r>
      <w:r>
        <w:rPr>
          <w:rFonts w:ascii="Arial" w:cs="Arial" w:eastAsia="Arial" w:hAnsi="Arial"/>
          <w:sz w:val="17"/>
          <w:szCs w:val="17"/>
          <w:color w:val="auto"/>
        </w:rPr>
        <w:t>”), the other Subsidiary Borrowers from time to time parties thereto, the Lenders, the Administrative Agent, Banco do Brasil S.A., as Brazilian Administrative Agent, Citibank, N.A., as syndication agent, Bank of America, N.A., as co-syndication agent, and the other agents named therein, the Company [has] [and certain of its Subsidiaries (collectively, the “</w:t>
      </w:r>
      <w:r>
        <w:rPr>
          <w:rFonts w:ascii="Arial" w:cs="Arial" w:eastAsia="Arial" w:hAnsi="Arial"/>
          <w:sz w:val="17"/>
          <w:szCs w:val="17"/>
          <w:u w:val="single" w:color="auto"/>
          <w:color w:val="auto"/>
        </w:rPr>
        <w:t>Subsidiary Guarantors</w:t>
      </w:r>
      <w:r>
        <w:rPr>
          <w:rFonts w:ascii="Arial" w:cs="Arial" w:eastAsia="Arial" w:hAnsi="Arial"/>
          <w:sz w:val="17"/>
          <w:szCs w:val="17"/>
          <w:color w:val="auto"/>
        </w:rPr>
        <w:t>”; and, together with the Company and the other Persons party to the Guarantee Agreement (as defined below) as guarantors,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have] entered into the Third Amended and Restated Guarantee Agreement, dated as of April 18, 2018 (as amended, restated, amended and restated, renewed, supplemented or otherwise modified from time to time, the “</w:t>
      </w:r>
      <w:r>
        <w:rPr>
          <w:rFonts w:ascii="Arial" w:cs="Arial" w:eastAsia="Arial" w:hAnsi="Arial"/>
          <w:sz w:val="17"/>
          <w:szCs w:val="17"/>
          <w:u w:val="single" w:color="auto"/>
          <w:color w:val="auto"/>
        </w:rPr>
        <w:t>Guarantee Agreement</w:t>
      </w:r>
      <w:r>
        <w:rPr>
          <w:rFonts w:ascii="Arial" w:cs="Arial" w:eastAsia="Arial" w:hAnsi="Arial"/>
          <w:sz w:val="17"/>
          <w:szCs w:val="17"/>
          <w:color w:val="auto"/>
        </w:rPr>
        <w:t>”); and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WHEREAS, the Additional Guarantor desires to become a party to the Guarantee Agreement in accordance with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of the Guarantee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right="220" w:firstLine="921"/>
        <w:spacing w:after="0" w:line="259" w:lineRule="auto"/>
        <w:tabs>
          <w:tab w:leader="none" w:pos="1093"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By executing and delivering this Joinder Agreement, the Additional Guarantor, as provided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82" w:lineRule="exact"/>
        <w:rPr>
          <w:rFonts w:ascii="Arial" w:cs="Arial" w:eastAsia="Arial" w:hAnsi="Arial"/>
          <w:sz w:val="18"/>
          <w:szCs w:val="18"/>
          <w:color w:val="auto"/>
        </w:rPr>
      </w:pPr>
    </w:p>
    <w:p>
      <w:pPr>
        <w:ind w:left="1100" w:hanging="179"/>
        <w:spacing w:after="0"/>
        <w:tabs>
          <w:tab w:leader="none" w:pos="1100"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r>
        <w:rPr>
          <w:rFonts w:ascii="Arial" w:cs="Arial" w:eastAsia="Arial" w:hAnsi="Arial"/>
          <w:sz w:val="18"/>
          <w:szCs w:val="18"/>
          <w:b w:val="1"/>
          <w:bCs w:val="1"/>
          <w:color w:val="auto"/>
        </w:rPr>
        <w:t xml:space="preserve"> THIS JOINDER AGREEMENT AND THE RIGHTS AND OBLIGATIONS OF THE PARTIES HEREUNDER</w:t>
      </w:r>
    </w:p>
    <w:p>
      <w:pPr>
        <w:spacing w:after="0" w:line="27" w:lineRule="exact"/>
        <w:rPr>
          <w:rFonts w:ascii="Arial" w:cs="Arial" w:eastAsia="Arial" w:hAnsi="Arial"/>
          <w:sz w:val="18"/>
          <w:szCs w:val="18"/>
          <w:color w:val="auto"/>
        </w:rPr>
      </w:pPr>
    </w:p>
    <w:p>
      <w:pPr>
        <w:ind w:right="54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SHALL BE GOVERNED BY, AND CONSTRUED AND INTERPRETED IN ACCORDANCE WITH, THE LAW OF THE STATE OF NEW YORK</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191" w:name="page192"/>
    <w:bookmarkEnd w:id="19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[ADDITIONAL GUARANTOR]</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00"/>
          </w:cols>
          <w:pgMar w:left="240" w:top="274" w:right="7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JPMORGAN CHASE BANK, N.A., </w:t>
      </w:r>
      <w:r>
        <w:rPr>
          <w:rFonts w:ascii="Arial" w:cs="Arial" w:eastAsia="Arial" w:hAnsi="Arial"/>
          <w:sz w:val="17"/>
          <w:szCs w:val="17"/>
          <w:i w:val="1"/>
          <w:iCs w:val="1"/>
          <w:color w:val="auto"/>
        </w:rPr>
        <w:t>as the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252158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193" w:name="page194"/>
    <w:bookmarkEnd w:id="193"/>
    <w:p>
      <w:pPr>
        <w:ind w:left="10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COMPETITIVE BID REQUEST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-10160</wp:posOffset>
            </wp:positionV>
            <wp:extent cx="9715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undersigned, [INSERT NAME OF 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[and General Motors Company, a Delaware corporation (“</w:t>
      </w:r>
      <w:r>
        <w:rPr>
          <w:rFonts w:ascii="Arial" w:cs="Arial" w:eastAsia="Arial" w:hAnsi="Arial"/>
          <w:sz w:val="16"/>
          <w:szCs w:val="16"/>
          <w:u w:val="single" w:color="auto"/>
          <w:color w:val="auto"/>
        </w:rPr>
        <w:t>Company/Applicable Borrower”)]</w:t>
      </w:r>
      <w:r>
        <w:rPr>
          <w:rFonts w:ascii="Arial" w:cs="Arial" w:eastAsia="Arial" w:hAnsi="Arial"/>
          <w:sz w:val="13"/>
          <w:szCs w:val="13"/>
          <w:color w:val="auto"/>
        </w:rPr>
        <w:t>1</w:t>
      </w:r>
      <w:r>
        <w:rPr>
          <w:rFonts w:ascii="Arial" w:cs="Arial" w:eastAsia="Arial" w:hAnsi="Arial"/>
          <w:sz w:val="16"/>
          <w:szCs w:val="16"/>
          <w:color w:val="auto"/>
        </w:rPr>
        <w:t>, refer[s] to the Third Amended and Restated Three Year Revolving Credit Agreement, dated as of April 18, 2018,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Company/the Applicable Borrower]</w:t>
      </w:r>
      <w:r>
        <w:rPr>
          <w:rFonts w:ascii="Arial" w:cs="Arial" w:eastAsia="Arial" w:hAnsi="Arial"/>
          <w:sz w:val="13"/>
          <w:szCs w:val="13"/>
          <w:color w:val="auto"/>
        </w:rPr>
        <w:t>2</w:t>
      </w:r>
      <w:r>
        <w:rPr>
          <w:rFonts w:ascii="Arial" w:cs="Arial" w:eastAsia="Arial" w:hAnsi="Arial"/>
          <w:sz w:val="16"/>
          <w:szCs w:val="16"/>
          <w:color w:val="auto"/>
        </w:rPr>
        <w:t>,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 2.9(a) of the Credit Agreement that it requests a Competitive Loan under the Credit Agreement, and in that connection sets forth below the terms on which such Competitive Loan is requested to be made:</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   Currency of Competitive Loan</w:t>
            </w:r>
          </w:p>
        </w:tc>
        <w:tc>
          <w:tcPr>
            <w:tcW w:w="3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r>
    </w:tbl>
    <w:p>
      <w:pPr>
        <w:spacing w:after="0" w:line="134" w:lineRule="exact"/>
        <w:rPr>
          <w:sz w:val="20"/>
          <w:szCs w:val="20"/>
          <w:color w:val="auto"/>
        </w:rPr>
      </w:pPr>
    </w:p>
    <w:p>
      <w:pPr>
        <w:ind w:left="1000" w:hanging="533"/>
        <w:spacing w:after="0"/>
        <w:tabs>
          <w:tab w:leader="none" w:pos="10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Date of Competitive Loan (which is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-1905</wp:posOffset>
            </wp:positionV>
            <wp:extent cx="21951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95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5"/>
          <w:szCs w:val="15"/>
          <w:color w:val="auto"/>
        </w:rPr>
      </w:pPr>
      <w:r>
        <w:rPr>
          <w:rFonts w:ascii="Arial" w:cs="Arial" w:eastAsia="Arial" w:hAnsi="Arial"/>
          <w:sz w:val="18"/>
          <w:szCs w:val="18"/>
          <w:color w:val="auto"/>
        </w:rPr>
        <w:t>If Bid Requested from the Company, it is the “Applicable Borrower”.</w:t>
      </w:r>
    </w:p>
    <w:p>
      <w:pPr>
        <w:spacing w:after="0" w:line="9"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5"/>
          <w:szCs w:val="15"/>
          <w:color w:val="auto"/>
        </w:rPr>
      </w:pPr>
      <w:r>
        <w:rPr>
          <w:rFonts w:ascii="Arial" w:cs="Arial" w:eastAsia="Arial" w:hAnsi="Arial"/>
          <w:sz w:val="18"/>
          <w:szCs w:val="18"/>
          <w:color w:val="auto"/>
        </w:rPr>
        <w:t>In the case of Multicurrency Competitive Loan only.</w:t>
      </w:r>
    </w:p>
    <w:p>
      <w:pPr>
        <w:sectPr>
          <w:pgSz w:w="11900" w:h="16838" w:orient="portrait"/>
          <w:cols w:equalWidth="0" w:num="1">
            <w:col w:w="11420"/>
          </w:cols>
          <w:pgMar w:left="240" w:top="270" w:right="239" w:bottom="1440" w:gutter="0" w:footer="0" w:header="0"/>
        </w:sectPr>
      </w:pPr>
    </w:p>
    <w:bookmarkStart w:id="194" w:name="page195"/>
    <w:bookmarkEnd w:id="194"/>
    <w:p>
      <w:pPr>
        <w:ind w:left="1000" w:hanging="533"/>
        <w:spacing w:after="0"/>
        <w:tabs>
          <w:tab w:leader="none" w:pos="10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Amount of Competitive Loan</w:t>
      </w:r>
      <w:r>
        <w:rPr>
          <w:rFonts w:ascii="Arial" w:cs="Arial" w:eastAsia="Arial" w:hAnsi="Arial"/>
          <w:sz w:val="15"/>
          <w:szCs w:val="15"/>
          <w:color w:val="auto"/>
        </w:rPr>
        <w:t>4</w:t>
      </w:r>
    </w:p>
    <w:p>
      <w:pPr>
        <w:spacing w:after="0" w:line="144" w:lineRule="exact"/>
        <w:rPr>
          <w:rFonts w:ascii="Arial" w:cs="Arial" w:eastAsia="Arial" w:hAnsi="Arial"/>
          <w:sz w:val="18"/>
          <w:szCs w:val="18"/>
          <w:color w:val="auto"/>
        </w:rPr>
      </w:pPr>
    </w:p>
    <w:p>
      <w:pPr>
        <w:ind w:left="1000" w:hanging="533"/>
        <w:spacing w:after="0"/>
        <w:tabs>
          <w:tab w:leader="none" w:pos="10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Interest rate basis</w:t>
      </w:r>
      <w:r>
        <w:rPr>
          <w:rFonts w:ascii="Arial" w:cs="Arial" w:eastAsia="Arial" w:hAnsi="Arial"/>
          <w:sz w:val="15"/>
          <w:szCs w:val="15"/>
          <w:color w:val="auto"/>
        </w:rPr>
        <w:t>5</w:t>
      </w:r>
    </w:p>
    <w:p>
      <w:pPr>
        <w:spacing w:after="0" w:line="144" w:lineRule="exact"/>
        <w:rPr>
          <w:rFonts w:ascii="Arial" w:cs="Arial" w:eastAsia="Arial" w:hAnsi="Arial"/>
          <w:sz w:val="18"/>
          <w:szCs w:val="18"/>
          <w:color w:val="auto"/>
        </w:rPr>
      </w:pPr>
    </w:p>
    <w:p>
      <w:pPr>
        <w:ind w:left="1000" w:hanging="533"/>
        <w:spacing w:after="0"/>
        <w:tabs>
          <w:tab w:leader="none" w:pos="10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6</w:t>
      </w:r>
    </w:p>
    <w:p>
      <w:pPr>
        <w:spacing w:after="0" w:line="144" w:lineRule="exact"/>
        <w:rPr>
          <w:rFonts w:ascii="Arial" w:cs="Arial" w:eastAsia="Arial" w:hAnsi="Arial"/>
          <w:sz w:val="18"/>
          <w:szCs w:val="18"/>
          <w:color w:val="auto"/>
        </w:rPr>
      </w:pPr>
    </w:p>
    <w:p>
      <w:pPr>
        <w:ind w:left="1000" w:hanging="533"/>
        <w:spacing w:after="0"/>
        <w:tabs>
          <w:tab w:leader="none" w:pos="10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-670560</wp:posOffset>
            </wp:positionV>
            <wp:extent cx="21951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95195"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-447675</wp:posOffset>
            </wp:positionV>
            <wp:extent cx="219519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95195"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-224790</wp:posOffset>
            </wp:positionV>
            <wp:extent cx="21951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95195"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-1905</wp:posOffset>
            </wp:positionV>
            <wp:extent cx="21951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5"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APPLICABLE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-19050</wp:posOffset>
            </wp:positionV>
            <wp:extent cx="26587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289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5"/>
          <w:szCs w:val="15"/>
          <w:color w:val="auto"/>
        </w:rPr>
      </w:pPr>
      <w:r>
        <w:rPr>
          <w:rFonts w:ascii="Arial" w:cs="Arial" w:eastAsia="Arial" w:hAnsi="Arial"/>
          <w:sz w:val="18"/>
          <w:szCs w:val="18"/>
          <w:color w:val="auto"/>
        </w:rPr>
        <w:t>Not less than $25,000,000 or Dollar Equivalent thereof.</w:t>
      </w:r>
    </w:p>
    <w:p>
      <w:pPr>
        <w:spacing w:after="0" w:line="22"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5"/>
          <w:szCs w:val="15"/>
          <w:color w:val="auto"/>
        </w:rPr>
      </w:pPr>
      <w:r>
        <w:rPr>
          <w:rFonts w:ascii="Arial" w:cs="Arial" w:eastAsia="Arial" w:hAnsi="Arial"/>
          <w:sz w:val="18"/>
          <w:szCs w:val="18"/>
          <w:color w:val="auto"/>
        </w:rPr>
        <w:t>Eurocurrency Competitive Loan or Fixed Rate Loan.</w:t>
      </w:r>
    </w:p>
    <w:p>
      <w:pPr>
        <w:spacing w:after="0" w:line="9"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4"/>
          <w:szCs w:val="14"/>
          <w:color w:val="auto"/>
        </w:rPr>
      </w:pPr>
      <w:r>
        <w:rPr>
          <w:rFonts w:ascii="Arial" w:cs="Arial" w:eastAsia="Arial" w:hAnsi="Arial"/>
          <w:sz w:val="16"/>
          <w:szCs w:val="16"/>
          <w:color w:val="auto"/>
        </w:rPr>
        <w:t>Which shall be subject to the definition of “Interest Period” and end on or before the Termination Date applicable to such Facility for such Lender.</w:t>
      </w:r>
    </w:p>
    <w:p>
      <w:pPr>
        <w:sectPr>
          <w:pgSz w:w="11900" w:h="16838" w:orient="portrait"/>
          <w:cols w:equalWidth="0" w:num="1">
            <w:col w:w="11020"/>
          </w:cols>
          <w:pgMar w:left="240" w:top="301" w:right="639" w:bottom="1440" w:gutter="0" w:footer="0" w:header="0"/>
        </w:sectPr>
      </w:pPr>
    </w:p>
    <w:bookmarkStart w:id="195" w:name="page196"/>
    <w:bookmarkEnd w:id="195"/>
    <w:p>
      <w:pPr>
        <w:ind w:left="10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7"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COMPETITIVE BID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-10160</wp:posOffset>
            </wp:positionV>
            <wp:extent cx="97155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The undersigned, [Name of Lender], refers to the Third Amended and Restated Three Year Revolving Credit Agreement, dated as of April 18, 2018,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Citibank, N.A., as syndication agent, Bank of America, N.A., as co-syndication agent, and the other agents party thereto. Capitalized terms used herein and not otherwise defined herein shall have the meanings assigned to such terms in the Credit Agreement. The undersigned hereby makes a Competitive Bid pursuant to Section 2.9(c) of the Credit Agreement, in response to the</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Competitive Bid Request made by [INSERT NAME OF APPLICABLE BORROWER]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on , 20 , and in that connection sets forth below the terms on which such Competitive Bid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5528310</wp:posOffset>
            </wp:positionH>
            <wp:positionV relativeFrom="paragraph">
              <wp:posOffset>-173990</wp:posOffset>
            </wp:positionV>
            <wp:extent cx="9715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6720" w:type="dxa"/>
            <w:vAlign w:val="bottom"/>
          </w:tcPr>
          <w:p>
            <w:pPr>
              <w:ind w:left="100"/>
              <w:spacing w:after="0"/>
              <w:rPr>
                <w:sz w:val="20"/>
                <w:szCs w:val="20"/>
                <w:color w:val="auto"/>
              </w:rPr>
            </w:pPr>
            <w:r>
              <w:rPr>
                <w:rFonts w:ascii="Arial" w:cs="Arial" w:eastAsia="Arial" w:hAnsi="Arial"/>
                <w:sz w:val="18"/>
                <w:szCs w:val="18"/>
                <w:color w:val="auto"/>
              </w:rPr>
              <w:t>Currency of Competitive Loan</w:t>
            </w:r>
          </w:p>
        </w:tc>
        <w:tc>
          <w:tcPr>
            <w:tcW w:w="3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r>
      <w:tr>
        <w:trPr>
          <w:trHeight w:val="331"/>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6720" w:type="dxa"/>
            <w:vAlign w:val="bottom"/>
          </w:tcPr>
          <w:p>
            <w:pPr>
              <w:ind w:left="100"/>
              <w:spacing w:after="0"/>
              <w:rPr>
                <w:sz w:val="20"/>
                <w:szCs w:val="20"/>
                <w:color w:val="auto"/>
              </w:rPr>
            </w:pPr>
            <w:r>
              <w:rPr>
                <w:rFonts w:ascii="Arial" w:cs="Arial" w:eastAsia="Arial" w:hAnsi="Arial"/>
                <w:sz w:val="18"/>
                <w:szCs w:val="18"/>
                <w:color w:val="auto"/>
              </w:rPr>
              <w:t>Date of Competitive Loan</w:t>
            </w:r>
          </w:p>
        </w:tc>
        <w:tc>
          <w:tcPr>
            <w:tcW w:w="3340" w:type="dxa"/>
            <w:vAlign w:val="bottom"/>
            <w:tcBorders>
              <w:bottom w:val="single" w:sz="8" w:color="auto"/>
            </w:tcBorders>
          </w:tcPr>
          <w:p>
            <w:pPr>
              <w:spacing w:after="0"/>
              <w:rPr>
                <w:sz w:val="24"/>
                <w:szCs w:val="24"/>
                <w:color w:val="auto"/>
              </w:rPr>
            </w:pPr>
          </w:p>
        </w:tc>
      </w:tr>
      <w:tr>
        <w:trPr>
          <w:trHeight w:val="331"/>
        </w:trPr>
        <w:tc>
          <w:tcPr>
            <w:tcW w:w="440" w:type="dxa"/>
            <w:vAlign w:val="bottom"/>
          </w:tcPr>
          <w:p>
            <w:pPr>
              <w:spacing w:after="0"/>
              <w:rPr>
                <w:sz w:val="20"/>
                <w:szCs w:val="20"/>
                <w:color w:val="auto"/>
              </w:rPr>
            </w:pPr>
            <w:r>
              <w:rPr>
                <w:rFonts w:ascii="Arial" w:cs="Arial" w:eastAsia="Arial" w:hAnsi="Arial"/>
                <w:sz w:val="18"/>
                <w:szCs w:val="18"/>
                <w:color w:val="auto"/>
              </w:rPr>
              <w:t>(C)</w:t>
            </w:r>
          </w:p>
        </w:tc>
        <w:tc>
          <w:tcPr>
            <w:tcW w:w="6720" w:type="dxa"/>
            <w:vAlign w:val="bottom"/>
          </w:tcPr>
          <w:p>
            <w:pPr>
              <w:ind w:left="100"/>
              <w:spacing w:after="0"/>
              <w:rPr>
                <w:sz w:val="20"/>
                <w:szCs w:val="20"/>
                <w:color w:val="auto"/>
              </w:rPr>
            </w:pPr>
            <w:r>
              <w:rPr>
                <w:rFonts w:ascii="Arial" w:cs="Arial" w:eastAsia="Arial" w:hAnsi="Arial"/>
                <w:sz w:val="18"/>
                <w:szCs w:val="18"/>
                <w:color w:val="auto"/>
              </w:rPr>
              <w:t>Principal Amount</w:t>
            </w:r>
            <w:r>
              <w:rPr>
                <w:rFonts w:ascii="Arial" w:cs="Arial" w:eastAsia="Arial" w:hAnsi="Arial"/>
                <w:sz w:val="15"/>
                <w:szCs w:val="15"/>
                <w:color w:val="auto"/>
              </w:rPr>
              <w:t>2</w:t>
            </w:r>
          </w:p>
        </w:tc>
        <w:tc>
          <w:tcPr>
            <w:tcW w:w="33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5"/>
          <w:szCs w:val="15"/>
          <w:color w:val="auto"/>
        </w:rPr>
      </w:pPr>
      <w:r>
        <w:rPr>
          <w:rFonts w:ascii="Arial" w:cs="Arial" w:eastAsia="Arial" w:hAnsi="Arial"/>
          <w:sz w:val="18"/>
          <w:szCs w:val="18"/>
          <w:color w:val="auto"/>
        </w:rPr>
        <w:t>In the case of Multicurrency Competitive Loan only.</w:t>
      </w:r>
    </w:p>
    <w:p>
      <w:pPr>
        <w:spacing w:after="0" w:line="22" w:lineRule="exact"/>
        <w:rPr>
          <w:sz w:val="20"/>
          <w:szCs w:val="20"/>
          <w:color w:val="auto"/>
        </w:rPr>
      </w:pPr>
    </w:p>
    <w:p>
      <w:pPr>
        <w:ind w:left="460" w:right="620" w:hanging="452"/>
        <w:spacing w:after="0" w:line="262" w:lineRule="auto"/>
        <w:tabs>
          <w:tab w:leader="none" w:pos="460" w:val="left"/>
        </w:tabs>
        <w:numPr>
          <w:ilvl w:val="0"/>
          <w:numId w:val="190"/>
        </w:numPr>
        <w:rPr>
          <w:rFonts w:ascii="Arial" w:cs="Arial" w:eastAsia="Arial" w:hAnsi="Arial"/>
          <w:sz w:val="15"/>
          <w:szCs w:val="15"/>
          <w:color w:val="auto"/>
        </w:rPr>
      </w:pPr>
      <w:r>
        <w:rPr>
          <w:rFonts w:ascii="Arial" w:cs="Arial" w:eastAsia="Arial" w:hAnsi="Arial"/>
          <w:sz w:val="18"/>
          <w:szCs w:val="18"/>
          <w:color w:val="auto"/>
        </w:rPr>
        <w:t>Not less than $5,000,000 or the Dollar Equivalent thereof (or greater than the requested Competitive Bid). Multiple bids will be accepted by the Administrative Agent (including up to 5 bids from any single Lender).</w:t>
      </w:r>
    </w:p>
    <w:p>
      <w:pPr>
        <w:sectPr>
          <w:pgSz w:w="11900" w:h="16838" w:orient="portrait"/>
          <w:cols w:equalWidth="0" w:num="1">
            <w:col w:w="11420"/>
          </w:cols>
          <w:pgMar w:left="240" w:top="270" w:right="239" w:bottom="1440" w:gutter="0" w:footer="0" w:header="0"/>
        </w:sectPr>
      </w:pPr>
    </w:p>
    <w:bookmarkStart w:id="196" w:name="page197"/>
    <w:bookmarkEnd w:id="196"/>
    <w:p>
      <w:pPr>
        <w:ind w:left="1000" w:hanging="533"/>
        <w:spacing w:after="0"/>
        <w:tabs>
          <w:tab w:leader="none" w:pos="10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Competitive Bid Rate</w:t>
      </w:r>
      <w:r>
        <w:rPr>
          <w:rFonts w:ascii="Arial" w:cs="Arial" w:eastAsia="Arial" w:hAnsi="Arial"/>
          <w:sz w:val="15"/>
          <w:szCs w:val="15"/>
          <w:color w:val="auto"/>
        </w:rPr>
        <w:t>3</w:t>
      </w:r>
    </w:p>
    <w:p>
      <w:pPr>
        <w:spacing w:after="0" w:line="144" w:lineRule="exact"/>
        <w:rPr>
          <w:rFonts w:ascii="Arial" w:cs="Arial" w:eastAsia="Arial" w:hAnsi="Arial"/>
          <w:sz w:val="18"/>
          <w:szCs w:val="18"/>
          <w:color w:val="auto"/>
        </w:rPr>
      </w:pPr>
    </w:p>
    <w:p>
      <w:pPr>
        <w:ind w:left="1000" w:hanging="533"/>
        <w:spacing w:after="0"/>
        <w:tabs>
          <w:tab w:leader="none" w:pos="10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Interest Period and last day thereof</w:t>
      </w:r>
    </w:p>
    <w:p>
      <w:pPr>
        <w:spacing w:after="0" w:line="144" w:lineRule="exact"/>
        <w:rPr>
          <w:rFonts w:ascii="Arial" w:cs="Arial" w:eastAsia="Arial" w:hAnsi="Arial"/>
          <w:sz w:val="18"/>
          <w:szCs w:val="18"/>
          <w:color w:val="auto"/>
        </w:rPr>
      </w:pPr>
    </w:p>
    <w:p>
      <w:pPr>
        <w:ind w:left="1000" w:hanging="533"/>
        <w:spacing w:after="0"/>
        <w:tabs>
          <w:tab w:leader="none" w:pos="10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-447675</wp:posOffset>
            </wp:positionV>
            <wp:extent cx="212661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26615"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-224790</wp:posOffset>
            </wp:positionV>
            <wp:extent cx="212661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26615"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-1905</wp:posOffset>
            </wp:positionV>
            <wp:extent cx="212661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undersigned hereby confirms that it is prepared, subject to the conditions set forth in the Credit Agreement, to extend credit to the Applicable Borrower upon acceptance by the Applicable Borrower of this bid in accordance with Section 2.9(c) of the Credit Agreement.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89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right="360" w:hanging="452"/>
        <w:spacing w:after="0" w:line="277" w:lineRule="auto"/>
        <w:tabs>
          <w:tab w:leader="none" w:pos="460" w:val="left"/>
        </w:tabs>
        <w:numPr>
          <w:ilvl w:val="0"/>
          <w:numId w:val="192"/>
        </w:numPr>
        <w:rPr>
          <w:rFonts w:ascii="Arial" w:cs="Arial" w:eastAsia="Arial" w:hAnsi="Arial"/>
          <w:sz w:val="15"/>
          <w:szCs w:val="15"/>
          <w:color w:val="auto"/>
        </w:rPr>
      </w:pPr>
      <w:r>
        <w:rPr>
          <w:rFonts w:ascii="Arial" w:cs="Arial" w:eastAsia="Arial" w:hAnsi="Arial"/>
          <w:sz w:val="18"/>
          <w:szCs w:val="18"/>
          <w:i w:val="1"/>
          <w:iCs w:val="1"/>
          <w:color w:val="auto"/>
        </w:rPr>
        <w:t>i.e</w:t>
      </w:r>
      <w:r>
        <w:rPr>
          <w:rFonts w:ascii="Arial" w:cs="Arial" w:eastAsia="Arial" w:hAnsi="Arial"/>
          <w:sz w:val="18"/>
          <w:szCs w:val="18"/>
          <w:color w:val="auto"/>
        </w:rPr>
        <w:t>., Eurocurrency Rate + or - __%, in the case of Eurocurrency Competitive Loans or __%, in the case of Fixed Rate Loans, in each expressed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per annum in the form of a decimal to no more than four decimal places.</w:t>
      </w:r>
    </w:p>
    <w:p>
      <w:pPr>
        <w:sectPr>
          <w:pgSz w:w="11900" w:h="16838" w:orient="portrait"/>
          <w:cols w:equalWidth="0" w:num="1">
            <w:col w:w="11400"/>
          </w:cols>
          <w:pgMar w:left="240" w:top="409" w:right="259" w:bottom="1440" w:gutter="0" w:footer="0" w:header="0"/>
        </w:sectPr>
      </w:pPr>
    </w:p>
    <w:bookmarkStart w:id="197" w:name="page198"/>
    <w:bookmarkEnd w:id="197"/>
    <w:p>
      <w:pPr>
        <w:ind w:left="10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7"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FORM OF COMPETITIVE BID ACCEPT/REJECT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103"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-10160</wp:posOffset>
            </wp:positionV>
            <wp:extent cx="9715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(the “Company/Applicable Borrower”)]</w:t>
      </w:r>
      <w:r>
        <w:rPr>
          <w:rFonts w:ascii="Arial" w:cs="Arial" w:eastAsia="Arial" w:hAnsi="Arial"/>
          <w:sz w:val="14"/>
          <w:szCs w:val="14"/>
          <w:color w:val="auto"/>
        </w:rPr>
        <w:t>1</w:t>
      </w:r>
      <w:r>
        <w:rPr>
          <w:rFonts w:ascii="Arial" w:cs="Arial" w:eastAsia="Arial" w:hAnsi="Arial"/>
          <w:sz w:val="17"/>
          <w:szCs w:val="17"/>
          <w:color w:val="auto"/>
        </w:rPr>
        <w:t>, refer[s] to the Third Amended and Restated Three Year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[Company/Applicable Borrower]</w:t>
      </w:r>
      <w:r>
        <w:rPr>
          <w:rFonts w:ascii="Arial" w:cs="Arial" w:eastAsia="Arial" w:hAnsi="Arial"/>
          <w:sz w:val="14"/>
          <w:szCs w:val="14"/>
          <w:color w:val="auto"/>
        </w:rPr>
        <w:t>2</w:t>
      </w:r>
      <w:r>
        <w:rPr>
          <w:rFonts w:ascii="Arial" w:cs="Arial" w:eastAsia="Arial" w:hAnsi="Arial"/>
          <w:sz w:val="17"/>
          <w:szCs w:val="17"/>
          <w:color w:val="auto"/>
        </w:rPr>
        <w:t>,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Citibank, N.A., as syndication agent, Bank of America, N.A., as co-syndication agent, and the other agents named therein. Unless otherwise defined herein, terms defined in the Credit Agreement and used herein shall have the meanings given to them therein.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0960" w:type="dxa"/>
            <w:vAlign w:val="bottom"/>
            <w:gridSpan w:val="4"/>
          </w:tcPr>
          <w:p>
            <w:pPr>
              <w:ind w:left="480"/>
              <w:spacing w:after="0"/>
              <w:rPr>
                <w:sz w:val="20"/>
                <w:szCs w:val="20"/>
                <w:color w:val="auto"/>
              </w:rPr>
            </w:pPr>
            <w:r>
              <w:rPr>
                <w:rFonts w:ascii="Arial" w:cs="Arial" w:eastAsia="Arial" w:hAnsi="Arial"/>
                <w:sz w:val="18"/>
                <w:szCs w:val="18"/>
                <w:color w:val="auto"/>
                <w:w w:val="91"/>
              </w:rPr>
              <w:t>In accordance with Section 2.9(d) of the Credit Agreement, we have received a summary of bids in connection with our Competitive Bid Request</w:t>
            </w:r>
          </w:p>
        </w:tc>
      </w:tr>
      <w:tr>
        <w:trPr>
          <w:trHeight w:val="190"/>
        </w:trPr>
        <w:tc>
          <w:tcPr>
            <w:tcW w:w="440" w:type="dxa"/>
            <w:vAlign w:val="bottom"/>
          </w:tcPr>
          <w:p>
            <w:pPr>
              <w:spacing w:after="0" w:line="190" w:lineRule="exact"/>
              <w:rPr>
                <w:sz w:val="20"/>
                <w:szCs w:val="20"/>
                <w:color w:val="auto"/>
              </w:rPr>
            </w:pPr>
            <w:r>
              <w:rPr>
                <w:rFonts w:ascii="Arial" w:cs="Arial" w:eastAsia="Arial" w:hAnsi="Arial"/>
                <w:sz w:val="18"/>
                <w:szCs w:val="18"/>
                <w:color w:val="auto"/>
                <w:w w:val="93"/>
              </w:rPr>
              <w:t>dated</w:t>
            </w:r>
          </w:p>
        </w:tc>
        <w:tc>
          <w:tcPr>
            <w:tcW w:w="900" w:type="dxa"/>
            <w:vAlign w:val="bottom"/>
            <w:tcBorders>
              <w:bottom w:val="single" w:sz="8" w:color="auto"/>
            </w:tcBorders>
          </w:tcPr>
          <w:p>
            <w:pPr>
              <w:spacing w:after="0"/>
              <w:rPr>
                <w:sz w:val="16"/>
                <w:szCs w:val="16"/>
                <w:color w:val="auto"/>
              </w:rPr>
            </w:pP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auto"/>
                <w:w w:val="86"/>
              </w:rPr>
              <w:t>, 20</w:t>
            </w:r>
          </w:p>
        </w:tc>
        <w:tc>
          <w:tcPr>
            <w:tcW w:w="360" w:type="dxa"/>
            <w:vAlign w:val="bottom"/>
            <w:tcBorders>
              <w:bottom w:val="single" w:sz="8" w:color="auto"/>
            </w:tcBorders>
          </w:tcPr>
          <w:p>
            <w:pPr>
              <w:spacing w:after="0"/>
              <w:rPr>
                <w:sz w:val="16"/>
                <w:szCs w:val="16"/>
                <w:color w:val="auto"/>
              </w:rPr>
            </w:pPr>
          </w:p>
        </w:tc>
        <w:tc>
          <w:tcPr>
            <w:tcW w:w="9420" w:type="dxa"/>
            <w:vAlign w:val="bottom"/>
          </w:tcPr>
          <w:p>
            <w:pPr>
              <w:ind w:left="40"/>
              <w:spacing w:after="0" w:line="190" w:lineRule="exact"/>
              <w:rPr>
                <w:sz w:val="20"/>
                <w:szCs w:val="20"/>
                <w:color w:val="auto"/>
              </w:rPr>
            </w:pPr>
            <w:r>
              <w:rPr>
                <w:rFonts w:ascii="Arial" w:cs="Arial" w:eastAsia="Arial" w:hAnsi="Arial"/>
                <w:sz w:val="18"/>
                <w:szCs w:val="18"/>
                <w:color w:val="auto"/>
              </w:rPr>
              <w:t>and in accordance with Section 2.9(e) of the Credit Agreement, we hereby accept the following bids: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5"/>
          <w:szCs w:val="15"/>
          <w:color w:val="auto"/>
        </w:rPr>
      </w:pPr>
      <w:r>
        <w:rPr>
          <w:rFonts w:ascii="Arial" w:cs="Arial" w:eastAsia="Arial" w:hAnsi="Arial"/>
          <w:sz w:val="18"/>
          <w:szCs w:val="18"/>
          <w:color w:val="auto"/>
        </w:rPr>
        <w:t>If Bid Requested by the Company, it is the “Applicable Borrower”.</w:t>
      </w:r>
    </w:p>
    <w:p>
      <w:pPr>
        <w:sectPr>
          <w:pgSz w:w="11900" w:h="16838" w:orient="portrait"/>
          <w:cols w:equalWidth="0" w:num="1">
            <w:col w:w="11420"/>
          </w:cols>
          <w:pgMar w:left="240" w:top="270" w:right="2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hereby reject the following bids: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11"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8"/>
          <w:szCs w:val="18"/>
          <w:color w:val="auto"/>
        </w:rPr>
        <w:t>The [$]</w:t>
      </w:r>
      <w:r>
        <w:rPr>
          <w:sz w:val="20"/>
          <w:szCs w:val="20"/>
          <w:color w:val="auto"/>
        </w:rPr>
        <w:tab/>
      </w:r>
      <w:r>
        <w:rPr>
          <w:rFonts w:ascii="Arial" w:cs="Arial" w:eastAsia="Arial" w:hAnsi="Arial"/>
          <w:sz w:val="16"/>
          <w:szCs w:val="16"/>
          <w:color w:val="auto"/>
        </w:rPr>
        <w:t>should be made available to the Applicable Borrower in immediately available funds by crediting the following account:</w:t>
      </w:r>
    </w:p>
    <w:p>
      <w:pPr>
        <w:spacing w:after="0" w:line="25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[Bank Name]</w:t>
      </w:r>
    </w:p>
    <w:p>
      <w:pPr>
        <w:spacing w:after="0" w:line="3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-1905</wp:posOffset>
            </wp:positionV>
            <wp:extent cx="22040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-1905</wp:posOffset>
            </wp:positionV>
            <wp:extent cx="220408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-1905</wp:posOffset>
            </wp:positionV>
            <wp:extent cx="220408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[INSERT NAME OF APPLICABLE BORROWER]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640"/>
          </w:cols>
          <w:pgMar w:left="240" w:top="274" w:right="1019" w:bottom="1440" w:gutter="0" w:footer="0" w:header="0"/>
        </w:sectPr>
      </w:pPr>
    </w:p>
    <w:bookmarkStart w:id="199" w:name="page200"/>
    <w:bookmarkEnd w:id="199"/>
    <w:p>
      <w:pPr>
        <w:ind w:left="10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7"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FORM OF INCREMENTAL LOAN ACTIVATION NOTICE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Chase Bank, N.A., as Administrative Agent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Credit Agreement referred to below</w:t>
      </w:r>
    </w:p>
    <w:p>
      <w:pPr>
        <w:spacing w:after="0" w:line="21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Reference is made to the Third Amended and Restated Three Year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9"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This notice is an Incremental Loan Activation Notice referred to in the Credit Agreement, and the Company and each of the lenders party hereto (each, an “</w:t>
      </w:r>
      <w:r>
        <w:rPr>
          <w:rFonts w:ascii="Arial" w:cs="Arial" w:eastAsia="Arial" w:hAnsi="Arial"/>
          <w:sz w:val="18"/>
          <w:szCs w:val="18"/>
          <w:u w:val="single" w:color="auto"/>
          <w:color w:val="auto"/>
        </w:rPr>
        <w:t>Incremental Lender</w:t>
      </w:r>
      <w:r>
        <w:rPr>
          <w:rFonts w:ascii="Arial" w:cs="Arial" w:eastAsia="Arial" w:hAnsi="Arial"/>
          <w:sz w:val="18"/>
          <w:szCs w:val="18"/>
          <w:color w:val="auto"/>
        </w:rPr>
        <w:t>”) hereby notify you that:</w:t>
      </w:r>
    </w:p>
    <w:p>
      <w:pPr>
        <w:spacing w:after="0" w:line="170" w:lineRule="exact"/>
        <w:rPr>
          <w:sz w:val="20"/>
          <w:szCs w:val="20"/>
          <w:color w:val="auto"/>
        </w:rPr>
      </w:pPr>
    </w:p>
    <w:p>
      <w:pPr>
        <w:jc w:val="both"/>
        <w:ind w:right="20" w:firstLine="921"/>
        <w:spacing w:after="0" w:line="264" w:lineRule="auto"/>
        <w:tabs>
          <w:tab w:leader="none" w:pos="109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Incremental Lender party hereto agrees to commit to an Incremental Facility or increase the amount of its existing [Brazilian] [Domestic] [L/C Tranche] [Multicurrency] Commitment in the amount set forth opposite such Incremental Lender’s name on the signature pages hereof under the caption “Incremental Commitment”.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6480" w:type="dxa"/>
            <w:vAlign w:val="bottom"/>
            <w:gridSpan w:val="8"/>
          </w:tcPr>
          <w:p>
            <w:pPr>
              <w:ind w:left="20"/>
              <w:spacing w:after="0"/>
              <w:rPr>
                <w:sz w:val="20"/>
                <w:szCs w:val="20"/>
                <w:color w:val="auto"/>
              </w:rPr>
            </w:pPr>
            <w:r>
              <w:rPr>
                <w:rFonts w:ascii="Arial" w:cs="Arial" w:eastAsia="Arial" w:hAnsi="Arial"/>
                <w:sz w:val="18"/>
                <w:szCs w:val="18"/>
                <w:color w:val="auto"/>
              </w:rPr>
              <w:t>The [Incremental Facility Closing Date][Commitment Increase Date] is</w:t>
            </w:r>
          </w:p>
        </w:tc>
        <w:tc>
          <w:tcPr>
            <w:tcW w:w="160" w:type="dxa"/>
            <w:vAlign w:val="bottom"/>
          </w:tcPr>
          <w:p>
            <w:pPr>
              <w:jc w:val="right"/>
              <w:ind w:right="43"/>
              <w:spacing w:after="0"/>
              <w:rPr>
                <w:sz w:val="20"/>
                <w:szCs w:val="20"/>
                <w:color w:val="auto"/>
              </w:rPr>
            </w:pPr>
            <w:r>
              <w:rPr>
                <w:rFonts w:ascii="Arial" w:cs="Arial" w:eastAsia="Arial" w:hAnsi="Arial"/>
                <w:sz w:val="10"/>
                <w:szCs w:val="10"/>
                <w:color w:val="auto"/>
                <w:w w:val="70"/>
              </w:rPr>
              <w:t>.</w:t>
            </w:r>
          </w:p>
        </w:tc>
        <w:tc>
          <w:tcPr>
            <w:tcW w:w="16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12"/>
        </w:trPr>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940" w:type="dxa"/>
            <w:vAlign w:val="bottom"/>
            <w:gridSpan w:val="2"/>
          </w:tcPr>
          <w:p>
            <w:pPr>
              <w:ind w:left="20"/>
              <w:spacing w:after="0"/>
              <w:rPr>
                <w:sz w:val="20"/>
                <w:szCs w:val="20"/>
                <w:color w:val="auto"/>
              </w:rPr>
            </w:pPr>
            <w:r>
              <w:rPr>
                <w:rFonts w:ascii="Arial" w:cs="Arial" w:eastAsia="Arial" w:hAnsi="Arial"/>
                <w:sz w:val="18"/>
                <w:szCs w:val="18"/>
                <w:color w:val="auto"/>
                <w:w w:val="93"/>
              </w:rPr>
              <w:t>[The Incremental Loan Maturity Date is</w:t>
            </w:r>
          </w:p>
        </w:tc>
        <w:tc>
          <w:tcPr>
            <w:tcW w:w="1260" w:type="dxa"/>
            <w:vAlign w:val="bottom"/>
            <w:tcBorders>
              <w:bottom w:val="single" w:sz="8" w:color="auto"/>
            </w:tcBorders>
            <w:gridSpan w:val="2"/>
          </w:tcPr>
          <w:p>
            <w:pPr>
              <w:spacing w:after="0"/>
              <w:rPr>
                <w:sz w:val="24"/>
                <w:szCs w:val="24"/>
                <w:color w:val="auto"/>
              </w:rPr>
            </w:pPr>
          </w:p>
        </w:tc>
        <w:tc>
          <w:tcPr>
            <w:tcW w:w="1020" w:type="dxa"/>
            <w:vAlign w:val="bottom"/>
          </w:tcPr>
          <w:p>
            <w:pPr>
              <w:jc w:val="right"/>
              <w:ind w:right="870"/>
              <w:spacing w:after="0"/>
              <w:rPr>
                <w:sz w:val="20"/>
                <w:szCs w:val="20"/>
                <w:color w:val="auto"/>
              </w:rPr>
            </w:pPr>
            <w:r>
              <w:rPr>
                <w:rFonts w:ascii="Arial" w:cs="Arial" w:eastAsia="Arial" w:hAnsi="Arial"/>
                <w:sz w:val="18"/>
                <w:szCs w:val="18"/>
                <w:color w:val="auto"/>
                <w:w w:val="78"/>
              </w:rPr>
              <w:t>.</w:t>
            </w: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12"/>
        </w:trPr>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6480" w:type="dxa"/>
            <w:vAlign w:val="bottom"/>
            <w:gridSpan w:val="8"/>
          </w:tcPr>
          <w:p>
            <w:pPr>
              <w:ind w:left="20"/>
              <w:spacing w:after="0"/>
              <w:rPr>
                <w:sz w:val="20"/>
                <w:szCs w:val="20"/>
                <w:color w:val="auto"/>
              </w:rPr>
            </w:pPr>
            <w:r>
              <w:rPr>
                <w:rFonts w:ascii="Arial" w:cs="Arial" w:eastAsia="Arial" w:hAnsi="Arial"/>
                <w:sz w:val="18"/>
                <w:szCs w:val="18"/>
                <w:color w:val="auto"/>
              </w:rPr>
              <w:t>[The [Currency] [Currencies] available under the Incremental Facility [is][are]</w:t>
            </w:r>
          </w:p>
        </w:tc>
        <w:tc>
          <w:tcPr>
            <w:tcW w:w="3380" w:type="dxa"/>
            <w:vAlign w:val="bottom"/>
            <w:gridSpan w:val="3"/>
          </w:tcPr>
          <w:p>
            <w:pPr>
              <w:jc w:val="right"/>
              <w:ind w:right="3020"/>
              <w:spacing w:after="0"/>
              <w:rPr>
                <w:sz w:val="20"/>
                <w:szCs w:val="20"/>
                <w:color w:val="auto"/>
              </w:rPr>
            </w:pPr>
            <w:r>
              <w:rPr>
                <w:rFonts w:ascii="Arial" w:cs="Arial" w:eastAsia="Arial" w:hAnsi="Arial"/>
                <w:sz w:val="18"/>
                <w:szCs w:val="18"/>
                <w:color w:val="auto"/>
              </w:rPr>
              <w:t>.</w:t>
            </w:r>
          </w:p>
        </w:tc>
      </w:tr>
      <w:tr>
        <w:trPr>
          <w:trHeight w:val="412"/>
        </w:trPr>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4140" w:type="dxa"/>
            <w:vAlign w:val="bottom"/>
            <w:gridSpan w:val="3"/>
          </w:tcPr>
          <w:p>
            <w:pPr>
              <w:ind w:left="20"/>
              <w:spacing w:after="0"/>
              <w:rPr>
                <w:sz w:val="20"/>
                <w:szCs w:val="20"/>
                <w:color w:val="auto"/>
              </w:rPr>
            </w:pPr>
            <w:r>
              <w:rPr>
                <w:rFonts w:ascii="Arial" w:cs="Arial" w:eastAsia="Arial" w:hAnsi="Arial"/>
                <w:sz w:val="18"/>
                <w:szCs w:val="18"/>
                <w:color w:val="auto"/>
                <w:w w:val="93"/>
              </w:rPr>
              <w:t>[The borrower[s] under the Incremental Facility [is][are]</w:t>
            </w: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spacing w:after="0"/>
              <w:rPr>
                <w:sz w:val="24"/>
                <w:szCs w:val="24"/>
                <w:color w:val="auto"/>
              </w:rPr>
            </w:pPr>
          </w:p>
        </w:tc>
        <w:tc>
          <w:tcPr>
            <w:tcW w:w="320" w:type="dxa"/>
            <w:vAlign w:val="bottom"/>
          </w:tcPr>
          <w:p>
            <w:pPr>
              <w:jc w:val="right"/>
              <w:ind w:right="230"/>
              <w:spacing w:after="0"/>
              <w:rPr>
                <w:sz w:val="20"/>
                <w:szCs w:val="20"/>
                <w:color w:val="auto"/>
              </w:rPr>
            </w:pPr>
            <w:r>
              <w:rPr>
                <w:rFonts w:ascii="Arial" w:cs="Arial" w:eastAsia="Arial" w:hAnsi="Arial"/>
                <w:sz w:val="10"/>
                <w:szCs w:val="10"/>
                <w:color w:val="auto"/>
                <w:w w:val="70"/>
              </w:rPr>
              <w:t>.</w:t>
            </w: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060" w:type="dxa"/>
            <w:vAlign w:val="bottom"/>
          </w:tcPr>
          <w:p>
            <w:pPr>
              <w:spacing w:after="0"/>
              <w:rPr>
                <w:sz w:val="24"/>
                <w:szCs w:val="24"/>
                <w:color w:val="auto"/>
              </w:rPr>
            </w:pPr>
          </w:p>
        </w:tc>
      </w:tr>
      <w:tr>
        <w:trPr>
          <w:trHeight w:val="438"/>
        </w:trPr>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9860" w:type="dxa"/>
            <w:vAlign w:val="bottom"/>
            <w:gridSpan w:val="11"/>
          </w:tcPr>
          <w:p>
            <w:pPr>
              <w:ind w:left="20"/>
              <w:spacing w:after="0"/>
              <w:rPr>
                <w:sz w:val="20"/>
                <w:szCs w:val="20"/>
                <w:color w:val="auto"/>
              </w:rPr>
            </w:pPr>
            <w:r>
              <w:rPr>
                <w:rFonts w:ascii="Arial" w:cs="Arial" w:eastAsia="Arial" w:hAnsi="Arial"/>
                <w:sz w:val="18"/>
                <w:szCs w:val="18"/>
                <w:color w:val="auto"/>
                <w:w w:val="90"/>
              </w:rPr>
              <w:t>[The Applicable Margin and other fees applicable to the Incremental Loans and other extensions of credit to be made available under the</w:t>
            </w:r>
          </w:p>
        </w:tc>
      </w:tr>
      <w:tr>
        <w:trPr>
          <w:trHeight w:val="190"/>
        </w:trPr>
        <w:tc>
          <w:tcPr>
            <w:tcW w:w="1820" w:type="dxa"/>
            <w:vAlign w:val="bottom"/>
            <w:gridSpan w:val="2"/>
          </w:tcPr>
          <w:p>
            <w:pPr>
              <w:spacing w:after="0" w:line="190" w:lineRule="exact"/>
              <w:rPr>
                <w:sz w:val="20"/>
                <w:szCs w:val="20"/>
                <w:color w:val="auto"/>
              </w:rPr>
            </w:pPr>
            <w:r>
              <w:rPr>
                <w:rFonts w:ascii="Arial" w:cs="Arial" w:eastAsia="Arial" w:hAnsi="Arial"/>
                <w:sz w:val="18"/>
                <w:szCs w:val="18"/>
                <w:color w:val="auto"/>
                <w:w w:val="94"/>
              </w:rPr>
              <w:t>Incremental Facility are:</w:t>
            </w:r>
          </w:p>
        </w:tc>
        <w:tc>
          <w:tcPr>
            <w:tcW w:w="3460" w:type="dxa"/>
            <w:vAlign w:val="bottom"/>
            <w:gridSpan w:val="3"/>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jc w:val="right"/>
              <w:ind w:right="60"/>
              <w:spacing w:after="0" w:line="190" w:lineRule="exact"/>
              <w:rPr>
                <w:sz w:val="20"/>
                <w:szCs w:val="20"/>
                <w:color w:val="auto"/>
              </w:rPr>
            </w:pPr>
            <w:r>
              <w:rPr>
                <w:rFonts w:ascii="Arial" w:cs="Arial" w:eastAsia="Arial" w:hAnsi="Arial"/>
                <w:sz w:val="18"/>
                <w:szCs w:val="18"/>
                <w:color w:val="auto"/>
              </w:rPr>
              <w:t>.]</w:t>
            </w:r>
          </w:p>
        </w:tc>
        <w:tc>
          <w:tcPr>
            <w:tcW w:w="306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200" w:name="page201"/>
    <w:bookmarkEnd w:id="200"/>
    <w:p>
      <w:pPr>
        <w:ind w:left="-8" w:firstLine="921"/>
        <w:spacing w:after="0" w:line="277" w:lineRule="auto"/>
        <w:tabs>
          <w:tab w:leader="none" w:pos="1085"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[Insert other additional terms applicable to the Incremental Facility, including the borrowing procedures related thereto (in each case, as agreed between the Company and the Incremental Lenders providing such Incremental Loans).]</w:t>
      </w:r>
    </w:p>
    <w:p>
      <w:pPr>
        <w:spacing w:after="0" w:line="170" w:lineRule="exact"/>
        <w:rPr>
          <w:rFonts w:ascii="Arial" w:cs="Arial" w:eastAsia="Arial" w:hAnsi="Arial"/>
          <w:sz w:val="18"/>
          <w:szCs w:val="18"/>
          <w:color w:val="auto"/>
        </w:rPr>
      </w:pPr>
    </w:p>
    <w:p>
      <w:pPr>
        <w:ind w:left="-8" w:right="140" w:firstLine="921"/>
        <w:spacing w:after="0" w:line="264" w:lineRule="auto"/>
        <w:tabs>
          <w:tab w:leader="none" w:pos="108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agreement of each Incremental Lender party hereto to make the Incremental Loans to be made by it is subject to the satisfaction, prior to or concurrently with the making of such extension of credit on the [Incremental Facility Closing Date][Commitment Increase Date], of the following conditions precedent:</w:t>
      </w:r>
    </w:p>
    <w:p>
      <w:pPr>
        <w:spacing w:after="0" w:line="73" w:lineRule="exact"/>
        <w:rPr>
          <w:rFonts w:ascii="Arial" w:cs="Arial" w:eastAsia="Arial" w:hAnsi="Arial"/>
          <w:sz w:val="18"/>
          <w:szCs w:val="18"/>
          <w:color w:val="auto"/>
        </w:rPr>
      </w:pPr>
    </w:p>
    <w:p>
      <w:pPr>
        <w:ind w:left="1492" w:right="40" w:firstLine="389"/>
        <w:spacing w:after="0" w:line="277" w:lineRule="auto"/>
        <w:tabs>
          <w:tab w:leader="none" w:pos="213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Administrative Agent shall have received this notice, executed and delivered by the Company and each Incremental Lender party hereto.</w:t>
      </w:r>
    </w:p>
    <w:p>
      <w:pPr>
        <w:spacing w:after="0" w:line="62" w:lineRule="exact"/>
        <w:rPr>
          <w:rFonts w:ascii="Arial" w:cs="Arial" w:eastAsia="Arial" w:hAnsi="Arial"/>
          <w:sz w:val="18"/>
          <w:szCs w:val="18"/>
          <w:color w:val="auto"/>
        </w:rPr>
      </w:pPr>
    </w:p>
    <w:p>
      <w:pPr>
        <w:ind w:left="1492" w:right="120" w:firstLine="389"/>
        <w:spacing w:after="0" w:line="255" w:lineRule="auto"/>
        <w:tabs>
          <w:tab w:leader="none" w:pos="214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After giving effect to the [Commitment Increase][Incremental Facility] (including the incurrence of any Incremental Loans on the applicable Commitment Increase Date or Incremental Facility Closing Date and use of proceeds thereof), [(i) no Default or Event of Default shall be continuing]</w:t>
      </w:r>
      <w:r>
        <w:rPr>
          <w:rFonts w:ascii="Arial" w:cs="Arial" w:eastAsia="Arial" w:hAnsi="Arial"/>
          <w:sz w:val="15"/>
          <w:szCs w:val="15"/>
          <w:color w:val="auto"/>
        </w:rPr>
        <w:t>1</w:t>
      </w:r>
      <w:r>
        <w:rPr>
          <w:rFonts w:ascii="Arial" w:cs="Arial" w:eastAsia="Arial" w:hAnsi="Arial"/>
          <w:sz w:val="18"/>
          <w:szCs w:val="18"/>
          <w:color w:val="auto"/>
        </w:rPr>
        <w:t xml:space="preserve"> and (ii) the sum of the Total Commitments in effect (including, for the avoidance of doubt, Incremental Commitments), the 5-Year Total Commitments (including, for the avoidance of doubt, any commitments under incremental facilities under the 5-Year Revolving Credit Agreement in effect) and the aggregate amount of all Ancillary Commitments in effect shall not exceed $18 billion.</w:t>
      </w:r>
    </w:p>
    <w:p>
      <w:pPr>
        <w:spacing w:after="0" w:line="193" w:lineRule="exact"/>
        <w:rPr>
          <w:rFonts w:ascii="Arial" w:cs="Arial" w:eastAsia="Arial" w:hAnsi="Arial"/>
          <w:sz w:val="18"/>
          <w:szCs w:val="18"/>
          <w:color w:val="auto"/>
        </w:rPr>
      </w:pPr>
    </w:p>
    <w:p>
      <w:pPr>
        <w:ind w:left="-8" w:right="260" w:firstLine="921"/>
        <w:spacing w:after="0" w:line="277" w:lineRule="auto"/>
        <w:tabs>
          <w:tab w:leader="none" w:pos="108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Upon execution and delivery hereof, each Incremental Lender shall have the rights and obligations of a Lender under the Credit Agreement and the other Loan Documents, and shall be bound by the provisions thereof.</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7289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52" w:hanging="452"/>
        <w:spacing w:after="0"/>
        <w:tabs>
          <w:tab w:leader="none" w:pos="452" w:val="left"/>
        </w:tabs>
        <w:numPr>
          <w:ilvl w:val="0"/>
          <w:numId w:val="197"/>
        </w:numPr>
        <w:rPr>
          <w:rFonts w:ascii="Arial" w:cs="Arial" w:eastAsia="Arial" w:hAnsi="Arial"/>
          <w:sz w:val="15"/>
          <w:szCs w:val="15"/>
          <w:color w:val="auto"/>
        </w:rPr>
      </w:pPr>
      <w:r>
        <w:rPr>
          <w:rFonts w:ascii="Arial" w:cs="Arial" w:eastAsia="Arial" w:hAnsi="Arial"/>
          <w:sz w:val="18"/>
          <w:szCs w:val="18"/>
          <w:color w:val="auto"/>
        </w:rPr>
        <w:t>To be deleted if agreed by the Lenders providing such Incremental Facility.</w:t>
      </w:r>
    </w:p>
    <w:p>
      <w:pPr>
        <w:sectPr>
          <w:pgSz w:w="11900" w:h="16838" w:orient="portrait"/>
          <w:cols w:equalWidth="0" w:num="1">
            <w:col w:w="11392"/>
          </w:cols>
          <w:pgMar w:left="248" w:top="274" w:right="259" w:bottom="1440" w:gutter="0" w:footer="0" w:header="0"/>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Incremental Loan Commitment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RECEIVED BY: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Arial" w:cs="Arial" w:eastAsia="Arial" w:hAnsi="Arial"/>
          <w:sz w:val="17"/>
          <w:szCs w:val="17"/>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-208915</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846455</wp:posOffset>
            </wp:positionH>
            <wp:positionV relativeFrom="paragraph">
              <wp:posOffset>14605</wp:posOffset>
            </wp:positionV>
            <wp:extent cx="26587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[NAME OF EACH INCREMENTAL LENDER]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-1905</wp:posOffset>
            </wp:positionV>
            <wp:extent cx="32588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2">
            <w:col w:w="5180" w:space="720"/>
            <w:col w:w="4319"/>
          </w:cols>
          <w:pgMar w:left="240" w:top="274" w:right="1440" w:bottom="1440" w:gutter="0" w:footer="0" w:header="0"/>
        </w:sectPr>
      </w:pPr>
    </w:p>
    <w:bookmarkStart w:id="202" w:name="page203"/>
    <w:bookmarkEnd w:id="202"/>
    <w:p>
      <w:pPr>
        <w:ind w:left="10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27"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CLOSING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LOAN PARTY]</w:t>
      </w:r>
    </w:p>
    <w:p>
      <w:pPr>
        <w:spacing w:after="0" w:line="211"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-10160</wp:posOffset>
            </wp:positionV>
            <wp:extent cx="97155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Certificate is furnished pursuant to (i) Section 5.1(c) of that certain Third Amended and Restated Three Year Revolving Credit Agreement, dated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April 18, 2018 (as amended, restated, amended and restated, renewed, supplemented or modified from time to time, the “</w:t>
      </w:r>
      <w:r>
        <w:rPr>
          <w:rFonts w:ascii="Arial" w:cs="Arial" w:eastAsia="Arial" w:hAnsi="Arial"/>
          <w:sz w:val="16"/>
          <w:szCs w:val="16"/>
          <w:u w:val="single" w:color="auto"/>
          <w:color w:val="auto"/>
        </w:rPr>
        <w:t>3-Year Credit Agreement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u w:val="single" w:color="auto"/>
          <w:color w:val="auto"/>
        </w:rPr>
        <w:t>GMF</w:t>
      </w:r>
      <w:r>
        <w:rPr>
          <w:rFonts w:ascii="Arial" w:cs="Arial" w:eastAsia="Arial" w:hAnsi="Arial"/>
          <w:sz w:val="16"/>
          <w:szCs w:val="16"/>
          <w:color w:val="auto"/>
        </w:rPr>
        <w:t>”), GM Global Treasury Centre Limited, a corporation organized under the laws of England and Wales (“</w:t>
      </w:r>
      <w:r>
        <w:rPr>
          <w:rFonts w:ascii="Arial" w:cs="Arial" w:eastAsia="Arial" w:hAnsi="Arial"/>
          <w:sz w:val="16"/>
          <w:szCs w:val="16"/>
          <w:u w:val="single" w:color="auto"/>
          <w:color w:val="auto"/>
        </w:rPr>
        <w:t>GMGTC</w:t>
      </w:r>
      <w:r>
        <w:rPr>
          <w:rFonts w:ascii="Arial" w:cs="Arial" w:eastAsia="Arial" w:hAnsi="Arial"/>
          <w:sz w:val="16"/>
          <w:szCs w:val="16"/>
          <w:color w:val="auto"/>
        </w:rPr>
        <w:t>”), General Motors do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Brasil Ltda., a Brazilian limited liability company (“</w:t>
      </w:r>
      <w:r>
        <w:rPr>
          <w:rFonts w:ascii="Arial" w:cs="Arial" w:eastAsia="Arial" w:hAnsi="Arial"/>
          <w:sz w:val="17"/>
          <w:szCs w:val="17"/>
          <w:u w:val="single" w:color="auto"/>
          <w:color w:val="auto"/>
        </w:rPr>
        <w:t>GM Brazil</w:t>
      </w:r>
      <w:r>
        <w:rPr>
          <w:rFonts w:ascii="Arial" w:cs="Arial" w:eastAsia="Arial" w:hAnsi="Arial"/>
          <w:sz w:val="17"/>
          <w:szCs w:val="17"/>
          <w:color w:val="auto"/>
        </w:rPr>
        <w:t>”), the Subsidiary Borrowers from time to time party thereto, the lenders from time to time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party thereto, as lenders (the “</w:t>
      </w:r>
      <w:r>
        <w:rPr>
          <w:rFonts w:ascii="Arial" w:cs="Arial" w:eastAsia="Arial" w:hAnsi="Arial"/>
          <w:sz w:val="17"/>
          <w:szCs w:val="17"/>
          <w:u w:val="single" w:color="auto"/>
          <w:color w:val="auto"/>
        </w:rPr>
        <w:t>3-Year Lenders</w:t>
      </w:r>
      <w:r>
        <w:rPr>
          <w:rFonts w:ascii="Arial" w:cs="Arial" w:eastAsia="Arial" w:hAnsi="Arial"/>
          <w:sz w:val="17"/>
          <w:szCs w:val="17"/>
          <w:color w:val="auto"/>
        </w:rPr>
        <w:t>”), JPMorgan Chase Bank, N.A. (“</w:t>
      </w:r>
      <w:r>
        <w:rPr>
          <w:rFonts w:ascii="Arial" w:cs="Arial" w:eastAsia="Arial" w:hAnsi="Arial"/>
          <w:sz w:val="17"/>
          <w:szCs w:val="17"/>
          <w:u w:val="single" w:color="auto"/>
          <w:color w:val="auto"/>
        </w:rPr>
        <w:t>JPM</w:t>
      </w:r>
      <w:r>
        <w:rPr>
          <w:rFonts w:ascii="Arial" w:cs="Arial" w:eastAsia="Arial" w:hAnsi="Arial"/>
          <w:sz w:val="17"/>
          <w:szCs w:val="17"/>
          <w:color w:val="auto"/>
        </w:rPr>
        <w:t>”), as administrative agent for the 3-Year Lenders (in such capacity,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together 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Citibank,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 as syndication agent (in such capacity, the “</w:t>
      </w:r>
      <w:r>
        <w:rPr>
          <w:rFonts w:ascii="Arial" w:cs="Arial" w:eastAsia="Arial" w:hAnsi="Arial"/>
          <w:sz w:val="18"/>
          <w:szCs w:val="18"/>
          <w:u w:val="single" w:color="auto"/>
          <w:color w:val="auto"/>
        </w:rPr>
        <w:t>Syndication Agent</w:t>
      </w:r>
      <w:r>
        <w:rPr>
          <w:rFonts w:ascii="Arial" w:cs="Arial" w:eastAsia="Arial" w:hAnsi="Arial"/>
          <w:sz w:val="18"/>
          <w:szCs w:val="18"/>
          <w:color w:val="auto"/>
        </w:rPr>
        <w:t>”), Bank of America, N.A., as co-syndication agent (in such capacity,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Co-Syndication Agent</w:t>
      </w:r>
      <w:r>
        <w:rPr>
          <w:rFonts w:ascii="Arial" w:cs="Arial" w:eastAsia="Arial" w:hAnsi="Arial"/>
          <w:sz w:val="17"/>
          <w:szCs w:val="17"/>
          <w:color w:val="auto"/>
        </w:rPr>
        <w:t>”), and the other agents party thereto, (ii) Section 5.1(c) of that certain Third Amended and Restated Five Year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as of April 18, 2018, as amended, restated, amended and restated, renewed, supplemented or modified from time to time (the “</w:t>
      </w:r>
      <w:r>
        <w:rPr>
          <w:rFonts w:ascii="Arial" w:cs="Arial" w:eastAsia="Arial" w:hAnsi="Arial"/>
          <w:sz w:val="16"/>
          <w:szCs w:val="16"/>
          <w:u w:val="single" w:color="auto"/>
          <w:color w:val="auto"/>
        </w:rPr>
        <w:t>5-Year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 GMF, GMGTC, GM Brazil, the Subsidiary Borrowers from time to time party thereto, the lenders from time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time party thereto, as lenders (the “</w:t>
      </w:r>
      <w:r>
        <w:rPr>
          <w:rFonts w:ascii="Arial" w:cs="Arial" w:eastAsia="Arial" w:hAnsi="Arial"/>
          <w:sz w:val="16"/>
          <w:szCs w:val="16"/>
          <w:u w:val="single" w:color="auto"/>
          <w:color w:val="auto"/>
        </w:rPr>
        <w:t>5-Year Lenders</w:t>
      </w:r>
      <w:r>
        <w:rPr>
          <w:rFonts w:ascii="Arial" w:cs="Arial" w:eastAsia="Arial" w:hAnsi="Arial"/>
          <w:sz w:val="16"/>
          <w:szCs w:val="16"/>
          <w:color w:val="auto"/>
        </w:rPr>
        <w:t>”), JPM, as administrative agent for the 5-Year Lenders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Banco do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Brasil S.A., as Brazilian administrative agent, the Syndication Agent, the Co-Syndication Agent, and the other agents party thereto and (iii) Section 5.1(c)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-4445</wp:posOffset>
            </wp:positionV>
            <wp:extent cx="285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that certain 364-Day Revolving Credit Agreement, dated as of April 18, 2018, as amended, restated, amended and restated, renewed, supplemented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modified from time to time (the “</w:t>
      </w:r>
      <w:r>
        <w:rPr>
          <w:rFonts w:ascii="Arial" w:cs="Arial" w:eastAsia="Arial" w:hAnsi="Arial"/>
          <w:sz w:val="16"/>
          <w:szCs w:val="16"/>
          <w:u w:val="single" w:color="auto"/>
          <w:color w:val="auto"/>
        </w:rPr>
        <w:t>364-Day Credit Agreement</w:t>
      </w:r>
      <w:r>
        <w:rPr>
          <w:rFonts w:ascii="Arial" w:cs="Arial" w:eastAsia="Arial" w:hAnsi="Arial"/>
          <w:sz w:val="16"/>
          <w:szCs w:val="16"/>
          <w:color w:val="auto"/>
        </w:rPr>
        <w:t>” and together with the 3-Year Credit Agreement and the 5-Year Credit Agreement, the “</w:t>
      </w:r>
      <w:r>
        <w:rPr>
          <w:rFonts w:ascii="Arial" w:cs="Arial" w:eastAsia="Arial" w:hAnsi="Arial"/>
          <w:sz w:val="16"/>
          <w:szCs w:val="16"/>
          <w:u w:val="single" w:color="auto"/>
          <w:color w:val="auto"/>
        </w:rPr>
        <w:t>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Agreements</w:t>
      </w:r>
      <w:r>
        <w:rPr>
          <w:rFonts w:ascii="Arial" w:cs="Arial" w:eastAsia="Arial" w:hAnsi="Arial"/>
          <w:sz w:val="16"/>
          <w:szCs w:val="16"/>
          <w:color w:val="auto"/>
        </w:rPr>
        <w:t>” and each a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GMF, GMGTC, the Subsidiary Borrowers from time to time party thereto, the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party thereto, as lenders (the “</w:t>
      </w:r>
      <w:r>
        <w:rPr>
          <w:rFonts w:ascii="Arial" w:cs="Arial" w:eastAsia="Arial" w:hAnsi="Arial"/>
          <w:sz w:val="16"/>
          <w:szCs w:val="16"/>
          <w:u w:val="single" w:color="auto"/>
          <w:color w:val="auto"/>
        </w:rPr>
        <w:t>364-Day Lenders</w:t>
      </w:r>
      <w:r>
        <w:rPr>
          <w:rFonts w:ascii="Arial" w:cs="Arial" w:eastAsia="Arial" w:hAnsi="Arial"/>
          <w:sz w:val="16"/>
          <w:szCs w:val="16"/>
          <w:color w:val="auto"/>
        </w:rPr>
        <w:t>” and together with the 3-Year Lenders and the 5-Year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 as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for the 364-Day Lenders (the “</w:t>
      </w:r>
      <w:r>
        <w:rPr>
          <w:rFonts w:ascii="Arial" w:cs="Arial" w:eastAsia="Arial" w:hAnsi="Arial"/>
          <w:sz w:val="17"/>
          <w:szCs w:val="17"/>
          <w:u w:val="single" w:color="auto"/>
          <w:color w:val="auto"/>
        </w:rPr>
        <w:t>364-Day Administrative Agent</w:t>
      </w:r>
      <w:r>
        <w:rPr>
          <w:rFonts w:ascii="Arial" w:cs="Arial" w:eastAsia="Arial" w:hAnsi="Arial"/>
          <w:sz w:val="17"/>
          <w:szCs w:val="17"/>
          <w:color w:val="auto"/>
        </w:rPr>
        <w:t>” and together with the 3-Year Administrative Agent and the 5-Year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the Syndication Agent, the Co-Syndication Agent, and the other agents party thereto. Unless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herein, capitalized terms used in this Certificate have the meanings assigned to such terms in each Credit Agreement.</w:t>
      </w:r>
    </w:p>
    <w:p>
      <w:pPr>
        <w:sectPr>
          <w:pgSz w:w="11900" w:h="16838" w:orient="portrait"/>
          <w:cols w:equalWidth="0" w:num="1">
            <w:col w:w="11420"/>
          </w:cols>
          <w:pgMar w:left="240" w:top="270" w:right="239" w:bottom="1440" w:gutter="0" w:footer="0" w:header="0"/>
        </w:sectPr>
      </w:pPr>
    </w:p>
    <w:bookmarkStart w:id="203" w:name="page204"/>
    <w:bookmarkEnd w:id="203"/>
    <w:p>
      <w:pPr>
        <w:ind w:right="92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the undersigned, [Assistant] Secretary of [the Company] [Name of Loan Party], a Delaware [corporation][limited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do hereby certify, in the name and on behalf of the Company, and without assuming any personal liability, that:</w:t>
      </w:r>
    </w:p>
    <w:p>
      <w:pPr>
        <w:spacing w:after="0" w:line="147" w:lineRule="exact"/>
        <w:rPr>
          <w:sz w:val="20"/>
          <w:szCs w:val="20"/>
          <w:color w:val="auto"/>
        </w:rPr>
      </w:pPr>
    </w:p>
    <w:p>
      <w:pPr>
        <w:jc w:val="both"/>
        <w:ind w:firstLine="464"/>
        <w:spacing w:after="0" w:line="259" w:lineRule="auto"/>
        <w:tabs>
          <w:tab w:leader="none" w:pos="76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186" w:lineRule="exact"/>
        <w:rPr>
          <w:rFonts w:ascii="Arial" w:cs="Arial" w:eastAsia="Arial" w:hAnsi="Arial"/>
          <w:sz w:val="18"/>
          <w:szCs w:val="18"/>
          <w:color w:val="auto"/>
        </w:rPr>
      </w:pPr>
    </w:p>
    <w:p>
      <w:pPr>
        <w:ind w:right="160" w:firstLine="464"/>
        <w:spacing w:after="0" w:line="277" w:lineRule="auto"/>
        <w:tabs>
          <w:tab w:leader="none" w:pos="76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Attached hereto as Annex II is a true, correct and complete copy of the [by-laws][Limited Liability Company Agreement][Operating Agreement] of the Company as in effect on the date hereof.</w:t>
      </w:r>
    </w:p>
    <w:p>
      <w:pPr>
        <w:spacing w:after="0" w:line="170" w:lineRule="exact"/>
        <w:rPr>
          <w:rFonts w:ascii="Arial" w:cs="Arial" w:eastAsia="Arial" w:hAnsi="Arial"/>
          <w:sz w:val="18"/>
          <w:szCs w:val="18"/>
          <w:color w:val="auto"/>
        </w:rPr>
      </w:pPr>
    </w:p>
    <w:p>
      <w:pPr>
        <w:ind w:firstLine="464"/>
        <w:spacing w:after="0" w:line="255" w:lineRule="auto"/>
        <w:tabs>
          <w:tab w:leader="none" w:pos="76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Attached hereto as Annex III is a true, correct and complete copy of resolutions duly adopted by the Board of [Directors] [Managers] of the Company [at a meeting thereof] [by written consent] as of the ___ day of ____________, 2018;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193" w:lineRule="exact"/>
        <w:rPr>
          <w:rFonts w:ascii="Arial" w:cs="Arial" w:eastAsia="Arial" w:hAnsi="Arial"/>
          <w:sz w:val="18"/>
          <w:szCs w:val="18"/>
          <w:color w:val="auto"/>
        </w:rPr>
      </w:pPr>
    </w:p>
    <w:p>
      <w:pPr>
        <w:ind w:right="420" w:firstLine="464"/>
        <w:spacing w:after="0" w:line="277" w:lineRule="auto"/>
        <w:tabs>
          <w:tab w:leader="none" w:pos="76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1400"/>
          </w:cols>
          <w:pgMar w:left="240" w:top="274" w:right="259" w:bottom="1440" w:gutter="0" w:footer="0" w:header="0"/>
        </w:sectPr>
      </w:pPr>
    </w:p>
    <w:bookmarkStart w:id="204" w:name="page205"/>
    <w:bookmarkEnd w:id="2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Witness my hand as of the first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Secretary</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 Company, and without assuming any personal liability, that: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800" w:type="dxa"/>
            <w:vAlign w:val="bottom"/>
            <w:tcBorders>
              <w:bottom w:val="single" w:sz="8" w:color="auto"/>
            </w:tcBorders>
          </w:tcPr>
          <w:p>
            <w:pPr>
              <w:spacing w:after="0"/>
              <w:rPr>
                <w:sz w:val="17"/>
                <w:szCs w:val="17"/>
                <w:color w:val="auto"/>
              </w:rPr>
            </w:pPr>
          </w:p>
        </w:tc>
        <w:tc>
          <w:tcPr>
            <w:tcW w:w="8720" w:type="dxa"/>
            <w:vAlign w:val="bottom"/>
          </w:tcPr>
          <w:p>
            <w:pPr>
              <w:ind w:left="40"/>
              <w:spacing w:after="0"/>
              <w:rPr>
                <w:sz w:val="20"/>
                <w:szCs w:val="20"/>
                <w:color w:val="auto"/>
              </w:rPr>
            </w:pPr>
            <w:r>
              <w:rPr>
                <w:rFonts w:ascii="Arial" w:cs="Arial" w:eastAsia="Arial" w:hAnsi="Arial"/>
                <w:sz w:val="18"/>
                <w:szCs w:val="18"/>
                <w:color w:val="auto"/>
                <w:w w:val="91"/>
              </w:rPr>
              <w:t>is [a] [the] duly elected and qualified [Assistant] Secretary of the Company and the signature above is [his][her] genuine</w:t>
            </w:r>
          </w:p>
        </w:tc>
      </w:tr>
      <w:tr>
        <w:trPr>
          <w:trHeight w:val="237"/>
        </w:trPr>
        <w:tc>
          <w:tcPr>
            <w:tcW w:w="24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8720" w:type="dxa"/>
            <w:vAlign w:val="bottom"/>
          </w:tcPr>
          <w:p>
            <w:pPr>
              <w:spacing w:after="0"/>
              <w:rPr>
                <w:sz w:val="20"/>
                <w:szCs w:val="20"/>
                <w:color w:val="auto"/>
              </w:rPr>
            </w:pPr>
          </w:p>
        </w:tc>
      </w:tr>
    </w:tbl>
    <w:p>
      <w:pPr>
        <w:spacing w:after="0" w:line="202" w:lineRule="exact"/>
        <w:rPr>
          <w:sz w:val="20"/>
          <w:szCs w:val="20"/>
          <w:color w:val="auto"/>
        </w:rPr>
      </w:pPr>
    </w:p>
    <w:p>
      <w:pPr>
        <w:ind w:firstLine="8"/>
        <w:spacing w:after="0" w:line="259" w:lineRule="auto"/>
        <w:tabs>
          <w:tab w:leader="none" w:pos="31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Arial" w:cs="Arial" w:eastAsia="Arial" w:hAnsi="Arial"/>
          <w:sz w:val="15"/>
          <w:szCs w:val="15"/>
          <w:color w:val="auto"/>
        </w:rPr>
        <w:t>1</w:t>
      </w:r>
    </w:p>
    <w:p>
      <w:pPr>
        <w:spacing w:after="0" w:line="186" w:lineRule="exact"/>
        <w:rPr>
          <w:rFonts w:ascii="Arial" w:cs="Arial" w:eastAsia="Arial" w:hAnsi="Arial"/>
          <w:sz w:val="18"/>
          <w:szCs w:val="18"/>
          <w:color w:val="auto"/>
        </w:rPr>
      </w:pPr>
    </w:p>
    <w:p>
      <w:pPr>
        <w:ind w:left="320" w:hanging="312"/>
        <w:spacing w:after="0"/>
        <w:tabs>
          <w:tab w:leader="none" w:pos="3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as of the date hereof.]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pacing w:after="0" w:line="22"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ectPr>
          <w:pgSz w:w="11900" w:h="16838" w:orient="portrait"/>
          <w:cols w:equalWidth="0" w:num="1">
            <w:col w:w="11420"/>
          </w:cols>
          <w:pgMar w:left="240" w:top="274" w:right="239" w:bottom="1440" w:gutter="0" w:footer="0" w:header="0"/>
        </w:sectPr>
      </w:pPr>
    </w:p>
    <w:bookmarkStart w:id="205" w:name="page206"/>
    <w:bookmarkEnd w:id="205"/>
    <w:p>
      <w:pPr>
        <w:jc w:val="center"/>
        <w:ind w:left="106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23" w:lineRule="exact"/>
        <w:rPr>
          <w:sz w:val="20"/>
          <w:szCs w:val="20"/>
          <w:color w:val="auto"/>
        </w:rPr>
      </w:pPr>
    </w:p>
    <w:p>
      <w:pPr>
        <w:jc w:val="center"/>
        <w:ind w:left="105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66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[Copy of the Certificate of [Incorporation][Formation]]</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10220"/>
          </w:cols>
          <w:pgMar w:left="1440" w:top="274" w:right="239" w:bottom="1440" w:gutter="0" w:footer="0" w:header="0"/>
        </w:sectPr>
      </w:pPr>
    </w:p>
    <w:bookmarkStart w:id="206" w:name="page207"/>
    <w:bookmarkEnd w:id="206"/>
    <w:p>
      <w:pPr>
        <w:jc w:val="center"/>
        <w:ind w:left="10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w:t>
      </w:r>
    </w:p>
    <w:p>
      <w:pPr>
        <w:spacing w:after="0" w:line="23" w:lineRule="exact"/>
        <w:rPr>
          <w:sz w:val="20"/>
          <w:szCs w:val="20"/>
          <w:color w:val="auto"/>
        </w:rPr>
      </w:pPr>
    </w:p>
    <w:p>
      <w:pPr>
        <w:jc w:val="center"/>
        <w:ind w:left="105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66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[Copy of the [by-laws] [Limited Liability Company Agreement][Operating Agreement]</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10220"/>
          </w:cols>
          <w:pgMar w:left="1440" w:top="274" w:right="239" w:bottom="1440" w:gutter="0" w:footer="0" w:header="0"/>
        </w:sectPr>
      </w:pPr>
    </w:p>
    <w:bookmarkStart w:id="207" w:name="page208"/>
    <w:bookmarkEnd w:id="207"/>
    <w:p>
      <w:pPr>
        <w:jc w:val="center"/>
        <w:ind w:left="10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III</w:t>
      </w:r>
    </w:p>
    <w:p>
      <w:pPr>
        <w:spacing w:after="0" w:line="23"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46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Resolutions of the Board of [Directors] [Managers] of [Name of Loan Party]</w:t>
      </w:r>
    </w:p>
    <w:p>
      <w:pPr>
        <w:sectPr>
          <w:pgSz w:w="11900" w:h="16838" w:orient="portrait"/>
          <w:cols w:equalWidth="0" w:num="1">
            <w:col w:w="10220"/>
          </w:cols>
          <w:pgMar w:left="1440" w:top="274" w:right="239" w:bottom="1440" w:gutter="0" w:footer="0" w:header="0"/>
        </w:sectPr>
      </w:pPr>
    </w:p>
    <w:bookmarkStart w:id="208" w:name="page209"/>
    <w:bookmarkEnd w:id="208"/>
    <w:p>
      <w:pPr>
        <w:jc w:val="center"/>
        <w:ind w:left="10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IV</w:t>
      </w:r>
    </w:p>
    <w:p>
      <w:pPr>
        <w:spacing w:after="0" w:line="23"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460"/>
        <w:spacing w:after="0"/>
        <w:rPr>
          <w:sz w:val="20"/>
          <w:szCs w:val="20"/>
          <w:color w:val="auto"/>
        </w:rPr>
      </w:pPr>
      <w:r>
        <w:rPr>
          <w:rFonts w:ascii="Arial" w:cs="Arial" w:eastAsia="Arial" w:hAnsi="Arial"/>
          <w:sz w:val="16"/>
          <w:szCs w:val="16"/>
          <w:color w:val="auto"/>
        </w:rPr>
        <w:t>Certificate</w:t>
      </w:r>
    </w:p>
    <w:p>
      <w:pPr>
        <w:spacing w:after="0" w:line="256" w:lineRule="exact"/>
        <w:rPr>
          <w:sz w:val="20"/>
          <w:szCs w:val="20"/>
          <w:color w:val="auto"/>
        </w:rPr>
      </w:pPr>
    </w:p>
    <w:p>
      <w:pPr>
        <w:ind w:left="340"/>
        <w:spacing w:after="0"/>
        <w:tabs>
          <w:tab w:leader="none" w:pos="4560" w:val="left"/>
          <w:tab w:leader="none" w:pos="8160" w:val="left"/>
        </w:tabs>
        <w:rPr>
          <w:sz w:val="20"/>
          <w:szCs w:val="20"/>
          <w:color w:val="auto"/>
        </w:rPr>
      </w:pPr>
      <w:r>
        <w:rPr>
          <w:rFonts w:ascii="Arial" w:cs="Arial" w:eastAsia="Arial" w:hAnsi="Arial"/>
          <w:sz w:val="14"/>
          <w:szCs w:val="14"/>
          <w:u w:val="single" w:color="auto"/>
          <w:color w:val="auto"/>
        </w:rPr>
        <w:t>Name of Officer</w:t>
      </w:r>
      <w:r>
        <w:rPr>
          <w:sz w:val="20"/>
          <w:szCs w:val="20"/>
          <w:color w:val="auto"/>
        </w:rPr>
        <w:tab/>
      </w:r>
      <w:r>
        <w:rPr>
          <w:rFonts w:ascii="Arial" w:cs="Arial" w:eastAsia="Arial" w:hAnsi="Arial"/>
          <w:sz w:val="14"/>
          <w:szCs w:val="14"/>
          <w:u w:val="single" w:color="auto"/>
          <w:color w:val="auto"/>
        </w:rPr>
        <w:t>Office</w:t>
      </w:r>
      <w:r>
        <w:rPr>
          <w:sz w:val="20"/>
          <w:szCs w:val="20"/>
          <w:color w:val="auto"/>
        </w:rPr>
        <w:tab/>
      </w:r>
      <w:r>
        <w:rPr>
          <w:rFonts w:ascii="Arial" w:cs="Arial" w:eastAsia="Arial" w:hAnsi="Arial"/>
          <w:sz w:val="13"/>
          <w:szCs w:val="13"/>
          <w:u w:val="single" w:color="auto"/>
          <w:color w:val="auto"/>
        </w:rPr>
        <w:t>Signature</w:t>
      </w:r>
    </w:p>
    <w:p>
      <w:pPr>
        <w:sectPr>
          <w:pgSz w:w="11900" w:h="16838" w:orient="portrait"/>
          <w:cols w:equalWidth="0" w:num="1">
            <w:col w:w="10220"/>
          </w:cols>
          <w:pgMar w:left="1440" w:top="274" w:right="239" w:bottom="1440" w:gutter="0" w:footer="0" w:header="0"/>
        </w:sectPr>
      </w:pPr>
    </w:p>
    <w:bookmarkStart w:id="209" w:name="page210"/>
    <w:bookmarkEnd w:id="209"/>
    <w:p>
      <w:pPr>
        <w:jc w:val="center"/>
        <w:ind w:left="9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7" w:lineRule="exact"/>
        <w:rPr>
          <w:sz w:val="20"/>
          <w:szCs w:val="20"/>
          <w:color w:val="auto"/>
        </w:rPr>
      </w:pPr>
    </w:p>
    <w:p>
      <w:pPr>
        <w:jc w:val="center"/>
        <w:ind w:left="920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200"/>
        <w:spacing w:after="0"/>
        <w:rPr>
          <w:sz w:val="20"/>
          <w:szCs w:val="20"/>
          <w:color w:val="auto"/>
        </w:rPr>
      </w:pPr>
      <w:r>
        <w:rPr>
          <w:rFonts w:ascii="Arial" w:cs="Arial" w:eastAsia="Arial" w:hAnsi="Arial"/>
          <w:sz w:val="18"/>
          <w:szCs w:val="18"/>
          <w:b w:val="1"/>
          <w:bCs w:val="1"/>
          <w:color w:val="auto"/>
        </w:rPr>
        <w:t>Credit Agreement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 AND ASSUMPTION</w:t>
      </w:r>
    </w:p>
    <w:p>
      <w:pPr>
        <w:spacing w:after="0" w:line="229" w:lineRule="exact"/>
        <w:rPr>
          <w:sz w:val="20"/>
          <w:szCs w:val="20"/>
          <w:color w:val="auto"/>
        </w:rPr>
      </w:pPr>
    </w:p>
    <w:p>
      <w:pPr>
        <w:ind w:left="460"/>
        <w:spacing w:after="0"/>
        <w:tabs>
          <w:tab w:leader="none" w:pos="4680" w:val="left"/>
          <w:tab w:leader="none" w:pos="5180" w:val="left"/>
        </w:tabs>
        <w:rPr>
          <w:sz w:val="20"/>
          <w:szCs w:val="20"/>
          <w:color w:val="auto"/>
        </w:rPr>
      </w:pPr>
      <w:r>
        <w:rPr>
          <w:rFonts w:ascii="Arial" w:cs="Arial" w:eastAsia="Arial" w:hAnsi="Arial"/>
          <w:sz w:val="18"/>
          <w:szCs w:val="18"/>
          <w:color w:val="auto"/>
        </w:rPr>
        <w:t>ASSIGNMENT AND ASSUMPTION,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(as amended, supplemented or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2647315</wp:posOffset>
            </wp:positionH>
            <wp:positionV relativeFrom="paragraph">
              <wp:posOffset>-10160</wp:posOffset>
            </wp:positionV>
            <wp:extent cx="3429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-10160</wp:posOffset>
            </wp:positionV>
            <wp:extent cx="1143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between [NAME OF ASSIGNOR], a Lender under the Credit Agreement referred to below (the “</w:t>
      </w:r>
      <w:r>
        <w:rPr>
          <w:rFonts w:ascii="Arial" w:cs="Arial" w:eastAsia="Arial" w:hAnsi="Arial"/>
          <w:sz w:val="16"/>
          <w:szCs w:val="16"/>
          <w:u w:val="single" w:color="auto"/>
          <w:color w:val="auto"/>
        </w:rPr>
        <w:t>Assignor</w:t>
      </w:r>
      <w:r>
        <w:rPr>
          <w:rFonts w:ascii="Arial" w:cs="Arial" w:eastAsia="Arial" w:hAnsi="Arial"/>
          <w:sz w:val="16"/>
          <w:szCs w:val="16"/>
          <w:color w:val="auto"/>
        </w:rPr>
        <w:t>”), and [NAME OF ASSIGNEE] (the “</w:t>
      </w:r>
      <w:r>
        <w:rPr>
          <w:rFonts w:ascii="Arial" w:cs="Arial" w:eastAsia="Arial" w:hAnsi="Arial"/>
          <w:sz w:val="16"/>
          <w:szCs w:val="16"/>
          <w:u w:val="single" w:color="auto"/>
          <w:color w:val="auto"/>
        </w:rPr>
        <w:t>Assignee</w:t>
      </w:r>
      <w:r>
        <w:rPr>
          <w:rFonts w:ascii="Arial" w:cs="Arial" w:eastAsia="Arial" w:hAnsi="Arial"/>
          <w:sz w:val="16"/>
          <w:szCs w:val="16"/>
          <w:color w:val="auto"/>
        </w:rPr>
        <w:t>”).</w:t>
      </w:r>
    </w:p>
    <w:p>
      <w:pPr>
        <w:spacing w:after="0" w:line="23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Reference is made to the Third Amended and Restated Three Year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lenders from time to time party thereto (together with their respective successors and permitted assigns,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Assignor and the Assignee hereby agree as follows:</w:t>
      </w:r>
    </w:p>
    <w:p>
      <w:pPr>
        <w:spacing w:after="0" w:line="225" w:lineRule="exact"/>
        <w:rPr>
          <w:sz w:val="20"/>
          <w:szCs w:val="20"/>
          <w:color w:val="auto"/>
        </w:rPr>
      </w:pPr>
    </w:p>
    <w:p>
      <w:pPr>
        <w:ind w:right="40" w:firstLine="464"/>
        <w:spacing w:after="0" w:line="254" w:lineRule="auto"/>
        <w:tabs>
          <w:tab w:leader="none" w:pos="63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For an agreed consideration, the Assignor hereby irrevocably sells and assigns to the Assignee, without recourse to, or (except as otherwise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warranty by, the Assignor, as of the Trade Date (as defined below), the interest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in and to the Assignor’s rights and obligations under the Credit Agreement with respect to its [Commitment [and all outstanding Letters of Credit issued by an Issuing Lender other than the Assignor]</w:t>
      </w:r>
      <w:r>
        <w:rPr>
          <w:rFonts w:ascii="Arial" w:cs="Arial" w:eastAsia="Arial" w:hAnsi="Arial"/>
          <w:sz w:val="15"/>
          <w:szCs w:val="15"/>
          <w:color w:val="auto"/>
        </w:rPr>
        <w:t>1</w:t>
      </w:r>
      <w:r>
        <w:rPr>
          <w:rFonts w:ascii="Arial" w:cs="Arial" w:eastAsia="Arial" w:hAnsi="Arial"/>
          <w:sz w:val="18"/>
          <w:szCs w:val="18"/>
          <w:color w:val="auto"/>
        </w:rPr>
        <w:t xml:space="preserve">][and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of all of such outstanding rights and obligations of the Assignor under the respective facilities identified below (including any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89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8"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5"/>
          <w:szCs w:val="15"/>
          <w:color w:val="auto"/>
        </w:rPr>
      </w:pPr>
      <w:r>
        <w:rPr>
          <w:rFonts w:ascii="Arial" w:cs="Arial" w:eastAsia="Arial" w:hAnsi="Arial"/>
          <w:sz w:val="18"/>
          <w:szCs w:val="18"/>
          <w:color w:val="auto"/>
        </w:rPr>
        <w:t>Insert bracketed text if the Assignor is an L/C Participant and Letters of Credit issued by another Issuing Lender are outstanding.</w:t>
      </w:r>
    </w:p>
    <w:p>
      <w:pPr>
        <w:sectPr>
          <w:pgSz w:w="11900" w:h="16838" w:orient="portrait"/>
          <w:cols w:equalWidth="0" w:num="1">
            <w:col w:w="11420"/>
          </w:cols>
          <w:pgMar w:left="240" w:top="270" w:right="239" w:bottom="1440" w:gutter="0" w:footer="0" w:header="0"/>
        </w:sectPr>
      </w:pPr>
    </w:p>
    <w:bookmarkStart w:id="210" w:name="page211"/>
    <w:bookmarkEnd w:id="21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it is expressly understood and agreed that (i) the Assignor is not assigning to the Assignee and the Assignor shall retain (A) all of the Assignor’s rights under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 (ii) the Assignee shall be entitled to the benefits of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from and after the Trade Date.</w:t>
      </w:r>
    </w:p>
    <w:p>
      <w:pPr>
        <w:spacing w:after="0" w:line="167" w:lineRule="exact"/>
        <w:rPr>
          <w:sz w:val="20"/>
          <w:szCs w:val="20"/>
          <w:color w:val="auto"/>
        </w:rPr>
      </w:pPr>
    </w:p>
    <w:p>
      <w:pPr>
        <w:ind w:right="80" w:firstLine="464"/>
        <w:spacing w:after="0" w:line="286" w:lineRule="auto"/>
        <w:tabs>
          <w:tab w:leader="none" w:pos="636"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Assignor represents and warrants to the Assignee, to the Company and to the Administrative Agent (i) that the Assignor is the legal and beneficial owner of the Assigned Interest being assigned by it hereunder,</w:t>
      </w:r>
    </w:p>
    <w:p>
      <w:pPr>
        <w:spacing w:after="0" w:line="1" w:lineRule="exact"/>
        <w:rPr>
          <w:rFonts w:ascii="Arial" w:cs="Arial" w:eastAsia="Arial" w:hAnsi="Arial"/>
          <w:sz w:val="16"/>
          <w:szCs w:val="16"/>
          <w:color w:val="auto"/>
        </w:rPr>
      </w:pPr>
    </w:p>
    <w:p>
      <w:pPr>
        <w:ind w:right="80" w:firstLine="8"/>
        <w:spacing w:after="0" w:line="281" w:lineRule="auto"/>
        <w:tabs>
          <w:tab w:leader="none" w:pos="26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w:t>
      </w:r>
    </w:p>
    <w:p>
      <w:pPr>
        <w:spacing w:after="0" w:line="3" w:lineRule="exact"/>
        <w:rPr>
          <w:rFonts w:ascii="Arial" w:cs="Arial" w:eastAsia="Arial" w:hAnsi="Arial"/>
          <w:sz w:val="16"/>
          <w:szCs w:val="16"/>
          <w:color w:val="auto"/>
        </w:rPr>
      </w:pPr>
    </w:p>
    <w:p>
      <w:pPr>
        <w:ind w:right="20" w:firstLine="8"/>
        <w:spacing w:after="0" w:line="253" w:lineRule="auto"/>
        <w:tabs>
          <w:tab w:leader="none" w:pos="24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91" w:lineRule="exact"/>
        <w:rPr>
          <w:rFonts w:ascii="Arial" w:cs="Arial" w:eastAsia="Arial" w:hAnsi="Arial"/>
          <w:sz w:val="18"/>
          <w:szCs w:val="18"/>
          <w:color w:val="auto"/>
        </w:rPr>
      </w:pPr>
    </w:p>
    <w:p>
      <w:pPr>
        <w:ind w:right="40" w:firstLine="464"/>
        <w:spacing w:after="0" w:line="297" w:lineRule="auto"/>
        <w:tabs>
          <w:tab w:leader="none" w:pos="636" w:val="left"/>
        </w:tabs>
        <w:numPr>
          <w:ilvl w:val="1"/>
          <w:numId w:val="206"/>
        </w:numPr>
        <w:rPr>
          <w:rFonts w:ascii="Arial" w:cs="Arial" w:eastAsia="Arial" w:hAnsi="Arial"/>
          <w:sz w:val="16"/>
          <w:szCs w:val="16"/>
          <w:color w:val="auto"/>
        </w:rPr>
      </w:pPr>
      <w:r>
        <w:rPr>
          <w:rFonts w:ascii="Arial" w:cs="Arial" w:eastAsia="Arial" w:hAnsi="Arial"/>
          <w:sz w:val="16"/>
          <w:szCs w:val="16"/>
          <w:color w:val="auto"/>
        </w:rPr>
        <w:t xml:space="preserve">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 (b) confirms that it has received a copy of the Credit Agreement, together with copies of the most recent financial statements delivered or deemed delivered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thereof (or, if none of such financial statements shall have then been delivered or deemed delivered, then copies of the</w:t>
      </w:r>
    </w:p>
    <w:p>
      <w:pPr>
        <w:sectPr>
          <w:pgSz w:w="11900" w:h="16838" w:orient="portrait"/>
          <w:cols w:equalWidth="0" w:num="1">
            <w:col w:w="11420"/>
          </w:cols>
          <w:pgMar w:left="240" w:top="274" w:right="239" w:bottom="1440" w:gutter="0" w:footer="0" w:header="0"/>
        </w:sectPr>
      </w:pPr>
    </w:p>
    <w:bookmarkStart w:id="211" w:name="page212"/>
    <w:bookmarkEnd w:id="21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financial statements referred to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thereof)[, the L/C Fee Letter]</w:t>
      </w:r>
      <w:r>
        <w:rPr>
          <w:rFonts w:ascii="Arial" w:cs="Arial" w:eastAsia="Arial" w:hAnsi="Arial"/>
          <w:sz w:val="14"/>
          <w:szCs w:val="14"/>
          <w:color w:val="auto"/>
        </w:rPr>
        <w:t>2</w:t>
      </w:r>
      <w:r>
        <w:rPr>
          <w:rFonts w:ascii="Arial" w:cs="Arial" w:eastAsia="Arial" w:hAnsi="Arial"/>
          <w:sz w:val="17"/>
          <w:szCs w:val="17"/>
          <w:color w:val="auto"/>
        </w:rPr>
        <w:t xml:space="preserve">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 its behalf and to exercise such powers and discretion under the Loan Documents or any other instrument or document furnished pursuant hereto or thereto as are delegated to the Administrative Agent by the terms thereof, together with such powers as are incidental thereto; and (e) agrees that it will be bound by the provisions of [the L/C Fee Letter and]</w:t>
      </w:r>
      <w:r>
        <w:rPr>
          <w:rFonts w:ascii="Arial" w:cs="Arial" w:eastAsia="Arial" w:hAnsi="Arial"/>
          <w:sz w:val="14"/>
          <w:szCs w:val="14"/>
          <w:color w:val="auto"/>
        </w:rPr>
        <w:t>3</w:t>
      </w:r>
      <w:r>
        <w:rPr>
          <w:rFonts w:ascii="Arial" w:cs="Arial" w:eastAsia="Arial" w:hAnsi="Arial"/>
          <w:sz w:val="17"/>
          <w:szCs w:val="17"/>
          <w:color w:val="auto"/>
        </w:rPr>
        <w:t xml:space="preserve">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2.21(d) of the Credit Agreement, duly completed and executed by the Assignee.</w:t>
      </w:r>
    </w:p>
    <w:p>
      <w:pPr>
        <w:spacing w:after="0" w:line="180" w:lineRule="exact"/>
        <w:rPr>
          <w:sz w:val="20"/>
          <w:szCs w:val="20"/>
          <w:color w:val="auto"/>
        </w:rPr>
      </w:pPr>
    </w:p>
    <w:p>
      <w:pPr>
        <w:ind w:left="640" w:hanging="176"/>
        <w:spacing w:after="0"/>
        <w:tabs>
          <w:tab w:leader="none" w:pos="64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The effective date of this Agreement shall be the Trade Date of assignment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Trade Date</w:t>
      </w:r>
      <w:r>
        <w:rPr>
          <w:rFonts w:ascii="Arial" w:cs="Arial" w:eastAsia="Arial" w:hAnsi="Arial"/>
          <w:sz w:val="17"/>
          <w:szCs w:val="17"/>
          <w:color w:val="auto"/>
        </w:rPr>
        <w:t>”). Following the</w:t>
      </w:r>
    </w:p>
    <w:p>
      <w:pPr>
        <w:spacing w:after="0" w:line="34" w:lineRule="exact"/>
        <w:rPr>
          <w:rFonts w:ascii="Arial" w:cs="Arial" w:eastAsia="Arial" w:hAnsi="Arial"/>
          <w:sz w:val="17"/>
          <w:szCs w:val="17"/>
          <w:color w:val="auto"/>
        </w:rPr>
      </w:pPr>
    </w:p>
    <w:p>
      <w:pPr>
        <w:ind w:right="20"/>
        <w:spacing w:after="0" w:line="281" w:lineRule="auto"/>
        <w:rPr>
          <w:rFonts w:ascii="Arial" w:cs="Arial" w:eastAsia="Arial" w:hAnsi="Arial"/>
          <w:sz w:val="17"/>
          <w:szCs w:val="17"/>
          <w:color w:val="auto"/>
        </w:rPr>
      </w:pPr>
      <w:r>
        <w:rPr>
          <w:rFonts w:ascii="Arial" w:cs="Arial" w:eastAsia="Arial" w:hAnsi="Arial"/>
          <w:sz w:val="16"/>
          <w:szCs w:val="16"/>
          <w:color w:val="auto"/>
        </w:rPr>
        <w:t>execution of this Agreement by the Assignor, the Assignee, the Company, each relevant Issuing Lender and the Brazilian Administrative Agent (in the case of the Company, each such Issuing Lender and the Brazilian Administrative Agent, to the extent that the consent of any such Person is required or permitted by the Credit Agreement), it will be delivered to the Administrative Agent for acceptance by it and recording by the Administrative Agent pursuant to</w:t>
      </w:r>
    </w:p>
    <w:p>
      <w:pPr>
        <w:spacing w:after="0" w:line="2" w:lineRule="exact"/>
        <w:rPr>
          <w:rFonts w:ascii="Arial" w:cs="Arial" w:eastAsia="Arial" w:hAnsi="Arial"/>
          <w:sz w:val="17"/>
          <w:szCs w:val="17"/>
          <w:color w:val="auto"/>
        </w:rPr>
      </w:pPr>
    </w:p>
    <w:p>
      <w:pPr>
        <w:ind w:right="80"/>
        <w:spacing w:after="0" w:line="290" w:lineRule="auto"/>
        <w:rPr>
          <w:rFonts w:ascii="Arial" w:cs="Arial" w:eastAsia="Arial" w:hAnsi="Arial"/>
          <w:sz w:val="17"/>
          <w:szCs w:val="17"/>
          <w:color w:val="auto"/>
        </w:rPr>
      </w:pP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61" w:lineRule="exact"/>
        <w:rPr>
          <w:rFonts w:ascii="Arial" w:cs="Arial" w:eastAsia="Arial" w:hAnsi="Arial"/>
          <w:sz w:val="17"/>
          <w:szCs w:val="17"/>
          <w:color w:val="auto"/>
        </w:rPr>
      </w:pPr>
    </w:p>
    <w:p>
      <w:pPr>
        <w:ind w:right="180" w:firstLine="464"/>
        <w:spacing w:after="0" w:line="264" w:lineRule="auto"/>
        <w:tabs>
          <w:tab w:leader="none" w:pos="6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181" w:lineRule="exact"/>
        <w:rPr>
          <w:rFonts w:ascii="Arial" w:cs="Arial" w:eastAsia="Arial" w:hAnsi="Arial"/>
          <w:sz w:val="18"/>
          <w:szCs w:val="18"/>
          <w:color w:val="auto"/>
        </w:rPr>
      </w:pPr>
    </w:p>
    <w:p>
      <w:pPr>
        <w:ind w:right="80" w:firstLine="464"/>
        <w:spacing w:after="0" w:line="277" w:lineRule="auto"/>
        <w:tabs>
          <w:tab w:leader="none" w:pos="6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From and after the Trade Date, (a) the Assignee shall be a party to [the L/C Fee Letter and]</w:t>
      </w:r>
      <w:r>
        <w:rPr>
          <w:rFonts w:ascii="Arial" w:cs="Arial" w:eastAsia="Arial" w:hAnsi="Arial"/>
          <w:sz w:val="15"/>
          <w:szCs w:val="15"/>
          <w:color w:val="auto"/>
        </w:rPr>
        <w:t>4</w:t>
      </w:r>
      <w:r>
        <w:rPr>
          <w:rFonts w:ascii="Arial" w:cs="Arial" w:eastAsia="Arial" w:hAnsi="Arial"/>
          <w:sz w:val="18"/>
          <w:szCs w:val="18"/>
          <w:color w:val="auto"/>
        </w:rPr>
        <w:t xml:space="preserve"> the Credit Agreement and, to the extent provided in this Agreement, have the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89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5"/>
          <w:szCs w:val="15"/>
          <w:color w:val="auto"/>
        </w:rPr>
      </w:pPr>
      <w:r>
        <w:rPr>
          <w:rFonts w:ascii="Arial" w:cs="Arial" w:eastAsia="Arial" w:hAnsi="Arial"/>
          <w:sz w:val="18"/>
          <w:szCs w:val="18"/>
          <w:color w:val="auto"/>
        </w:rPr>
        <w:t>Include for assignments of the L/C Tranche only.</w:t>
      </w:r>
    </w:p>
    <w:p>
      <w:pPr>
        <w:spacing w:after="0" w:line="22" w:lineRule="exact"/>
        <w:rPr>
          <w:sz w:val="20"/>
          <w:szCs w:val="20"/>
          <w:color w:val="auto"/>
        </w:rPr>
      </w:pPr>
    </w:p>
    <w:p>
      <w:pPr>
        <w:ind w:left="460" w:hanging="452"/>
        <w:spacing w:after="0"/>
        <w:tabs>
          <w:tab w:leader="none" w:pos="460" w:val="left"/>
        </w:tabs>
        <w:numPr>
          <w:ilvl w:val="0"/>
          <w:numId w:val="209"/>
        </w:numPr>
        <w:rPr>
          <w:rFonts w:ascii="Arial" w:cs="Arial" w:eastAsia="Arial" w:hAnsi="Arial"/>
          <w:sz w:val="15"/>
          <w:szCs w:val="15"/>
          <w:color w:val="auto"/>
        </w:rPr>
      </w:pPr>
      <w:r>
        <w:rPr>
          <w:rFonts w:ascii="Arial" w:cs="Arial" w:eastAsia="Arial" w:hAnsi="Arial"/>
          <w:sz w:val="18"/>
          <w:szCs w:val="18"/>
          <w:color w:val="auto"/>
        </w:rPr>
        <w:t>Include for assignments of the L/C Tranche only.</w:t>
      </w:r>
    </w:p>
    <w:p>
      <w:pPr>
        <w:spacing w:after="0" w:line="9"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5"/>
          <w:szCs w:val="15"/>
          <w:color w:val="auto"/>
        </w:rPr>
      </w:pPr>
      <w:r>
        <w:rPr>
          <w:rFonts w:ascii="Arial" w:cs="Arial" w:eastAsia="Arial" w:hAnsi="Arial"/>
          <w:sz w:val="18"/>
          <w:szCs w:val="18"/>
          <w:color w:val="auto"/>
        </w:rPr>
        <w:t>Include for assignments of the L/C Tranche only.</w:t>
      </w:r>
    </w:p>
    <w:p>
      <w:pPr>
        <w:sectPr>
          <w:pgSz w:w="11900" w:h="16838" w:orient="portrait"/>
          <w:cols w:equalWidth="0" w:num="1">
            <w:col w:w="11420"/>
          </w:cols>
          <w:pgMar w:left="240" w:top="274" w:right="239" w:bottom="1440" w:gutter="0" w:footer="0" w:header="0"/>
        </w:sectPr>
      </w:pPr>
    </w:p>
    <w:bookmarkStart w:id="212" w:name="page213"/>
    <w:bookmarkEnd w:id="212"/>
    <w:p>
      <w:pPr>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166" w:lineRule="exact"/>
        <w:rPr>
          <w:sz w:val="20"/>
          <w:szCs w:val="20"/>
          <w:color w:val="auto"/>
        </w:rPr>
      </w:pPr>
    </w:p>
    <w:p>
      <w:pPr>
        <w:ind w:right="60" w:firstLine="464"/>
        <w:spacing w:after="0" w:line="277" w:lineRule="auto"/>
        <w:tabs>
          <w:tab w:leader="none" w:pos="63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pacing w:after="0" w:line="170" w:lineRule="exact"/>
        <w:rPr>
          <w:rFonts w:ascii="Arial" w:cs="Arial" w:eastAsia="Arial" w:hAnsi="Arial"/>
          <w:sz w:val="18"/>
          <w:szCs w:val="18"/>
          <w:color w:val="auto"/>
        </w:rPr>
      </w:pPr>
    </w:p>
    <w:p>
      <w:pPr>
        <w:ind w:firstLine="464"/>
        <w:spacing w:after="0" w:line="264" w:lineRule="auto"/>
        <w:tabs>
          <w:tab w:leader="none" w:pos="63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ectPr>
          <w:pgSz w:w="11900" w:h="16838" w:orient="portrait"/>
          <w:cols w:equalWidth="0" w:num="1">
            <w:col w:w="11380"/>
          </w:cols>
          <w:pgMar w:left="240" w:top="274" w:right="279" w:bottom="1440" w:gutter="0" w:footer="0" w:header="0"/>
        </w:sectPr>
      </w:pPr>
    </w:p>
    <w:bookmarkStart w:id="213" w:name="page214"/>
    <w:bookmarkEnd w:id="21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the parties hereto have caused this Agreement to be executed as of the date first above written by their respective duly authorized officers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97"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 as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5144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3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 as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5144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3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60"/>
          </w:cols>
          <w:pgMar w:left="240" w:top="274" w:right="69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Consented to</w:t>
      </w:r>
      <w:r>
        <w:rPr>
          <w:rFonts w:ascii="Arial" w:cs="Arial" w:eastAsia="Arial" w:hAnsi="Arial"/>
          <w:sz w:val="15"/>
          <w:szCs w:val="15"/>
          <w:color w:val="auto"/>
        </w:rPr>
        <w:t>5</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8573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[BANCO DO BRASIL S.A., as Brazilian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8573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8573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Material Issuing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85737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89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hanging="452"/>
        <w:spacing w:after="0" w:line="285" w:lineRule="auto"/>
        <w:tabs>
          <w:tab w:leader="none" w:pos="460" w:val="left"/>
        </w:tabs>
        <w:numPr>
          <w:ilvl w:val="0"/>
          <w:numId w:val="212"/>
        </w:numPr>
        <w:rPr>
          <w:rFonts w:ascii="Arial" w:cs="Arial" w:eastAsia="Arial" w:hAnsi="Arial"/>
          <w:sz w:val="14"/>
          <w:szCs w:val="14"/>
          <w:color w:val="auto"/>
        </w:rPr>
      </w:pPr>
      <w:r>
        <w:rPr>
          <w:rFonts w:ascii="Arial" w:cs="Arial" w:eastAsia="Arial" w:hAnsi="Arial"/>
          <w:sz w:val="16"/>
          <w:szCs w:val="16"/>
          <w:color w:val="auto"/>
        </w:rPr>
        <w:t>Prior written consent of the Company, the Administrative Agent, each Material Issuing Lender at such time (with respect to assignments under the L/C Tranche Facility only), and the Brazilian Administrative Agent (in the case of any assignment of Brazilian commitments only) is required unless, (w) in the case of the Administrative Agent, the Assignee is a Lender or affiliate thereof, (x) in the case of each Material Issuing Lender, the Assignee is an L/C Tranche Lender and (y) in the case of the Company only, (i) an Event of Default under Section 8(a) or (e) of the Credit Agreement has occurred and is continuing or (ii) the Assignee is a Lender to which any two or more of the following ratings have been issued by the relevant rating agency:</w:t>
      </w:r>
    </w:p>
    <w:p>
      <w:pPr>
        <w:spacing w:after="0" w:line="2"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color w:val="auto"/>
        </w:rPr>
        <w:t>(a) in the case of S&amp;P, at least BBB; (b) in the case of Moody’s, at least Baa2; and (c) in the case of Fitch, at least BBB.</w:t>
      </w:r>
    </w:p>
    <w:p>
      <w:pPr>
        <w:sectPr>
          <w:pgSz w:w="11900" w:h="16838" w:orient="portrait"/>
          <w:cols w:equalWidth="0" w:num="1">
            <w:col w:w="11380"/>
          </w:cols>
          <w:pgMar w:left="240" w:top="274" w:right="279" w:bottom="1440" w:gutter="0" w:footer="0" w:header="0"/>
        </w:sectPr>
      </w:pPr>
    </w:p>
    <w:bookmarkStart w:id="215" w:name="page216"/>
    <w:bookmarkEnd w:id="215"/>
    <w:p>
      <w:pPr>
        <w:jc w:val="center"/>
        <w:ind w:left="8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Assignment and Assumption</w:t>
      </w:r>
    </w:p>
    <w:p>
      <w:pPr>
        <w:spacing w:after="0" w:line="224" w:lineRule="exact"/>
        <w:rPr>
          <w:sz w:val="20"/>
          <w:szCs w:val="20"/>
          <w:color w:val="auto"/>
        </w:rPr>
      </w:pPr>
    </w:p>
    <w:p>
      <w:pPr>
        <w:ind w:left="460"/>
        <w:spacing w:after="0"/>
        <w:tabs>
          <w:tab w:leader="none" w:pos="8240" w:val="left"/>
          <w:tab w:leader="none" w:pos="8740" w:val="left"/>
        </w:tabs>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is attached to and incorporated in the Assignment and Assumption,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(as amended, supplemented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-10160</wp:posOffset>
            </wp:positionV>
            <wp:extent cx="8572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modified from time to time,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8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Reference is made to the Third Amended and Restated Three Year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General Motors do Brasil Ltda., a Brazilian limited liability company, the Subsidiary Guarantors from time to time party thereto, the lenders from time to time party thereto (together with their respective successors and permitted assigns,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-10160</wp:posOffset>
            </wp:positionV>
            <wp:extent cx="9144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-10160</wp:posOffset>
            </wp:positionV>
            <wp:extent cx="9144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111" w:lineRule="exact"/>
        <w:rPr>
          <w:sz w:val="20"/>
          <w:szCs w:val="20"/>
          <w:color w:val="auto"/>
        </w:rPr>
      </w:pPr>
    </w:p>
    <w:p>
      <w:pPr>
        <w:ind w:left="1480" w:hanging="567"/>
        <w:spacing w:after="0"/>
        <w:tabs>
          <w:tab w:leader="none" w:pos="14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Assignee is an affiliate of: [Name of Lender]]</w:t>
      </w:r>
    </w:p>
    <w:p>
      <w:pPr>
        <w:spacing w:after="0" w:line="130" w:lineRule="exact"/>
        <w:rPr>
          <w:rFonts w:ascii="Arial" w:cs="Arial" w:eastAsia="Arial" w:hAnsi="Arial"/>
          <w:sz w:val="18"/>
          <w:szCs w:val="18"/>
          <w:color w:val="auto"/>
        </w:rPr>
      </w:pPr>
    </w:p>
    <w:p>
      <w:pPr>
        <w:ind w:left="1480" w:right="320" w:hanging="567"/>
        <w:spacing w:after="0" w:line="277" w:lineRule="auto"/>
        <w:tabs>
          <w:tab w:leader="none" w:pos="14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Assignee is an Approved Fund administered or managed by: [Name of Lender][an affiliate of [Name of Lender]][an entity or an affiliate of an entity that administers or manages [Name of Lender]]</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Assignee is [not an Ineligible Assignee] [an Ineligible Assignee, but the Company has consented to the assignment by the Assignor to the Assignee.]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Aggregate Amount</w:t>
            </w: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49"/>
        </w:trPr>
        <w:tc>
          <w:tcPr>
            <w:tcW w:w="1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of</w:t>
            </w: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149"/>
        </w:trPr>
        <w:tc>
          <w:tcPr>
            <w:tcW w:w="1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Commitment/Loans</w:t>
            </w:r>
          </w:p>
        </w:tc>
        <w:tc>
          <w:tcPr>
            <w:tcW w:w="2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Amount of</w:t>
            </w:r>
          </w:p>
        </w:tc>
        <w:tc>
          <w:tcPr>
            <w:tcW w:w="2500" w:type="dxa"/>
            <w:vAlign w:val="bottom"/>
          </w:tcPr>
          <w:p>
            <w:pPr>
              <w:jc w:val="center"/>
              <w:spacing w:after="0" w:line="149" w:lineRule="exact"/>
              <w:rPr>
                <w:sz w:val="20"/>
                <w:szCs w:val="20"/>
                <w:color w:val="auto"/>
              </w:rPr>
            </w:pPr>
            <w:r>
              <w:rPr>
                <w:rFonts w:ascii="Arial" w:cs="Arial" w:eastAsia="Arial" w:hAnsi="Arial"/>
                <w:sz w:val="14"/>
                <w:szCs w:val="14"/>
                <w:color w:val="auto"/>
                <w:w w:val="86"/>
              </w:rPr>
              <w:t>Percentage</w:t>
            </w:r>
          </w:p>
        </w:tc>
      </w:tr>
      <w:tr>
        <w:trPr>
          <w:trHeight w:val="149"/>
        </w:trPr>
        <w:tc>
          <w:tcPr>
            <w:tcW w:w="1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for all Lenders</w:t>
            </w:r>
          </w:p>
        </w:tc>
        <w:tc>
          <w:tcPr>
            <w:tcW w:w="2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Commitment/Loans</w:t>
            </w:r>
          </w:p>
        </w:tc>
        <w:tc>
          <w:tcPr>
            <w:tcW w:w="2500" w:type="dxa"/>
            <w:vAlign w:val="bottom"/>
          </w:tcPr>
          <w:p>
            <w:pPr>
              <w:jc w:val="center"/>
              <w:spacing w:after="0" w:line="149" w:lineRule="exact"/>
              <w:rPr>
                <w:sz w:val="20"/>
                <w:szCs w:val="20"/>
                <w:color w:val="auto"/>
              </w:rPr>
            </w:pPr>
            <w:r>
              <w:rPr>
                <w:rFonts w:ascii="Arial" w:cs="Arial" w:eastAsia="Arial" w:hAnsi="Arial"/>
                <w:sz w:val="14"/>
                <w:szCs w:val="14"/>
                <w:color w:val="auto"/>
                <w:w w:val="95"/>
              </w:rPr>
              <w:t>Assigned of</w:t>
            </w:r>
          </w:p>
        </w:tc>
      </w:tr>
      <w:tr>
        <w:trPr>
          <w:trHeight w:val="18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Facility Assigned</w:t>
            </w:r>
          </w:p>
        </w:tc>
        <w:tc>
          <w:tcPr>
            <w:tcW w:w="218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under such Facility</w:t>
            </w:r>
          </w:p>
        </w:tc>
        <w:tc>
          <w:tcPr>
            <w:tcW w:w="24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Assigned</w:t>
            </w:r>
          </w:p>
        </w:tc>
        <w:tc>
          <w:tcPr>
            <w:tcW w:w="220" w:type="dxa"/>
            <w:vAlign w:val="bottom"/>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Commitment/Loans</w:t>
            </w:r>
          </w:p>
        </w:tc>
      </w:tr>
    </w:tbl>
    <w:p>
      <w:pPr>
        <w:sectPr>
          <w:pgSz w:w="11900" w:h="16838" w:orient="portrait"/>
          <w:cols w:equalWidth="0" w:num="1">
            <w:col w:w="11420"/>
          </w:cols>
          <w:pgMar w:left="240" w:top="274" w:right="239" w:bottom="1440" w:gutter="0" w:footer="0" w:header="0"/>
        </w:sectPr>
      </w:pPr>
    </w:p>
    <w:bookmarkStart w:id="216" w:name="page217"/>
    <w:bookmarkEnd w:id="2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07"/>
        </w:trPr>
        <w:tc>
          <w:tcPr>
            <w:tcW w:w="3820" w:type="dxa"/>
            <w:vAlign w:val="bottom"/>
            <w:gridSpan w:val="3"/>
          </w:tcPr>
          <w:p>
            <w:pPr>
              <w:spacing w:after="0"/>
              <w:rPr>
                <w:sz w:val="20"/>
                <w:szCs w:val="20"/>
                <w:color w:val="auto"/>
              </w:rPr>
            </w:pPr>
            <w:r>
              <w:rPr>
                <w:rFonts w:ascii="Arial" w:cs="Arial" w:eastAsia="Arial" w:hAnsi="Arial"/>
                <w:sz w:val="18"/>
                <w:szCs w:val="18"/>
                <w:color w:val="auto"/>
                <w:w w:val="94"/>
              </w:rPr>
              <w:t>(d)   Trade Date of Assignment (the “Trade Date”):</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 20  .</w:t>
            </w:r>
            <w:r>
              <w:rPr>
                <w:rFonts w:ascii="Arial" w:cs="Arial" w:eastAsia="Arial" w:hAnsi="Arial"/>
                <w:sz w:val="15"/>
                <w:szCs w:val="15"/>
                <w:color w:val="auto"/>
              </w:rPr>
              <w:t>1</w:t>
            </w:r>
          </w:p>
        </w:tc>
      </w:tr>
      <w:tr>
        <w:trPr>
          <w:trHeight w:val="20"/>
        </w:trPr>
        <w:tc>
          <w:tcPr>
            <w:tcW w:w="2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89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5"/>
          <w:szCs w:val="15"/>
          <w:color w:val="auto"/>
        </w:rPr>
      </w:pPr>
      <w:r>
        <w:rPr>
          <w:rFonts w:ascii="Arial" w:cs="Arial" w:eastAsia="Arial" w:hAnsi="Arial"/>
          <w:sz w:val="18"/>
          <w:szCs w:val="18"/>
          <w:color w:val="auto"/>
        </w:rPr>
        <w:t>To be inserted by Administrative Agent and which shall be the effective date of recordation of transfer in the Register therefor.</w:t>
      </w:r>
    </w:p>
    <w:p>
      <w:pPr>
        <w:sectPr>
          <w:pgSz w:w="11900" w:h="16838" w:orient="portrait"/>
          <w:cols w:equalWidth="0" w:num="1">
            <w:col w:w="11100"/>
          </w:cols>
          <w:pgMar w:left="240" w:top="257" w:right="559" w:bottom="1440" w:gutter="0" w:footer="0" w:header="0"/>
        </w:sectPr>
      </w:pPr>
    </w:p>
    <w:bookmarkStart w:id="217" w:name="page218"/>
    <w:bookmarkEnd w:id="217"/>
    <w:tbl>
      <w:tblPr>
        <w:tblLayout w:type="fixed"/>
        <w:tblInd w:w="92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60" w:type="dxa"/>
            <w:vAlign w:val="bottom"/>
          </w:tcPr>
          <w:p>
            <w:pPr>
              <w:jc w:val="center"/>
              <w:ind w:left="490"/>
              <w:spacing w:after="0"/>
              <w:rPr>
                <w:sz w:val="20"/>
                <w:szCs w:val="20"/>
                <w:color w:val="auto"/>
              </w:rPr>
            </w:pPr>
            <w:r>
              <w:rPr>
                <w:rFonts w:ascii="Arial" w:cs="Arial" w:eastAsia="Arial" w:hAnsi="Arial"/>
                <w:sz w:val="18"/>
                <w:szCs w:val="18"/>
                <w:b w:val="1"/>
                <w:bCs w:val="1"/>
                <w:color w:val="auto"/>
              </w:rPr>
              <w:t>EXHIBIT H</w:t>
            </w:r>
          </w:p>
        </w:tc>
      </w:tr>
      <w:tr>
        <w:trPr>
          <w:trHeight w:val="216"/>
        </w:trPr>
        <w:tc>
          <w:tcPr>
            <w:tcW w:w="2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6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6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Credit Agreement</w:t>
            </w:r>
          </w:p>
        </w:tc>
      </w:tr>
      <w:tr>
        <w:trPr>
          <w:trHeight w:val="446"/>
        </w:trPr>
        <w:tc>
          <w:tcPr>
            <w:tcW w:w="2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0" w:type="dxa"/>
            <w:vAlign w:val="bottom"/>
            <w:gridSpan w:val="5"/>
          </w:tcPr>
          <w:p>
            <w:pPr>
              <w:ind w:left="180"/>
              <w:spacing w:after="0"/>
              <w:rPr>
                <w:sz w:val="20"/>
                <w:szCs w:val="20"/>
                <w:color w:val="auto"/>
              </w:rPr>
            </w:pPr>
            <w:r>
              <w:rPr>
                <w:rFonts w:ascii="Arial" w:cs="Arial" w:eastAsia="Arial" w:hAnsi="Arial"/>
                <w:sz w:val="18"/>
                <w:szCs w:val="18"/>
                <w:b w:val="1"/>
                <w:bCs w:val="1"/>
                <w:color w:val="auto"/>
              </w:rPr>
              <w:t>FORM OF JOINDER AGREEMENT</w:t>
            </w:r>
          </w:p>
        </w:tc>
      </w:tr>
      <w:tr>
        <w:trPr>
          <w:trHeight w:val="392"/>
        </w:trPr>
        <w:tc>
          <w:tcPr>
            <w:tcW w:w="2800" w:type="dxa"/>
            <w:vAlign w:val="bottom"/>
          </w:tcPr>
          <w:p>
            <w:pPr>
              <w:spacing w:after="0"/>
              <w:rPr>
                <w:sz w:val="20"/>
                <w:szCs w:val="20"/>
                <w:color w:val="auto"/>
              </w:rPr>
            </w:pPr>
            <w:r>
              <w:rPr>
                <w:rFonts w:ascii="Arial" w:cs="Arial" w:eastAsia="Arial" w:hAnsi="Arial"/>
                <w:sz w:val="18"/>
                <w:szCs w:val="18"/>
                <w:color w:val="auto"/>
                <w:w w:val="93"/>
              </w:rPr>
              <w:t>JOINDER AGREEMENT, dated as of</w:t>
            </w:r>
          </w:p>
        </w:tc>
        <w:tc>
          <w:tcPr>
            <w:tcW w:w="360" w:type="dxa"/>
            <w:vAlign w:val="bottom"/>
          </w:tcPr>
          <w:p>
            <w:pPr>
              <w:spacing w:after="0"/>
              <w:rPr>
                <w:sz w:val="24"/>
                <w:szCs w:val="24"/>
                <w:color w:val="auto"/>
              </w:rPr>
            </w:pPr>
          </w:p>
        </w:tc>
        <w:tc>
          <w:tcPr>
            <w:tcW w:w="7200" w:type="dxa"/>
            <w:vAlign w:val="bottom"/>
            <w:gridSpan w:val="5"/>
          </w:tcPr>
          <w:p>
            <w:pPr>
              <w:spacing w:after="0"/>
              <w:rPr>
                <w:sz w:val="20"/>
                <w:szCs w:val="20"/>
                <w:color w:val="auto"/>
              </w:rPr>
            </w:pPr>
            <w:r>
              <w:rPr>
                <w:rFonts w:ascii="Arial" w:cs="Arial" w:eastAsia="Arial" w:hAnsi="Arial"/>
                <w:sz w:val="18"/>
                <w:szCs w:val="18"/>
                <w:color w:val="auto"/>
                <w:w w:val="92"/>
              </w:rPr>
              <w:t>, 20  , made by each signatory hereto (each a “Subsidiary Borrower”), in favor of JPMorgan Chase</w:t>
            </w:r>
          </w:p>
        </w:tc>
      </w:tr>
      <w:tr>
        <w:trPr>
          <w:trHeight w:val="20"/>
        </w:trPr>
        <w:tc>
          <w:tcPr>
            <w:tcW w:w="2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53" w:lineRule="auto"/>
        <w:rPr>
          <w:sz w:val="20"/>
          <w:szCs w:val="20"/>
          <w:color w:val="auto"/>
        </w:rPr>
      </w:pPr>
      <w:r>
        <w:rPr>
          <w:rFonts w:ascii="Arial" w:cs="Arial" w:eastAsia="Arial" w:hAnsi="Arial"/>
          <w:sz w:val="18"/>
          <w:szCs w:val="18"/>
          <w:color w:val="auto"/>
        </w:rPr>
        <w:t>Bank, N.A.,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or, in the case of any additional Brazilian Subsidiary Borrower, Banco do Brasil S.A., as administrative agent for the Brazilian Lenders (in such capacity, the “</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referred to in the Third Amended and Restated Three Year Revolving Credit Agreement, dated as of April 18, 2018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Lenders referred to therein, the Administrative Agent, the Brazilian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parties to this Joinder Agreement wish to add the Subsidiary Borrower to the Credit Agreement in the manner hereinafter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and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this Joinder Agreement is entered into pursuant to Section 10.1(d)(i) of the Credit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premises, the parties hereto hereby agree as follows:</w:t>
      </w:r>
    </w:p>
    <w:p>
      <w:pPr>
        <w:spacing w:after="0" w:line="225" w:lineRule="exact"/>
        <w:rPr>
          <w:sz w:val="20"/>
          <w:szCs w:val="20"/>
          <w:color w:val="auto"/>
        </w:rPr>
      </w:pPr>
    </w:p>
    <w:p>
      <w:pPr>
        <w:ind w:right="320" w:firstLine="921"/>
        <w:spacing w:after="0" w:line="259" w:lineRule="auto"/>
        <w:tabs>
          <w:tab w:leader="none" w:pos="109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86" w:lineRule="exact"/>
        <w:rPr>
          <w:rFonts w:ascii="Arial" w:cs="Arial" w:eastAsia="Arial" w:hAnsi="Arial"/>
          <w:sz w:val="18"/>
          <w:szCs w:val="18"/>
          <w:color w:val="auto"/>
        </w:rPr>
      </w:pPr>
    </w:p>
    <w:p>
      <w:pPr>
        <w:ind w:right="60" w:firstLine="921"/>
        <w:spacing w:after="0" w:line="277" w:lineRule="auto"/>
        <w:tabs>
          <w:tab w:leader="none" w:pos="109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address, taxpayer identification number (if any) and jurisdiction of organization of the Subsidiary Borrower is set forth in Annex I to this Joinder Agreement.</w:t>
      </w:r>
    </w:p>
    <w:p>
      <w:pPr>
        <w:spacing w:after="0" w:line="166" w:lineRule="exact"/>
        <w:rPr>
          <w:rFonts w:ascii="Arial" w:cs="Arial" w:eastAsia="Arial" w:hAnsi="Arial"/>
          <w:sz w:val="18"/>
          <w:szCs w:val="18"/>
          <w:color w:val="auto"/>
        </w:rPr>
      </w:pPr>
    </w:p>
    <w:p>
      <w:pPr>
        <w:ind w:right="100" w:firstLine="921"/>
        <w:spacing w:after="0" w:line="282" w:lineRule="auto"/>
        <w:tabs>
          <w:tab w:leader="none" w:pos="1093"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1340"/>
          </w:cols>
          <w:pgMar w:left="240" w:top="270" w:right="319" w:bottom="1440" w:gutter="0" w:footer="0" w:header="0"/>
        </w:sectPr>
      </w:pPr>
    </w:p>
    <w:bookmarkStart w:id="218" w:name="page219"/>
    <w:bookmarkEnd w:id="218"/>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[EACH SUBSIDIARY BORROWER],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Subsidiary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 TO</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[Banco do Brasil S.A.,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Brazilian Administrative Agent]</w:t>
      </w:r>
      <w:r>
        <w:rPr>
          <w:rFonts w:ascii="Arial" w:cs="Arial" w:eastAsia="Arial" w:hAnsi="Arial"/>
          <w:sz w:val="15"/>
          <w:szCs w:val="15"/>
          <w:color w:val="auto"/>
        </w:rPr>
        <w:t>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89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60" w:hanging="252"/>
        <w:spacing w:after="0"/>
        <w:tabs>
          <w:tab w:leader="none" w:pos="260" w:val="left"/>
        </w:tabs>
        <w:numPr>
          <w:ilvl w:val="0"/>
          <w:numId w:val="216"/>
        </w:numPr>
        <w:rPr>
          <w:rFonts w:ascii="Arial" w:cs="Arial" w:eastAsia="Arial" w:hAnsi="Arial"/>
          <w:sz w:val="15"/>
          <w:szCs w:val="15"/>
          <w:color w:val="auto"/>
        </w:rPr>
      </w:pPr>
      <w:r>
        <w:rPr>
          <w:rFonts w:ascii="Arial" w:cs="Arial" w:eastAsia="Arial" w:hAnsi="Arial"/>
          <w:sz w:val="18"/>
          <w:szCs w:val="18"/>
          <w:color w:val="auto"/>
        </w:rPr>
        <w:t>Only if for a Brazilian Borrower.</w:t>
      </w:r>
    </w:p>
    <w:p>
      <w:pPr>
        <w:sectPr>
          <w:pgSz w:w="11900" w:h="16838" w:orient="portrait"/>
          <w:cols w:equalWidth="0" w:num="1">
            <w:col w:w="11280"/>
          </w:cols>
          <w:pgMar w:left="240" w:top="274" w:right="379" w:bottom="1440" w:gutter="0" w:footer="0" w:header="0"/>
        </w:sectPr>
      </w:pPr>
    </w:p>
    <w:bookmarkStart w:id="219" w:name="page220"/>
    <w:bookmarkEnd w:id="219"/>
    <w:p>
      <w:pPr>
        <w:jc w:val="center"/>
        <w:ind w:left="9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I-1</w:t>
      </w:r>
    </w:p>
    <w:p>
      <w:pPr>
        <w:spacing w:after="0" w:line="27"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Credit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2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Reference is hereby made to the Third Amended and Restated Three Year Revolving Credit Agreement dated as of April 18, 2018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Global Treasury Centre Limited, a corporation organized under the laws of England and Wales,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Banco do Brasil S.A., as Brazilian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and beneficial owner of the Commitment, the Loan(s) (as well as any Note(s) evidencing such Loan(s)), and the L/C Obligations in respect of which it is providing this certificate,</w:t>
      </w:r>
    </w:p>
    <w:p>
      <w:pPr>
        <w:ind w:right="80" w:firstLine="8"/>
        <w:spacing w:after="0" w:line="277" w:lineRule="auto"/>
        <w:tabs>
          <w:tab w:leader="none" w:pos="26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400"/>
          </w:cols>
          <w:pgMar w:left="240" w:top="270" w:right="259" w:bottom="1440" w:gutter="0" w:footer="0" w:header="0"/>
        </w:sectPr>
      </w:pPr>
    </w:p>
    <w:bookmarkStart w:id="220" w:name="page221"/>
    <w:bookmarkEnd w:id="22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3429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-10160</wp:posOffset>
            </wp:positionV>
            <wp:extent cx="1143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0560"/>
          </w:cols>
          <w:pgMar w:left="240" w:top="274" w:right="1099" w:bottom="1440" w:gutter="0" w:footer="0" w:header="0"/>
        </w:sectPr>
      </w:pPr>
    </w:p>
    <w:bookmarkStart w:id="221" w:name="page222"/>
    <w:bookmarkEnd w:id="221"/>
    <w:p>
      <w:pPr>
        <w:jc w:val="center"/>
        <w:ind w:left="9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I-2</w:t>
      </w:r>
    </w:p>
    <w:p>
      <w:pPr>
        <w:spacing w:after="0" w:line="27" w:lineRule="exact"/>
        <w:rPr>
          <w:sz w:val="20"/>
          <w:szCs w:val="20"/>
          <w:color w:val="auto"/>
        </w:rPr>
      </w:pPr>
    </w:p>
    <w:p>
      <w:pPr>
        <w:jc w:val="center"/>
        <w:ind w:left="91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20"/>
        <w:spacing w:after="0"/>
        <w:rPr>
          <w:sz w:val="20"/>
          <w:szCs w:val="20"/>
          <w:color w:val="auto"/>
        </w:rPr>
      </w:pPr>
      <w:r>
        <w:rPr>
          <w:rFonts w:ascii="Arial" w:cs="Arial" w:eastAsia="Arial" w:hAnsi="Arial"/>
          <w:sz w:val="18"/>
          <w:szCs w:val="18"/>
          <w:b w:val="1"/>
          <w:bCs w:val="1"/>
          <w:color w:val="auto"/>
        </w:rPr>
        <w:t>Credit Agreement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Reference is hereby made to the Third Amended and Restated Three Year Revolving Credit Agreement dated as of April 18, 2018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Global Treasury Centre Limited, a corporation organized under the laws of England and Wales,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Banco do Brasil S.A., as Brazilian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92"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and the L/C Obligations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has furnished, or concurrently herewith furnishes, the Administrative Agent and the Company with IRS</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w:t>
      </w:r>
    </w:p>
    <w:p>
      <w:pPr>
        <w:sectPr>
          <w:pgSz w:w="11900" w:h="16838" w:orient="portrait"/>
          <w:cols w:equalWidth="0" w:num="1">
            <w:col w:w="11360"/>
          </w:cols>
          <w:pgMar w:left="240" w:top="270" w:right="299" w:bottom="1440" w:gutter="0" w:footer="0" w:header="0"/>
        </w:sectPr>
      </w:pPr>
    </w:p>
    <w:bookmarkStart w:id="222" w:name="page223"/>
    <w:bookmarkEnd w:id="22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pacing w:after="0" w:line="18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-1905</wp:posOffset>
            </wp:positionV>
            <wp:extent cx="265874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3429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-10160</wp:posOffset>
            </wp:positionV>
            <wp:extent cx="1143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223" w:name="page224"/>
    <w:bookmarkEnd w:id="223"/>
    <w:p>
      <w:pPr>
        <w:jc w:val="center"/>
        <w:ind w:left="9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I-3</w:t>
      </w:r>
    </w:p>
    <w:p>
      <w:pPr>
        <w:spacing w:after="0" w:line="27"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Credit Agreement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Reference is hereby made to the Third Amended and Restated Three Year Revolving Credit Agreement dated as of April 18, 2018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Global Treasury Centre Limited, a corporation organized under the laws of England and Wales,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Banco do Brasil S.A., as Brazilian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9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380"/>
          </w:cols>
          <w:pgMar w:left="240" w:top="270" w:right="279" w:bottom="1440" w:gutter="0" w:footer="0" w:header="0"/>
        </w:sectPr>
      </w:pPr>
    </w:p>
    <w:bookmarkStart w:id="224" w:name="page225"/>
    <w:bookmarkEnd w:id="22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-1905</wp:posOffset>
            </wp:positionV>
            <wp:extent cx="265874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3429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-10160</wp:posOffset>
            </wp:positionV>
            <wp:extent cx="1143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0560"/>
          </w:cols>
          <w:pgMar w:left="240" w:top="274" w:right="1099" w:bottom="1440" w:gutter="0" w:footer="0" w:header="0"/>
        </w:sectPr>
      </w:pPr>
    </w:p>
    <w:bookmarkStart w:id="225" w:name="page226"/>
    <w:bookmarkEnd w:id="225"/>
    <w:p>
      <w:pPr>
        <w:jc w:val="center"/>
        <w:ind w:left="9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I-4</w:t>
      </w:r>
    </w:p>
    <w:p>
      <w:pPr>
        <w:spacing w:after="0" w:line="27"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Credit Agreement</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U.S. TAX COMPLIANCE CERTIFICATE</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2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Reference is hereby made to the Third Amended and Restated Three Year Revolving Credit Agreement dated as of April 18, 2018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Global Treasury Centre Limited, a corporation organized under the laws of England and Wales,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Banco do Brasil S.A., as Brazilian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9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w:t>
      </w:r>
    </w:p>
    <w:p>
      <w:pPr>
        <w:ind w:firstLine="8"/>
        <w:spacing w:after="0" w:line="253" w:lineRule="auto"/>
        <w:tabs>
          <w:tab w:leader="none" w:pos="31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9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400"/>
          </w:cols>
          <w:pgMar w:left="240" w:top="270" w:right="259" w:bottom="1440" w:gutter="0" w:footer="0" w:header="0"/>
        </w:sectPr>
      </w:pPr>
    </w:p>
    <w:bookmarkStart w:id="226" w:name="page227"/>
    <w:bookmarkEnd w:id="22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-1905</wp:posOffset>
            </wp:positionV>
            <wp:extent cx="265874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3429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-10160</wp:posOffset>
            </wp:positionV>
            <wp:extent cx="1143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0560"/>
          </w:cols>
          <w:pgMar w:left="240" w:top="274" w:right="1099" w:bottom="1440" w:gutter="0" w:footer="0" w:header="0"/>
        </w:sectPr>
      </w:pPr>
    </w:p>
    <w:bookmarkStart w:id="227" w:name="page228"/>
    <w:bookmarkEnd w:id="227"/>
    <w:p>
      <w:pPr>
        <w:jc w:val="center"/>
        <w:ind w:left="9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J</w:t>
      </w:r>
    </w:p>
    <w:p>
      <w:pPr>
        <w:spacing w:after="0" w:line="27"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Credit Agreement</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COMPLIANCE CERTIFICATE</w:t>
      </w:r>
    </w:p>
    <w:p>
      <w:pPr>
        <w:spacing w:after="0" w:line="229"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6623050</wp:posOffset>
            </wp:positionH>
            <wp:positionV relativeFrom="paragraph">
              <wp:posOffset>-10160</wp:posOffset>
            </wp:positionV>
            <wp:extent cx="3429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-10160</wp:posOffset>
            </wp:positionV>
            <wp:extent cx="1143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Chase Bank, N.A., as Administrative Agent under the Credit Agreements referred to below</w:t>
      </w:r>
    </w:p>
    <w:p>
      <w:pPr>
        <w:spacing w:after="0" w:line="252" w:lineRule="exact"/>
        <w:rPr>
          <w:sz w:val="20"/>
          <w:szCs w:val="20"/>
          <w:color w:val="auto"/>
        </w:rPr>
      </w:pPr>
    </w:p>
    <w:p>
      <w:pPr>
        <w:ind w:left="460" w:hanging="459"/>
        <w:spacing w:after="0" w:line="283" w:lineRule="auto"/>
        <w:tabs>
          <w:tab w:leader="none" w:pos="440" w:val="left"/>
        </w:tabs>
        <w:rPr>
          <w:sz w:val="20"/>
          <w:szCs w:val="20"/>
          <w:color w:val="auto"/>
        </w:rPr>
      </w:pPr>
      <w:r>
        <w:rPr>
          <w:rFonts w:ascii="Arial" w:cs="Arial" w:eastAsia="Arial" w:hAnsi="Arial"/>
          <w:sz w:val="16"/>
          <w:szCs w:val="16"/>
          <w:color w:val="auto"/>
        </w:rPr>
        <w:t>Re:</w:t>
        <w:tab/>
        <w:t>(i) the Third Amended and Restated Three Year Revolving Credit Agreement, dated as of April 18, 2018 (as amended, restated, amended and restated, renewed, supplemented or modified from time to time, the “3</w:t>
      </w:r>
      <w:r>
        <w:rPr>
          <w:rFonts w:ascii="Arial" w:cs="Arial" w:eastAsia="Arial" w:hAnsi="Arial"/>
          <w:sz w:val="16"/>
          <w:szCs w:val="16"/>
          <w:u w:val="single" w:color="auto"/>
          <w:color w:val="auto"/>
        </w:rPr>
        <w:t>-Year Credit Agreement</w:t>
      </w:r>
      <w:r>
        <w:rPr>
          <w:rFonts w:ascii="Arial" w:cs="Arial" w:eastAsia="Arial" w:hAnsi="Arial"/>
          <w:sz w:val="16"/>
          <w:szCs w:val="16"/>
          <w:color w:val="auto"/>
        </w:rPr>
        <w:t>”), 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Global Treasury Centre Limited, a corporation organized under the laws of England and Wales (“</w:t>
      </w:r>
      <w:r>
        <w:rPr>
          <w:rFonts w:ascii="Arial" w:cs="Arial" w:eastAsia="Arial" w:hAnsi="Arial"/>
          <w:sz w:val="16"/>
          <w:szCs w:val="16"/>
          <w:u w:val="single" w:color="auto"/>
          <w:color w:val="auto"/>
        </w:rPr>
        <w:t>GMGTC</w:t>
      </w:r>
      <w:r>
        <w:rPr>
          <w:rFonts w:ascii="Arial" w:cs="Arial" w:eastAsia="Arial" w:hAnsi="Arial"/>
          <w:sz w:val="16"/>
          <w:szCs w:val="16"/>
          <w:color w:val="auto"/>
        </w:rPr>
        <w:t>”), General Motors do Brasil Ltda., a Brazilian limited liability company (“</w:t>
      </w:r>
      <w:r>
        <w:rPr>
          <w:rFonts w:ascii="Arial" w:cs="Arial" w:eastAsia="Arial" w:hAnsi="Arial"/>
          <w:sz w:val="16"/>
          <w:szCs w:val="16"/>
          <w:u w:val="single" w:color="auto"/>
          <w:color w:val="auto"/>
        </w:rPr>
        <w:t>GMB</w:t>
      </w:r>
      <w:r>
        <w:rPr>
          <w:rFonts w:ascii="Arial" w:cs="Arial" w:eastAsia="Arial" w:hAnsi="Arial"/>
          <w:sz w:val="16"/>
          <w:szCs w:val="16"/>
          <w:color w:val="auto"/>
        </w:rPr>
        <w:t>”), the Subsidiary Borrowers from time to time party thereto, the lenders from time to time party thereto, as 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 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Bank of America, N.A., as co-syndication agent (in such capacity, the “</w:t>
      </w:r>
      <w:r>
        <w:rPr>
          <w:rFonts w:ascii="Arial" w:cs="Arial" w:eastAsia="Arial" w:hAnsi="Arial"/>
          <w:sz w:val="16"/>
          <w:szCs w:val="16"/>
          <w:u w:val="single" w:color="auto"/>
          <w:color w:val="auto"/>
        </w:rPr>
        <w:t>Co-Syndication Agent</w:t>
      </w:r>
      <w:r>
        <w:rPr>
          <w:rFonts w:ascii="Arial" w:cs="Arial" w:eastAsia="Arial" w:hAnsi="Arial"/>
          <w:sz w:val="16"/>
          <w:szCs w:val="16"/>
          <w:color w:val="auto"/>
        </w:rPr>
        <w:t>”), and the other agents party thereto, (ii) the Third Amended and Restated Five Year Revolving Credit Agreement, dated as of April 18, 2018 (as amended, restated, amended and restated, renewed, supplemented or modified from time to time, the “</w:t>
      </w:r>
      <w:r>
        <w:rPr>
          <w:rFonts w:ascii="Arial" w:cs="Arial" w:eastAsia="Arial" w:hAnsi="Arial"/>
          <w:sz w:val="16"/>
          <w:szCs w:val="16"/>
          <w:u w:val="single" w:color="auto"/>
          <w:color w:val="auto"/>
        </w:rPr>
        <w:t>5-Year Credit Agreement</w:t>
      </w:r>
      <w:r>
        <w:rPr>
          <w:rFonts w:ascii="Arial" w:cs="Arial" w:eastAsia="Arial" w:hAnsi="Arial"/>
          <w:sz w:val="16"/>
          <w:szCs w:val="16"/>
          <w:color w:val="auto"/>
        </w:rPr>
        <w:t>”), among the Company, GMF, GMGTC, GMB, the Subsidiary Borrowers from time to time party thereto, the lenders from time to time party thereto, as lenders (the “</w:t>
      </w:r>
      <w:r>
        <w:rPr>
          <w:rFonts w:ascii="Arial" w:cs="Arial" w:eastAsia="Arial" w:hAnsi="Arial"/>
          <w:sz w:val="16"/>
          <w:szCs w:val="16"/>
          <w:u w:val="single" w:color="auto"/>
          <w:color w:val="auto"/>
        </w:rPr>
        <w:t>5-Year Lenders</w:t>
      </w:r>
      <w:r>
        <w:rPr>
          <w:rFonts w:ascii="Arial" w:cs="Arial" w:eastAsia="Arial" w:hAnsi="Arial"/>
          <w:sz w:val="16"/>
          <w:szCs w:val="16"/>
          <w:color w:val="auto"/>
        </w:rPr>
        <w:t>”), JPM, as administrative agent for the 5-Year Lenders (in such capacity, together with any successor thereto in such capacity,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Banco do Brasil S.A., as Brazilian administrative agent, the Syndication Agent, the Co-Syndication Agent, and the other agents party thereto and</w:t>
      </w:r>
    </w:p>
    <w:p>
      <w:pPr>
        <w:spacing w:after="0" w:line="3" w:lineRule="exact"/>
        <w:rPr>
          <w:sz w:val="20"/>
          <w:szCs w:val="20"/>
          <w:color w:val="auto"/>
        </w:rPr>
      </w:pPr>
    </w:p>
    <w:p>
      <w:pPr>
        <w:ind w:left="460" w:right="20" w:hanging="6"/>
        <w:spacing w:after="0" w:line="269" w:lineRule="auto"/>
        <w:tabs>
          <w:tab w:leader="none" w:pos="775"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364-Day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364-Day Credit Agreement</w:t>
      </w:r>
      <w:r>
        <w:rPr>
          <w:rFonts w:ascii="Arial" w:cs="Arial" w:eastAsia="Arial" w:hAnsi="Arial"/>
          <w:sz w:val="17"/>
          <w:szCs w:val="17"/>
          <w:color w:val="auto"/>
        </w:rPr>
        <w:t>” and together with the 3-Year Credit Agreement and the 5-Year Credit Agreement, the “</w:t>
      </w:r>
      <w:r>
        <w:rPr>
          <w:rFonts w:ascii="Arial" w:cs="Arial" w:eastAsia="Arial" w:hAnsi="Arial"/>
          <w:sz w:val="17"/>
          <w:szCs w:val="17"/>
          <w:u w:val="single" w:color="auto"/>
          <w:color w:val="auto"/>
        </w:rPr>
        <w:t>Credit Agreements</w:t>
      </w:r>
      <w:r>
        <w:rPr>
          <w:rFonts w:ascii="Arial" w:cs="Arial" w:eastAsia="Arial" w:hAnsi="Arial"/>
          <w:sz w:val="17"/>
          <w:szCs w:val="17"/>
          <w:color w:val="auto"/>
        </w:rPr>
        <w:t>” and each a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 GMF, GMGTC, the Subsidiary Borrowers from time to time party thereto, the lenders from time to time party thereto, as lenders (the “</w:t>
      </w:r>
      <w:r>
        <w:rPr>
          <w:rFonts w:ascii="Arial" w:cs="Arial" w:eastAsia="Arial" w:hAnsi="Arial"/>
          <w:sz w:val="17"/>
          <w:szCs w:val="17"/>
          <w:u w:val="single" w:color="auto"/>
          <w:color w:val="auto"/>
        </w:rPr>
        <w:t>364-Day Lenders</w:t>
      </w:r>
      <w:r>
        <w:rPr>
          <w:rFonts w:ascii="Arial" w:cs="Arial" w:eastAsia="Arial" w:hAnsi="Arial"/>
          <w:sz w:val="17"/>
          <w:szCs w:val="17"/>
          <w:color w:val="auto"/>
        </w:rPr>
        <w:t>” and together with the 3-Year Lenders and the 5-Year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JPM as the Administrative Agent for the 364-Day Lenders (in such capacity, together with any successor thereto in such capacity, the “</w:t>
      </w:r>
      <w:r>
        <w:rPr>
          <w:rFonts w:ascii="Arial" w:cs="Arial" w:eastAsia="Arial" w:hAnsi="Arial"/>
          <w:sz w:val="17"/>
          <w:szCs w:val="17"/>
          <w:u w:val="single" w:color="auto"/>
          <w:color w:val="auto"/>
        </w:rPr>
        <w:t>364-Day Administrative Agent</w:t>
      </w:r>
      <w:r>
        <w:rPr>
          <w:rFonts w:ascii="Arial" w:cs="Arial" w:eastAsia="Arial" w:hAnsi="Arial"/>
          <w:sz w:val="17"/>
          <w:szCs w:val="17"/>
          <w:color w:val="auto"/>
        </w:rPr>
        <w:t>” and together with the 3-Year Administrative Agent and the 5-Year Administrative Agent, the “</w:t>
      </w:r>
      <w:r>
        <w:rPr>
          <w:rFonts w:ascii="Arial" w:cs="Arial" w:eastAsia="Arial" w:hAnsi="Arial"/>
          <w:sz w:val="17"/>
          <w:szCs w:val="17"/>
          <w:u w:val="single" w:color="auto"/>
          <w:color w:val="auto"/>
        </w:rPr>
        <w:t>Administrative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w:t>
      </w:r>
      <w:r>
        <w:rPr>
          <w:rFonts w:ascii="Arial" w:cs="Arial" w:eastAsia="Arial" w:hAnsi="Arial"/>
          <w:sz w:val="17"/>
          <w:szCs w:val="17"/>
          <w:color w:val="auto"/>
        </w:rPr>
        <w:t>”), the Syndication Agent, the Co-Syndication Agent, and the other agents party thereto.</w:t>
      </w:r>
    </w:p>
    <w:p>
      <w:pPr>
        <w:sectPr>
          <w:pgSz w:w="11900" w:h="16838" w:orient="portrait"/>
          <w:cols w:equalWidth="0" w:num="1">
            <w:col w:w="11380"/>
          </w:cols>
          <w:pgMar w:left="240" w:top="270" w:right="279" w:bottom="1440" w:gutter="0" w:footer="0" w:header="0"/>
        </w:sectPr>
      </w:pPr>
    </w:p>
    <w:bookmarkStart w:id="228" w:name="page229"/>
    <w:bookmarkEnd w:id="228"/>
    <w:p>
      <w:pPr>
        <w:ind w:right="4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Compliance Certificate (this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is furnished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66" w:lineRule="exact"/>
        <w:rPr>
          <w:sz w:val="20"/>
          <w:szCs w:val="20"/>
          <w:color w:val="auto"/>
        </w:rPr>
      </w:pPr>
    </w:p>
    <w:p>
      <w:pPr>
        <w:ind w:left="640" w:hanging="176"/>
        <w:spacing w:after="0"/>
        <w:tabs>
          <w:tab w:leader="none" w:pos="6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 am [the] [a] duly elected [insert title of Responsible Officer] of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To the best of my knowledge, no Default or Event of Default has occurred and is continuing as of the date hereof [, except as set forth in </w:t>
      </w:r>
      <w:r>
        <w:rPr>
          <w:rFonts w:ascii="Arial" w:cs="Arial" w:eastAsia="Arial" w:hAnsi="Arial"/>
          <w:sz w:val="16"/>
          <w:szCs w:val="16"/>
          <w:u w:val="single" w:color="auto"/>
          <w:color w:val="auto"/>
        </w:rPr>
        <w:t>Annex 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10" w:lineRule="exact"/>
        <w:rPr>
          <w:rFonts w:ascii="Arial" w:cs="Arial" w:eastAsia="Arial" w:hAnsi="Arial"/>
          <w:sz w:val="16"/>
          <w:szCs w:val="16"/>
          <w:color w:val="auto"/>
        </w:rPr>
      </w:pPr>
    </w:p>
    <w:p>
      <w:pPr>
        <w:ind w:firstLine="464"/>
        <w:spacing w:after="0" w:line="277" w:lineRule="auto"/>
        <w:tabs>
          <w:tab w:leader="none" w:pos="63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 and</w:t>
      </w:r>
    </w:p>
    <w:p>
      <w:pPr>
        <w:spacing w:after="0" w:line="170" w:lineRule="exact"/>
        <w:rPr>
          <w:rFonts w:ascii="Arial" w:cs="Arial" w:eastAsia="Arial" w:hAnsi="Arial"/>
          <w:sz w:val="18"/>
          <w:szCs w:val="18"/>
          <w:color w:val="auto"/>
        </w:rPr>
      </w:pPr>
    </w:p>
    <w:p>
      <w:pPr>
        <w:ind w:right="140" w:firstLine="464"/>
        <w:spacing w:after="0" w:line="277" w:lineRule="auto"/>
        <w:tabs>
          <w:tab w:leader="none" w:pos="63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340"/>
          </w:cols>
          <w:pgMar w:left="240" w:top="274" w:right="319" w:bottom="1440" w:gutter="0" w:footer="0" w:header="0"/>
        </w:sectPr>
      </w:pPr>
    </w:p>
    <w:bookmarkStart w:id="229" w:name="page230"/>
    <w:bookmarkEnd w:id="22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foregoing certifications, together with the calculations set forth in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are made and delivered in my capacity described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for and on behalf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2885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140"/>
          </w:cols>
          <w:pgMar w:left="240" w:top="274" w:right="519" w:bottom="1440" w:gutter="0" w:footer="0" w:header="0"/>
        </w:sectPr>
      </w:pPr>
    </w:p>
    <w:bookmarkStart w:id="230" w:name="page231"/>
    <w:bookmarkEnd w:id="230"/>
    <w:p>
      <w:pPr>
        <w:jc w:val="center"/>
        <w:ind w:left="9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7"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Compliance Certificate</w:t>
      </w:r>
    </w:p>
    <w:p>
      <w:pPr>
        <w:spacing w:after="0" w:line="224" w:lineRule="exact"/>
        <w:rPr>
          <w:sz w:val="20"/>
          <w:szCs w:val="20"/>
          <w:color w:val="auto"/>
        </w:rPr>
      </w:pPr>
    </w:p>
    <w:p>
      <w:pPr>
        <w:ind w:left="2840"/>
        <w:spacing w:after="0"/>
        <w:tabs>
          <w:tab w:leader="none" w:pos="6200" w:val="left"/>
          <w:tab w:leader="none" w:pos="6740" w:val="left"/>
        </w:tabs>
        <w:rPr>
          <w:sz w:val="20"/>
          <w:szCs w:val="20"/>
          <w:color w:val="auto"/>
        </w:rPr>
      </w:pPr>
      <w:r>
        <w:rPr>
          <w:rFonts w:ascii="Arial" w:cs="Arial" w:eastAsia="Arial" w:hAnsi="Arial"/>
          <w:sz w:val="18"/>
          <w:szCs w:val="18"/>
          <w:color w:val="auto"/>
        </w:rPr>
        <w:t>Consolidated Domestic Liquidity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(the “Calculation Date”)</w:t>
      </w:r>
      <w:r>
        <w:rPr>
          <w:rFonts w:ascii="Arial" w:cs="Arial" w:eastAsia="Arial" w:hAnsi="Arial"/>
          <w:sz w:val="13"/>
          <w:szCs w:val="13"/>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-10160</wp:posOffset>
            </wp:positionV>
            <wp:extent cx="36029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602990" cy="8890"/>
                    </a:xfrm>
                    <a:prstGeom prst="rect">
                      <a:avLst/>
                    </a:prstGeom>
                    <a:noFill/>
                  </pic:spPr>
                </pic:pic>
              </a:graphicData>
            </a:graphic>
          </wp:anchor>
        </w:drawing>
      </w:r>
    </w:p>
    <w:p>
      <w:pPr>
        <w:spacing w:after="0" w:line="205" w:lineRule="exact"/>
        <w:rPr>
          <w:sz w:val="20"/>
          <w:szCs w:val="20"/>
          <w:color w:val="auto"/>
        </w:rPr>
      </w:pPr>
    </w:p>
    <w:p>
      <w:pPr>
        <w:ind w:right="5300" w:firstLine="8"/>
        <w:spacing w:after="0" w:line="277" w:lineRule="auto"/>
        <w:tabs>
          <w:tab w:leader="none" w:pos="29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Total Available Commitments under the 3-Year Credit Agreement as of the Calculation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right="5320" w:firstLine="8"/>
        <w:spacing w:after="0" w:line="277" w:lineRule="auto"/>
        <w:tabs>
          <w:tab w:leader="none" w:pos="28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right="5400" w:firstLine="8"/>
        <w:spacing w:after="0" w:line="277" w:lineRule="auto"/>
        <w:tabs>
          <w:tab w:leader="none" w:pos="285" w:val="left"/>
        </w:tabs>
        <w:numPr>
          <w:ilvl w:val="0"/>
          <w:numId w:val="22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Total Available Commitments Under the 364-Day Credit Agreement as of the Calculation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right="5400" w:firstLine="8"/>
        <w:spacing w:after="0" w:line="264" w:lineRule="auto"/>
        <w:tabs>
          <w:tab w:leader="none" w:pos="29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total available commitments (after giving effect to any applicable borrowing base limitations) under other effective committed credit facilities of the Company or any Domestic Subsidiary as of the Calculation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right="5420" w:firstLine="8"/>
        <w:spacing w:after="0" w:line="272" w:lineRule="auto"/>
        <w:tabs>
          <w:tab w:leader="none" w:pos="27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78"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u w:val="single" w:color="auto"/>
          <w:color w:val="auto"/>
        </w:rPr>
        <w:t>Sum of (A) plus (B) plus (C) plus (D) plus (E):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-10160</wp:posOffset>
            </wp:positionV>
            <wp:extent cx="3429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Domestic Liquidity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line="277" w:lineRule="auto"/>
        <w:tabs>
          <w:tab w:leader="none" w:pos="460" w:val="left"/>
        </w:tabs>
        <w:numPr>
          <w:ilvl w:val="0"/>
          <w:numId w:val="226"/>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1340"/>
          </w:cols>
          <w:pgMar w:left="240" w:top="270" w:right="319" w:bottom="1440" w:gutter="0" w:footer="0" w:header="0"/>
        </w:sectPr>
      </w:pPr>
    </w:p>
    <w:bookmarkStart w:id="231" w:name="page232"/>
    <w:bookmarkEnd w:id="231"/>
    <w:p>
      <w:pPr>
        <w:jc w:val="center"/>
        <w:ind w:left="9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7"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Compliance Certificate</w:t>
      </w:r>
    </w:p>
    <w:p>
      <w:pPr>
        <w:spacing w:after="0" w:line="224" w:lineRule="exact"/>
        <w:rPr>
          <w:sz w:val="20"/>
          <w:szCs w:val="20"/>
          <w:color w:val="auto"/>
        </w:rPr>
      </w:pPr>
    </w:p>
    <w:p>
      <w:pPr>
        <w:ind w:left="2980"/>
        <w:spacing w:after="0"/>
        <w:tabs>
          <w:tab w:leader="none" w:pos="6140" w:val="left"/>
          <w:tab w:leader="none" w:pos="6580" w:val="left"/>
        </w:tabs>
        <w:rPr>
          <w:sz w:val="20"/>
          <w:szCs w:val="20"/>
          <w:color w:val="auto"/>
        </w:rPr>
      </w:pPr>
      <w:r>
        <w:rPr>
          <w:rFonts w:ascii="Arial" w:cs="Arial" w:eastAsia="Arial" w:hAnsi="Arial"/>
          <w:sz w:val="18"/>
          <w:szCs w:val="18"/>
          <w:color w:val="auto"/>
        </w:rPr>
        <w:t>Consolidated Global Liquidity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(the “Calculation Date”)</w:t>
      </w:r>
      <w:r>
        <w:rPr>
          <w:rFonts w:ascii="Arial" w:cs="Arial" w:eastAsia="Arial" w:hAnsi="Arial"/>
          <w:sz w:val="14"/>
          <w:szCs w:val="14"/>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1894840</wp:posOffset>
            </wp:positionH>
            <wp:positionV relativeFrom="paragraph">
              <wp:posOffset>-10160</wp:posOffset>
            </wp:positionV>
            <wp:extent cx="341884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1884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(A)The Total Available Commitments under the 3-Year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as of the Calculation Date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ind w:right="6820" w:firstLine="8"/>
        <w:spacing w:after="0" w:line="277" w:lineRule="auto"/>
        <w:tabs>
          <w:tab w:leader="none" w:pos="28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(C)The Total Available Commitments Under the 364-Day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 as of the Calculation Date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(D)The total available commitments (after giving effect to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applicable borrowing base limitations) under other effective committed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facilities of the Company or any of its Subsidiaries as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Calculation Date.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PLUS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(E)The total cash (other than restricted cash), cash equivalents,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of the Company and its Subsidiaries (other than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Company that constitute Finance Subsidiaries,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 as reported in the Company’s most recent Annual Report on 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10-K or Quarterly Report on Form 10-Q, as applicable, filed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211"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u w:val="single" w:color="auto"/>
          <w:color w:val="auto"/>
        </w:rPr>
        <w:t>Sum of (A) plus (B) plus (C) plus (D) plus (E):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-10160</wp:posOffset>
            </wp:positionV>
            <wp:extent cx="6000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Global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89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3" w:lineRule="exact"/>
        <w:rPr>
          <w:sz w:val="20"/>
          <w:szCs w:val="20"/>
          <w:color w:val="auto"/>
        </w:rPr>
      </w:pPr>
    </w:p>
    <w:p>
      <w:pPr>
        <w:ind w:left="460" w:hanging="452"/>
        <w:spacing w:after="0" w:line="277" w:lineRule="auto"/>
        <w:tabs>
          <w:tab w:leader="none" w:pos="460" w:val="left"/>
        </w:tabs>
        <w:numPr>
          <w:ilvl w:val="0"/>
          <w:numId w:val="228"/>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1340"/>
          </w:cols>
          <w:pgMar w:left="240" w:top="270" w:right="319" w:bottom="1440" w:gutter="0" w:footer="0" w:header="0"/>
        </w:sectPr>
      </w:pPr>
    </w:p>
    <w:bookmarkStart w:id="232" w:name="page233"/>
    <w:bookmarkEnd w:id="232"/>
    <w:p>
      <w:pPr>
        <w:jc w:val="center"/>
        <w:ind w:left="6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1</w:t>
      </w:r>
    </w:p>
    <w:p>
      <w:pPr>
        <w:spacing w:after="0" w:line="27"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Compliance Certificate</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[Defaults/Events of Default that have occurred and are continuing]</w:t>
      </w:r>
    </w:p>
    <w:p>
      <w:pPr>
        <w:sectPr>
          <w:pgSz w:w="11900" w:h="16838" w:orient="portrait"/>
          <w:cols w:equalWidth="0" w:num="1">
            <w:col w:w="9019"/>
          </w:cols>
          <w:pgMar w:left="1440" w:top="270" w:right="1440" w:bottom="1440" w:gutter="0" w:footer="0" w:header="0"/>
        </w:sectPr>
      </w:pPr>
    </w:p>
    <w:bookmarkStart w:id="233" w:name="page234"/>
    <w:bookmarkEnd w:id="233"/>
    <w:p>
      <w:pPr>
        <w:jc w:val="center"/>
        <w:ind w:left="9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K</w:t>
      </w:r>
    </w:p>
    <w:p>
      <w:pPr>
        <w:spacing w:after="0" w:line="27"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Credit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20" w:type="dxa"/>
            <w:vAlign w:val="bottom"/>
            <w:gridSpan w:val="5"/>
          </w:tcPr>
          <w:p>
            <w:pPr>
              <w:ind w:left="8860"/>
              <w:spacing w:after="0"/>
              <w:rPr>
                <w:sz w:val="20"/>
                <w:szCs w:val="20"/>
                <w:color w:val="auto"/>
              </w:rPr>
            </w:pPr>
            <w:r>
              <w:rPr>
                <w:rFonts w:ascii="Arial" w:cs="Arial" w:eastAsia="Arial" w:hAnsi="Arial"/>
                <w:sz w:val="18"/>
                <w:szCs w:val="18"/>
                <w:color w:val="auto"/>
                <w:w w:val="92"/>
              </w:rPr>
              <w:t>New York, New York</w:t>
            </w:r>
          </w:p>
        </w:tc>
      </w:tr>
      <w:tr>
        <w:trPr>
          <w:trHeight w:val="190"/>
        </w:trPr>
        <w:tc>
          <w:tcPr>
            <w:tcW w:w="100" w:type="dxa"/>
            <w:vAlign w:val="bottom"/>
          </w:tcPr>
          <w:p>
            <w:pPr>
              <w:jc w:val="right"/>
              <w:spacing w:after="0" w:line="19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spacing w:after="0"/>
              <w:rPr>
                <w:sz w:val="16"/>
                <w:szCs w:val="16"/>
                <w:color w:val="auto"/>
              </w:rPr>
            </w:pPr>
          </w:p>
        </w:tc>
        <w:tc>
          <w:tcPr>
            <w:tcW w:w="93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auto"/>
                <w:w w:val="86"/>
              </w:rPr>
              <w:t>, 20</w:t>
            </w:r>
          </w:p>
        </w:tc>
        <w:tc>
          <w:tcPr>
            <w:tcW w:w="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bl>
    <w:p>
      <w:pPr>
        <w:spacing w:after="0" w:line="229" w:lineRule="exact"/>
        <w:rPr>
          <w:sz w:val="20"/>
          <w:szCs w:val="20"/>
          <w:color w:val="auto"/>
        </w:rPr>
      </w:pPr>
    </w:p>
    <w:p>
      <w:pPr>
        <w:ind w:right="500" w:firstLine="456"/>
        <w:spacing w:after="0" w:line="274" w:lineRule="auto"/>
        <w:rPr>
          <w:sz w:val="20"/>
          <w:szCs w:val="20"/>
          <w:color w:val="auto"/>
        </w:rPr>
      </w:pPr>
      <w:r>
        <w:rPr>
          <w:rFonts w:ascii="Arial" w:cs="Arial" w:eastAsia="Arial" w:hAnsi="Arial"/>
          <w:sz w:val="17"/>
          <w:szCs w:val="17"/>
          <w:color w:val="auto"/>
        </w:rPr>
        <w:t>FOR VALUE RECEIVED, the undersigned, [NAME OF BORROWER], [JURISDICTION OF INCORPORATION/FORMATION], [TYPE OF ORGANIZATION] (together with its successors and permitted assigns,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hereby unconditionally promises to pay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6584950</wp:posOffset>
            </wp:positionH>
            <wp:positionV relativeFrom="paragraph">
              <wp:posOffset>-24765</wp:posOffset>
            </wp:positionV>
            <wp:extent cx="5715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Lender</w:t>
      </w:r>
      <w:r>
        <w:rPr>
          <w:rFonts w:ascii="Arial" w:cs="Arial" w:eastAsia="Arial" w:hAnsi="Arial"/>
          <w:sz w:val="16"/>
          <w:szCs w:val="16"/>
          <w:color w:val="auto"/>
        </w:rPr>
        <w:t>”) or its registered assigns, on the Lender’s Termination Date specified in the Credit Agreement (as hereinafter defined) at the Funding Office</w:t>
      </w:r>
    </w:p>
    <w:p>
      <w:pPr>
        <w:spacing w:after="0" w:line="3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specified in such Credit Agreement, in the currency of such Loans and in immediately available funds, the principal amount of (a) ( ), or, if less, (b) the unpaid principal amount of the Loans of the Lender outstanding under the Credit Agreement. The Applicable Borrower further 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-444500</wp:posOffset>
            </wp:positionV>
            <wp:extent cx="98107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981075" cy="8890"/>
                    </a:xfrm>
                    <a:prstGeom prst="rect">
                      <a:avLst/>
                    </a:prstGeom>
                    <a:noFill/>
                  </pic:spPr>
                </pic:pic>
              </a:graphicData>
            </a:graphic>
          </wp:anchor>
        </w:drawing>
      </w:r>
    </w:p>
    <w:p>
      <w:pPr>
        <w:spacing w:after="0" w:line="17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 xml:space="preserve">The holder of this Note is authorized to endorse on the schedules annexed hereto and made a part hereof or on a continuation thereof which shall be attached hereto and made a part hereof the date, Facility, Type, Currency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 </w:t>
      </w:r>
      <w:r>
        <w:rPr>
          <w:rFonts w:ascii="Arial" w:cs="Arial" w:eastAsia="Arial" w:hAnsi="Arial"/>
          <w:sz w:val="18"/>
          <w:szCs w:val="18"/>
          <w:u w:val="single" w:color="auto"/>
          <w:color w:val="auto"/>
        </w:rPr>
        <w:t>Section 10.6(b)</w:t>
      </w:r>
      <w:r>
        <w:rPr>
          <w:rFonts w:ascii="Arial" w:cs="Arial" w:eastAsia="Arial" w:hAnsi="Arial"/>
          <w:sz w:val="18"/>
          <w:szCs w:val="18"/>
          <w:color w:val="auto"/>
        </w:rPr>
        <w:t xml:space="preserve"> of the Credit Agreement, each such endorsement shall constitute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Note (a) is one of the Notes referred to in the Third Amended and Restated Three Year Revolving Credit Agreement, dated as of April 18, 2018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General Motors Financial Company, Inc., a Texas corporation, GM Global Treasury Centre Limited, a corporation organized under the laws of England and Wales, General Motors do Brasil Ltda., a</w:t>
      </w:r>
    </w:p>
    <w:p>
      <w:pPr>
        <w:sectPr>
          <w:pgSz w:w="11900" w:h="16838" w:orient="portrait"/>
          <w:cols w:equalWidth="0" w:num="1">
            <w:col w:w="11420"/>
          </w:cols>
          <w:pgMar w:left="240" w:top="270" w:right="239" w:bottom="1440" w:gutter="0" w:footer="0" w:header="0"/>
        </w:sectPr>
      </w:pPr>
    </w:p>
    <w:bookmarkStart w:id="234" w:name="page235"/>
    <w:bookmarkEnd w:id="234"/>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Brazilian limited liability company, the Subsidiary Borrowers from time to time party thereto, the Lender, the other lenders from time to time party thereto, JPMorgan Chase Bank, N.A., as Administrative Agent, Banco do Brasil S.A., as Brazilian Administrative Agent, 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88"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THIS NOTE SHALL BE GOVERNED BY, AND CONSTRUED AND INTERPRETED IN ACCORDANCE WITH, THE LAW OF THE STATE OF NEW YORK.</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APPLICABLE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08597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80"/>
          </w:cols>
          <w:pgMar w:left="240" w:top="274" w:right="279" w:bottom="1440" w:gutter="0" w:footer="0" w:header="0"/>
        </w:sectPr>
      </w:pPr>
    </w:p>
    <w:bookmarkStart w:id="235" w:name="page236"/>
    <w:bookmarkEnd w:id="235"/>
    <w:p>
      <w:pPr>
        <w:jc w:val="center"/>
        <w:ind w:left="10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7" w:lineRule="exact"/>
        <w:rPr>
          <w:sz w:val="20"/>
          <w:szCs w:val="20"/>
          <w:color w:val="auto"/>
        </w:rPr>
      </w:pPr>
    </w:p>
    <w:p>
      <w:pPr>
        <w:jc w:val="center"/>
        <w:ind w:left="10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10160"/>
        <w:spacing w:after="0"/>
        <w:rPr>
          <w:sz w:val="20"/>
          <w:szCs w:val="20"/>
          <w:color w:val="auto"/>
        </w:rPr>
      </w:pPr>
      <w:r>
        <w:rPr>
          <w:rFonts w:ascii="Arial" w:cs="Arial" w:eastAsia="Arial" w:hAnsi="Arial"/>
          <w:sz w:val="18"/>
          <w:szCs w:val="18"/>
          <w:b w:val="1"/>
          <w:bCs w:val="1"/>
          <w:color w:val="auto"/>
        </w:rPr>
        <w:t>Note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LOANS, CONVERSIONS AND REPAYMENTS OF ABR LOANS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1440" w:type="dxa"/>
            <w:vAlign w:val="bottom"/>
            <w:tcBorders>
              <w:top w:val="single" w:sz="8" w:color="auto"/>
              <w:left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jc w:val="center"/>
              <w:ind w:left="248"/>
              <w:spacing w:after="0" w:line="143" w:lineRule="exact"/>
              <w:rPr>
                <w:sz w:val="20"/>
                <w:szCs w:val="20"/>
                <w:color w:val="auto"/>
              </w:rPr>
            </w:pPr>
            <w:r>
              <w:rPr>
                <w:rFonts w:ascii="Arial" w:cs="Arial" w:eastAsia="Arial" w:hAnsi="Arial"/>
                <w:sz w:val="14"/>
                <w:szCs w:val="14"/>
                <w:color w:val="auto"/>
                <w:w w:val="99"/>
              </w:rPr>
              <w:t>Amount</w:t>
            </w:r>
          </w:p>
        </w:tc>
        <w:tc>
          <w:tcPr>
            <w:tcW w:w="1660" w:type="dxa"/>
            <w:vAlign w:val="bottom"/>
            <w:tcBorders>
              <w:top w:val="single" w:sz="8" w:color="auto"/>
              <w:right w:val="single" w:sz="8" w:color="auto"/>
            </w:tcBorders>
          </w:tcPr>
          <w:p>
            <w:pPr>
              <w:jc w:val="center"/>
              <w:ind w:left="248"/>
              <w:spacing w:after="0" w:line="143" w:lineRule="exact"/>
              <w:rPr>
                <w:sz w:val="20"/>
                <w:szCs w:val="20"/>
                <w:color w:val="auto"/>
              </w:rPr>
            </w:pPr>
            <w:r>
              <w:rPr>
                <w:rFonts w:ascii="Arial" w:cs="Arial" w:eastAsia="Arial" w:hAnsi="Arial"/>
                <w:sz w:val="14"/>
                <w:szCs w:val="14"/>
                <w:color w:val="auto"/>
                <w:w w:val="97"/>
              </w:rPr>
              <w:t>Amount of Principal</w:t>
            </w:r>
          </w:p>
        </w:tc>
        <w:tc>
          <w:tcPr>
            <w:tcW w:w="1620" w:type="dxa"/>
            <w:vAlign w:val="bottom"/>
            <w:tcBorders>
              <w:top w:val="single" w:sz="8" w:color="auto"/>
              <w:right w:val="single" w:sz="8" w:color="auto"/>
            </w:tcBorders>
          </w:tcPr>
          <w:p>
            <w:pPr>
              <w:jc w:val="center"/>
              <w:ind w:left="228"/>
              <w:spacing w:after="0" w:line="143" w:lineRule="exact"/>
              <w:rPr>
                <w:sz w:val="20"/>
                <w:szCs w:val="20"/>
                <w:color w:val="auto"/>
              </w:rPr>
            </w:pPr>
            <w:r>
              <w:rPr>
                <w:rFonts w:ascii="Arial" w:cs="Arial" w:eastAsia="Arial" w:hAnsi="Arial"/>
                <w:sz w:val="14"/>
                <w:szCs w:val="14"/>
                <w:color w:val="auto"/>
                <w:w w:val="99"/>
              </w:rPr>
              <w:t>Amount of ABR</w:t>
            </w:r>
          </w:p>
        </w:tc>
        <w:tc>
          <w:tcPr>
            <w:tcW w:w="1460" w:type="dxa"/>
            <w:vAlign w:val="bottom"/>
            <w:tcBorders>
              <w:top w:val="single" w:sz="8" w:color="auto"/>
              <w:right w:val="single" w:sz="8" w:color="auto"/>
            </w:tcBorders>
          </w:tcPr>
          <w:p>
            <w:pPr>
              <w:jc w:val="center"/>
              <w:ind w:left="248"/>
              <w:spacing w:after="0" w:line="143" w:lineRule="exact"/>
              <w:rPr>
                <w:sz w:val="20"/>
                <w:szCs w:val="20"/>
                <w:color w:val="auto"/>
              </w:rPr>
            </w:pPr>
            <w:r>
              <w:rPr>
                <w:rFonts w:ascii="Arial" w:cs="Arial" w:eastAsia="Arial" w:hAnsi="Arial"/>
                <w:sz w:val="14"/>
                <w:szCs w:val="14"/>
                <w:color w:val="auto"/>
                <w:w w:val="96"/>
              </w:rPr>
              <w:t>Unpaid Principal</w:t>
            </w:r>
          </w:p>
        </w:tc>
        <w:tc>
          <w:tcPr>
            <w:tcW w:w="1020" w:type="dxa"/>
            <w:vAlign w:val="bottom"/>
            <w:tcBorders>
              <w:top w:val="single" w:sz="8" w:color="auto"/>
              <w:right w:val="single" w:sz="8" w:color="auto"/>
            </w:tcBorders>
          </w:tcPr>
          <w:p>
            <w:pPr>
              <w:spacing w:after="0"/>
              <w:rPr>
                <w:sz w:val="12"/>
                <w:szCs w:val="12"/>
                <w:color w:val="auto"/>
              </w:rPr>
            </w:pPr>
          </w:p>
        </w:tc>
      </w:tr>
      <w:tr>
        <w:trPr>
          <w:trHeight w:val="154"/>
        </w:trPr>
        <w:tc>
          <w:tcPr>
            <w:tcW w:w="1440" w:type="dxa"/>
            <w:vAlign w:val="bottom"/>
            <w:tcBorders>
              <w:left w:val="single" w:sz="8" w:color="auto"/>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jc w:val="center"/>
              <w:ind w:left="228"/>
              <w:spacing w:after="0" w:line="154" w:lineRule="exact"/>
              <w:rPr>
                <w:sz w:val="20"/>
                <w:szCs w:val="20"/>
                <w:color w:val="auto"/>
              </w:rPr>
            </w:pPr>
            <w:r>
              <w:rPr>
                <w:rFonts w:ascii="Arial" w:cs="Arial" w:eastAsia="Arial" w:hAnsi="Arial"/>
                <w:sz w:val="14"/>
                <w:szCs w:val="14"/>
                <w:color w:val="auto"/>
                <w:w w:val="97"/>
              </w:rPr>
              <w:t>Amount of</w:t>
            </w:r>
          </w:p>
        </w:tc>
        <w:tc>
          <w:tcPr>
            <w:tcW w:w="1200" w:type="dxa"/>
            <w:vAlign w:val="bottom"/>
            <w:tcBorders>
              <w:right w:val="single" w:sz="8" w:color="auto"/>
            </w:tcBorders>
          </w:tcPr>
          <w:p>
            <w:pPr>
              <w:jc w:val="center"/>
              <w:ind w:left="228"/>
              <w:spacing w:after="0" w:line="154" w:lineRule="exact"/>
              <w:rPr>
                <w:sz w:val="20"/>
                <w:szCs w:val="20"/>
                <w:color w:val="auto"/>
              </w:rPr>
            </w:pPr>
            <w:r>
              <w:rPr>
                <w:rFonts w:ascii="Arial" w:cs="Arial" w:eastAsia="Arial" w:hAnsi="Arial"/>
                <w:sz w:val="14"/>
                <w:szCs w:val="14"/>
                <w:color w:val="auto"/>
                <w:w w:val="92"/>
              </w:rPr>
              <w:t>Converted to</w:t>
            </w:r>
          </w:p>
        </w:tc>
        <w:tc>
          <w:tcPr>
            <w:tcW w:w="1660" w:type="dxa"/>
            <w:vAlign w:val="bottom"/>
            <w:tcBorders>
              <w:right w:val="single" w:sz="8" w:color="auto"/>
            </w:tcBorders>
          </w:tcPr>
          <w:p>
            <w:pPr>
              <w:jc w:val="center"/>
              <w:ind w:left="228"/>
              <w:spacing w:after="0" w:line="154" w:lineRule="exact"/>
              <w:rPr>
                <w:sz w:val="20"/>
                <w:szCs w:val="20"/>
                <w:color w:val="auto"/>
              </w:rPr>
            </w:pPr>
            <w:r>
              <w:rPr>
                <w:rFonts w:ascii="Arial" w:cs="Arial" w:eastAsia="Arial" w:hAnsi="Arial"/>
                <w:sz w:val="14"/>
                <w:szCs w:val="14"/>
                <w:color w:val="auto"/>
                <w:w w:val="97"/>
              </w:rPr>
              <w:t>of ABR Loans</w:t>
            </w:r>
          </w:p>
        </w:tc>
        <w:tc>
          <w:tcPr>
            <w:tcW w:w="1620" w:type="dxa"/>
            <w:vAlign w:val="bottom"/>
            <w:tcBorders>
              <w:right w:val="single" w:sz="8" w:color="auto"/>
            </w:tcBorders>
          </w:tcPr>
          <w:p>
            <w:pPr>
              <w:jc w:val="center"/>
              <w:ind w:left="248"/>
              <w:spacing w:after="0" w:line="154" w:lineRule="exact"/>
              <w:rPr>
                <w:sz w:val="20"/>
                <w:szCs w:val="20"/>
                <w:color w:val="auto"/>
              </w:rPr>
            </w:pPr>
            <w:r>
              <w:rPr>
                <w:rFonts w:ascii="Arial" w:cs="Arial" w:eastAsia="Arial" w:hAnsi="Arial"/>
                <w:sz w:val="14"/>
                <w:szCs w:val="14"/>
                <w:color w:val="auto"/>
                <w:w w:val="93"/>
              </w:rPr>
              <w:t>Loans Converted to</w:t>
            </w:r>
          </w:p>
        </w:tc>
        <w:tc>
          <w:tcPr>
            <w:tcW w:w="1460" w:type="dxa"/>
            <w:vAlign w:val="bottom"/>
            <w:tcBorders>
              <w:right w:val="single" w:sz="8" w:color="auto"/>
            </w:tcBorders>
          </w:tcPr>
          <w:p>
            <w:pPr>
              <w:jc w:val="center"/>
              <w:ind w:left="248"/>
              <w:spacing w:after="0" w:line="154" w:lineRule="exact"/>
              <w:rPr>
                <w:sz w:val="20"/>
                <w:szCs w:val="20"/>
                <w:color w:val="auto"/>
              </w:rPr>
            </w:pPr>
            <w:r>
              <w:rPr>
                <w:rFonts w:ascii="Arial" w:cs="Arial" w:eastAsia="Arial" w:hAnsi="Arial"/>
                <w:sz w:val="14"/>
                <w:szCs w:val="14"/>
                <w:color w:val="auto"/>
                <w:w w:val="90"/>
              </w:rPr>
              <w:t>Balance</w:t>
            </w:r>
          </w:p>
        </w:tc>
        <w:tc>
          <w:tcPr>
            <w:tcW w:w="1020" w:type="dxa"/>
            <w:vAlign w:val="bottom"/>
            <w:tcBorders>
              <w:right w:val="single" w:sz="8" w:color="auto"/>
            </w:tcBorders>
          </w:tcPr>
          <w:p>
            <w:pPr>
              <w:spacing w:after="0"/>
              <w:rPr>
                <w:sz w:val="13"/>
                <w:szCs w:val="13"/>
                <w:color w:val="auto"/>
              </w:rPr>
            </w:pPr>
          </w:p>
        </w:tc>
      </w:tr>
      <w:tr>
        <w:trPr>
          <w:trHeight w:val="176"/>
        </w:trPr>
        <w:tc>
          <w:tcPr>
            <w:tcW w:w="1440" w:type="dxa"/>
            <w:vAlign w:val="bottom"/>
            <w:tcBorders>
              <w:left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4"/>
                <w:szCs w:val="14"/>
                <w:color w:val="auto"/>
              </w:rPr>
              <w:t>Date</w:t>
            </w:r>
          </w:p>
        </w:tc>
        <w:tc>
          <w:tcPr>
            <w:tcW w:w="8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Facility</w:t>
            </w:r>
          </w:p>
        </w:tc>
        <w:tc>
          <w:tcPr>
            <w:tcW w:w="10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color w:val="auto"/>
                <w:w w:val="98"/>
              </w:rPr>
              <w:t>Currency</w:t>
            </w:r>
          </w:p>
        </w:tc>
        <w:tc>
          <w:tcPr>
            <w:tcW w:w="1160" w:type="dxa"/>
            <w:vAlign w:val="bottom"/>
            <w:tcBorders>
              <w:bottom w:val="single" w:sz="8" w:color="auto"/>
              <w:right w:val="single" w:sz="8" w:color="auto"/>
            </w:tcBorders>
          </w:tcPr>
          <w:p>
            <w:pPr>
              <w:jc w:val="center"/>
              <w:ind w:left="248"/>
              <w:spacing w:after="0"/>
              <w:rPr>
                <w:sz w:val="20"/>
                <w:szCs w:val="20"/>
                <w:color w:val="auto"/>
              </w:rPr>
            </w:pPr>
            <w:r>
              <w:rPr>
                <w:rFonts w:ascii="Arial" w:cs="Arial" w:eastAsia="Arial" w:hAnsi="Arial"/>
                <w:sz w:val="14"/>
                <w:szCs w:val="14"/>
                <w:color w:val="auto"/>
                <w:w w:val="95"/>
              </w:rPr>
              <w:t>ABR Loans</w:t>
            </w:r>
          </w:p>
        </w:tc>
        <w:tc>
          <w:tcPr>
            <w:tcW w:w="1200" w:type="dxa"/>
            <w:vAlign w:val="bottom"/>
            <w:tcBorders>
              <w:bottom w:val="single" w:sz="8" w:color="auto"/>
              <w:right w:val="single" w:sz="8" w:color="auto"/>
            </w:tcBorders>
          </w:tcPr>
          <w:p>
            <w:pPr>
              <w:jc w:val="center"/>
              <w:ind w:left="248"/>
              <w:spacing w:after="0"/>
              <w:rPr>
                <w:sz w:val="20"/>
                <w:szCs w:val="20"/>
                <w:color w:val="auto"/>
              </w:rPr>
            </w:pPr>
            <w:r>
              <w:rPr>
                <w:rFonts w:ascii="Arial" w:cs="Arial" w:eastAsia="Arial" w:hAnsi="Arial"/>
                <w:sz w:val="14"/>
                <w:szCs w:val="14"/>
                <w:color w:val="auto"/>
                <w:w w:val="95"/>
              </w:rPr>
              <w:t>ABR Loans</w:t>
            </w:r>
          </w:p>
        </w:tc>
        <w:tc>
          <w:tcPr>
            <w:tcW w:w="1660" w:type="dxa"/>
            <w:vAlign w:val="bottom"/>
            <w:tcBorders>
              <w:bottom w:val="single" w:sz="8" w:color="auto"/>
              <w:right w:val="single" w:sz="8" w:color="auto"/>
            </w:tcBorders>
          </w:tcPr>
          <w:p>
            <w:pPr>
              <w:jc w:val="center"/>
              <w:ind w:left="248"/>
              <w:spacing w:after="0"/>
              <w:rPr>
                <w:sz w:val="20"/>
                <w:szCs w:val="20"/>
                <w:color w:val="auto"/>
              </w:rPr>
            </w:pPr>
            <w:r>
              <w:rPr>
                <w:rFonts w:ascii="Arial" w:cs="Arial" w:eastAsia="Arial" w:hAnsi="Arial"/>
                <w:sz w:val="14"/>
                <w:szCs w:val="14"/>
                <w:color w:val="auto"/>
                <w:w w:val="94"/>
              </w:rPr>
              <w:t>Repaid</w:t>
            </w:r>
          </w:p>
        </w:tc>
        <w:tc>
          <w:tcPr>
            <w:tcW w:w="1620" w:type="dxa"/>
            <w:vAlign w:val="bottom"/>
            <w:tcBorders>
              <w:bottom w:val="single" w:sz="8" w:color="auto"/>
              <w:right w:val="single" w:sz="8" w:color="auto"/>
            </w:tcBorders>
          </w:tcPr>
          <w:p>
            <w:pPr>
              <w:jc w:val="center"/>
              <w:ind w:left="248"/>
              <w:spacing w:after="0"/>
              <w:rPr>
                <w:sz w:val="20"/>
                <w:szCs w:val="20"/>
                <w:color w:val="auto"/>
              </w:rPr>
            </w:pPr>
            <w:r>
              <w:rPr>
                <w:rFonts w:ascii="Arial" w:cs="Arial" w:eastAsia="Arial" w:hAnsi="Arial"/>
                <w:sz w:val="14"/>
                <w:szCs w:val="14"/>
                <w:color w:val="auto"/>
                <w:w w:val="94"/>
              </w:rPr>
              <w:t>Eurocurrency Loans</w:t>
            </w:r>
          </w:p>
        </w:tc>
        <w:tc>
          <w:tcPr>
            <w:tcW w:w="1460" w:type="dxa"/>
            <w:vAlign w:val="bottom"/>
            <w:tcBorders>
              <w:bottom w:val="single" w:sz="8" w:color="auto"/>
              <w:right w:val="single" w:sz="8" w:color="auto"/>
            </w:tcBorders>
          </w:tcPr>
          <w:p>
            <w:pPr>
              <w:jc w:val="center"/>
              <w:ind w:left="248"/>
              <w:spacing w:after="0"/>
              <w:rPr>
                <w:sz w:val="20"/>
                <w:szCs w:val="20"/>
                <w:color w:val="auto"/>
              </w:rPr>
            </w:pPr>
            <w:r>
              <w:rPr>
                <w:rFonts w:ascii="Arial" w:cs="Arial" w:eastAsia="Arial" w:hAnsi="Arial"/>
                <w:sz w:val="14"/>
                <w:szCs w:val="14"/>
                <w:color w:val="auto"/>
                <w:w w:val="94"/>
              </w:rPr>
              <w:t>of ABR Loans</w:t>
            </w:r>
          </w:p>
        </w:tc>
        <w:tc>
          <w:tcPr>
            <w:tcW w:w="10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color w:val="auto"/>
              </w:rPr>
              <w:t>Made By</w:t>
            </w:r>
          </w:p>
        </w:tc>
      </w:tr>
      <w:tr>
        <w:trPr>
          <w:trHeight w:val="210"/>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r>
        <w:trPr>
          <w:trHeight w:val="210"/>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1440"/>
          </w:cols>
          <w:pgMar w:left="240" w:top="270" w:right="219" w:bottom="1440" w:gutter="0" w:footer="0" w:header="0"/>
        </w:sectPr>
      </w:pPr>
    </w:p>
    <w:bookmarkStart w:id="236" w:name="page237"/>
    <w:bookmarkEnd w:id="236"/>
    <w:p>
      <w:pPr>
        <w:jc w:val="center"/>
        <w:ind w:left="10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7" w:lineRule="exact"/>
        <w:rPr>
          <w:sz w:val="20"/>
          <w:szCs w:val="20"/>
          <w:color w:val="auto"/>
        </w:rPr>
      </w:pPr>
    </w:p>
    <w:p>
      <w:pPr>
        <w:jc w:val="center"/>
        <w:ind w:left="101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10160"/>
        <w:spacing w:after="0"/>
        <w:rPr>
          <w:sz w:val="20"/>
          <w:szCs w:val="20"/>
          <w:color w:val="auto"/>
        </w:rPr>
      </w:pPr>
      <w:r>
        <w:rPr>
          <w:rFonts w:ascii="Arial" w:cs="Arial" w:eastAsia="Arial" w:hAnsi="Arial"/>
          <w:sz w:val="18"/>
          <w:szCs w:val="18"/>
          <w:b w:val="1"/>
          <w:bCs w:val="1"/>
          <w:color w:val="auto"/>
        </w:rPr>
        <w:t>Note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LOANS, CONVERSIONS AND REPAYMENTS OF EUROCURRENCY LOANS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900" w:type="dxa"/>
            <w:vAlign w:val="bottom"/>
            <w:tcBorders>
              <w:top w:val="single" w:sz="8" w:color="auto"/>
              <w:left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156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jc w:val="center"/>
              <w:ind w:left="148"/>
              <w:spacing w:after="0" w:line="143" w:lineRule="exact"/>
              <w:rPr>
                <w:sz w:val="20"/>
                <w:szCs w:val="20"/>
                <w:color w:val="auto"/>
              </w:rPr>
            </w:pPr>
            <w:r>
              <w:rPr>
                <w:rFonts w:ascii="Arial" w:cs="Arial" w:eastAsia="Arial" w:hAnsi="Arial"/>
                <w:sz w:val="14"/>
                <w:szCs w:val="14"/>
                <w:color w:val="auto"/>
                <w:w w:val="94"/>
              </w:rPr>
              <w:t>Unpaid</w:t>
            </w:r>
          </w:p>
        </w:tc>
        <w:tc>
          <w:tcPr>
            <w:tcW w:w="940" w:type="dxa"/>
            <w:vAlign w:val="bottom"/>
            <w:tcBorders>
              <w:top w:val="single" w:sz="8" w:color="auto"/>
              <w:right w:val="single" w:sz="8" w:color="auto"/>
            </w:tcBorders>
          </w:tcPr>
          <w:p>
            <w:pPr>
              <w:spacing w:after="0"/>
              <w:rPr>
                <w:sz w:val="12"/>
                <w:szCs w:val="12"/>
                <w:color w:val="auto"/>
              </w:rPr>
            </w:pPr>
          </w:p>
        </w:tc>
      </w:tr>
      <w:tr>
        <w:trPr>
          <w:trHeight w:val="149"/>
        </w:trPr>
        <w:tc>
          <w:tcPr>
            <w:tcW w:w="900" w:type="dxa"/>
            <w:vAlign w:val="bottom"/>
            <w:tcBorders>
              <w:left w:val="single" w:sz="8" w:color="auto"/>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ind w:left="128"/>
              <w:spacing w:after="0" w:line="149" w:lineRule="exact"/>
              <w:rPr>
                <w:sz w:val="20"/>
                <w:szCs w:val="20"/>
                <w:color w:val="auto"/>
              </w:rPr>
            </w:pPr>
            <w:r>
              <w:rPr>
                <w:rFonts w:ascii="Arial" w:cs="Arial" w:eastAsia="Arial" w:hAnsi="Arial"/>
                <w:sz w:val="14"/>
                <w:szCs w:val="14"/>
                <w:color w:val="auto"/>
                <w:w w:val="96"/>
              </w:rPr>
              <w:t>Principal</w:t>
            </w:r>
          </w:p>
        </w:tc>
        <w:tc>
          <w:tcPr>
            <w:tcW w:w="940" w:type="dxa"/>
            <w:vAlign w:val="bottom"/>
            <w:tcBorders>
              <w:right w:val="single" w:sz="8" w:color="auto"/>
            </w:tcBorders>
          </w:tcPr>
          <w:p>
            <w:pPr>
              <w:spacing w:after="0"/>
              <w:rPr>
                <w:sz w:val="12"/>
                <w:szCs w:val="12"/>
                <w:color w:val="auto"/>
              </w:rPr>
            </w:pPr>
          </w:p>
        </w:tc>
      </w:tr>
      <w:tr>
        <w:trPr>
          <w:trHeight w:val="149"/>
        </w:trPr>
        <w:tc>
          <w:tcPr>
            <w:tcW w:w="900" w:type="dxa"/>
            <w:vAlign w:val="bottom"/>
            <w:tcBorders>
              <w:left w:val="single" w:sz="8" w:color="auto"/>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jc w:val="center"/>
              <w:ind w:left="168"/>
              <w:spacing w:after="0" w:line="149" w:lineRule="exact"/>
              <w:rPr>
                <w:sz w:val="20"/>
                <w:szCs w:val="20"/>
                <w:color w:val="auto"/>
              </w:rPr>
            </w:pPr>
            <w:r>
              <w:rPr>
                <w:rFonts w:ascii="Arial" w:cs="Arial" w:eastAsia="Arial" w:hAnsi="Arial"/>
                <w:sz w:val="14"/>
                <w:szCs w:val="14"/>
                <w:color w:val="auto"/>
                <w:w w:val="98"/>
              </w:rPr>
              <w:t>Amount of Principal</w:t>
            </w:r>
          </w:p>
        </w:tc>
        <w:tc>
          <w:tcPr>
            <w:tcW w:w="1540" w:type="dxa"/>
            <w:vAlign w:val="bottom"/>
            <w:tcBorders>
              <w:right w:val="single" w:sz="8" w:color="auto"/>
            </w:tcBorders>
          </w:tcPr>
          <w:p>
            <w:pPr>
              <w:jc w:val="center"/>
              <w:ind w:left="168"/>
              <w:spacing w:after="0" w:line="149" w:lineRule="exact"/>
              <w:rPr>
                <w:sz w:val="20"/>
                <w:szCs w:val="20"/>
                <w:color w:val="auto"/>
              </w:rPr>
            </w:pPr>
            <w:r>
              <w:rPr>
                <w:rFonts w:ascii="Arial" w:cs="Arial" w:eastAsia="Arial" w:hAnsi="Arial"/>
                <w:sz w:val="14"/>
                <w:szCs w:val="14"/>
                <w:color w:val="auto"/>
                <w:w w:val="97"/>
              </w:rPr>
              <w:t>Amount of</w:t>
            </w:r>
          </w:p>
        </w:tc>
        <w:tc>
          <w:tcPr>
            <w:tcW w:w="1160" w:type="dxa"/>
            <w:vAlign w:val="bottom"/>
            <w:tcBorders>
              <w:right w:val="single" w:sz="8" w:color="auto"/>
            </w:tcBorders>
          </w:tcPr>
          <w:p>
            <w:pPr>
              <w:jc w:val="center"/>
              <w:ind w:left="148"/>
              <w:spacing w:after="0" w:line="149" w:lineRule="exact"/>
              <w:rPr>
                <w:sz w:val="20"/>
                <w:szCs w:val="20"/>
                <w:color w:val="auto"/>
              </w:rPr>
            </w:pPr>
            <w:r>
              <w:rPr>
                <w:rFonts w:ascii="Arial" w:cs="Arial" w:eastAsia="Arial" w:hAnsi="Arial"/>
                <w:sz w:val="14"/>
                <w:szCs w:val="14"/>
                <w:color w:val="auto"/>
                <w:w w:val="90"/>
              </w:rPr>
              <w:t>Balance</w:t>
            </w:r>
          </w:p>
        </w:tc>
        <w:tc>
          <w:tcPr>
            <w:tcW w:w="940" w:type="dxa"/>
            <w:vAlign w:val="bottom"/>
            <w:tcBorders>
              <w:right w:val="single" w:sz="8" w:color="auto"/>
            </w:tcBorders>
          </w:tcPr>
          <w:p>
            <w:pPr>
              <w:spacing w:after="0"/>
              <w:rPr>
                <w:sz w:val="12"/>
                <w:szCs w:val="12"/>
                <w:color w:val="auto"/>
              </w:rPr>
            </w:pPr>
          </w:p>
        </w:tc>
      </w:tr>
      <w:tr>
        <w:trPr>
          <w:trHeight w:val="149"/>
        </w:trPr>
        <w:tc>
          <w:tcPr>
            <w:tcW w:w="900" w:type="dxa"/>
            <w:vAlign w:val="bottom"/>
            <w:tcBorders>
              <w:left w:val="single" w:sz="8" w:color="auto"/>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ind w:left="168"/>
              <w:spacing w:after="0" w:line="149" w:lineRule="exact"/>
              <w:rPr>
                <w:sz w:val="20"/>
                <w:szCs w:val="20"/>
                <w:color w:val="auto"/>
              </w:rPr>
            </w:pPr>
            <w:r>
              <w:rPr>
                <w:rFonts w:ascii="Arial" w:cs="Arial" w:eastAsia="Arial" w:hAnsi="Arial"/>
                <w:sz w:val="14"/>
                <w:szCs w:val="14"/>
                <w:color w:val="auto"/>
              </w:rPr>
              <w:t>Amount of</w:t>
            </w:r>
          </w:p>
        </w:tc>
        <w:tc>
          <w:tcPr>
            <w:tcW w:w="164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jc w:val="center"/>
              <w:ind w:left="148"/>
              <w:spacing w:after="0" w:line="149" w:lineRule="exact"/>
              <w:rPr>
                <w:sz w:val="20"/>
                <w:szCs w:val="20"/>
                <w:color w:val="auto"/>
              </w:rPr>
            </w:pPr>
            <w:r>
              <w:rPr>
                <w:rFonts w:ascii="Arial" w:cs="Arial" w:eastAsia="Arial" w:hAnsi="Arial"/>
                <w:sz w:val="14"/>
                <w:szCs w:val="14"/>
                <w:color w:val="auto"/>
                <w:w w:val="95"/>
              </w:rPr>
              <w:t>of Eurocurrency</w:t>
            </w:r>
          </w:p>
        </w:tc>
        <w:tc>
          <w:tcPr>
            <w:tcW w:w="1540" w:type="dxa"/>
            <w:vAlign w:val="bottom"/>
            <w:tcBorders>
              <w:right w:val="single" w:sz="8" w:color="auto"/>
            </w:tcBorders>
          </w:tcPr>
          <w:p>
            <w:pPr>
              <w:jc w:val="center"/>
              <w:ind w:left="168"/>
              <w:spacing w:after="0" w:line="149" w:lineRule="exact"/>
              <w:rPr>
                <w:sz w:val="20"/>
                <w:szCs w:val="20"/>
                <w:color w:val="auto"/>
              </w:rPr>
            </w:pPr>
            <w:r>
              <w:rPr>
                <w:rFonts w:ascii="Arial" w:cs="Arial" w:eastAsia="Arial" w:hAnsi="Arial"/>
                <w:sz w:val="14"/>
                <w:szCs w:val="14"/>
                <w:color w:val="auto"/>
                <w:w w:val="93"/>
              </w:rPr>
              <w:t>Eurocurrency</w:t>
            </w:r>
          </w:p>
        </w:tc>
        <w:tc>
          <w:tcPr>
            <w:tcW w:w="1160" w:type="dxa"/>
            <w:vAlign w:val="bottom"/>
            <w:tcBorders>
              <w:right w:val="single" w:sz="8" w:color="auto"/>
            </w:tcBorders>
          </w:tcPr>
          <w:p>
            <w:pPr>
              <w:jc w:val="center"/>
              <w:ind w:left="128"/>
              <w:spacing w:after="0" w:line="149" w:lineRule="exact"/>
              <w:rPr>
                <w:sz w:val="20"/>
                <w:szCs w:val="20"/>
                <w:color w:val="auto"/>
              </w:rPr>
            </w:pPr>
            <w:r>
              <w:rPr>
                <w:rFonts w:ascii="Arial" w:cs="Arial" w:eastAsia="Arial" w:hAnsi="Arial"/>
                <w:sz w:val="14"/>
                <w:szCs w:val="14"/>
                <w:color w:val="auto"/>
              </w:rPr>
              <w:t>of</w:t>
            </w:r>
          </w:p>
        </w:tc>
        <w:tc>
          <w:tcPr>
            <w:tcW w:w="940" w:type="dxa"/>
            <w:vAlign w:val="bottom"/>
            <w:tcBorders>
              <w:right w:val="single" w:sz="8" w:color="auto"/>
            </w:tcBorders>
          </w:tcPr>
          <w:p>
            <w:pPr>
              <w:spacing w:after="0"/>
              <w:rPr>
                <w:sz w:val="12"/>
                <w:szCs w:val="12"/>
                <w:color w:val="auto"/>
              </w:rPr>
            </w:pPr>
          </w:p>
        </w:tc>
      </w:tr>
      <w:tr>
        <w:trPr>
          <w:trHeight w:val="154"/>
        </w:trPr>
        <w:tc>
          <w:tcPr>
            <w:tcW w:w="900" w:type="dxa"/>
            <w:vAlign w:val="bottom"/>
            <w:tcBorders>
              <w:left w:val="single" w:sz="8" w:color="auto"/>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jc w:val="center"/>
              <w:ind w:left="168"/>
              <w:spacing w:after="0" w:line="154" w:lineRule="exact"/>
              <w:rPr>
                <w:sz w:val="20"/>
                <w:szCs w:val="20"/>
                <w:color w:val="auto"/>
              </w:rPr>
            </w:pPr>
            <w:r>
              <w:rPr>
                <w:rFonts w:ascii="Arial" w:cs="Arial" w:eastAsia="Arial" w:hAnsi="Arial"/>
                <w:sz w:val="14"/>
                <w:szCs w:val="14"/>
                <w:color w:val="auto"/>
                <w:w w:val="94"/>
              </w:rPr>
              <w:t>Interest</w:t>
            </w:r>
          </w:p>
        </w:tc>
        <w:tc>
          <w:tcPr>
            <w:tcW w:w="1160" w:type="dxa"/>
            <w:vAlign w:val="bottom"/>
            <w:tcBorders>
              <w:right w:val="single" w:sz="8" w:color="auto"/>
            </w:tcBorders>
          </w:tcPr>
          <w:p>
            <w:pPr>
              <w:jc w:val="center"/>
              <w:ind w:left="168"/>
              <w:spacing w:after="0" w:line="154" w:lineRule="exact"/>
              <w:rPr>
                <w:sz w:val="20"/>
                <w:szCs w:val="20"/>
                <w:color w:val="auto"/>
              </w:rPr>
            </w:pPr>
            <w:r>
              <w:rPr>
                <w:rFonts w:ascii="Arial" w:cs="Arial" w:eastAsia="Arial" w:hAnsi="Arial"/>
                <w:sz w:val="14"/>
                <w:szCs w:val="14"/>
                <w:color w:val="auto"/>
                <w:w w:val="96"/>
              </w:rPr>
              <w:t>Eurocurrency</w:t>
            </w:r>
          </w:p>
        </w:tc>
        <w:tc>
          <w:tcPr>
            <w:tcW w:w="1640" w:type="dxa"/>
            <w:vAlign w:val="bottom"/>
            <w:tcBorders>
              <w:right w:val="single" w:sz="8" w:color="auto"/>
            </w:tcBorders>
          </w:tcPr>
          <w:p>
            <w:pPr>
              <w:jc w:val="center"/>
              <w:ind w:left="168"/>
              <w:spacing w:after="0" w:line="154" w:lineRule="exact"/>
              <w:rPr>
                <w:sz w:val="20"/>
                <w:szCs w:val="20"/>
                <w:color w:val="auto"/>
              </w:rPr>
            </w:pPr>
            <w:r>
              <w:rPr>
                <w:rFonts w:ascii="Arial" w:cs="Arial" w:eastAsia="Arial" w:hAnsi="Arial"/>
                <w:sz w:val="14"/>
                <w:szCs w:val="14"/>
                <w:color w:val="auto"/>
                <w:w w:val="93"/>
              </w:rPr>
              <w:t>Amount Converted to</w:t>
            </w:r>
          </w:p>
        </w:tc>
        <w:tc>
          <w:tcPr>
            <w:tcW w:w="1560" w:type="dxa"/>
            <w:vAlign w:val="bottom"/>
            <w:tcBorders>
              <w:right w:val="single" w:sz="8" w:color="auto"/>
            </w:tcBorders>
          </w:tcPr>
          <w:p>
            <w:pPr>
              <w:jc w:val="center"/>
              <w:ind w:left="168"/>
              <w:spacing w:after="0" w:line="154" w:lineRule="exact"/>
              <w:rPr>
                <w:sz w:val="20"/>
                <w:szCs w:val="20"/>
                <w:color w:val="auto"/>
              </w:rPr>
            </w:pPr>
            <w:r>
              <w:rPr>
                <w:rFonts w:ascii="Arial" w:cs="Arial" w:eastAsia="Arial" w:hAnsi="Arial"/>
                <w:sz w:val="14"/>
                <w:szCs w:val="14"/>
                <w:color w:val="auto"/>
                <w:w w:val="94"/>
              </w:rPr>
              <w:t>Loans</w:t>
            </w:r>
          </w:p>
        </w:tc>
        <w:tc>
          <w:tcPr>
            <w:tcW w:w="1540" w:type="dxa"/>
            <w:vAlign w:val="bottom"/>
            <w:tcBorders>
              <w:right w:val="single" w:sz="8" w:color="auto"/>
            </w:tcBorders>
          </w:tcPr>
          <w:p>
            <w:pPr>
              <w:jc w:val="center"/>
              <w:ind w:left="168"/>
              <w:spacing w:after="0" w:line="154" w:lineRule="exact"/>
              <w:rPr>
                <w:sz w:val="20"/>
                <w:szCs w:val="20"/>
                <w:color w:val="auto"/>
              </w:rPr>
            </w:pPr>
            <w:r>
              <w:rPr>
                <w:rFonts w:ascii="Arial" w:cs="Arial" w:eastAsia="Arial" w:hAnsi="Arial"/>
                <w:sz w:val="14"/>
                <w:szCs w:val="14"/>
                <w:color w:val="auto"/>
                <w:w w:val="93"/>
              </w:rPr>
              <w:t>Loans Converted to</w:t>
            </w:r>
          </w:p>
        </w:tc>
        <w:tc>
          <w:tcPr>
            <w:tcW w:w="1160" w:type="dxa"/>
            <w:vAlign w:val="bottom"/>
            <w:tcBorders>
              <w:right w:val="single" w:sz="8" w:color="auto"/>
            </w:tcBorders>
          </w:tcPr>
          <w:p>
            <w:pPr>
              <w:jc w:val="center"/>
              <w:ind w:left="148"/>
              <w:spacing w:after="0" w:line="154" w:lineRule="exact"/>
              <w:rPr>
                <w:sz w:val="20"/>
                <w:szCs w:val="20"/>
                <w:color w:val="auto"/>
              </w:rPr>
            </w:pPr>
            <w:r>
              <w:rPr>
                <w:rFonts w:ascii="Arial" w:cs="Arial" w:eastAsia="Arial" w:hAnsi="Arial"/>
                <w:sz w:val="14"/>
                <w:szCs w:val="14"/>
                <w:color w:val="auto"/>
                <w:w w:val="93"/>
              </w:rPr>
              <w:t>Eurocurrency</w:t>
            </w:r>
          </w:p>
        </w:tc>
        <w:tc>
          <w:tcPr>
            <w:tcW w:w="940" w:type="dxa"/>
            <w:vAlign w:val="bottom"/>
            <w:tcBorders>
              <w:right w:val="single" w:sz="8" w:color="auto"/>
            </w:tcBorders>
          </w:tcPr>
          <w:p>
            <w:pPr>
              <w:spacing w:after="0"/>
              <w:rPr>
                <w:sz w:val="13"/>
                <w:szCs w:val="13"/>
                <w:color w:val="auto"/>
              </w:rPr>
            </w:pPr>
          </w:p>
        </w:tc>
      </w:tr>
      <w:tr>
        <w:trPr>
          <w:trHeight w:val="176"/>
        </w:trPr>
        <w:tc>
          <w:tcPr>
            <w:tcW w:w="90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4"/>
                <w:szCs w:val="14"/>
                <w:color w:val="auto"/>
              </w:rPr>
              <w:t>Date</w:t>
            </w:r>
          </w:p>
        </w:tc>
        <w:tc>
          <w:tcPr>
            <w:tcW w:w="8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Facility</w:t>
            </w:r>
          </w:p>
        </w:tc>
        <w:tc>
          <w:tcPr>
            <w:tcW w:w="9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Currency</w:t>
            </w:r>
          </w:p>
        </w:tc>
        <w:tc>
          <w:tcPr>
            <w:tcW w:w="800" w:type="dxa"/>
            <w:vAlign w:val="bottom"/>
            <w:tcBorders>
              <w:bottom w:val="single" w:sz="8" w:color="auto"/>
              <w:right w:val="single" w:sz="8" w:color="auto"/>
            </w:tcBorders>
          </w:tcPr>
          <w:p>
            <w:pPr>
              <w:jc w:val="center"/>
              <w:ind w:left="148"/>
              <w:spacing w:after="0"/>
              <w:rPr>
                <w:sz w:val="20"/>
                <w:szCs w:val="20"/>
                <w:color w:val="auto"/>
              </w:rPr>
            </w:pPr>
            <w:r>
              <w:rPr>
                <w:rFonts w:ascii="Arial" w:cs="Arial" w:eastAsia="Arial" w:hAnsi="Arial"/>
                <w:sz w:val="14"/>
                <w:szCs w:val="14"/>
                <w:color w:val="auto"/>
                <w:w w:val="93"/>
              </w:rPr>
              <w:t>Period</w:t>
            </w:r>
          </w:p>
        </w:tc>
        <w:tc>
          <w:tcPr>
            <w:tcW w:w="1160" w:type="dxa"/>
            <w:vAlign w:val="bottom"/>
            <w:tcBorders>
              <w:bottom w:val="single" w:sz="8" w:color="auto"/>
              <w:right w:val="single" w:sz="8" w:color="auto"/>
            </w:tcBorders>
          </w:tcPr>
          <w:p>
            <w:pPr>
              <w:jc w:val="center"/>
              <w:ind w:left="168"/>
              <w:spacing w:after="0"/>
              <w:rPr>
                <w:sz w:val="20"/>
                <w:szCs w:val="20"/>
                <w:color w:val="auto"/>
              </w:rPr>
            </w:pPr>
            <w:r>
              <w:rPr>
                <w:rFonts w:ascii="Arial" w:cs="Arial" w:eastAsia="Arial" w:hAnsi="Arial"/>
                <w:sz w:val="14"/>
                <w:szCs w:val="14"/>
                <w:color w:val="auto"/>
                <w:w w:val="94"/>
              </w:rPr>
              <w:t>Loans</w:t>
            </w:r>
          </w:p>
        </w:tc>
        <w:tc>
          <w:tcPr>
            <w:tcW w:w="1640" w:type="dxa"/>
            <w:vAlign w:val="bottom"/>
            <w:tcBorders>
              <w:bottom w:val="single" w:sz="8" w:color="auto"/>
              <w:right w:val="single" w:sz="8" w:color="auto"/>
            </w:tcBorders>
          </w:tcPr>
          <w:p>
            <w:pPr>
              <w:jc w:val="center"/>
              <w:ind w:left="168"/>
              <w:spacing w:after="0"/>
              <w:rPr>
                <w:sz w:val="20"/>
                <w:szCs w:val="20"/>
                <w:color w:val="auto"/>
              </w:rPr>
            </w:pPr>
            <w:r>
              <w:rPr>
                <w:rFonts w:ascii="Arial" w:cs="Arial" w:eastAsia="Arial" w:hAnsi="Arial"/>
                <w:sz w:val="14"/>
                <w:szCs w:val="14"/>
                <w:color w:val="auto"/>
                <w:w w:val="92"/>
              </w:rPr>
              <w:t>Eurocurrency Loans</w:t>
            </w:r>
          </w:p>
        </w:tc>
        <w:tc>
          <w:tcPr>
            <w:tcW w:w="1560" w:type="dxa"/>
            <w:vAlign w:val="bottom"/>
            <w:tcBorders>
              <w:bottom w:val="single" w:sz="8" w:color="auto"/>
              <w:right w:val="single" w:sz="8" w:color="auto"/>
            </w:tcBorders>
          </w:tcPr>
          <w:p>
            <w:pPr>
              <w:jc w:val="center"/>
              <w:ind w:left="168"/>
              <w:spacing w:after="0"/>
              <w:rPr>
                <w:sz w:val="20"/>
                <w:szCs w:val="20"/>
                <w:color w:val="auto"/>
              </w:rPr>
            </w:pPr>
            <w:r>
              <w:rPr>
                <w:rFonts w:ascii="Arial" w:cs="Arial" w:eastAsia="Arial" w:hAnsi="Arial"/>
                <w:sz w:val="14"/>
                <w:szCs w:val="14"/>
                <w:color w:val="auto"/>
                <w:w w:val="90"/>
              </w:rPr>
              <w:t>Repaid</w:t>
            </w:r>
          </w:p>
        </w:tc>
        <w:tc>
          <w:tcPr>
            <w:tcW w:w="1540" w:type="dxa"/>
            <w:vAlign w:val="bottom"/>
            <w:tcBorders>
              <w:bottom w:val="single" w:sz="8" w:color="auto"/>
              <w:right w:val="single" w:sz="8" w:color="auto"/>
            </w:tcBorders>
          </w:tcPr>
          <w:p>
            <w:pPr>
              <w:jc w:val="center"/>
              <w:ind w:left="148"/>
              <w:spacing w:after="0"/>
              <w:rPr>
                <w:sz w:val="20"/>
                <w:szCs w:val="20"/>
                <w:color w:val="auto"/>
              </w:rPr>
            </w:pPr>
            <w:r>
              <w:rPr>
                <w:rFonts w:ascii="Arial" w:cs="Arial" w:eastAsia="Arial" w:hAnsi="Arial"/>
                <w:sz w:val="14"/>
                <w:szCs w:val="14"/>
                <w:color w:val="auto"/>
                <w:w w:val="95"/>
              </w:rPr>
              <w:t>ABR Loans</w:t>
            </w:r>
          </w:p>
        </w:tc>
        <w:tc>
          <w:tcPr>
            <w:tcW w:w="1160" w:type="dxa"/>
            <w:vAlign w:val="bottom"/>
            <w:tcBorders>
              <w:bottom w:val="single" w:sz="8" w:color="auto"/>
              <w:right w:val="single" w:sz="8" w:color="auto"/>
            </w:tcBorders>
          </w:tcPr>
          <w:p>
            <w:pPr>
              <w:jc w:val="center"/>
              <w:ind w:left="148"/>
              <w:spacing w:after="0"/>
              <w:rPr>
                <w:sz w:val="20"/>
                <w:szCs w:val="20"/>
                <w:color w:val="auto"/>
              </w:rPr>
            </w:pPr>
            <w:r>
              <w:rPr>
                <w:rFonts w:ascii="Arial" w:cs="Arial" w:eastAsia="Arial" w:hAnsi="Arial"/>
                <w:sz w:val="14"/>
                <w:szCs w:val="14"/>
                <w:color w:val="auto"/>
                <w:w w:val="89"/>
              </w:rPr>
              <w:t>Loans</w:t>
            </w:r>
          </w:p>
        </w:tc>
        <w:tc>
          <w:tcPr>
            <w:tcW w:w="9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Made By</w:t>
            </w: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1440"/>
          </w:cols>
          <w:pgMar w:left="240" w:top="270" w:right="219" w:bottom="1440" w:gutter="0" w:footer="0" w:header="0"/>
        </w:sectPr>
      </w:pPr>
    </w:p>
    <w:bookmarkStart w:id="237" w:name="page238"/>
    <w:bookmarkEnd w:id="237"/>
    <w:p>
      <w:pPr>
        <w:jc w:val="center"/>
        <w:ind w:left="9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L</w:t>
      </w:r>
    </w:p>
    <w:p>
      <w:pPr>
        <w:spacing w:after="0" w:line="27" w:lineRule="exact"/>
        <w:rPr>
          <w:sz w:val="20"/>
          <w:szCs w:val="20"/>
          <w:color w:val="auto"/>
        </w:rPr>
      </w:pPr>
    </w:p>
    <w:p>
      <w:pPr>
        <w:jc w:val="center"/>
        <w:ind w:left="93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380"/>
        <w:spacing w:after="0"/>
        <w:rPr>
          <w:sz w:val="20"/>
          <w:szCs w:val="20"/>
          <w:color w:val="auto"/>
        </w:rPr>
      </w:pPr>
      <w:r>
        <w:rPr>
          <w:rFonts w:ascii="Arial" w:cs="Arial" w:eastAsia="Arial" w:hAnsi="Arial"/>
          <w:sz w:val="18"/>
          <w:szCs w:val="18"/>
          <w:b w:val="1"/>
          <w:bCs w:val="1"/>
          <w:color w:val="auto"/>
        </w:rPr>
        <w:t>Credit Agreement</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FORM OF BORROWING REQUEST</w:t>
      </w:r>
    </w:p>
    <w:p>
      <w:pPr>
        <w:spacing w:after="0" w:line="229" w:lineRule="exact"/>
        <w:rPr>
          <w:sz w:val="20"/>
          <w:szCs w:val="20"/>
          <w:color w:val="auto"/>
        </w:rPr>
      </w:pPr>
    </w:p>
    <w:p>
      <w:pPr>
        <w:ind w:right="5080"/>
        <w:spacing w:after="0" w:line="256" w:lineRule="auto"/>
        <w:rPr>
          <w:sz w:val="20"/>
          <w:szCs w:val="20"/>
          <w:color w:val="auto"/>
        </w:rPr>
      </w:pPr>
      <w:r>
        <w:rPr>
          <w:rFonts w:ascii="Arial" w:cs="Arial" w:eastAsia="Arial" w:hAnsi="Arial"/>
          <w:sz w:val="18"/>
          <w:szCs w:val="18"/>
          <w:color w:val="auto"/>
        </w:rPr>
        <w:t>JPMorgan Chase Bank, N.A., as Administrative Agent for the lenders referred to below Investment Bank Loan Operations North America 500 Stanton Christiana Road, NCC5, Floor 01</w:t>
      </w: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6508750</wp:posOffset>
            </wp:positionH>
            <wp:positionV relativeFrom="paragraph">
              <wp:posOffset>-10160</wp:posOffset>
            </wp:positionV>
            <wp:extent cx="74295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undersigned, [INSERT NAME OF APPLICABLE BORROWER]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[and General Motors Company, a Delaware</w:t>
      </w:r>
    </w:p>
    <w:p>
      <w:pPr>
        <w:spacing w:after="0" w:line="2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corporation (“</w:t>
      </w:r>
      <w:r>
        <w:rPr>
          <w:rFonts w:ascii="Arial" w:cs="Arial" w:eastAsia="Arial" w:hAnsi="Arial"/>
          <w:sz w:val="16"/>
          <w:szCs w:val="16"/>
          <w:u w:val="single" w:color="auto"/>
          <w:color w:val="auto"/>
        </w:rPr>
        <w:t>Company/Applicable Borrower”)]</w:t>
      </w:r>
      <w:r>
        <w:rPr>
          <w:rFonts w:ascii="Arial" w:cs="Arial" w:eastAsia="Arial" w:hAnsi="Arial"/>
          <w:sz w:val="13"/>
          <w:szCs w:val="13"/>
          <w:color w:val="auto"/>
        </w:rPr>
        <w:t>1</w:t>
      </w:r>
      <w:r>
        <w:rPr>
          <w:rFonts w:ascii="Arial" w:cs="Arial" w:eastAsia="Arial" w:hAnsi="Arial"/>
          <w:sz w:val="16"/>
          <w:szCs w:val="16"/>
          <w:color w:val="auto"/>
        </w:rPr>
        <w:t>, refer[s] to the Third Amended and Restated Three Year Revolving Credit Agreement dated as of April 18, 2018,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Company/the Applicable Borrower]</w:t>
      </w:r>
      <w:r>
        <w:rPr>
          <w:rFonts w:ascii="Arial" w:cs="Arial" w:eastAsia="Arial" w:hAnsi="Arial"/>
          <w:sz w:val="13"/>
          <w:szCs w:val="13"/>
          <w:color w:val="auto"/>
        </w:rPr>
        <w:t>2</w:t>
      </w:r>
      <w:r>
        <w:rPr>
          <w:rFonts w:ascii="Arial" w:cs="Arial" w:eastAsia="Arial" w:hAnsi="Arial"/>
          <w:sz w:val="16"/>
          <w:szCs w:val="16"/>
          <w:color w:val="auto"/>
        </w:rPr>
        <w:t>, General Motors Financial Company, Inc., a Texas corporation, GM Global Treasury Centre Limited (“</w:t>
      </w:r>
      <w:r>
        <w:rPr>
          <w:rFonts w:ascii="Arial" w:cs="Arial" w:eastAsia="Arial" w:hAnsi="Arial"/>
          <w:sz w:val="16"/>
          <w:szCs w:val="16"/>
          <w:u w:val="single" w:color="auto"/>
          <w:color w:val="auto"/>
        </w:rPr>
        <w:t>GMGTC</w:t>
      </w:r>
      <w:r>
        <w:rPr>
          <w:rFonts w:ascii="Arial" w:cs="Arial" w:eastAsia="Arial" w:hAnsi="Arial"/>
          <w:sz w:val="16"/>
          <w:szCs w:val="16"/>
          <w:color w:val="auto"/>
        </w:rPr>
        <w:t>”), a corporation organized under the laws of England and Wales,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Section[s] [2.2,] [2.4,] [and] [2.8]</w:t>
      </w:r>
      <w:r>
        <w:rPr>
          <w:rFonts w:ascii="Arial" w:cs="Arial" w:eastAsia="Arial" w:hAnsi="Arial"/>
          <w:sz w:val="13"/>
          <w:szCs w:val="13"/>
          <w:color w:val="auto"/>
        </w:rPr>
        <w:t>3</w:t>
      </w:r>
      <w:r>
        <w:rPr>
          <w:rFonts w:ascii="Arial" w:cs="Arial" w:eastAsia="Arial" w:hAnsi="Arial"/>
          <w:sz w:val="16"/>
          <w:szCs w:val="16"/>
          <w:color w:val="auto"/>
        </w:rPr>
        <w:t xml:space="preserv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89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5"/>
          <w:szCs w:val="15"/>
          <w:color w:val="auto"/>
        </w:rPr>
      </w:pPr>
      <w:r>
        <w:rPr>
          <w:rFonts w:ascii="Arial" w:cs="Arial" w:eastAsia="Arial" w:hAnsi="Arial"/>
          <w:sz w:val="18"/>
          <w:szCs w:val="18"/>
          <w:color w:val="auto"/>
        </w:rPr>
        <w:t>If Borrowing Request from the Company, it is the “Applicable Borrower”.</w:t>
      </w:r>
    </w:p>
    <w:p>
      <w:pPr>
        <w:spacing w:after="0" w:line="9" w:lineRule="exact"/>
        <w:rPr>
          <w:sz w:val="20"/>
          <w:szCs w:val="20"/>
          <w:color w:val="auto"/>
        </w:rPr>
      </w:pPr>
    </w:p>
    <w:p>
      <w:pPr>
        <w:ind w:left="460" w:right="400" w:hanging="452"/>
        <w:spacing w:after="0" w:line="262" w:lineRule="auto"/>
        <w:tabs>
          <w:tab w:leader="none" w:pos="460" w:val="left"/>
        </w:tabs>
        <w:numPr>
          <w:ilvl w:val="0"/>
          <w:numId w:val="231"/>
        </w:numPr>
        <w:rPr>
          <w:rFonts w:ascii="Arial" w:cs="Arial" w:eastAsia="Arial" w:hAnsi="Arial"/>
          <w:sz w:val="15"/>
          <w:szCs w:val="15"/>
          <w:color w:val="auto"/>
        </w:rPr>
      </w:pPr>
      <w:r>
        <w:rPr>
          <w:rFonts w:ascii="Arial" w:cs="Arial" w:eastAsia="Arial" w:hAnsi="Arial"/>
          <w:sz w:val="18"/>
          <w:szCs w:val="18"/>
          <w:color w:val="auto"/>
        </w:rPr>
        <w:t>Section 2.2 describes the procedure for Domestic Commitments. Section 2.4 describes the procedure for Multicurrency Commitments. Section 2.8 describes the procedure for L/C Tranche Commitments.</w:t>
      </w:r>
    </w:p>
    <w:p>
      <w:pPr>
        <w:sectPr>
          <w:pgSz w:w="11900" w:h="16838" w:orient="portrait"/>
          <w:cols w:equalWidth="0" w:num="1">
            <w:col w:w="11400"/>
          </w:cols>
          <w:pgMar w:left="240" w:top="270" w:right="259" w:bottom="1440" w:gutter="0" w:footer="0" w:header="0"/>
        </w:sectPr>
      </w:pPr>
    </w:p>
    <w:bookmarkStart w:id="238" w:name="page239"/>
    <w:bookmarkEnd w:id="238"/>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 that it requests an Extension of Credit under the Credit Agreement, and in connection sets forth below the terms on which such Extension of Credit is requested to be made[, to which the Company hereby consents]</w:t>
      </w:r>
      <w:r>
        <w:rPr>
          <w:rFonts w:ascii="Arial" w:cs="Arial" w:eastAsia="Arial" w:hAnsi="Arial"/>
          <w:sz w:val="15"/>
          <w:szCs w:val="15"/>
          <w:color w:val="auto"/>
        </w:rPr>
        <w:t>4</w:t>
      </w:r>
      <w:r>
        <w:rPr>
          <w:rFonts w:ascii="Arial" w:cs="Arial" w:eastAsia="Arial" w:hAnsi="Arial"/>
          <w:sz w:val="18"/>
          <w:szCs w:val="18"/>
          <w:color w:val="auto"/>
        </w:rPr>
        <w:t>:</w:t>
      </w:r>
    </w:p>
    <w:p>
      <w:pPr>
        <w:spacing w:after="0" w:line="197" w:lineRule="exact"/>
        <w:rPr>
          <w:sz w:val="20"/>
          <w:szCs w:val="20"/>
          <w:color w:val="auto"/>
        </w:rPr>
      </w:pPr>
    </w:p>
    <w:p>
      <w:pPr>
        <w:ind w:left="1380" w:hanging="832"/>
        <w:spacing w:after="0"/>
        <w:tabs>
          <w:tab w:leader="none" w:pos="13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Borrowing Date</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(which is a Business Day)</w:t>
      </w:r>
      <w:r>
        <w:rPr>
          <w:rFonts w:ascii="Arial" w:cs="Arial" w:eastAsia="Arial" w:hAnsi="Arial"/>
          <w:sz w:val="15"/>
          <w:szCs w:val="15"/>
          <w:color w:val="auto"/>
        </w:rPr>
        <w:t>5</w:t>
      </w:r>
    </w:p>
    <w:p>
      <w:pPr>
        <w:spacing w:after="0" w:line="210" w:lineRule="exact"/>
        <w:rPr>
          <w:rFonts w:ascii="Arial" w:cs="Arial" w:eastAsia="Arial" w:hAnsi="Arial"/>
          <w:sz w:val="18"/>
          <w:szCs w:val="18"/>
          <w:color w:val="auto"/>
        </w:rPr>
      </w:pPr>
    </w:p>
    <w:p>
      <w:pPr>
        <w:ind w:left="1380" w:hanging="832"/>
        <w:spacing w:after="0"/>
        <w:tabs>
          <w:tab w:leader="none" w:pos="13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Facility</w:t>
      </w:r>
    </w:p>
    <w:p>
      <w:pPr>
        <w:spacing w:after="0" w:line="225" w:lineRule="exact"/>
        <w:rPr>
          <w:rFonts w:ascii="Arial" w:cs="Arial" w:eastAsia="Arial" w:hAnsi="Arial"/>
          <w:sz w:val="18"/>
          <w:szCs w:val="18"/>
          <w:color w:val="auto"/>
        </w:rPr>
      </w:pPr>
    </w:p>
    <w:p>
      <w:pPr>
        <w:ind w:left="1380" w:hanging="832"/>
        <w:spacing w:after="0"/>
        <w:tabs>
          <w:tab w:leader="none" w:pos="13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Currency</w:t>
      </w:r>
    </w:p>
    <w:p>
      <w:pPr>
        <w:spacing w:after="0" w:line="225" w:lineRule="exact"/>
        <w:rPr>
          <w:rFonts w:ascii="Arial" w:cs="Arial" w:eastAsia="Arial" w:hAnsi="Arial"/>
          <w:sz w:val="18"/>
          <w:szCs w:val="18"/>
          <w:color w:val="auto"/>
        </w:rPr>
      </w:pPr>
    </w:p>
    <w:p>
      <w:pPr>
        <w:ind w:left="1380" w:hanging="832"/>
        <w:spacing w:after="0"/>
        <w:tabs>
          <w:tab w:leader="none" w:pos="13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Aggregate Amount of Extension of Credit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-970915</wp:posOffset>
            </wp:positionV>
            <wp:extent cx="16287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-558800</wp:posOffset>
            </wp:positionV>
            <wp:extent cx="140017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40017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-284480</wp:posOffset>
            </wp:positionV>
            <wp:extent cx="140017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40017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-10160</wp:posOffset>
            </wp:positionV>
            <wp:extent cx="140017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178" w:lineRule="exact"/>
        <w:rPr>
          <w:sz w:val="20"/>
          <w:szCs w:val="20"/>
          <w:color w:val="auto"/>
        </w:rPr>
      </w:pPr>
    </w:p>
    <w:p>
      <w:pPr>
        <w:ind w:left="460" w:right="220" w:hanging="452"/>
        <w:spacing w:after="0" w:line="258" w:lineRule="auto"/>
        <w:tabs>
          <w:tab w:leader="none" w:pos="460" w:val="left"/>
        </w:tabs>
        <w:numPr>
          <w:ilvl w:val="0"/>
          <w:numId w:val="233"/>
        </w:numPr>
        <w:rPr>
          <w:rFonts w:ascii="Arial" w:cs="Arial" w:eastAsia="Arial" w:hAnsi="Arial"/>
          <w:sz w:val="15"/>
          <w:szCs w:val="15"/>
          <w:color w:val="auto"/>
        </w:rPr>
      </w:pPr>
      <w:r>
        <w:rPr>
          <w:rFonts w:ascii="Arial" w:cs="Arial" w:eastAsia="Arial" w:hAnsi="Arial"/>
          <w:sz w:val="18"/>
          <w:szCs w:val="18"/>
          <w:color w:val="auto"/>
        </w:rPr>
        <w:t>Insert if the Applicable Borrower is, in the case of a Borrowing Request delivered pursuant to Section 2.2, a Domestic Subsidiary Borrower or, in the case of a Borrowing Request delivered pursuant to Sections 2.4 or 2.8, a Subsidiary Borrower.</w:t>
      </w:r>
    </w:p>
    <w:p>
      <w:pPr>
        <w:ind w:left="460" w:right="80" w:hanging="452"/>
        <w:spacing w:after="0" w:line="282" w:lineRule="auto"/>
        <w:tabs>
          <w:tab w:leader="none" w:pos="460" w:val="left"/>
        </w:tabs>
        <w:numPr>
          <w:ilvl w:val="0"/>
          <w:numId w:val="234"/>
        </w:numPr>
        <w:rPr>
          <w:rFonts w:ascii="Arial" w:cs="Arial" w:eastAsia="Arial" w:hAnsi="Arial"/>
          <w:sz w:val="14"/>
          <w:szCs w:val="14"/>
          <w:color w:val="auto"/>
        </w:rPr>
      </w:pPr>
      <w:r>
        <w:rPr>
          <w:rFonts w:ascii="Arial" w:cs="Arial" w:eastAsia="Arial" w:hAnsi="Arial"/>
          <w:sz w:val="16"/>
          <w:szCs w:val="16"/>
          <w:color w:val="auto"/>
        </w:rPr>
        <w:t>Borrowing Request to be delivered to the Administrative Agent in the case of any Domestic Loan prior to (a) 1:00 P.M., New York City time, three Business Days prior to the requested Borrowing Date, in the case of Eurocurrency Loans, or (b) 1:00 P.M., New York City time, on the date of the proposed borrowing, in the case of ABR Loans). Borrowing Request to be delivered to the Administrative Agent (x) in the case of any Multicurrency Loan denominated in Dollars, written (or telephonic notice promptly confirmed in writing) prior to (a) in the case of Eurocurrency Loans (i) in the case of requests made by the Company or any Subsidiary Borrower other than GMGTC, 1:00 P.M., New York City time, three Business Days prior to the requested Borrowing Date or (ii) in the case of requests made by GMGTC, 1:00 P.M., London time, three Business Days prior to the requested Borrowing Date, or (b) 1:00 P.M., New York City time, on the date of the proposed borrowing, in the case of ABR Loans and (y) in the case of any Multicurrency Loan denominated in an Optional Currency, 1:00 P.M., London time, three Business Days prior to the requested Borrowing Date. Borrowing Request to be delivered in the case of any L/C Tranche Loan denominated in Dollars, written (or telephonic notice promptly confirmed in writing) prior to (a) 1:00 P.M., New York City time, three Business Days prior to the requested Borrowing Date, in the case of Eurocurrency Loans, or</w:t>
      </w:r>
    </w:p>
    <w:p>
      <w:pPr>
        <w:ind w:left="460" w:right="300" w:hanging="6"/>
        <w:spacing w:after="0" w:line="250" w:lineRule="auto"/>
        <w:tabs>
          <w:tab w:leader="none" w:pos="71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12:00 Noon, New York City time, on the date of the proposed borrowing, in the case of ABR Loans and (y) in the case of any L/C Tranche Loan denominated in an Optional Currency, a written Borrowing Request prior to 12:00 Noon, London time, three Business Days prior to the requested Borrowing Date.</w:t>
      </w:r>
    </w:p>
    <w:p>
      <w:pPr>
        <w:ind w:left="460" w:hanging="452"/>
        <w:spacing w:after="0" w:line="282" w:lineRule="auto"/>
        <w:tabs>
          <w:tab w:leader="none" w:pos="460" w:val="left"/>
        </w:tabs>
        <w:numPr>
          <w:ilvl w:val="0"/>
          <w:numId w:val="236"/>
        </w:numPr>
        <w:rPr>
          <w:rFonts w:ascii="Arial" w:cs="Arial" w:eastAsia="Arial" w:hAnsi="Arial"/>
          <w:sz w:val="14"/>
          <w:szCs w:val="14"/>
          <w:color w:val="auto"/>
        </w:rPr>
      </w:pPr>
      <w:r>
        <w:rPr>
          <w:rFonts w:ascii="Arial" w:cs="Arial" w:eastAsia="Arial" w:hAnsi="Arial"/>
          <w:sz w:val="16"/>
          <w:szCs w:val="16"/>
          <w:color w:val="auto"/>
        </w:rPr>
        <w:t>Each borrowing under the Domestic Commitments shall be in an amount equal to $25 million (or, if the Total Available Domestic Commitments at such time are less than $25 million, such lesser amount) or a whole multiple of $5 million in excess thereof.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Each borrowing under the L/C Tranche Commitments shall be in an amount that is an integral multiple of $10 million of the relevant Currency and no less than an amount which is equal to the Dollar Equivalent of $50 million (or, if the Total Available L/C Tranche Commitments are less than</w:t>
      </w:r>
    </w:p>
    <w:p>
      <w:pPr>
        <w:ind w:left="460"/>
        <w:spacing w:after="0"/>
        <w:rPr>
          <w:rFonts w:ascii="Arial" w:cs="Arial" w:eastAsia="Arial" w:hAnsi="Arial"/>
          <w:sz w:val="14"/>
          <w:szCs w:val="14"/>
          <w:color w:val="auto"/>
        </w:rPr>
      </w:pPr>
      <w:r>
        <w:rPr>
          <w:rFonts w:ascii="Arial" w:cs="Arial" w:eastAsia="Arial" w:hAnsi="Arial"/>
          <w:sz w:val="18"/>
          <w:szCs w:val="18"/>
          <w:color w:val="auto"/>
        </w:rPr>
        <w:t>$50 million at such time, such lesser amount).</w:t>
      </w:r>
    </w:p>
    <w:p>
      <w:pPr>
        <w:sectPr>
          <w:pgSz w:w="11900" w:h="16838" w:orient="portrait"/>
          <w:cols w:equalWidth="0" w:num="1">
            <w:col w:w="11420"/>
          </w:cols>
          <w:pgMar w:left="240" w:top="274" w:right="239" w:bottom="1440" w:gutter="0" w:footer="0" w:header="0"/>
        </w:sectPr>
      </w:pPr>
    </w:p>
    <w:bookmarkStart w:id="239" w:name="page240"/>
    <w:bookmarkEnd w:id="239"/>
    <w:p>
      <w:pPr>
        <w:ind w:left="1412" w:hanging="723"/>
        <w:spacing w:after="0"/>
        <w:tabs>
          <w:tab w:leader="none" w:pos="1412"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Type of Extension of Credit </w:t>
      </w:r>
      <w:r>
        <w:rPr>
          <w:rFonts w:ascii="Arial" w:cs="Arial" w:eastAsia="Arial" w:hAnsi="Arial"/>
          <w:sz w:val="15"/>
          <w:szCs w:val="15"/>
          <w:color w:val="auto"/>
        </w:rPr>
        <w:t>7</w:t>
      </w:r>
    </w:p>
    <w:p>
      <w:pPr>
        <w:spacing w:after="0" w:line="225" w:lineRule="exact"/>
        <w:rPr>
          <w:rFonts w:ascii="Arial" w:cs="Arial" w:eastAsia="Arial" w:hAnsi="Arial"/>
          <w:sz w:val="18"/>
          <w:szCs w:val="18"/>
          <w:color w:val="auto"/>
        </w:rPr>
      </w:pPr>
    </w:p>
    <w:p>
      <w:pPr>
        <w:ind w:left="1412" w:hanging="723"/>
        <w:spacing w:after="0"/>
        <w:tabs>
          <w:tab w:leader="none" w:pos="141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8</w:t>
      </w:r>
    </w:p>
    <w:p>
      <w:pPr>
        <w:spacing w:after="0" w:line="225" w:lineRule="exact"/>
        <w:rPr>
          <w:rFonts w:ascii="Arial" w:cs="Arial" w:eastAsia="Arial" w:hAnsi="Arial"/>
          <w:sz w:val="18"/>
          <w:szCs w:val="18"/>
          <w:color w:val="auto"/>
        </w:rPr>
      </w:pPr>
    </w:p>
    <w:p>
      <w:pPr>
        <w:ind w:left="1412" w:hanging="723"/>
        <w:spacing w:after="0"/>
        <w:tabs>
          <w:tab w:leader="none" w:pos="141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Funds are requested to be disbursed to the Borrower’s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-558800</wp:posOffset>
            </wp:positionV>
            <wp:extent cx="162877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-284480</wp:posOffset>
            </wp:positionV>
            <wp:extent cx="162877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-10160</wp:posOffset>
            </wp:positionV>
            <wp:extent cx="162877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ind w:left="1412"/>
        <w:spacing w:after="0"/>
        <w:tabs>
          <w:tab w:leader="none" w:pos="3072" w:val="left"/>
          <w:tab w:leader="none" w:pos="5992" w:val="left"/>
        </w:tabs>
        <w:rPr>
          <w:sz w:val="20"/>
          <w:szCs w:val="20"/>
          <w:color w:val="auto"/>
        </w:rPr>
      </w:pPr>
      <w:r>
        <w:rPr>
          <w:rFonts w:ascii="Arial" w:cs="Arial" w:eastAsia="Arial" w:hAnsi="Arial"/>
          <w:sz w:val="18"/>
          <w:szCs w:val="18"/>
          <w:color w:val="auto"/>
        </w:rPr>
        <w:t>with</w:t>
      </w:r>
      <w:r>
        <w:rPr>
          <w:sz w:val="20"/>
          <w:szCs w:val="20"/>
          <w:color w:val="auto"/>
        </w:rPr>
        <w:tab/>
      </w:r>
      <w:r>
        <w:rPr>
          <w:rFonts w:ascii="Arial" w:cs="Arial" w:eastAsia="Arial" w:hAnsi="Arial"/>
          <w:sz w:val="18"/>
          <w:szCs w:val="18"/>
          <w:color w:val="auto"/>
        </w:rPr>
        <w:t>(Account No.</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-19050</wp:posOffset>
            </wp:positionV>
            <wp:extent cx="265112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51125" cy="8890"/>
                    </a:xfrm>
                    <a:prstGeom prst="rect">
                      <a:avLst/>
                    </a:prstGeom>
                    <a:noFill/>
                  </pic:spPr>
                </pic:pic>
              </a:graphicData>
            </a:graphic>
          </wp:anchor>
        </w:drawing>
      </w:r>
    </w:p>
    <w:p>
      <w:pPr>
        <w:spacing w:after="0" w:line="191" w:lineRule="exact"/>
        <w:rPr>
          <w:sz w:val="20"/>
          <w:szCs w:val="20"/>
          <w:color w:val="auto"/>
        </w:rPr>
      </w:pPr>
    </w:p>
    <w:p>
      <w:pPr>
        <w:ind w:left="4112"/>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89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52" w:hanging="452"/>
        <w:spacing w:after="0"/>
        <w:tabs>
          <w:tab w:leader="none" w:pos="452" w:val="left"/>
        </w:tabs>
        <w:numPr>
          <w:ilvl w:val="0"/>
          <w:numId w:val="238"/>
        </w:numPr>
        <w:rPr>
          <w:rFonts w:ascii="Arial" w:cs="Arial" w:eastAsia="Arial" w:hAnsi="Arial"/>
          <w:sz w:val="15"/>
          <w:szCs w:val="15"/>
          <w:color w:val="auto"/>
        </w:rPr>
      </w:pPr>
      <w:r>
        <w:rPr>
          <w:rFonts w:ascii="Arial" w:cs="Arial" w:eastAsia="Arial" w:hAnsi="Arial"/>
          <w:sz w:val="18"/>
          <w:szCs w:val="18"/>
          <w:color w:val="auto"/>
        </w:rPr>
        <w:t>Specify Eurodollar Borrowing or ABR Borrowing.</w:t>
      </w:r>
    </w:p>
    <w:p>
      <w:pPr>
        <w:spacing w:after="0" w:line="22" w:lineRule="exact"/>
        <w:rPr>
          <w:sz w:val="20"/>
          <w:szCs w:val="20"/>
          <w:color w:val="auto"/>
        </w:rPr>
      </w:pPr>
    </w:p>
    <w:p>
      <w:pPr>
        <w:ind w:left="452" w:hanging="452"/>
        <w:spacing w:after="0"/>
        <w:tabs>
          <w:tab w:leader="none" w:pos="452" w:val="left"/>
        </w:tabs>
        <w:numPr>
          <w:ilvl w:val="0"/>
          <w:numId w:val="239"/>
        </w:numPr>
        <w:rPr>
          <w:rFonts w:ascii="Arial" w:cs="Arial" w:eastAsia="Arial" w:hAnsi="Arial"/>
          <w:sz w:val="14"/>
          <w:szCs w:val="14"/>
          <w:color w:val="auto"/>
        </w:rPr>
      </w:pPr>
      <w:r>
        <w:rPr>
          <w:rFonts w:ascii="Arial" w:cs="Arial" w:eastAsia="Arial" w:hAnsi="Arial"/>
          <w:sz w:val="16"/>
          <w:szCs w:val="16"/>
          <w:color w:val="auto"/>
        </w:rPr>
        <w:t>Which shall be subject to the definition of “Interest Period” and end on or before the Termination Date applicable to such Facility for such Lender.</w:t>
      </w:r>
    </w:p>
    <w:p>
      <w:pPr>
        <w:sectPr>
          <w:pgSz w:w="11900" w:h="16838" w:orient="portrait"/>
          <w:cols w:equalWidth="0" w:num="1">
            <w:col w:w="10992"/>
          </w:cols>
          <w:pgMar w:left="248" w:top="274" w:right="659" w:bottom="1440" w:gutter="0" w:footer="0" w:header="0"/>
        </w:sectPr>
      </w:pPr>
    </w:p>
    <w:bookmarkStart w:id="240" w:name="page241"/>
    <w:bookmarkEnd w:id="240"/>
    <w:p>
      <w:pPr>
        <w:ind w:right="10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Applicable Borrower hereby represents and warrants to the Administrative Agent and the Lenders that, on the date of the requested Extension of Credit, the conditions to lending specified in Section[s] 5.1 [and 5.2</w:t>
      </w:r>
      <w:r>
        <w:rPr>
          <w:rFonts w:ascii="Arial" w:cs="Arial" w:eastAsia="Arial" w:hAnsi="Arial"/>
          <w:sz w:val="14"/>
          <w:szCs w:val="14"/>
          <w:color w:val="auto"/>
        </w:rPr>
        <w:t>9</w:t>
      </w:r>
      <w:r>
        <w:rPr>
          <w:rFonts w:ascii="Arial" w:cs="Arial" w:eastAsia="Arial" w:hAnsi="Arial"/>
          <w:sz w:val="17"/>
          <w:szCs w:val="17"/>
          <w:color w:val="auto"/>
        </w:rPr>
        <w:t>] of the Credit Agreement have been satisfied.</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[INSERT NAME OF APPLICABLE BORROWER]</w:t>
      </w:r>
      <w:r>
        <w:rPr>
          <w:rFonts w:ascii="Arial" w:cs="Arial" w:eastAsia="Arial" w:hAnsi="Arial"/>
          <w:sz w:val="14"/>
          <w:szCs w:val="14"/>
          <w:color w:val="auto"/>
        </w:rPr>
        <w:t>10</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89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0" w:lineRule="exact"/>
        <w:rPr>
          <w:sz w:val="20"/>
          <w:szCs w:val="20"/>
          <w:color w:val="auto"/>
        </w:rPr>
      </w:pPr>
    </w:p>
    <w:p>
      <w:pPr>
        <w:ind w:left="460" w:hanging="452"/>
        <w:spacing w:after="0"/>
        <w:tabs>
          <w:tab w:leader="none" w:pos="460" w:val="left"/>
        </w:tabs>
        <w:numPr>
          <w:ilvl w:val="0"/>
          <w:numId w:val="240"/>
        </w:numPr>
        <w:rPr>
          <w:rFonts w:ascii="Arial" w:cs="Arial" w:eastAsia="Arial" w:hAnsi="Arial"/>
          <w:sz w:val="15"/>
          <w:szCs w:val="15"/>
          <w:color w:val="auto"/>
        </w:rPr>
      </w:pPr>
      <w:r>
        <w:rPr>
          <w:rFonts w:ascii="Arial" w:cs="Arial" w:eastAsia="Arial" w:hAnsi="Arial"/>
          <w:sz w:val="18"/>
          <w:szCs w:val="18"/>
          <w:color w:val="auto"/>
        </w:rPr>
        <w:t>[Insert for Borrowing on the Closing Date.]</w:t>
      </w:r>
    </w:p>
    <w:p>
      <w:pPr>
        <w:spacing w:after="0" w:line="22" w:lineRule="exact"/>
        <w:rPr>
          <w:sz w:val="20"/>
          <w:szCs w:val="20"/>
          <w:color w:val="auto"/>
        </w:rPr>
      </w:pPr>
    </w:p>
    <w:p>
      <w:pPr>
        <w:ind w:left="460" w:hanging="452"/>
        <w:spacing w:after="0"/>
        <w:tabs>
          <w:tab w:leader="none" w:pos="460" w:val="left"/>
        </w:tabs>
        <w:numPr>
          <w:ilvl w:val="0"/>
          <w:numId w:val="241"/>
        </w:numPr>
        <w:rPr>
          <w:rFonts w:ascii="Arial" w:cs="Arial" w:eastAsia="Arial" w:hAnsi="Arial"/>
          <w:sz w:val="15"/>
          <w:szCs w:val="15"/>
          <w:color w:val="auto"/>
        </w:rPr>
      </w:pPr>
      <w:r>
        <w:rPr>
          <w:rFonts w:ascii="Arial" w:cs="Arial" w:eastAsia="Arial" w:hAnsi="Arial"/>
          <w:sz w:val="18"/>
          <w:szCs w:val="18"/>
          <w:color w:val="auto"/>
        </w:rPr>
        <w:t>[Insert for Borrowings by an Applicable Borrower other than the Company.]</w:t>
      </w:r>
    </w:p>
    <w:p>
      <w:pPr>
        <w:sectPr>
          <w:pgSz w:w="11900" w:h="16838" w:orient="portrait"/>
          <w:cols w:equalWidth="0" w:num="1">
            <w:col w:w="10800"/>
          </w:cols>
          <w:pgMar w:left="240" w:top="274" w:right="859" w:bottom="1440" w:gutter="0" w:footer="0" w:header="0"/>
        </w:sectPr>
      </w:pPr>
    </w:p>
    <w:bookmarkStart w:id="241" w:name="page242"/>
    <w:bookmarkEnd w:id="241"/>
    <w:p>
      <w:pPr>
        <w:jc w:val="center"/>
        <w:ind w:left="9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M</w:t>
      </w:r>
    </w:p>
    <w:p>
      <w:pPr>
        <w:spacing w:after="0" w:line="27"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40"/>
        <w:spacing w:after="0"/>
        <w:rPr>
          <w:sz w:val="20"/>
          <w:szCs w:val="20"/>
          <w:color w:val="auto"/>
        </w:rPr>
      </w:pPr>
      <w:r>
        <w:rPr>
          <w:rFonts w:ascii="Arial" w:cs="Arial" w:eastAsia="Arial" w:hAnsi="Arial"/>
          <w:sz w:val="18"/>
          <w:szCs w:val="18"/>
          <w:b w:val="1"/>
          <w:bCs w:val="1"/>
          <w:color w:val="auto"/>
        </w:rPr>
        <w:t>Credit Agreement</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COMPANY CONSENT</w:t>
      </w:r>
    </w:p>
    <w:p>
      <w:pPr>
        <w:spacing w:after="0" w:line="229"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6623050</wp:posOffset>
            </wp:positionH>
            <wp:positionV relativeFrom="paragraph">
              <wp:posOffset>-10160</wp:posOffset>
            </wp:positionV>
            <wp:extent cx="3429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-10160</wp:posOffset>
            </wp:positionV>
            <wp:extent cx="1143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32" w:lineRule="exact"/>
        <w:rPr>
          <w:sz w:val="20"/>
          <w:szCs w:val="20"/>
          <w:color w:val="auto"/>
        </w:rPr>
      </w:pPr>
    </w:p>
    <w:p>
      <w:pPr>
        <w:spacing w:after="0"/>
        <w:tabs>
          <w:tab w:leader="none" w:pos="440" w:val="left"/>
          <w:tab w:leader="none" w:pos="1940" w:val="left"/>
        </w:tabs>
        <w:rPr>
          <w:sz w:val="20"/>
          <w:szCs w:val="20"/>
          <w:color w:val="auto"/>
        </w:rPr>
      </w:pPr>
      <w:r>
        <w:rPr>
          <w:rFonts w:ascii="Arial" w:cs="Arial" w:eastAsia="Arial" w:hAnsi="Arial"/>
          <w:sz w:val="18"/>
          <w:szCs w:val="18"/>
          <w:color w:val="auto"/>
        </w:rPr>
        <w:t>To:</w:t>
        <w:tab/>
        <w:t>[</w:t>
      </w:r>
      <w:r>
        <w:rPr>
          <w:sz w:val="20"/>
          <w:szCs w:val="20"/>
          <w:color w:val="auto"/>
        </w:rPr>
        <w:tab/>
      </w:r>
      <w:r>
        <w:rPr>
          <w:rFonts w:ascii="Arial" w:cs="Arial" w:eastAsia="Arial" w:hAnsi="Arial"/>
          <w:sz w:val="16"/>
          <w:szCs w:val="16"/>
          <w:color w:val="auto"/>
        </w:rPr>
        <w:t>] (the “</w:t>
      </w:r>
      <w:r>
        <w:rPr>
          <w:rFonts w:ascii="Arial" w:cs="Arial" w:eastAsia="Arial" w:hAnsi="Arial"/>
          <w:sz w:val="16"/>
          <w:szCs w:val="16"/>
          <w:u w:val="single" w:color="auto"/>
          <w:color w:val="auto"/>
        </w:rPr>
        <w:t>Issuing Lender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-10160</wp:posOffset>
            </wp:positionV>
            <wp:extent cx="9144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32" w:lineRule="exact"/>
        <w:rPr>
          <w:sz w:val="20"/>
          <w:szCs w:val="20"/>
          <w:color w:val="auto"/>
        </w:rPr>
      </w:pPr>
    </w:p>
    <w:p>
      <w:pPr>
        <w:ind w:left="460" w:hanging="459"/>
        <w:spacing w:after="0" w:line="254" w:lineRule="auto"/>
        <w:tabs>
          <w:tab w:leader="none" w:pos="440" w:val="left"/>
        </w:tabs>
        <w:rPr>
          <w:sz w:val="20"/>
          <w:szCs w:val="20"/>
          <w:color w:val="auto"/>
        </w:rPr>
      </w:pPr>
      <w:r>
        <w:rPr>
          <w:rFonts w:ascii="Arial" w:cs="Arial" w:eastAsia="Arial" w:hAnsi="Arial"/>
          <w:sz w:val="18"/>
          <w:szCs w:val="18"/>
          <w:color w:val="auto"/>
        </w:rPr>
        <w:t>Re:</w:t>
        <w:tab/>
        <w:t>Third Amended and Restated Three Year Revolving Credit Agreement, dated as of April 18, 2018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Lenders from time to time party thereto, JPMorgan Chase Bank, N.A., as administrative agent, Banco do Brasil S.A., as Brazilian administrative agent, Citibank, N.A., as syndication agent, Bank of America, N.A., as co-syndication agent, and the other agents party thereto. Capitalized terms used and not defined herein shall have the meanings assigned to such terms in the Credit Agreement.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the Credit Agreement, the Company hereby consents to the issuance by the Issuing Lender or its Applicable Lending office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3"/>
          </w:tcPr>
          <w:p>
            <w:pPr>
              <w:spacing w:after="0"/>
              <w:rPr>
                <w:sz w:val="20"/>
                <w:szCs w:val="20"/>
                <w:color w:val="auto"/>
              </w:rPr>
            </w:pPr>
            <w:r>
              <w:rPr>
                <w:rFonts w:ascii="Arial" w:cs="Arial" w:eastAsia="Arial" w:hAnsi="Arial"/>
                <w:sz w:val="18"/>
                <w:szCs w:val="18"/>
                <w:color w:val="auto"/>
                <w:w w:val="93"/>
              </w:rPr>
              <w:t>of a Letter of Credit in the original face amount of</w:t>
            </w:r>
          </w:p>
        </w:tc>
        <w:tc>
          <w:tcPr>
            <w:tcW w:w="1440" w:type="dxa"/>
            <w:vAlign w:val="bottom"/>
            <w:tcBorders>
              <w:bottom w:val="single" w:sz="8" w:color="auto"/>
            </w:tcBorders>
          </w:tcPr>
          <w:p>
            <w:pPr>
              <w:spacing w:after="0"/>
              <w:rPr>
                <w:sz w:val="17"/>
                <w:szCs w:val="17"/>
                <w:color w:val="auto"/>
              </w:rPr>
            </w:pPr>
          </w:p>
        </w:tc>
        <w:tc>
          <w:tcPr>
            <w:tcW w:w="3860" w:type="dxa"/>
            <w:vAlign w:val="bottom"/>
            <w:gridSpan w:val="5"/>
          </w:tcPr>
          <w:p>
            <w:pPr>
              <w:spacing w:after="0"/>
              <w:rPr>
                <w:sz w:val="20"/>
                <w:szCs w:val="20"/>
                <w:color w:val="auto"/>
              </w:rPr>
            </w:pPr>
            <w:r>
              <w:rPr>
                <w:rFonts w:ascii="Arial" w:cs="Arial" w:eastAsia="Arial" w:hAnsi="Arial"/>
                <w:sz w:val="18"/>
                <w:szCs w:val="18"/>
                <w:color w:val="auto"/>
                <w:w w:val="91"/>
              </w:rPr>
              <w:t>[Insert Currency] requested by and for the account of</w:t>
            </w:r>
          </w:p>
        </w:tc>
        <w:tc>
          <w:tcPr>
            <w:tcW w:w="1440" w:type="dxa"/>
            <w:vAlign w:val="bottom"/>
            <w:tcBorders>
              <w:bottom w:val="single" w:sz="8" w:color="auto"/>
            </w:tcBorders>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3"/>
              </w:rPr>
              <w:t>(the</w:t>
            </w:r>
          </w:p>
        </w:tc>
      </w:tr>
      <w:tr>
        <w:trPr>
          <w:trHeight w:val="196"/>
        </w:trPr>
        <w:tc>
          <w:tcPr>
            <w:tcW w:w="6680" w:type="dxa"/>
            <w:vAlign w:val="bottom"/>
            <w:gridSpan w:val="6"/>
          </w:tcPr>
          <w:p>
            <w:pPr>
              <w:spacing w:after="0" w:line="196" w:lineRule="exact"/>
              <w:rPr>
                <w:sz w:val="20"/>
                <w:szCs w:val="20"/>
                <w:color w:val="auto"/>
              </w:rPr>
            </w:pPr>
            <w:r>
              <w:rPr>
                <w:rFonts w:ascii="Arial" w:cs="Arial" w:eastAsia="Arial" w:hAnsi="Arial"/>
                <w:sz w:val="18"/>
                <w:szCs w:val="18"/>
                <w:color w:val="auto"/>
              </w:rPr>
              <w:t>“Applicable Account Party”) pursuant to that certain Application dated [</w:t>
            </w:r>
          </w:p>
        </w:tc>
        <w:tc>
          <w:tcPr>
            <w:tcW w:w="4020" w:type="dxa"/>
            <w:vAlign w:val="bottom"/>
            <w:gridSpan w:val="5"/>
          </w:tcPr>
          <w:p>
            <w:pPr>
              <w:spacing w:after="0" w:line="196" w:lineRule="exact"/>
              <w:rPr>
                <w:sz w:val="20"/>
                <w:szCs w:val="20"/>
                <w:color w:val="auto"/>
              </w:rPr>
            </w:pPr>
            <w:r>
              <w:rPr>
                <w:rFonts w:ascii="Arial" w:cs="Arial" w:eastAsia="Arial" w:hAnsi="Arial"/>
                <w:sz w:val="18"/>
                <w:szCs w:val="18"/>
                <w:color w:val="auto"/>
                <w:w w:val="93"/>
              </w:rPr>
              <w:t>, 20  ] and executed by the Applicable Account Party].</w:t>
            </w:r>
          </w:p>
        </w:tc>
      </w:tr>
      <w:tr>
        <w:trPr>
          <w:trHeight w:val="20"/>
        </w:trPr>
        <w:tc>
          <w:tcPr>
            <w:tcW w:w="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40"/>
          </w:cols>
          <w:pgMar w:left="240" w:top="270" w:right="319" w:bottom="1440" w:gutter="0" w:footer="0" w:header="0"/>
        </w:sectPr>
      </w:pPr>
    </w:p>
    <w:bookmarkStart w:id="242" w:name="page243"/>
    <w:bookmarkEnd w:id="242"/>
    <w:p>
      <w:pPr>
        <w:jc w:val="center"/>
        <w:ind w:left="9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N</w:t>
      </w:r>
    </w:p>
    <w:p>
      <w:pPr>
        <w:spacing w:after="0" w:line="27" w:lineRule="exact"/>
        <w:rPr>
          <w:sz w:val="20"/>
          <w:szCs w:val="20"/>
          <w:color w:val="auto"/>
        </w:rPr>
      </w:pPr>
    </w:p>
    <w:p>
      <w:pPr>
        <w:jc w:val="center"/>
        <w:ind w:left="91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120"/>
        <w:spacing w:after="0"/>
        <w:rPr>
          <w:sz w:val="20"/>
          <w:szCs w:val="20"/>
          <w:color w:val="auto"/>
        </w:rPr>
      </w:pPr>
      <w:r>
        <w:rPr>
          <w:rFonts w:ascii="Arial" w:cs="Arial" w:eastAsia="Arial" w:hAnsi="Arial"/>
          <w:sz w:val="18"/>
          <w:szCs w:val="18"/>
          <w:b w:val="1"/>
          <w:bCs w:val="1"/>
          <w:color w:val="auto"/>
        </w:rPr>
        <w:t>Credit Agreement</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LETTER OF CREDIT ACKNOWLEDGMENT</w:t>
      </w:r>
    </w:p>
    <w:p>
      <w:pPr>
        <w:spacing w:after="0" w:line="229" w:lineRule="exact"/>
        <w:rPr>
          <w:sz w:val="20"/>
          <w:szCs w:val="20"/>
          <w:color w:val="auto"/>
        </w:rPr>
      </w:pPr>
    </w:p>
    <w:p>
      <w:pPr>
        <w:ind w:left="460"/>
        <w:spacing w:after="0"/>
        <w:tabs>
          <w:tab w:leader="none" w:pos="6280" w:val="left"/>
          <w:tab w:leader="none" w:pos="6720" w:val="left"/>
          <w:tab w:leader="none" w:pos="9540" w:val="left"/>
        </w:tabs>
        <w:rPr>
          <w:sz w:val="20"/>
          <w:szCs w:val="20"/>
          <w:color w:val="auto"/>
        </w:rPr>
      </w:pPr>
      <w:r>
        <w:rPr>
          <w:rFonts w:ascii="Arial" w:cs="Arial" w:eastAsia="Arial" w:hAnsi="Arial"/>
          <w:sz w:val="18"/>
          <w:szCs w:val="18"/>
          <w:color w:val="auto"/>
        </w:rPr>
        <w:t>LETTER OF CREDIT ACKNOWLEDGMENT, dated as of</w:t>
      </w:r>
      <w:r>
        <w:rPr>
          <w:sz w:val="20"/>
          <w:szCs w:val="20"/>
          <w:color w:val="auto"/>
        </w:rPr>
        <w:tab/>
      </w:r>
      <w:r>
        <w:rPr>
          <w:rFonts w:ascii="Arial" w:cs="Arial" w:eastAsia="Arial" w:hAnsi="Arial"/>
          <w:sz w:val="18"/>
          <w:szCs w:val="18"/>
          <w:color w:val="auto"/>
        </w:rPr>
        <w:t>, 20</w:t>
        <w:tab/>
        <w:t>, is entered into by</w:t>
      </w:r>
      <w:r>
        <w:rPr>
          <w:sz w:val="20"/>
          <w:szCs w:val="20"/>
          <w:color w:val="auto"/>
        </w:rPr>
        <w:tab/>
      </w:r>
      <w:r>
        <w:rPr>
          <w:rFonts w:ascii="Arial" w:cs="Arial" w:eastAsia="Arial" w:hAnsi="Arial"/>
          <w:sz w:val="14"/>
          <w:szCs w:val="14"/>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-10160</wp:posOffset>
            </wp:positionV>
            <wp:extent cx="120015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5156200</wp:posOffset>
            </wp:positionH>
            <wp:positionV relativeFrom="paragraph">
              <wp:posOffset>-10160</wp:posOffset>
            </wp:positionV>
            <wp:extent cx="196532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Applicable Lending Office</w:t>
      </w:r>
      <w:r>
        <w:rPr>
          <w:rFonts w:ascii="Arial" w:cs="Arial" w:eastAsia="Arial" w:hAnsi="Arial"/>
          <w:sz w:val="17"/>
          <w:szCs w:val="17"/>
          <w:color w:val="auto"/>
        </w:rPr>
        <w:t>”), in favor of [INSERT ISSUING LENDER],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w:t>
      </w:r>
    </w:p>
    <w:p>
      <w:pPr>
        <w:spacing w:after="0" w:line="21" w:lineRule="exact"/>
        <w:rPr>
          <w:sz w:val="20"/>
          <w:szCs w:val="20"/>
          <w:color w:val="auto"/>
        </w:rPr>
      </w:pPr>
    </w:p>
    <w:p>
      <w:pPr>
        <w:ind w:right="440" w:firstLine="8"/>
        <w:spacing w:after="0" w:line="261" w:lineRule="auto"/>
        <w:tabs>
          <w:tab w:leader="none" w:pos="6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(the “</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Capitalized terms used and not defined herein shall have the meanings assigned to such terms in the Credit Agreement referred to below. This is a “Letter of Credit Acknowledgment” as referenced in the Credit Agreement.</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WHEREAS, the Company, General Motors Financial Company, Inc., GM Global Treasury Centre Limited, General Motors do Brazil Ltda., the Subsidiary Borrowers from time to time party thereto, JPMorgan Chase Bank, N.A, as Administrative Agent, Banco do Brasil S.A., as Brazilian Administrative Agent, and each of the Lenders from time to time party thereto have entered into that certain Third Amended and Restated Three-Year Revolving Credit Agreement, dated as of April 18, 2018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WHEREAS, pursuant to the terms of the Credit Agreement, the Applicable Account Party has requested that the Applicable Lending Office issue a letter of credit (the “</w:t>
      </w:r>
      <w:r>
        <w:rPr>
          <w:rFonts w:ascii="Arial" w:cs="Arial" w:eastAsia="Arial" w:hAnsi="Arial"/>
          <w:sz w:val="18"/>
          <w:szCs w:val="18"/>
          <w:u w:val="single" w:color="auto"/>
          <w:color w:val="auto"/>
        </w:rPr>
        <w:t>Requested Letter of Credit</w:t>
      </w:r>
      <w:r>
        <w:rPr>
          <w:rFonts w:ascii="Arial" w:cs="Arial" w:eastAsia="Arial" w:hAnsi="Arial"/>
          <w:sz w:val="18"/>
          <w:szCs w:val="18"/>
          <w:color w:val="auto"/>
        </w:rPr>
        <w:t>”) on behalf of the Applicable Account Party, which letter of credit shall be a “Letter of Credit” for all purposes under the Credit Agreement; and</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WHEREAS, the Applicable Account Party may in the future request that the Applicable Lending Office issue additional letters of credit (each such letter of credit, a “</w:t>
      </w:r>
      <w:r>
        <w:rPr>
          <w:rFonts w:ascii="Arial" w:cs="Arial" w:eastAsia="Arial" w:hAnsi="Arial"/>
          <w:sz w:val="18"/>
          <w:szCs w:val="18"/>
          <w:u w:val="single" w:color="auto"/>
          <w:color w:val="auto"/>
        </w:rPr>
        <w:t>Future Letter of Credit</w:t>
      </w:r>
      <w:r>
        <w:rPr>
          <w:rFonts w:ascii="Arial" w:cs="Arial" w:eastAsia="Arial" w:hAnsi="Arial"/>
          <w:sz w:val="18"/>
          <w:szCs w:val="18"/>
          <w:color w:val="auto"/>
        </w:rPr>
        <w:t>”) on behalf of the Applicable Account Party, each such Future Letter of Credit to be a “Letter of Credit” for all purposes under the Credit Agreement upon the issuance thereof.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jc w:val="both"/>
        <w:ind w:right="180" w:firstLine="921"/>
        <w:spacing w:after="0" w:line="259" w:lineRule="auto"/>
        <w:tabs>
          <w:tab w:leader="none" w:pos="1093"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Each of the Applicable Lending Office, [INSERT ISSUING LENDER], the Company and the Applicable Account Party hereby acknowledge that, upon the issuance thereof pursuant to the terms of the Credit Agreement, the Requested Letter of Credit and any Future Letter of Credit shall constitute and shall be deemed to be a Letter of Credit for all purposes under the Credit Agreement and shall be subject to the terms thereof, as such terms may be amended solely pursuant to Section 2 below.</w:t>
      </w:r>
    </w:p>
    <w:p>
      <w:pPr>
        <w:spacing w:after="0" w:line="187" w:lineRule="exact"/>
        <w:rPr>
          <w:sz w:val="20"/>
          <w:szCs w:val="20"/>
          <w:color w:val="auto"/>
        </w:rPr>
      </w:pPr>
    </w:p>
    <w:p>
      <w:pPr>
        <w:ind w:right="820" w:firstLine="1484"/>
        <w:spacing w:after="0" w:line="277" w:lineRule="auto"/>
        <w:rPr>
          <w:sz w:val="20"/>
          <w:szCs w:val="20"/>
          <w:color w:val="auto"/>
        </w:rPr>
      </w:pPr>
      <w:r>
        <w:rPr>
          <w:rFonts w:ascii="Arial" w:cs="Arial" w:eastAsia="Arial" w:hAnsi="Arial"/>
          <w:sz w:val="18"/>
          <w:szCs w:val="18"/>
          <w:color w:val="auto"/>
        </w:rPr>
        <w:t>The Applicable Lending Office hereby agrees to be bound by the terms and conditions of the Credit Agreement (including all representations, warranties, and covenants), derive rights and assume the obligations thereunder.</w:t>
      </w:r>
    </w:p>
    <w:p>
      <w:pPr>
        <w:sectPr>
          <w:pgSz w:w="11900" w:h="16838" w:orient="portrait"/>
          <w:cols w:equalWidth="0" w:num="1">
            <w:col w:w="11340"/>
          </w:cols>
          <w:pgMar w:left="240" w:top="270" w:right="319" w:bottom="1440" w:gutter="0" w:footer="0" w:header="0"/>
        </w:sectPr>
      </w:pPr>
    </w:p>
    <w:bookmarkStart w:id="243" w:name="page244"/>
    <w:bookmarkEnd w:id="243"/>
    <w:p>
      <w:pPr>
        <w:ind w:left="-460" w:right="640" w:firstLine="921"/>
        <w:spacing w:after="0" w:line="277" w:lineRule="auto"/>
        <w:tabs>
          <w:tab w:leader="none" w:pos="633"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w:t>
      </w:r>
      <w:r>
        <w:rPr>
          <w:rFonts w:ascii="Arial" w:cs="Arial" w:eastAsia="Arial" w:hAnsi="Arial"/>
          <w:sz w:val="18"/>
          <w:szCs w:val="18"/>
          <w:color w:val="auto"/>
        </w:rPr>
        <w:t>. Solely with respect to the Requested Letter of Credit and any Future Letter of Credit, the terms of the Credit Agreement governing Letters of Credit shall be amended as follows:</w:t>
      </w:r>
    </w:p>
    <w:p>
      <w:pPr>
        <w:spacing w:after="0" w:line="170"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b w:val="1"/>
          <w:bCs w:val="1"/>
          <w:i w:val="1"/>
          <w:iCs w:val="1"/>
          <w:color w:val="auto"/>
        </w:rPr>
        <w:t>[Insert any amendments to the Letter of Credit provisions set forth in Section 3 of the Credit Agreement necessary to the extent (i) of any operational terms required by the Applicable Lending Office for similarly situated applicants that do not have a material impact on its ability to issue Letters of Credit and are not materially inconsistent with the terms of the Credit Agreement and the L/C Fee Letter or (ii) required pursuant to any applicable Requirements of Law.]</w:t>
      </w:r>
    </w:p>
    <w:p>
      <w:pPr>
        <w:spacing w:after="0" w:line="187" w:lineRule="exact"/>
        <w:rPr>
          <w:sz w:val="20"/>
          <w:szCs w:val="20"/>
          <w:color w:val="auto"/>
        </w:rPr>
      </w:pPr>
    </w:p>
    <w:p>
      <w:pPr>
        <w:ind w:left="-460" w:right="280" w:firstLine="921"/>
        <w:spacing w:after="0" w:line="257" w:lineRule="auto"/>
        <w:tabs>
          <w:tab w:leader="none" w:pos="633"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 The Company hereby confirms that the Credit Agreement (other than as specifically amended hereby solely with respect to the Requested Letter of Credit and any Future Letter of Credit) remains in full force and effect and will continue to constitute legal, valid and binding obligations of the Company in accordance with its terms. Each of the Company and the Applicable Lending Office represents and warrants that it has the full power and authority, and has taken all actions necessary to execute and deliver this Letter of Credit Acknowledgment and to consummate the transactions contemplated hereunder.</w:t>
      </w:r>
    </w:p>
    <w:p>
      <w:pPr>
        <w:spacing w:after="0" w:line="188" w:lineRule="exact"/>
        <w:rPr>
          <w:rFonts w:ascii="Arial" w:cs="Arial" w:eastAsia="Arial" w:hAnsi="Arial"/>
          <w:sz w:val="18"/>
          <w:szCs w:val="18"/>
          <w:color w:val="auto"/>
        </w:rPr>
      </w:pPr>
    </w:p>
    <w:p>
      <w:pPr>
        <w:ind w:left="-460" w:right="80" w:firstLine="464"/>
        <w:spacing w:after="0" w:line="259" w:lineRule="auto"/>
        <w:tabs>
          <w:tab w:leader="none" w:pos="176"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Governing Law; Etc</w:t>
      </w:r>
      <w:r>
        <w:rPr>
          <w:rFonts w:ascii="Arial" w:cs="Arial" w:eastAsia="Arial" w:hAnsi="Arial"/>
          <w:sz w:val="18"/>
          <w:szCs w:val="18"/>
          <w:color w:val="auto"/>
        </w:rPr>
        <w:t xml:space="preserve">. This Letter of Credit Acknowledgment shall be governed in accordance with the laws of the State of New York </w:t>
      </w:r>
      <w:r>
        <w:rPr>
          <w:rFonts w:ascii="Arial" w:cs="Arial" w:eastAsia="Arial" w:hAnsi="Arial"/>
          <w:sz w:val="18"/>
          <w:szCs w:val="18"/>
          <w:i w:val="1"/>
          <w:iCs w:val="1"/>
          <w:color w:val="auto"/>
        </w:rPr>
        <w:t>[or local law if</w:t>
      </w:r>
      <w:r>
        <w:rPr>
          <w:rFonts w:ascii="Arial" w:cs="Arial" w:eastAsia="Arial" w:hAnsi="Arial"/>
          <w:sz w:val="18"/>
          <w:szCs w:val="18"/>
          <w:color w:val="auto"/>
        </w:rPr>
        <w:t xml:space="preserve"> </w:t>
      </w:r>
      <w:r>
        <w:rPr>
          <w:rFonts w:ascii="Arial" w:cs="Arial" w:eastAsia="Arial" w:hAnsi="Arial"/>
          <w:sz w:val="18"/>
          <w:szCs w:val="18"/>
          <w:i w:val="1"/>
          <w:iCs w:val="1"/>
          <w:color w:val="auto"/>
        </w:rPr>
        <w:t>Acknowledgement would be unenforceable if governed by New York law]</w:t>
      </w:r>
      <w:r>
        <w:rPr>
          <w:rFonts w:ascii="Arial" w:cs="Arial" w:eastAsia="Arial" w:hAnsi="Arial"/>
          <w:sz w:val="18"/>
          <w:szCs w:val="18"/>
          <w:color w:val="auto"/>
        </w:rPr>
        <w:t>. This Letter of Credit Acknowledgment may be executed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which taken together shall constitute one agreement. Any signature delivered by facsimile or by email (in “pdf” or similar format) shall be deemed an original signature hereto.</w:t>
      </w:r>
    </w:p>
    <w:p>
      <w:pPr>
        <w:sectPr>
          <w:pgSz w:w="11900" w:h="16838" w:orient="portrait"/>
          <w:cols w:equalWidth="0" w:num="1">
            <w:col w:w="10960"/>
          </w:cols>
          <w:pgMar w:left="700" w:top="274" w:right="239" w:bottom="1440" w:gutter="0" w:footer="0" w:header="0"/>
        </w:sectPr>
      </w:pPr>
    </w:p>
    <w:bookmarkStart w:id="244" w:name="page245"/>
    <w:bookmarkEnd w:id="244"/>
    <w:p>
      <w:pPr>
        <w:ind w:left="6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ACCOUNT PARTY]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97167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[APPLICABLE LENDING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97167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5-YEAR REVOLVING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FINANCIAL COMPANY,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DO BRASIL LTDA.,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GM GLOBAL TREASURY CENTRE LIMITED,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SUBSIDIARY BORROWERS FROM TIME TO TIME PARTIES HERETO,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SEVERAL LENDERS FROM TIME TO TIME PARTIES HERETO,</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540" w:type="dxa"/>
            <w:vAlign w:val="bottom"/>
            <w:gridSpan w:val="2"/>
          </w:tcPr>
          <w:p>
            <w:pPr>
              <w:ind w:left="880"/>
              <w:spacing w:after="0"/>
              <w:rPr>
                <w:sz w:val="20"/>
                <w:szCs w:val="20"/>
                <w:color w:val="auto"/>
              </w:rPr>
            </w:pPr>
            <w:r>
              <w:rPr>
                <w:rFonts w:ascii="Arial" w:cs="Arial" w:eastAsia="Arial" w:hAnsi="Arial"/>
                <w:sz w:val="18"/>
                <w:szCs w:val="18"/>
                <w:color w:val="auto"/>
              </w:rPr>
              <w:t>Dated as of April 18, 2018</w:t>
            </w: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480" w:type="dxa"/>
            <w:vAlign w:val="bottom"/>
            <w:gridSpan w:val="3"/>
          </w:tcPr>
          <w:p>
            <w:pPr>
              <w:jc w:val="center"/>
              <w:ind w:right="550"/>
              <w:spacing w:after="0"/>
              <w:rPr>
                <w:sz w:val="20"/>
                <w:szCs w:val="20"/>
                <w:color w:val="auto"/>
              </w:rPr>
            </w:pPr>
            <w:r>
              <w:rPr>
                <w:rFonts w:ascii="Arial" w:cs="Arial" w:eastAsia="Arial" w:hAnsi="Arial"/>
                <w:sz w:val="18"/>
                <w:szCs w:val="18"/>
                <w:color w:val="auto"/>
                <w:w w:val="96"/>
              </w:rPr>
              <w:t>JPMORGAN CHASE BANK, N.A.,</w:t>
            </w:r>
          </w:p>
        </w:tc>
        <w:tc>
          <w:tcPr>
            <w:tcW w:w="3300" w:type="dxa"/>
            <w:vAlign w:val="bottom"/>
            <w:gridSpan w:val="3"/>
          </w:tcPr>
          <w:p>
            <w:pPr>
              <w:jc w:val="center"/>
              <w:ind w:left="1130"/>
              <w:spacing w:after="0"/>
              <w:rPr>
                <w:sz w:val="20"/>
                <w:szCs w:val="20"/>
                <w:color w:val="auto"/>
              </w:rPr>
            </w:pPr>
            <w:r>
              <w:rPr>
                <w:rFonts w:ascii="Arial" w:cs="Arial" w:eastAsia="Arial" w:hAnsi="Arial"/>
                <w:sz w:val="18"/>
                <w:szCs w:val="18"/>
                <w:color w:val="auto"/>
              </w:rPr>
              <w:t>CITIBANK, N.A.,</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jc w:val="center"/>
              <w:ind w:right="550"/>
              <w:spacing w:after="0"/>
              <w:rPr>
                <w:sz w:val="20"/>
                <w:szCs w:val="20"/>
                <w:color w:val="auto"/>
              </w:rPr>
            </w:pPr>
            <w:r>
              <w:rPr>
                <w:rFonts w:ascii="Arial" w:cs="Arial" w:eastAsia="Arial" w:hAnsi="Arial"/>
                <w:sz w:val="18"/>
                <w:szCs w:val="18"/>
                <w:i w:val="1"/>
                <w:iCs w:val="1"/>
                <w:color w:val="auto"/>
                <w:w w:val="92"/>
              </w:rPr>
              <w:t>as Administrative Agent, Global Coordinator, Joint</w:t>
            </w:r>
          </w:p>
        </w:tc>
        <w:tc>
          <w:tcPr>
            <w:tcW w:w="3300" w:type="dxa"/>
            <w:vAlign w:val="bottom"/>
            <w:gridSpan w:val="3"/>
          </w:tcPr>
          <w:p>
            <w:pPr>
              <w:jc w:val="center"/>
              <w:ind w:left="1130"/>
              <w:spacing w:after="0"/>
              <w:rPr>
                <w:sz w:val="20"/>
                <w:szCs w:val="20"/>
                <w:color w:val="auto"/>
              </w:rPr>
            </w:pPr>
            <w:r>
              <w:rPr>
                <w:rFonts w:ascii="Arial" w:cs="Arial" w:eastAsia="Arial" w:hAnsi="Arial"/>
                <w:sz w:val="18"/>
                <w:szCs w:val="18"/>
                <w:i w:val="1"/>
                <w:iCs w:val="1"/>
                <w:color w:val="auto"/>
                <w:w w:val="89"/>
              </w:rPr>
              <w:t>as Syndication Agent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3"/>
          </w:tcPr>
          <w:p>
            <w:pPr>
              <w:jc w:val="center"/>
              <w:ind w:right="570"/>
              <w:spacing w:after="0"/>
              <w:rPr>
                <w:sz w:val="20"/>
                <w:szCs w:val="20"/>
                <w:color w:val="auto"/>
              </w:rPr>
            </w:pPr>
            <w:r>
              <w:rPr>
                <w:rFonts w:ascii="Arial" w:cs="Arial" w:eastAsia="Arial" w:hAnsi="Arial"/>
                <w:sz w:val="18"/>
                <w:szCs w:val="18"/>
                <w:i w:val="1"/>
                <w:iCs w:val="1"/>
                <w:color w:val="auto"/>
                <w:w w:val="92"/>
              </w:rPr>
              <w:t>Lead Arranger and Joint Bookrunner</w:t>
            </w:r>
          </w:p>
        </w:tc>
        <w:tc>
          <w:tcPr>
            <w:tcW w:w="4940" w:type="dxa"/>
            <w:vAlign w:val="bottom"/>
            <w:gridSpan w:val="4"/>
            <w:vMerge w:val="restart"/>
          </w:tcPr>
          <w:p>
            <w:pPr>
              <w:jc w:val="center"/>
              <w:ind w:right="330"/>
              <w:spacing w:after="0"/>
              <w:rPr>
                <w:sz w:val="20"/>
                <w:szCs w:val="20"/>
                <w:color w:val="auto"/>
              </w:rPr>
            </w:pPr>
            <w:r>
              <w:rPr>
                <w:rFonts w:ascii="Arial" w:cs="Arial" w:eastAsia="Arial" w:hAnsi="Arial"/>
                <w:sz w:val="18"/>
                <w:szCs w:val="18"/>
                <w:color w:val="auto"/>
                <w:w w:val="97"/>
              </w:rPr>
              <w:t>CITIGROUP GLOBAL MARKETS INC.,</w:t>
            </w:r>
          </w:p>
        </w:tc>
        <w:tc>
          <w:tcPr>
            <w:tcW w:w="0" w:type="dxa"/>
            <w:vAlign w:val="bottom"/>
          </w:tcPr>
          <w:p>
            <w:pPr>
              <w:spacing w:after="0"/>
              <w:rPr>
                <w:sz w:val="1"/>
                <w:szCs w:val="1"/>
                <w:color w:val="auto"/>
              </w:rPr>
            </w:pPr>
          </w:p>
        </w:tc>
      </w:tr>
      <w:tr>
        <w:trPr>
          <w:trHeight w:val="215"/>
        </w:trPr>
        <w:tc>
          <w:tcPr>
            <w:tcW w:w="2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40" w:type="dxa"/>
            <w:vAlign w:val="bottom"/>
            <w:gridSpan w:val="4"/>
          </w:tcPr>
          <w:p>
            <w:pPr>
              <w:jc w:val="center"/>
              <w:ind w:right="330"/>
              <w:spacing w:after="0"/>
              <w:rPr>
                <w:sz w:val="20"/>
                <w:szCs w:val="20"/>
                <w:color w:val="auto"/>
              </w:rPr>
            </w:pPr>
            <w:r>
              <w:rPr>
                <w:rFonts w:ascii="Arial" w:cs="Arial" w:eastAsia="Arial" w:hAnsi="Arial"/>
                <w:sz w:val="18"/>
                <w:szCs w:val="18"/>
                <w:i w:val="1"/>
                <w:iCs w:val="1"/>
                <w:color w:val="auto"/>
                <w:w w:val="93"/>
              </w:rPr>
              <w:t>as Global Coordinator, Joint Lead Arranger and</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300" w:type="dxa"/>
            <w:vAlign w:val="bottom"/>
            <w:gridSpan w:val="3"/>
          </w:tcPr>
          <w:p>
            <w:pPr>
              <w:jc w:val="center"/>
              <w:ind w:left="1130"/>
              <w:spacing w:after="0"/>
              <w:rPr>
                <w:sz w:val="20"/>
                <w:szCs w:val="20"/>
                <w:color w:val="auto"/>
              </w:rPr>
            </w:pPr>
            <w:r>
              <w:rPr>
                <w:rFonts w:ascii="Arial" w:cs="Arial" w:eastAsia="Arial" w:hAnsi="Arial"/>
                <w:sz w:val="18"/>
                <w:szCs w:val="18"/>
                <w:i w:val="1"/>
                <w:iCs w:val="1"/>
                <w:color w:val="auto"/>
                <w:w w:val="94"/>
              </w:rPr>
              <w:t>Joint Bookrunner</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357"/>
        </w:trPr>
        <w:tc>
          <w:tcPr>
            <w:tcW w:w="2320" w:type="dxa"/>
            <w:vAlign w:val="bottom"/>
          </w:tcPr>
          <w:p>
            <w:pPr>
              <w:ind w:left="740"/>
              <w:spacing w:after="0"/>
              <w:rPr>
                <w:sz w:val="20"/>
                <w:szCs w:val="20"/>
                <w:color w:val="auto"/>
              </w:rPr>
            </w:pPr>
            <w:r>
              <w:rPr>
                <w:rFonts w:ascii="Arial" w:cs="Arial" w:eastAsia="Arial" w:hAnsi="Arial"/>
                <w:sz w:val="18"/>
                <w:szCs w:val="18"/>
                <w:color w:val="auto"/>
              </w:rPr>
              <w:t>INDUSTRIAL AND</w:t>
            </w:r>
          </w:p>
        </w:tc>
        <w:tc>
          <w:tcPr>
            <w:tcW w:w="1560" w:type="dxa"/>
            <w:vAlign w:val="bottom"/>
          </w:tcPr>
          <w:p>
            <w:pPr>
              <w:spacing w:after="0"/>
              <w:rPr>
                <w:sz w:val="24"/>
                <w:szCs w:val="24"/>
                <w:color w:val="auto"/>
              </w:rPr>
            </w:pPr>
          </w:p>
        </w:tc>
        <w:tc>
          <w:tcPr>
            <w:tcW w:w="2600" w:type="dxa"/>
            <w:vAlign w:val="bottom"/>
          </w:tcPr>
          <w:p>
            <w:pPr>
              <w:jc w:val="center"/>
              <w:ind w:right="1210"/>
              <w:spacing w:after="0"/>
              <w:rPr>
                <w:sz w:val="20"/>
                <w:szCs w:val="20"/>
                <w:color w:val="auto"/>
              </w:rPr>
            </w:pPr>
            <w:r>
              <w:rPr>
                <w:rFonts w:ascii="Arial" w:cs="Arial" w:eastAsia="Arial" w:hAnsi="Arial"/>
                <w:sz w:val="18"/>
                <w:szCs w:val="18"/>
                <w:color w:val="auto"/>
              </w:rPr>
              <w:t>LLOYDS BANK</w:t>
            </w: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6"/>
              </w:rPr>
              <w:t>THE TORONTO</w:t>
            </w:r>
          </w:p>
        </w:tc>
        <w:tc>
          <w:tcPr>
            <w:tcW w:w="580" w:type="dxa"/>
            <w:vAlign w:val="bottom"/>
          </w:tcPr>
          <w:p>
            <w:pPr>
              <w:spacing w:after="0"/>
              <w:rPr>
                <w:sz w:val="24"/>
                <w:szCs w:val="24"/>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8"/>
              </w:rPr>
              <w:t>BANCO DO BRASIL</w:t>
            </w:r>
          </w:p>
        </w:tc>
        <w:tc>
          <w:tcPr>
            <w:tcW w:w="0" w:type="dxa"/>
            <w:vAlign w:val="bottom"/>
          </w:tcPr>
          <w:p>
            <w:pPr>
              <w:spacing w:after="0"/>
              <w:rPr>
                <w:sz w:val="1"/>
                <w:szCs w:val="1"/>
                <w:color w:val="auto"/>
              </w:rPr>
            </w:pPr>
          </w:p>
        </w:tc>
      </w:tr>
      <w:tr>
        <w:trPr>
          <w:trHeight w:val="216"/>
        </w:trPr>
        <w:tc>
          <w:tcPr>
            <w:tcW w:w="3880" w:type="dxa"/>
            <w:vAlign w:val="bottom"/>
            <w:gridSpan w:val="2"/>
          </w:tcPr>
          <w:p>
            <w:pPr>
              <w:jc w:val="center"/>
              <w:ind w:right="810"/>
              <w:spacing w:after="0"/>
              <w:rPr>
                <w:sz w:val="20"/>
                <w:szCs w:val="20"/>
                <w:color w:val="auto"/>
              </w:rPr>
            </w:pPr>
            <w:r>
              <w:rPr>
                <w:rFonts w:ascii="Arial" w:cs="Arial" w:eastAsia="Arial" w:hAnsi="Arial"/>
                <w:sz w:val="18"/>
                <w:szCs w:val="18"/>
                <w:color w:val="auto"/>
              </w:rPr>
              <w:t>COMMERCIAL BANK</w:t>
            </w:r>
          </w:p>
        </w:tc>
        <w:tc>
          <w:tcPr>
            <w:tcW w:w="2600" w:type="dxa"/>
            <w:vAlign w:val="bottom"/>
          </w:tcPr>
          <w:p>
            <w:pPr>
              <w:jc w:val="center"/>
              <w:ind w:right="1230"/>
              <w:spacing w:after="0"/>
              <w:rPr>
                <w:sz w:val="20"/>
                <w:szCs w:val="20"/>
                <w:color w:val="auto"/>
              </w:rPr>
            </w:pPr>
            <w:r>
              <w:rPr>
                <w:rFonts w:ascii="Arial" w:cs="Arial" w:eastAsia="Arial" w:hAnsi="Arial"/>
                <w:sz w:val="18"/>
                <w:szCs w:val="18"/>
                <w:color w:val="auto"/>
                <w:w w:val="92"/>
              </w:rPr>
              <w:t>PLC</w:t>
            </w:r>
            <w:r>
              <w:rPr>
                <w:rFonts w:ascii="Arial" w:cs="Arial" w:eastAsia="Arial" w:hAnsi="Arial"/>
                <w:sz w:val="15"/>
                <w:szCs w:val="15"/>
                <w:color w:val="auto"/>
                <w:w w:val="92"/>
              </w:rPr>
              <w:t>1,2</w:t>
            </w:r>
          </w:p>
        </w:tc>
        <w:tc>
          <w:tcPr>
            <w:tcW w:w="1940" w:type="dxa"/>
            <w:vAlign w:val="bottom"/>
          </w:tcPr>
          <w:p>
            <w:pPr>
              <w:jc w:val="center"/>
              <w:ind w:right="30"/>
              <w:spacing w:after="0"/>
              <w:rPr>
                <w:sz w:val="20"/>
                <w:szCs w:val="20"/>
                <w:color w:val="auto"/>
              </w:rPr>
            </w:pPr>
            <w:r>
              <w:rPr>
                <w:rFonts w:ascii="Arial" w:cs="Arial" w:eastAsia="Arial" w:hAnsi="Arial"/>
                <w:sz w:val="18"/>
                <w:szCs w:val="18"/>
                <w:color w:val="auto"/>
              </w:rPr>
              <w:t>DOMINION BANK,</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jc w:val="center"/>
              <w:ind w:right="770"/>
              <w:spacing w:after="0"/>
              <w:rPr>
                <w:sz w:val="20"/>
                <w:szCs w:val="20"/>
                <w:color w:val="auto"/>
              </w:rPr>
            </w:pPr>
            <w:r>
              <w:rPr>
                <w:rFonts w:ascii="Arial" w:cs="Arial" w:eastAsia="Arial" w:hAnsi="Arial"/>
                <w:sz w:val="18"/>
                <w:szCs w:val="18"/>
                <w:color w:val="auto"/>
                <w:w w:val="89"/>
              </w:rPr>
              <w:t>S.A.</w:t>
            </w:r>
            <w:r>
              <w:rPr>
                <w:rFonts w:ascii="Arial" w:cs="Arial" w:eastAsia="Arial" w:hAnsi="Arial"/>
                <w:sz w:val="15"/>
                <w:szCs w:val="15"/>
                <w:color w:val="auto"/>
                <w:w w:val="89"/>
              </w:rPr>
              <w:t>3</w:t>
            </w:r>
          </w:p>
        </w:tc>
        <w:tc>
          <w:tcPr>
            <w:tcW w:w="0" w:type="dxa"/>
            <w:vAlign w:val="bottom"/>
          </w:tcPr>
          <w:p>
            <w:pPr>
              <w:spacing w:after="0"/>
              <w:rPr>
                <w:sz w:val="1"/>
                <w:szCs w:val="1"/>
                <w:color w:val="auto"/>
              </w:rPr>
            </w:pPr>
          </w:p>
        </w:tc>
      </w:tr>
      <w:tr>
        <w:trPr>
          <w:trHeight w:val="216"/>
        </w:trPr>
        <w:tc>
          <w:tcPr>
            <w:tcW w:w="2320" w:type="dxa"/>
            <w:vAlign w:val="bottom"/>
          </w:tcPr>
          <w:p>
            <w:pPr>
              <w:jc w:val="center"/>
              <w:ind w:left="570"/>
              <w:spacing w:after="0"/>
              <w:rPr>
                <w:sz w:val="20"/>
                <w:szCs w:val="20"/>
                <w:color w:val="auto"/>
              </w:rPr>
            </w:pPr>
            <w:r>
              <w:rPr>
                <w:rFonts w:ascii="Arial" w:cs="Arial" w:eastAsia="Arial" w:hAnsi="Arial"/>
                <w:sz w:val="18"/>
                <w:szCs w:val="18"/>
                <w:color w:val="auto"/>
                <w:w w:val="99"/>
              </w:rPr>
              <w:t>OF CHINA LIMITED</w:t>
            </w:r>
          </w:p>
        </w:tc>
        <w:tc>
          <w:tcPr>
            <w:tcW w:w="1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5"/>
              </w:rPr>
              <w:t>NEW YORK</w:t>
            </w:r>
          </w:p>
        </w:tc>
        <w:tc>
          <w:tcPr>
            <w:tcW w:w="580" w:type="dxa"/>
            <w:vAlign w:val="bottom"/>
          </w:tcPr>
          <w:p>
            <w:pPr>
              <w:spacing w:after="0"/>
              <w:rPr>
                <w:sz w:val="18"/>
                <w:szCs w:val="18"/>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5"/>
              </w:rPr>
              <w:t>BANCO BRADESCO</w:t>
            </w:r>
          </w:p>
        </w:tc>
        <w:tc>
          <w:tcPr>
            <w:tcW w:w="0" w:type="dxa"/>
            <w:vAlign w:val="bottom"/>
          </w:tcPr>
          <w:p>
            <w:pPr>
              <w:spacing w:after="0"/>
              <w:rPr>
                <w:sz w:val="1"/>
                <w:szCs w:val="1"/>
                <w:color w:val="auto"/>
              </w:rPr>
            </w:pPr>
          </w:p>
        </w:tc>
      </w:tr>
      <w:tr>
        <w:trPr>
          <w:trHeight w:val="216"/>
        </w:trPr>
        <w:tc>
          <w:tcPr>
            <w:tcW w:w="2320" w:type="dxa"/>
            <w:vAlign w:val="bottom"/>
          </w:tcPr>
          <w:p>
            <w:pPr>
              <w:jc w:val="center"/>
              <w:ind w:left="590"/>
              <w:spacing w:after="0"/>
              <w:rPr>
                <w:sz w:val="20"/>
                <w:szCs w:val="20"/>
                <w:color w:val="auto"/>
              </w:rPr>
            </w:pPr>
            <w:r>
              <w:rPr>
                <w:rFonts w:ascii="Arial" w:cs="Arial" w:eastAsia="Arial" w:hAnsi="Arial"/>
                <w:sz w:val="18"/>
                <w:szCs w:val="18"/>
                <w:color w:val="auto"/>
                <w:w w:val="97"/>
              </w:rPr>
              <w:t>NEW YORK</w:t>
            </w:r>
          </w:p>
        </w:tc>
        <w:tc>
          <w:tcPr>
            <w:tcW w:w="1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jc w:val="center"/>
              <w:ind w:right="750"/>
              <w:spacing w:after="0"/>
              <w:rPr>
                <w:sz w:val="20"/>
                <w:szCs w:val="20"/>
                <w:color w:val="auto"/>
              </w:rPr>
            </w:pPr>
            <w:r>
              <w:rPr>
                <w:rFonts w:ascii="Arial" w:cs="Arial" w:eastAsia="Arial" w:hAnsi="Arial"/>
                <w:sz w:val="18"/>
                <w:szCs w:val="18"/>
                <w:color w:val="auto"/>
                <w:w w:val="93"/>
              </w:rPr>
              <w:t>S.A.</w:t>
            </w:r>
          </w:p>
        </w:tc>
        <w:tc>
          <w:tcPr>
            <w:tcW w:w="0" w:type="dxa"/>
            <w:vAlign w:val="bottom"/>
          </w:tcPr>
          <w:p>
            <w:pPr>
              <w:spacing w:after="0"/>
              <w:rPr>
                <w:sz w:val="1"/>
                <w:szCs w:val="1"/>
                <w:color w:val="auto"/>
              </w:rPr>
            </w:pPr>
          </w:p>
        </w:tc>
      </w:tr>
      <w:tr>
        <w:trPr>
          <w:trHeight w:val="230"/>
        </w:trPr>
        <w:tc>
          <w:tcPr>
            <w:tcW w:w="2320" w:type="dxa"/>
            <w:vAlign w:val="bottom"/>
          </w:tcPr>
          <w:p>
            <w:pPr>
              <w:jc w:val="center"/>
              <w:ind w:left="57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1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tcPr>
          <w:p>
            <w:pPr>
              <w:jc w:val="center"/>
              <w:ind w:left="570"/>
              <w:spacing w:after="0"/>
              <w:rPr>
                <w:sz w:val="20"/>
                <w:szCs w:val="20"/>
                <w:color w:val="auto"/>
              </w:rPr>
            </w:pPr>
            <w:r>
              <w:rPr>
                <w:rFonts w:ascii="Arial" w:cs="Arial" w:eastAsia="Arial" w:hAnsi="Arial"/>
                <w:sz w:val="18"/>
                <w:szCs w:val="18"/>
                <w:i w:val="1"/>
                <w:iCs w:val="1"/>
                <w:color w:val="auto"/>
                <w:w w:val="92"/>
              </w:rPr>
              <w:t>as Asian Pacific</w:t>
            </w:r>
          </w:p>
        </w:tc>
        <w:tc>
          <w:tcPr>
            <w:tcW w:w="4160" w:type="dxa"/>
            <w:vAlign w:val="bottom"/>
            <w:gridSpan w:val="2"/>
          </w:tcPr>
          <w:p>
            <w:pPr>
              <w:jc w:val="center"/>
              <w:ind w:left="150"/>
              <w:spacing w:after="0"/>
              <w:rPr>
                <w:sz w:val="20"/>
                <w:szCs w:val="20"/>
                <w:color w:val="auto"/>
              </w:rPr>
            </w:pPr>
            <w:r>
              <w:rPr>
                <w:rFonts w:ascii="Arial" w:cs="Arial" w:eastAsia="Arial" w:hAnsi="Arial"/>
                <w:sz w:val="18"/>
                <w:szCs w:val="18"/>
                <w:i w:val="1"/>
                <w:iCs w:val="1"/>
                <w:color w:val="auto"/>
                <w:w w:val="89"/>
              </w:rPr>
              <w:t>as European Regional</w:t>
            </w:r>
          </w:p>
        </w:tc>
        <w:tc>
          <w:tcPr>
            <w:tcW w:w="1940" w:type="dxa"/>
            <w:vAlign w:val="bottom"/>
          </w:tcPr>
          <w:p>
            <w:pPr>
              <w:jc w:val="center"/>
              <w:ind w:right="30"/>
              <w:spacing w:after="0"/>
              <w:rPr>
                <w:sz w:val="20"/>
                <w:szCs w:val="20"/>
                <w:color w:val="auto"/>
              </w:rPr>
            </w:pPr>
            <w:r>
              <w:rPr>
                <w:rFonts w:ascii="Arial" w:cs="Arial" w:eastAsia="Arial" w:hAnsi="Arial"/>
                <w:sz w:val="18"/>
                <w:szCs w:val="18"/>
                <w:i w:val="1"/>
                <w:iCs w:val="1"/>
                <w:color w:val="auto"/>
                <w:w w:val="92"/>
              </w:rPr>
              <w:t>as North American</w:t>
            </w:r>
          </w:p>
        </w:tc>
        <w:tc>
          <w:tcPr>
            <w:tcW w:w="580" w:type="dxa"/>
            <w:vAlign w:val="bottom"/>
          </w:tcPr>
          <w:p>
            <w:pPr>
              <w:spacing w:after="0"/>
              <w:rPr>
                <w:sz w:val="18"/>
                <w:szCs w:val="18"/>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1"/>
              </w:rPr>
              <w:t>as Co-Latin American</w:t>
            </w:r>
          </w:p>
        </w:tc>
        <w:tc>
          <w:tcPr>
            <w:tcW w:w="0" w:type="dxa"/>
            <w:vAlign w:val="bottom"/>
          </w:tcPr>
          <w:p>
            <w:pPr>
              <w:spacing w:after="0"/>
              <w:rPr>
                <w:sz w:val="1"/>
                <w:szCs w:val="1"/>
                <w:color w:val="auto"/>
              </w:rPr>
            </w:pPr>
          </w:p>
        </w:tc>
      </w:tr>
      <w:tr>
        <w:trPr>
          <w:trHeight w:val="230"/>
        </w:trPr>
        <w:tc>
          <w:tcPr>
            <w:tcW w:w="2320" w:type="dxa"/>
            <w:vAlign w:val="bottom"/>
          </w:tcPr>
          <w:p>
            <w:pPr>
              <w:jc w:val="center"/>
              <w:ind w:left="570"/>
              <w:spacing w:after="0"/>
              <w:rPr>
                <w:sz w:val="20"/>
                <w:szCs w:val="20"/>
                <w:color w:val="auto"/>
              </w:rPr>
            </w:pPr>
            <w:r>
              <w:rPr>
                <w:rFonts w:ascii="Arial" w:cs="Arial" w:eastAsia="Arial" w:hAnsi="Arial"/>
                <w:sz w:val="18"/>
                <w:szCs w:val="18"/>
                <w:i w:val="1"/>
                <w:iCs w:val="1"/>
                <w:color w:val="auto"/>
                <w:w w:val="92"/>
              </w:rPr>
              <w:t>Regional Coordinator</w:t>
            </w:r>
          </w:p>
        </w:tc>
        <w:tc>
          <w:tcPr>
            <w:tcW w:w="1560" w:type="dxa"/>
            <w:vAlign w:val="bottom"/>
          </w:tcPr>
          <w:p>
            <w:pPr>
              <w:spacing w:after="0"/>
              <w:rPr>
                <w:sz w:val="20"/>
                <w:szCs w:val="20"/>
                <w:color w:val="auto"/>
              </w:rPr>
            </w:pPr>
          </w:p>
        </w:tc>
        <w:tc>
          <w:tcPr>
            <w:tcW w:w="2600" w:type="dxa"/>
            <w:vAlign w:val="bottom"/>
          </w:tcPr>
          <w:p>
            <w:pPr>
              <w:jc w:val="center"/>
              <w:ind w:right="1210"/>
              <w:spacing w:after="0"/>
              <w:rPr>
                <w:sz w:val="20"/>
                <w:szCs w:val="20"/>
                <w:color w:val="auto"/>
              </w:rPr>
            </w:pPr>
            <w:r>
              <w:rPr>
                <w:rFonts w:ascii="Arial" w:cs="Arial" w:eastAsia="Arial" w:hAnsi="Arial"/>
                <w:sz w:val="18"/>
                <w:szCs w:val="18"/>
                <w:i w:val="1"/>
                <w:iCs w:val="1"/>
                <w:color w:val="auto"/>
                <w:w w:val="95"/>
              </w:rPr>
              <w:t>Coordinator</w:t>
            </w:r>
          </w:p>
        </w:tc>
        <w:tc>
          <w:tcPr>
            <w:tcW w:w="1940" w:type="dxa"/>
            <w:vAlign w:val="bottom"/>
          </w:tcPr>
          <w:p>
            <w:pPr>
              <w:jc w:val="center"/>
              <w:ind w:right="30"/>
              <w:spacing w:after="0"/>
              <w:rPr>
                <w:sz w:val="20"/>
                <w:szCs w:val="20"/>
                <w:color w:val="auto"/>
              </w:rPr>
            </w:pPr>
            <w:r>
              <w:rPr>
                <w:rFonts w:ascii="Arial" w:cs="Arial" w:eastAsia="Arial" w:hAnsi="Arial"/>
                <w:sz w:val="18"/>
                <w:szCs w:val="18"/>
                <w:i w:val="1"/>
                <w:iCs w:val="1"/>
                <w:color w:val="auto"/>
                <w:w w:val="92"/>
              </w:rPr>
              <w:t>Regional Coordinator</w:t>
            </w:r>
          </w:p>
        </w:tc>
        <w:tc>
          <w:tcPr>
            <w:tcW w:w="580" w:type="dxa"/>
            <w:vAlign w:val="bottom"/>
          </w:tcPr>
          <w:p>
            <w:pPr>
              <w:spacing w:after="0"/>
              <w:rPr>
                <w:sz w:val="20"/>
                <w:szCs w:val="20"/>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Regional Coordinators</w:t>
            </w:r>
          </w:p>
        </w:tc>
        <w:tc>
          <w:tcPr>
            <w:tcW w:w="0" w:type="dxa"/>
            <w:vAlign w:val="bottom"/>
          </w:tcPr>
          <w:p>
            <w:pPr>
              <w:spacing w:after="0"/>
              <w:rPr>
                <w:sz w:val="1"/>
                <w:szCs w:val="1"/>
                <w:color w:val="auto"/>
              </w:rPr>
            </w:pPr>
          </w:p>
        </w:tc>
      </w:tr>
      <w:tr>
        <w:trPr>
          <w:trHeight w:val="337"/>
        </w:trPr>
        <w:tc>
          <w:tcPr>
            <w:tcW w:w="2320" w:type="dxa"/>
            <w:vAlign w:val="bottom"/>
          </w:tcPr>
          <w:p>
            <w:pPr>
              <w:jc w:val="center"/>
              <w:ind w:right="290"/>
              <w:spacing w:after="0"/>
              <w:rPr>
                <w:sz w:val="20"/>
                <w:szCs w:val="20"/>
                <w:color w:val="auto"/>
              </w:rPr>
            </w:pPr>
            <w:r>
              <w:rPr>
                <w:rFonts w:ascii="Arial" w:cs="Arial" w:eastAsia="Arial" w:hAnsi="Arial"/>
                <w:sz w:val="18"/>
                <w:szCs w:val="18"/>
                <w:color w:val="auto"/>
                <w:w w:val="97"/>
              </w:rPr>
              <w:t>BARCLAYS</w:t>
            </w:r>
          </w:p>
        </w:tc>
        <w:tc>
          <w:tcPr>
            <w:tcW w:w="1560" w:type="dxa"/>
            <w:vAlign w:val="bottom"/>
          </w:tcPr>
          <w:p>
            <w:pPr>
              <w:jc w:val="center"/>
              <w:ind w:right="90"/>
              <w:spacing w:after="0"/>
              <w:rPr>
                <w:sz w:val="20"/>
                <w:szCs w:val="20"/>
                <w:color w:val="auto"/>
              </w:rPr>
            </w:pPr>
            <w:r>
              <w:rPr>
                <w:rFonts w:ascii="Arial" w:cs="Arial" w:eastAsia="Arial" w:hAnsi="Arial"/>
                <w:sz w:val="18"/>
                <w:szCs w:val="18"/>
                <w:color w:val="auto"/>
                <w:w w:val="99"/>
              </w:rPr>
              <w:t>BANCO BILBAO</w:t>
            </w:r>
          </w:p>
        </w:tc>
        <w:tc>
          <w:tcPr>
            <w:tcW w:w="2600" w:type="dxa"/>
            <w:vAlign w:val="bottom"/>
          </w:tcPr>
          <w:p>
            <w:pPr>
              <w:jc w:val="center"/>
              <w:ind w:left="190"/>
              <w:spacing w:after="0"/>
              <w:rPr>
                <w:sz w:val="20"/>
                <w:szCs w:val="20"/>
                <w:color w:val="auto"/>
              </w:rPr>
            </w:pPr>
            <w:r>
              <w:rPr>
                <w:rFonts w:ascii="Arial" w:cs="Arial" w:eastAsia="Arial" w:hAnsi="Arial"/>
                <w:sz w:val="18"/>
                <w:szCs w:val="18"/>
                <w:color w:val="auto"/>
                <w:w w:val="93"/>
              </w:rPr>
              <w:t>BNP PARIBAS</w:t>
            </w:r>
            <w:r>
              <w:rPr>
                <w:rFonts w:ascii="Arial" w:cs="Arial" w:eastAsia="Arial" w:hAnsi="Arial"/>
                <w:sz w:val="15"/>
                <w:szCs w:val="15"/>
                <w:color w:val="auto"/>
                <w:w w:val="93"/>
              </w:rPr>
              <w:t>1,2</w:t>
            </w:r>
          </w:p>
        </w:tc>
        <w:tc>
          <w:tcPr>
            <w:tcW w:w="25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COMMERZBANK</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6"/>
              </w:rPr>
              <w:t>CREDIT AGRICOLE</w:t>
            </w:r>
          </w:p>
        </w:tc>
        <w:tc>
          <w:tcPr>
            <w:tcW w:w="0" w:type="dxa"/>
            <w:vAlign w:val="bottom"/>
          </w:tcPr>
          <w:p>
            <w:pPr>
              <w:spacing w:after="0"/>
              <w:rPr>
                <w:sz w:val="1"/>
                <w:szCs w:val="1"/>
                <w:color w:val="auto"/>
              </w:rPr>
            </w:pPr>
          </w:p>
        </w:tc>
      </w:tr>
      <w:tr>
        <w:trPr>
          <w:trHeight w:val="216"/>
        </w:trPr>
        <w:tc>
          <w:tcPr>
            <w:tcW w:w="2320" w:type="dxa"/>
            <w:vAlign w:val="bottom"/>
          </w:tcPr>
          <w:p>
            <w:pPr>
              <w:jc w:val="center"/>
              <w:ind w:right="270"/>
              <w:spacing w:after="0"/>
              <w:rPr>
                <w:sz w:val="20"/>
                <w:szCs w:val="20"/>
                <w:color w:val="auto"/>
              </w:rPr>
            </w:pPr>
            <w:r>
              <w:rPr>
                <w:rFonts w:ascii="Arial" w:cs="Arial" w:eastAsia="Arial" w:hAnsi="Arial"/>
                <w:sz w:val="18"/>
                <w:szCs w:val="18"/>
                <w:color w:val="auto"/>
                <w:w w:val="98"/>
              </w:rPr>
              <w:t>BANK PLC</w:t>
            </w:r>
            <w:r>
              <w:rPr>
                <w:rFonts w:ascii="Arial" w:cs="Arial" w:eastAsia="Arial" w:hAnsi="Arial"/>
                <w:sz w:val="15"/>
                <w:szCs w:val="15"/>
                <w:color w:val="auto"/>
                <w:w w:val="98"/>
              </w:rPr>
              <w:t>1,2</w:t>
            </w:r>
          </w:p>
        </w:tc>
        <w:tc>
          <w:tcPr>
            <w:tcW w:w="1560" w:type="dxa"/>
            <w:vAlign w:val="bottom"/>
          </w:tcPr>
          <w:p>
            <w:pPr>
              <w:jc w:val="center"/>
              <w:ind w:right="90"/>
              <w:spacing w:after="0"/>
              <w:rPr>
                <w:sz w:val="20"/>
                <w:szCs w:val="20"/>
                <w:color w:val="auto"/>
              </w:rPr>
            </w:pPr>
            <w:r>
              <w:rPr>
                <w:rFonts w:ascii="Arial" w:cs="Arial" w:eastAsia="Arial" w:hAnsi="Arial"/>
                <w:sz w:val="18"/>
                <w:szCs w:val="18"/>
                <w:color w:val="auto"/>
              </w:rPr>
              <w:t>VIZCAYA</w:t>
            </w:r>
          </w:p>
        </w:tc>
        <w:tc>
          <w:tcPr>
            <w:tcW w:w="2600" w:type="dxa"/>
            <w:vAlign w:val="bottom"/>
          </w:tcPr>
          <w:p>
            <w:pPr>
              <w:spacing w:after="0"/>
              <w:rPr>
                <w:sz w:val="18"/>
                <w:szCs w:val="18"/>
                <w:color w:val="auto"/>
              </w:rPr>
            </w:pPr>
          </w:p>
        </w:tc>
        <w:tc>
          <w:tcPr>
            <w:tcW w:w="1940" w:type="dxa"/>
            <w:vAlign w:val="bottom"/>
          </w:tcPr>
          <w:p>
            <w:pPr>
              <w:jc w:val="center"/>
              <w:ind w:left="710"/>
              <w:spacing w:after="0"/>
              <w:rPr>
                <w:sz w:val="20"/>
                <w:szCs w:val="20"/>
                <w:color w:val="auto"/>
              </w:rPr>
            </w:pPr>
            <w:r>
              <w:rPr>
                <w:rFonts w:ascii="Arial" w:cs="Arial" w:eastAsia="Arial" w:hAnsi="Arial"/>
                <w:sz w:val="18"/>
                <w:szCs w:val="18"/>
                <w:color w:val="auto"/>
                <w:w w:val="98"/>
              </w:rPr>
              <w:t>CAPITAL</w:t>
            </w:r>
          </w:p>
        </w:tc>
        <w:tc>
          <w:tcPr>
            <w:tcW w:w="580" w:type="dxa"/>
            <w:vAlign w:val="bottom"/>
          </w:tcPr>
          <w:p>
            <w:pPr>
              <w:spacing w:after="0"/>
              <w:rPr>
                <w:sz w:val="18"/>
                <w:szCs w:val="18"/>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4"/>
              </w:rPr>
              <w:t>CORPORATE AND</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color w:val="auto"/>
                <w:w w:val="98"/>
              </w:rPr>
              <w:t>ARGENTARIA,</w:t>
            </w:r>
          </w:p>
        </w:tc>
        <w:tc>
          <w:tcPr>
            <w:tcW w:w="2600" w:type="dxa"/>
            <w:vAlign w:val="bottom"/>
          </w:tcPr>
          <w:p>
            <w:pPr>
              <w:spacing w:after="0"/>
              <w:rPr>
                <w:sz w:val="18"/>
                <w:szCs w:val="18"/>
                <w:color w:val="auto"/>
              </w:rPr>
            </w:pPr>
          </w:p>
        </w:tc>
        <w:tc>
          <w:tcPr>
            <w:tcW w:w="1940" w:type="dxa"/>
            <w:vAlign w:val="bottom"/>
          </w:tcPr>
          <w:p>
            <w:pPr>
              <w:jc w:val="center"/>
              <w:ind w:left="710"/>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1,2</w:t>
            </w:r>
          </w:p>
        </w:tc>
        <w:tc>
          <w:tcPr>
            <w:tcW w:w="580" w:type="dxa"/>
            <w:vAlign w:val="bottom"/>
          </w:tcPr>
          <w:p>
            <w:pPr>
              <w:spacing w:after="0"/>
              <w:rPr>
                <w:sz w:val="18"/>
                <w:szCs w:val="18"/>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9"/>
              </w:rPr>
              <w:t>INVESTMENT BANK</w:t>
            </w:r>
            <w:r>
              <w:rPr>
                <w:rFonts w:ascii="Arial" w:cs="Arial" w:eastAsia="Arial" w:hAnsi="Arial"/>
                <w:sz w:val="15"/>
                <w:szCs w:val="15"/>
                <w:color w:val="auto"/>
                <w:w w:val="99"/>
              </w:rPr>
              <w:t>1,2</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color w:val="auto"/>
                <w:w w:val="96"/>
              </w:rPr>
              <w:t>S.A. NEW YORK</w:t>
            </w:r>
          </w:p>
        </w:tc>
        <w:tc>
          <w:tcPr>
            <w:tcW w:w="2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color w:val="auto"/>
                <w:w w:val="97"/>
              </w:rPr>
              <w:t>BRANCH</w:t>
            </w:r>
            <w:r>
              <w:rPr>
                <w:rFonts w:ascii="Arial" w:cs="Arial" w:eastAsia="Arial" w:hAnsi="Arial"/>
                <w:sz w:val="15"/>
                <w:szCs w:val="15"/>
                <w:color w:val="auto"/>
                <w:w w:val="97"/>
              </w:rPr>
              <w:t>1,2</w:t>
            </w:r>
          </w:p>
        </w:tc>
        <w:tc>
          <w:tcPr>
            <w:tcW w:w="2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320" w:type="dxa"/>
            <w:vAlign w:val="bottom"/>
          </w:tcPr>
          <w:p>
            <w:pPr>
              <w:jc w:val="center"/>
              <w:ind w:right="290"/>
              <w:spacing w:after="0"/>
              <w:rPr>
                <w:sz w:val="20"/>
                <w:szCs w:val="20"/>
                <w:color w:val="auto"/>
              </w:rPr>
            </w:pPr>
            <w:r>
              <w:rPr>
                <w:rFonts w:ascii="Arial" w:cs="Arial" w:eastAsia="Arial" w:hAnsi="Arial"/>
                <w:sz w:val="18"/>
                <w:szCs w:val="18"/>
                <w:color w:val="auto"/>
                <w:w w:val="94"/>
              </w:rPr>
              <w:t>DEUTSCHE</w:t>
            </w:r>
          </w:p>
        </w:tc>
        <w:tc>
          <w:tcPr>
            <w:tcW w:w="1560" w:type="dxa"/>
            <w:vAlign w:val="bottom"/>
          </w:tcPr>
          <w:p>
            <w:pPr>
              <w:jc w:val="center"/>
              <w:ind w:right="110"/>
              <w:spacing w:after="0"/>
              <w:rPr>
                <w:sz w:val="20"/>
                <w:szCs w:val="20"/>
                <w:color w:val="auto"/>
              </w:rPr>
            </w:pPr>
            <w:r>
              <w:rPr>
                <w:rFonts w:ascii="Arial" w:cs="Arial" w:eastAsia="Arial" w:hAnsi="Arial"/>
                <w:sz w:val="18"/>
                <w:szCs w:val="18"/>
                <w:color w:val="auto"/>
              </w:rPr>
              <w:t>GOLDMAN</w:t>
            </w:r>
          </w:p>
        </w:tc>
        <w:tc>
          <w:tcPr>
            <w:tcW w:w="2600" w:type="dxa"/>
            <w:vAlign w:val="bottom"/>
          </w:tcPr>
          <w:p>
            <w:pPr>
              <w:jc w:val="center"/>
              <w:ind w:left="190"/>
              <w:spacing w:after="0"/>
              <w:rPr>
                <w:sz w:val="20"/>
                <w:szCs w:val="20"/>
                <w:color w:val="auto"/>
              </w:rPr>
            </w:pPr>
            <w:r>
              <w:rPr>
                <w:rFonts w:ascii="Arial" w:cs="Arial" w:eastAsia="Arial" w:hAnsi="Arial"/>
                <w:sz w:val="18"/>
                <w:szCs w:val="18"/>
                <w:color w:val="auto"/>
                <w:w w:val="93"/>
              </w:rPr>
              <w:t>INTESA SANPAOLO S.P.A.-</w:t>
            </w:r>
          </w:p>
        </w:tc>
        <w:tc>
          <w:tcPr>
            <w:tcW w:w="25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BANK OF AMERICA,</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rPr>
              <w:t>MIZUHO BANK,</w:t>
            </w:r>
          </w:p>
        </w:tc>
        <w:tc>
          <w:tcPr>
            <w:tcW w:w="0" w:type="dxa"/>
            <w:vAlign w:val="bottom"/>
          </w:tcPr>
          <w:p>
            <w:pPr>
              <w:spacing w:after="0"/>
              <w:rPr>
                <w:sz w:val="1"/>
                <w:szCs w:val="1"/>
                <w:color w:val="auto"/>
              </w:rPr>
            </w:pPr>
          </w:p>
        </w:tc>
      </w:tr>
      <w:tr>
        <w:trPr>
          <w:trHeight w:val="216"/>
        </w:trPr>
        <w:tc>
          <w:tcPr>
            <w:tcW w:w="2320" w:type="dxa"/>
            <w:vAlign w:val="bottom"/>
          </w:tcPr>
          <w:p>
            <w:pPr>
              <w:jc w:val="center"/>
              <w:ind w:right="290"/>
              <w:spacing w:after="0"/>
              <w:rPr>
                <w:sz w:val="20"/>
                <w:szCs w:val="20"/>
                <w:color w:val="auto"/>
              </w:rPr>
            </w:pPr>
            <w:r>
              <w:rPr>
                <w:rFonts w:ascii="Arial" w:cs="Arial" w:eastAsia="Arial" w:hAnsi="Arial"/>
                <w:sz w:val="18"/>
                <w:szCs w:val="18"/>
                <w:color w:val="auto"/>
              </w:rPr>
              <w:t>BANK</w:t>
            </w:r>
          </w:p>
        </w:tc>
        <w:tc>
          <w:tcPr>
            <w:tcW w:w="1560" w:type="dxa"/>
            <w:vAlign w:val="bottom"/>
          </w:tcPr>
          <w:p>
            <w:pPr>
              <w:jc w:val="center"/>
              <w:ind w:right="90"/>
              <w:spacing w:after="0"/>
              <w:rPr>
                <w:sz w:val="20"/>
                <w:szCs w:val="20"/>
                <w:color w:val="auto"/>
              </w:rPr>
            </w:pPr>
            <w:r>
              <w:rPr>
                <w:rFonts w:ascii="Arial" w:cs="Arial" w:eastAsia="Arial" w:hAnsi="Arial"/>
                <w:sz w:val="18"/>
                <w:szCs w:val="18"/>
                <w:color w:val="auto"/>
                <w:w w:val="98"/>
              </w:rPr>
              <w:t>SACHS BANK</w:t>
            </w:r>
          </w:p>
        </w:tc>
        <w:tc>
          <w:tcPr>
            <w:tcW w:w="2600" w:type="dxa"/>
            <w:vAlign w:val="bottom"/>
          </w:tcPr>
          <w:p>
            <w:pPr>
              <w:jc w:val="center"/>
              <w:ind w:left="190"/>
              <w:spacing w:after="0"/>
              <w:rPr>
                <w:sz w:val="20"/>
                <w:szCs w:val="20"/>
                <w:color w:val="auto"/>
              </w:rPr>
            </w:pPr>
            <w:r>
              <w:rPr>
                <w:rFonts w:ascii="Arial" w:cs="Arial" w:eastAsia="Arial" w:hAnsi="Arial"/>
                <w:sz w:val="18"/>
                <w:szCs w:val="18"/>
                <w:color w:val="auto"/>
                <w:w w:val="98"/>
              </w:rPr>
              <w:t>NEW YORK BRANCH</w:t>
            </w:r>
            <w:r>
              <w:rPr>
                <w:rFonts w:ascii="Arial" w:cs="Arial" w:eastAsia="Arial" w:hAnsi="Arial"/>
                <w:sz w:val="15"/>
                <w:szCs w:val="15"/>
                <w:color w:val="auto"/>
                <w:w w:val="98"/>
              </w:rPr>
              <w:t>1,2</w:t>
            </w:r>
          </w:p>
        </w:tc>
        <w:tc>
          <w:tcPr>
            <w:tcW w:w="1940" w:type="dxa"/>
            <w:vAlign w:val="bottom"/>
          </w:tcPr>
          <w:p>
            <w:pPr>
              <w:jc w:val="center"/>
              <w:ind w:left="710"/>
              <w:spacing w:after="0"/>
              <w:rPr>
                <w:sz w:val="20"/>
                <w:szCs w:val="20"/>
                <w:color w:val="auto"/>
              </w:rPr>
            </w:pPr>
            <w:r>
              <w:rPr>
                <w:rFonts w:ascii="Arial" w:cs="Arial" w:eastAsia="Arial" w:hAnsi="Arial"/>
                <w:sz w:val="18"/>
                <w:szCs w:val="18"/>
                <w:color w:val="auto"/>
                <w:w w:val="96"/>
              </w:rPr>
              <w:t>N.A.</w:t>
            </w:r>
            <w:r>
              <w:rPr>
                <w:rFonts w:ascii="Arial" w:cs="Arial" w:eastAsia="Arial" w:hAnsi="Arial"/>
                <w:sz w:val="15"/>
                <w:szCs w:val="15"/>
                <w:color w:val="auto"/>
                <w:w w:val="96"/>
              </w:rPr>
              <w:t>1</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jc w:val="center"/>
              <w:ind w:right="670"/>
              <w:spacing w:after="0"/>
              <w:rPr>
                <w:sz w:val="20"/>
                <w:szCs w:val="20"/>
                <w:color w:val="auto"/>
              </w:rPr>
            </w:pPr>
            <w:r>
              <w:rPr>
                <w:rFonts w:ascii="Arial" w:cs="Arial" w:eastAsia="Arial" w:hAnsi="Arial"/>
                <w:sz w:val="18"/>
                <w:szCs w:val="18"/>
                <w:color w:val="auto"/>
                <w:w w:val="93"/>
              </w:rPr>
              <w:t>LTD.</w:t>
            </w:r>
            <w:r>
              <w:rPr>
                <w:rFonts w:ascii="Arial" w:cs="Arial" w:eastAsia="Arial" w:hAnsi="Arial"/>
                <w:sz w:val="15"/>
                <w:szCs w:val="15"/>
                <w:color w:val="auto"/>
                <w:w w:val="93"/>
              </w:rPr>
              <w:t>1,2</w:t>
            </w:r>
          </w:p>
        </w:tc>
        <w:tc>
          <w:tcPr>
            <w:tcW w:w="0" w:type="dxa"/>
            <w:vAlign w:val="bottom"/>
          </w:tcPr>
          <w:p>
            <w:pPr>
              <w:spacing w:after="0"/>
              <w:rPr>
                <w:sz w:val="1"/>
                <w:szCs w:val="1"/>
                <w:color w:val="auto"/>
              </w:rPr>
            </w:pPr>
          </w:p>
        </w:tc>
      </w:tr>
      <w:tr>
        <w:trPr>
          <w:trHeight w:val="216"/>
        </w:trPr>
        <w:tc>
          <w:tcPr>
            <w:tcW w:w="2320" w:type="dxa"/>
            <w:vAlign w:val="bottom"/>
          </w:tcPr>
          <w:p>
            <w:pPr>
              <w:jc w:val="center"/>
              <w:ind w:right="290"/>
              <w:spacing w:after="0"/>
              <w:rPr>
                <w:sz w:val="20"/>
                <w:szCs w:val="20"/>
                <w:color w:val="auto"/>
              </w:rPr>
            </w:pPr>
            <w:r>
              <w:rPr>
                <w:rFonts w:ascii="Arial" w:cs="Arial" w:eastAsia="Arial" w:hAnsi="Arial"/>
                <w:sz w:val="18"/>
                <w:szCs w:val="18"/>
                <w:color w:val="auto"/>
                <w:w w:val="94"/>
              </w:rPr>
              <w:t>SECURITIES</w:t>
            </w:r>
          </w:p>
        </w:tc>
        <w:tc>
          <w:tcPr>
            <w:tcW w:w="1560" w:type="dxa"/>
            <w:vAlign w:val="bottom"/>
          </w:tcPr>
          <w:p>
            <w:pPr>
              <w:jc w:val="center"/>
              <w:ind w:right="90"/>
              <w:spacing w:after="0"/>
              <w:rPr>
                <w:sz w:val="20"/>
                <w:szCs w:val="20"/>
                <w:color w:val="auto"/>
              </w:rPr>
            </w:pPr>
            <w:r>
              <w:rPr>
                <w:rFonts w:ascii="Arial" w:cs="Arial" w:eastAsia="Arial" w:hAnsi="Arial"/>
                <w:sz w:val="18"/>
                <w:szCs w:val="18"/>
                <w:color w:val="auto"/>
                <w:w w:val="93"/>
              </w:rPr>
              <w:t>USA</w:t>
            </w:r>
            <w:r>
              <w:rPr>
                <w:rFonts w:ascii="Arial" w:cs="Arial" w:eastAsia="Arial" w:hAnsi="Arial"/>
                <w:sz w:val="15"/>
                <w:szCs w:val="15"/>
                <w:color w:val="auto"/>
                <w:w w:val="93"/>
              </w:rPr>
              <w:t>1,2</w:t>
            </w:r>
          </w:p>
        </w:tc>
        <w:tc>
          <w:tcPr>
            <w:tcW w:w="2600" w:type="dxa"/>
            <w:vAlign w:val="bottom"/>
          </w:tcPr>
          <w:p>
            <w:pPr>
              <w:spacing w:after="0"/>
              <w:rPr>
                <w:sz w:val="18"/>
                <w:szCs w:val="18"/>
                <w:color w:val="auto"/>
              </w:rPr>
            </w:pPr>
          </w:p>
        </w:tc>
        <w:tc>
          <w:tcPr>
            <w:tcW w:w="2520" w:type="dxa"/>
            <w:vAlign w:val="bottom"/>
            <w:gridSpan w:val="2"/>
          </w:tcPr>
          <w:p>
            <w:pPr>
              <w:jc w:val="center"/>
              <w:ind w:left="150"/>
              <w:spacing w:after="0"/>
              <w:rPr>
                <w:sz w:val="20"/>
                <w:szCs w:val="20"/>
                <w:color w:val="auto"/>
              </w:rPr>
            </w:pPr>
            <w:r>
              <w:rPr>
                <w:rFonts w:ascii="Arial" w:cs="Arial" w:eastAsia="Arial" w:hAnsi="Arial"/>
                <w:sz w:val="18"/>
                <w:szCs w:val="18"/>
                <w:i w:val="1"/>
                <w:iCs w:val="1"/>
                <w:color w:val="auto"/>
                <w:w w:val="90"/>
              </w:rPr>
              <w:t>as Co-Syndication</w:t>
            </w: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jc w:val="center"/>
              <w:ind w:right="290"/>
              <w:spacing w:after="0"/>
              <w:rPr>
                <w:sz w:val="20"/>
                <w:szCs w:val="20"/>
                <w:color w:val="auto"/>
              </w:rPr>
            </w:pPr>
            <w:r>
              <w:rPr>
                <w:rFonts w:ascii="Arial" w:cs="Arial" w:eastAsia="Arial" w:hAnsi="Arial"/>
                <w:sz w:val="18"/>
                <w:szCs w:val="18"/>
                <w:color w:val="auto"/>
                <w:w w:val="94"/>
              </w:rPr>
              <w:t>INC.</w:t>
            </w:r>
            <w:r>
              <w:rPr>
                <w:rFonts w:ascii="Arial" w:cs="Arial" w:eastAsia="Arial" w:hAnsi="Arial"/>
                <w:sz w:val="15"/>
                <w:szCs w:val="15"/>
                <w:color w:val="auto"/>
                <w:w w:val="94"/>
              </w:rPr>
              <w:t>1,2</w:t>
            </w:r>
          </w:p>
        </w:tc>
        <w:tc>
          <w:tcPr>
            <w:tcW w:w="1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940" w:type="dxa"/>
            <w:vAlign w:val="bottom"/>
          </w:tcPr>
          <w:p>
            <w:pPr>
              <w:jc w:val="center"/>
              <w:ind w:left="710"/>
              <w:spacing w:after="0"/>
              <w:rPr>
                <w:sz w:val="20"/>
                <w:szCs w:val="20"/>
                <w:color w:val="auto"/>
              </w:rPr>
            </w:pPr>
            <w:r>
              <w:rPr>
                <w:rFonts w:ascii="Arial" w:cs="Arial" w:eastAsia="Arial" w:hAnsi="Arial"/>
                <w:sz w:val="18"/>
                <w:szCs w:val="18"/>
                <w:i w:val="1"/>
                <w:iCs w:val="1"/>
                <w:color w:val="auto"/>
                <w:w w:val="89"/>
              </w:rPr>
              <w:t>Agent</w:t>
            </w: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320" w:type="dxa"/>
            <w:vAlign w:val="bottom"/>
          </w:tcPr>
          <w:p>
            <w:pPr>
              <w:jc w:val="center"/>
              <w:spacing w:after="0"/>
              <w:rPr>
                <w:sz w:val="20"/>
                <w:szCs w:val="20"/>
                <w:color w:val="auto"/>
              </w:rPr>
            </w:pPr>
            <w:r>
              <w:rPr>
                <w:rFonts w:ascii="Arial" w:cs="Arial" w:eastAsia="Arial" w:hAnsi="Arial"/>
                <w:sz w:val="18"/>
                <w:szCs w:val="18"/>
                <w:color w:val="auto"/>
                <w:w w:val="98"/>
              </w:rPr>
              <w:t>MORGAN</w:t>
            </w:r>
          </w:p>
        </w:tc>
        <w:tc>
          <w:tcPr>
            <w:tcW w:w="1560" w:type="dxa"/>
            <w:vAlign w:val="bottom"/>
          </w:tcPr>
          <w:p>
            <w:pPr>
              <w:jc w:val="center"/>
              <w:ind w:left="550"/>
              <w:spacing w:after="0"/>
              <w:rPr>
                <w:sz w:val="20"/>
                <w:szCs w:val="20"/>
                <w:color w:val="auto"/>
              </w:rPr>
            </w:pPr>
            <w:r>
              <w:rPr>
                <w:rFonts w:ascii="Arial" w:cs="Arial" w:eastAsia="Arial" w:hAnsi="Arial"/>
                <w:sz w:val="18"/>
                <w:szCs w:val="18"/>
                <w:color w:val="auto"/>
                <w:w w:val="94"/>
              </w:rPr>
              <w:t>RBC</w:t>
            </w:r>
          </w:p>
        </w:tc>
        <w:tc>
          <w:tcPr>
            <w:tcW w:w="2600" w:type="dxa"/>
            <w:vAlign w:val="bottom"/>
          </w:tcPr>
          <w:p>
            <w:pPr>
              <w:jc w:val="center"/>
              <w:ind w:left="350"/>
              <w:spacing w:after="0"/>
              <w:rPr>
                <w:sz w:val="20"/>
                <w:szCs w:val="20"/>
                <w:color w:val="auto"/>
              </w:rPr>
            </w:pPr>
            <w:r>
              <w:rPr>
                <w:rFonts w:ascii="Arial" w:cs="Arial" w:eastAsia="Arial" w:hAnsi="Arial"/>
                <w:sz w:val="18"/>
                <w:szCs w:val="18"/>
                <w:color w:val="auto"/>
                <w:w w:val="97"/>
              </w:rPr>
              <w:t>THE ROYAL</w:t>
            </w:r>
          </w:p>
        </w:tc>
        <w:tc>
          <w:tcPr>
            <w:tcW w:w="1940" w:type="dxa"/>
            <w:vAlign w:val="bottom"/>
          </w:tcPr>
          <w:p>
            <w:pPr>
              <w:jc w:val="center"/>
              <w:ind w:right="250"/>
              <w:spacing w:after="0"/>
              <w:rPr>
                <w:sz w:val="20"/>
                <w:szCs w:val="20"/>
                <w:color w:val="auto"/>
              </w:rPr>
            </w:pPr>
            <w:r>
              <w:rPr>
                <w:rFonts w:ascii="Arial" w:cs="Arial" w:eastAsia="Arial" w:hAnsi="Arial"/>
                <w:sz w:val="18"/>
                <w:szCs w:val="18"/>
                <w:color w:val="auto"/>
                <w:w w:val="96"/>
              </w:rPr>
              <w:t>SUMITOMO</w:t>
            </w:r>
          </w:p>
        </w:tc>
        <w:tc>
          <w:tcPr>
            <w:tcW w:w="1360" w:type="dxa"/>
            <w:vAlign w:val="bottom"/>
            <w:gridSpan w:val="2"/>
          </w:tcPr>
          <w:p>
            <w:pPr>
              <w:jc w:val="center"/>
              <w:ind w:right="10"/>
              <w:spacing w:after="0"/>
              <w:rPr>
                <w:sz w:val="20"/>
                <w:szCs w:val="20"/>
                <w:color w:val="auto"/>
              </w:rPr>
            </w:pPr>
            <w:r>
              <w:rPr>
                <w:rFonts w:ascii="Arial" w:cs="Arial" w:eastAsia="Arial" w:hAnsi="Arial"/>
                <w:sz w:val="18"/>
                <w:szCs w:val="18"/>
                <w:color w:val="auto"/>
                <w:w w:val="93"/>
              </w:rPr>
              <w:t>SOCIÉTÉ</w:t>
            </w:r>
          </w:p>
        </w:tc>
        <w:tc>
          <w:tcPr>
            <w:tcW w:w="1640" w:type="dxa"/>
            <w:vAlign w:val="bottom"/>
          </w:tcPr>
          <w:p>
            <w:pPr>
              <w:jc w:val="center"/>
              <w:ind w:left="10"/>
              <w:spacing w:after="0"/>
              <w:rPr>
                <w:sz w:val="20"/>
                <w:szCs w:val="20"/>
                <w:color w:val="auto"/>
              </w:rPr>
            </w:pPr>
            <w:r>
              <w:rPr>
                <w:rFonts w:ascii="Arial" w:cs="Arial" w:eastAsia="Arial" w:hAnsi="Arial"/>
                <w:sz w:val="18"/>
                <w:szCs w:val="18"/>
                <w:color w:val="auto"/>
                <w:w w:val="98"/>
              </w:rPr>
              <w:t>THE BANK OF</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9"/>
              </w:rPr>
              <w:t>STANLEY</w:t>
            </w:r>
          </w:p>
        </w:tc>
        <w:tc>
          <w:tcPr>
            <w:tcW w:w="1560" w:type="dxa"/>
            <w:vAlign w:val="bottom"/>
          </w:tcPr>
          <w:p>
            <w:pPr>
              <w:jc w:val="center"/>
              <w:ind w:left="550"/>
              <w:spacing w:after="0"/>
              <w:rPr>
                <w:sz w:val="20"/>
                <w:szCs w:val="20"/>
                <w:color w:val="auto"/>
              </w:rPr>
            </w:pPr>
            <w:r>
              <w:rPr>
                <w:rFonts w:ascii="Arial" w:cs="Arial" w:eastAsia="Arial" w:hAnsi="Arial"/>
                <w:sz w:val="18"/>
                <w:szCs w:val="18"/>
                <w:color w:val="auto"/>
              </w:rPr>
              <w:t>CAPITAL</w:t>
            </w:r>
          </w:p>
        </w:tc>
        <w:tc>
          <w:tcPr>
            <w:tcW w:w="2600" w:type="dxa"/>
            <w:vAlign w:val="bottom"/>
          </w:tcPr>
          <w:p>
            <w:pPr>
              <w:jc w:val="center"/>
              <w:ind w:left="330"/>
              <w:spacing w:after="0"/>
              <w:rPr>
                <w:sz w:val="20"/>
                <w:szCs w:val="20"/>
                <w:color w:val="auto"/>
              </w:rPr>
            </w:pPr>
            <w:r>
              <w:rPr>
                <w:rFonts w:ascii="Arial" w:cs="Arial" w:eastAsia="Arial" w:hAnsi="Arial"/>
                <w:sz w:val="18"/>
                <w:szCs w:val="18"/>
                <w:color w:val="auto"/>
                <w:w w:val="98"/>
              </w:rPr>
              <w:t>BANK OF</w:t>
            </w:r>
          </w:p>
        </w:tc>
        <w:tc>
          <w:tcPr>
            <w:tcW w:w="1940" w:type="dxa"/>
            <w:vAlign w:val="bottom"/>
          </w:tcPr>
          <w:p>
            <w:pPr>
              <w:jc w:val="center"/>
              <w:ind w:right="230"/>
              <w:spacing w:after="0"/>
              <w:rPr>
                <w:sz w:val="20"/>
                <w:szCs w:val="20"/>
                <w:color w:val="auto"/>
              </w:rPr>
            </w:pPr>
            <w:r>
              <w:rPr>
                <w:rFonts w:ascii="Arial" w:cs="Arial" w:eastAsia="Arial" w:hAnsi="Arial"/>
                <w:sz w:val="18"/>
                <w:szCs w:val="18"/>
                <w:color w:val="auto"/>
              </w:rPr>
              <w:t>MITSUI</w:t>
            </w:r>
          </w:p>
        </w:tc>
        <w:tc>
          <w:tcPr>
            <w:tcW w:w="1360" w:type="dxa"/>
            <w:vAlign w:val="bottom"/>
            <w:gridSpan w:val="2"/>
          </w:tcPr>
          <w:p>
            <w:pPr>
              <w:jc w:val="center"/>
              <w:ind w:right="10"/>
              <w:spacing w:after="0"/>
              <w:rPr>
                <w:sz w:val="20"/>
                <w:szCs w:val="20"/>
                <w:color w:val="auto"/>
              </w:rPr>
            </w:pPr>
            <w:r>
              <w:rPr>
                <w:rFonts w:ascii="Arial" w:cs="Arial" w:eastAsia="Arial" w:hAnsi="Arial"/>
                <w:sz w:val="18"/>
                <w:szCs w:val="18"/>
                <w:color w:val="auto"/>
                <w:w w:val="95"/>
              </w:rPr>
              <w:t>GÉNÉRALE</w:t>
            </w:r>
            <w:r>
              <w:rPr>
                <w:rFonts w:ascii="Arial" w:cs="Arial" w:eastAsia="Arial" w:hAnsi="Arial"/>
                <w:sz w:val="15"/>
                <w:szCs w:val="15"/>
                <w:color w:val="auto"/>
                <w:w w:val="95"/>
              </w:rPr>
              <w:t>1,2</w:t>
            </w:r>
          </w:p>
        </w:tc>
        <w:tc>
          <w:tcPr>
            <w:tcW w:w="1640" w:type="dxa"/>
            <w:vAlign w:val="bottom"/>
          </w:tcPr>
          <w:p>
            <w:pPr>
              <w:jc w:val="center"/>
              <w:ind w:left="10"/>
              <w:spacing w:after="0"/>
              <w:rPr>
                <w:sz w:val="20"/>
                <w:szCs w:val="20"/>
                <w:color w:val="auto"/>
              </w:rPr>
            </w:pPr>
            <w:r>
              <w:rPr>
                <w:rFonts w:ascii="Arial" w:cs="Arial" w:eastAsia="Arial" w:hAnsi="Arial"/>
                <w:sz w:val="18"/>
                <w:szCs w:val="18"/>
                <w:color w:val="auto"/>
                <w:w w:val="97"/>
              </w:rPr>
              <w:t>NOVA</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5"/>
              </w:rPr>
              <w:t>SENIOR</w:t>
            </w:r>
          </w:p>
        </w:tc>
        <w:tc>
          <w:tcPr>
            <w:tcW w:w="1560" w:type="dxa"/>
            <w:vAlign w:val="bottom"/>
          </w:tcPr>
          <w:p>
            <w:pPr>
              <w:jc w:val="center"/>
              <w:ind w:left="530"/>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w:t>
            </w:r>
          </w:p>
        </w:tc>
        <w:tc>
          <w:tcPr>
            <w:tcW w:w="2600" w:type="dxa"/>
            <w:vAlign w:val="bottom"/>
          </w:tcPr>
          <w:p>
            <w:pPr>
              <w:jc w:val="center"/>
              <w:ind w:left="350"/>
              <w:spacing w:after="0"/>
              <w:rPr>
                <w:sz w:val="20"/>
                <w:szCs w:val="20"/>
                <w:color w:val="auto"/>
              </w:rPr>
            </w:pPr>
            <w:r>
              <w:rPr>
                <w:rFonts w:ascii="Arial" w:cs="Arial" w:eastAsia="Arial" w:hAnsi="Arial"/>
                <w:sz w:val="18"/>
                <w:szCs w:val="18"/>
                <w:color w:val="auto"/>
                <w:w w:val="95"/>
              </w:rPr>
              <w:t>SCOTLAND PLC</w:t>
            </w:r>
            <w:r>
              <w:rPr>
                <w:rFonts w:ascii="Arial" w:cs="Arial" w:eastAsia="Arial" w:hAnsi="Arial"/>
                <w:sz w:val="15"/>
                <w:szCs w:val="15"/>
                <w:color w:val="auto"/>
                <w:w w:val="95"/>
              </w:rPr>
              <w:t>1,2</w:t>
            </w:r>
          </w:p>
        </w:tc>
        <w:tc>
          <w:tcPr>
            <w:tcW w:w="1940" w:type="dxa"/>
            <w:vAlign w:val="bottom"/>
          </w:tcPr>
          <w:p>
            <w:pPr>
              <w:jc w:val="center"/>
              <w:ind w:right="250"/>
              <w:spacing w:after="0"/>
              <w:rPr>
                <w:sz w:val="20"/>
                <w:szCs w:val="20"/>
                <w:color w:val="auto"/>
              </w:rPr>
            </w:pPr>
            <w:r>
              <w:rPr>
                <w:rFonts w:ascii="Arial" w:cs="Arial" w:eastAsia="Arial" w:hAnsi="Arial"/>
                <w:sz w:val="18"/>
                <w:szCs w:val="18"/>
                <w:color w:val="auto"/>
              </w:rPr>
              <w:t>BANKING</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jc w:val="center"/>
              <w:ind w:left="30"/>
              <w:spacing w:after="0"/>
              <w:rPr>
                <w:sz w:val="20"/>
                <w:szCs w:val="20"/>
                <w:color w:val="auto"/>
              </w:rPr>
            </w:pPr>
            <w:r>
              <w:rPr>
                <w:rFonts w:ascii="Arial" w:cs="Arial" w:eastAsia="Arial" w:hAnsi="Arial"/>
                <w:sz w:val="18"/>
                <w:szCs w:val="18"/>
                <w:color w:val="auto"/>
                <w:w w:val="95"/>
              </w:rPr>
              <w:t>SCOTIA</w:t>
            </w:r>
            <w:r>
              <w:rPr>
                <w:rFonts w:ascii="Arial" w:cs="Arial" w:eastAsia="Arial" w:hAnsi="Arial"/>
                <w:sz w:val="15"/>
                <w:szCs w:val="15"/>
                <w:color w:val="auto"/>
                <w:w w:val="95"/>
              </w:rPr>
              <w:t>1,2</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8"/>
              </w:rPr>
              <w:t>FUNDING,</w:t>
            </w:r>
          </w:p>
        </w:tc>
        <w:tc>
          <w:tcPr>
            <w:tcW w:w="1560" w:type="dxa"/>
            <w:vAlign w:val="bottom"/>
          </w:tcPr>
          <w:p>
            <w:pPr>
              <w:jc w:val="center"/>
              <w:ind w:left="550"/>
              <w:spacing w:after="0"/>
              <w:rPr>
                <w:sz w:val="20"/>
                <w:szCs w:val="20"/>
                <w:color w:val="auto"/>
              </w:rPr>
            </w:pPr>
            <w:r>
              <w:rPr>
                <w:rFonts w:ascii="Arial" w:cs="Arial" w:eastAsia="Arial" w:hAnsi="Arial"/>
                <w:sz w:val="18"/>
                <w:szCs w:val="18"/>
                <w:color w:val="auto"/>
                <w:w w:val="98"/>
              </w:rPr>
              <w:t>ROYAL</w:t>
            </w:r>
          </w:p>
        </w:tc>
        <w:tc>
          <w:tcPr>
            <w:tcW w:w="2600" w:type="dxa"/>
            <w:vAlign w:val="bottom"/>
          </w:tcPr>
          <w:p>
            <w:pPr>
              <w:spacing w:after="0"/>
              <w:rPr>
                <w:sz w:val="18"/>
                <w:szCs w:val="18"/>
                <w:color w:val="auto"/>
              </w:rPr>
            </w:pPr>
          </w:p>
        </w:tc>
        <w:tc>
          <w:tcPr>
            <w:tcW w:w="1940" w:type="dxa"/>
            <w:vAlign w:val="bottom"/>
          </w:tcPr>
          <w:p>
            <w:pPr>
              <w:jc w:val="center"/>
              <w:ind w:right="250"/>
              <w:spacing w:after="0"/>
              <w:rPr>
                <w:sz w:val="20"/>
                <w:szCs w:val="20"/>
                <w:color w:val="auto"/>
              </w:rPr>
            </w:pPr>
            <w:r>
              <w:rPr>
                <w:rFonts w:ascii="Arial" w:cs="Arial" w:eastAsia="Arial" w:hAnsi="Arial"/>
                <w:sz w:val="18"/>
                <w:szCs w:val="18"/>
                <w:color w:val="auto"/>
                <w:w w:val="92"/>
              </w:rPr>
              <w:t>CORPORATION</w:t>
            </w:r>
            <w:r>
              <w:rPr>
                <w:rFonts w:ascii="Arial" w:cs="Arial" w:eastAsia="Arial" w:hAnsi="Arial"/>
                <w:sz w:val="15"/>
                <w:szCs w:val="15"/>
                <w:color w:val="auto"/>
                <w:w w:val="92"/>
              </w:rPr>
              <w:t>1,2</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4"/>
              </w:rPr>
              <w:t>INC.</w:t>
            </w:r>
            <w:r>
              <w:rPr>
                <w:rFonts w:ascii="Arial" w:cs="Arial" w:eastAsia="Arial" w:hAnsi="Arial"/>
                <w:sz w:val="15"/>
                <w:szCs w:val="15"/>
                <w:color w:val="auto"/>
                <w:w w:val="94"/>
              </w:rPr>
              <w:t>1,2</w:t>
            </w:r>
          </w:p>
        </w:tc>
        <w:tc>
          <w:tcPr>
            <w:tcW w:w="1560" w:type="dxa"/>
            <w:vAlign w:val="bottom"/>
          </w:tcPr>
          <w:p>
            <w:pPr>
              <w:jc w:val="center"/>
              <w:ind w:left="550"/>
              <w:spacing w:after="0"/>
              <w:rPr>
                <w:sz w:val="20"/>
                <w:szCs w:val="20"/>
                <w:color w:val="auto"/>
              </w:rPr>
            </w:pPr>
            <w:r>
              <w:rPr>
                <w:rFonts w:ascii="Arial" w:cs="Arial" w:eastAsia="Arial" w:hAnsi="Arial"/>
                <w:sz w:val="18"/>
                <w:szCs w:val="18"/>
                <w:color w:val="auto"/>
              </w:rPr>
              <w:t>BANK OF</w:t>
            </w:r>
          </w:p>
        </w:tc>
        <w:tc>
          <w:tcPr>
            <w:tcW w:w="2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560" w:type="dxa"/>
            <w:vAlign w:val="bottom"/>
          </w:tcPr>
          <w:p>
            <w:pPr>
              <w:jc w:val="center"/>
              <w:ind w:left="550"/>
              <w:spacing w:after="0"/>
              <w:rPr>
                <w:sz w:val="20"/>
                <w:szCs w:val="20"/>
                <w:color w:val="auto"/>
              </w:rPr>
            </w:pPr>
            <w:r>
              <w:rPr>
                <w:rFonts w:ascii="Arial" w:cs="Arial" w:eastAsia="Arial" w:hAnsi="Arial"/>
                <w:sz w:val="18"/>
                <w:szCs w:val="18"/>
                <w:color w:val="auto"/>
              </w:rPr>
              <w:t>CANADA</w:t>
            </w:r>
            <w:r>
              <w:rPr>
                <w:rFonts w:ascii="Arial" w:cs="Arial" w:eastAsia="Arial" w:hAnsi="Arial"/>
                <w:sz w:val="15"/>
                <w:szCs w:val="15"/>
                <w:color w:val="auto"/>
              </w:rPr>
              <w:t>2</w:t>
            </w:r>
          </w:p>
        </w:tc>
        <w:tc>
          <w:tcPr>
            <w:tcW w:w="2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As Joint Bookrunners and Joint Lead Arrangers when noted ( </w:t>
      </w:r>
      <w:r>
        <w:rPr>
          <w:rFonts w:ascii="Arial" w:cs="Arial" w:eastAsia="Arial" w:hAnsi="Arial"/>
          <w:sz w:val="15"/>
          <w:szCs w:val="15"/>
          <w:i w:val="1"/>
          <w:iCs w:val="1"/>
          <w:color w:val="auto"/>
        </w:rPr>
        <w:t>1</w:t>
      </w:r>
      <w:r>
        <w:rPr>
          <w:rFonts w:ascii="Arial" w:cs="Arial" w:eastAsia="Arial" w:hAnsi="Arial"/>
          <w:sz w:val="18"/>
          <w:szCs w:val="18"/>
          <w:i w:val="1"/>
          <w:iCs w:val="1"/>
          <w:color w:val="auto"/>
        </w:rPr>
        <w:t xml:space="preserve"> ), as Documentation Agents when noted ( </w:t>
      </w:r>
      <w:r>
        <w:rPr>
          <w:rFonts w:ascii="Arial" w:cs="Arial" w:eastAsia="Arial" w:hAnsi="Arial"/>
          <w:sz w:val="15"/>
          <w:szCs w:val="15"/>
          <w:i w:val="1"/>
          <w:iCs w:val="1"/>
          <w:color w:val="auto"/>
        </w:rPr>
        <w:t>2</w:t>
      </w:r>
      <w:r>
        <w:rPr>
          <w:rFonts w:ascii="Arial" w:cs="Arial" w:eastAsia="Arial" w:hAnsi="Arial"/>
          <w:sz w:val="18"/>
          <w:szCs w:val="18"/>
          <w:i w:val="1"/>
          <w:iCs w:val="1"/>
          <w:color w:val="auto"/>
        </w:rPr>
        <w:t xml:space="preserve"> ),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as Brazilian Administrative Agent when noted ( </w:t>
      </w:r>
      <w:r>
        <w:rPr>
          <w:rFonts w:ascii="Arial" w:cs="Arial" w:eastAsia="Arial" w:hAnsi="Arial"/>
          <w:sz w:val="15"/>
          <w:szCs w:val="15"/>
          <w:i w:val="1"/>
          <w:iCs w:val="1"/>
          <w:color w:val="auto"/>
        </w:rPr>
        <w:t>3</w:t>
      </w:r>
      <w:r>
        <w:rPr>
          <w:rFonts w:ascii="Arial" w:cs="Arial" w:eastAsia="Arial" w:hAnsi="Arial"/>
          <w:sz w:val="18"/>
          <w:szCs w:val="18"/>
          <w:i w:val="1"/>
          <w:iCs w:val="1"/>
          <w:color w:val="auto"/>
        </w:rPr>
        <w:t xml:space="preserve"> )</w:t>
      </w:r>
    </w:p>
    <w:p>
      <w:pPr>
        <w:sectPr>
          <w:pgSz w:w="11900" w:h="16838" w:orient="portrait"/>
          <w:cols w:equalWidth="0" w:num="1">
            <w:col w:w="11420"/>
          </w:cols>
          <w:pgMar w:left="240" w:top="121" w:right="2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8060" w:type="dxa"/>
            <w:vAlign w:val="bottom"/>
          </w:tcPr>
          <w:p>
            <w:pPr>
              <w:ind w:left="4420"/>
              <w:spacing w:after="0"/>
              <w:rPr>
                <w:sz w:val="20"/>
                <w:szCs w:val="20"/>
                <w:color w:val="auto"/>
              </w:rPr>
            </w:pPr>
            <w:r>
              <w:rPr>
                <w:rFonts w:ascii="Arial" w:cs="Arial" w:eastAsia="Arial" w:hAnsi="Arial"/>
                <w:sz w:val="18"/>
                <w:szCs w:val="18"/>
                <w:color w:val="auto"/>
              </w:rPr>
              <w:t>Table of Contents</w:t>
            </w:r>
          </w:p>
        </w:tc>
        <w:tc>
          <w:tcPr>
            <w:tcW w:w="2640" w:type="dxa"/>
            <w:vAlign w:val="bottom"/>
          </w:tcPr>
          <w:p>
            <w:pPr>
              <w:spacing w:after="0"/>
              <w:rPr>
                <w:sz w:val="20"/>
                <w:szCs w:val="20"/>
                <w:color w:val="auto"/>
              </w:rPr>
            </w:pPr>
          </w:p>
        </w:tc>
      </w:tr>
      <w:tr>
        <w:trPr>
          <w:trHeight w:val="377"/>
        </w:trPr>
        <w:tc>
          <w:tcPr>
            <w:tcW w:w="6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SECTION 1. DEFINITIONS</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8060" w:type="dxa"/>
            <w:vAlign w:val="bottom"/>
          </w:tcPr>
          <w:p>
            <w:pPr>
              <w:ind w:left="120"/>
              <w:spacing w:after="0"/>
              <w:rPr>
                <w:sz w:val="20"/>
                <w:szCs w:val="20"/>
                <w:color w:val="auto"/>
              </w:rPr>
            </w:pPr>
            <w:r>
              <w:rPr>
                <w:rFonts w:ascii="Arial" w:cs="Arial" w:eastAsia="Arial" w:hAnsi="Arial"/>
                <w:sz w:val="18"/>
                <w:szCs w:val="18"/>
                <w:color w:val="auto"/>
              </w:rPr>
              <w:t>Defined Terms</w:t>
            </w:r>
          </w:p>
        </w:tc>
        <w:tc>
          <w:tcPr>
            <w:tcW w:w="2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8060" w:type="dxa"/>
            <w:vAlign w:val="bottom"/>
          </w:tcPr>
          <w:p>
            <w:pPr>
              <w:ind w:left="120"/>
              <w:spacing w:after="0"/>
              <w:rPr>
                <w:sz w:val="20"/>
                <w:szCs w:val="20"/>
                <w:color w:val="auto"/>
              </w:rPr>
            </w:pPr>
            <w:r>
              <w:rPr>
                <w:rFonts w:ascii="Arial" w:cs="Arial" w:eastAsia="Arial" w:hAnsi="Arial"/>
                <w:sz w:val="18"/>
                <w:szCs w:val="18"/>
                <w:color w:val="auto"/>
              </w:rPr>
              <w:t>Other Definitional Provisions</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8060" w:type="dxa"/>
            <w:vAlign w:val="bottom"/>
          </w:tcPr>
          <w:p>
            <w:pPr>
              <w:ind w:left="120"/>
              <w:spacing w:after="0"/>
              <w:rPr>
                <w:sz w:val="20"/>
                <w:szCs w:val="20"/>
                <w:color w:val="auto"/>
              </w:rPr>
            </w:pPr>
            <w:r>
              <w:rPr>
                <w:rFonts w:ascii="Arial" w:cs="Arial" w:eastAsia="Arial" w:hAnsi="Arial"/>
                <w:sz w:val="18"/>
                <w:szCs w:val="18"/>
                <w:color w:val="auto"/>
              </w:rPr>
              <w:t>Conversion of Foreign Currencies</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8060" w:type="dxa"/>
            <w:vAlign w:val="bottom"/>
          </w:tcPr>
          <w:p>
            <w:pPr>
              <w:ind w:left="120"/>
              <w:spacing w:after="0"/>
              <w:rPr>
                <w:sz w:val="20"/>
                <w:szCs w:val="20"/>
                <w:color w:val="auto"/>
              </w:rPr>
            </w:pPr>
            <w:r>
              <w:rPr>
                <w:rFonts w:ascii="Arial" w:cs="Arial" w:eastAsia="Arial" w:hAnsi="Arial"/>
                <w:sz w:val="18"/>
                <w:szCs w:val="18"/>
                <w:color w:val="auto"/>
              </w:rPr>
              <w:t>Other Interpretive Provisions</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8720" w:type="dxa"/>
            <w:vAlign w:val="bottom"/>
            <w:gridSpan w:val="2"/>
          </w:tcPr>
          <w:p>
            <w:pPr>
              <w:spacing w:after="0"/>
              <w:rPr>
                <w:sz w:val="20"/>
                <w:szCs w:val="20"/>
                <w:color w:val="auto"/>
              </w:rPr>
            </w:pPr>
            <w:r>
              <w:rPr>
                <w:rFonts w:ascii="Arial" w:cs="Arial" w:eastAsia="Arial" w:hAnsi="Arial"/>
                <w:sz w:val="18"/>
                <w:szCs w:val="18"/>
                <w:color w:val="auto"/>
              </w:rPr>
              <w:t>SECTION 2. AMOUNT AND TERMS OF COMMITMENTS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8060" w:type="dxa"/>
            <w:vAlign w:val="bottom"/>
          </w:tcPr>
          <w:p>
            <w:pPr>
              <w:ind w:left="120"/>
              <w:spacing w:after="0"/>
              <w:rPr>
                <w:sz w:val="20"/>
                <w:szCs w:val="20"/>
                <w:color w:val="auto"/>
              </w:rPr>
            </w:pPr>
            <w:r>
              <w:rPr>
                <w:rFonts w:ascii="Arial" w:cs="Arial" w:eastAsia="Arial" w:hAnsi="Arial"/>
                <w:sz w:val="18"/>
                <w:szCs w:val="18"/>
                <w:color w:val="auto"/>
              </w:rPr>
              <w:t>Domestic Commitments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8060" w:type="dxa"/>
            <w:vAlign w:val="bottom"/>
          </w:tcPr>
          <w:p>
            <w:pPr>
              <w:ind w:left="120"/>
              <w:spacing w:after="0"/>
              <w:rPr>
                <w:sz w:val="20"/>
                <w:szCs w:val="20"/>
                <w:color w:val="auto"/>
              </w:rPr>
            </w:pPr>
            <w:r>
              <w:rPr>
                <w:rFonts w:ascii="Arial" w:cs="Arial" w:eastAsia="Arial" w:hAnsi="Arial"/>
                <w:sz w:val="18"/>
                <w:szCs w:val="18"/>
                <w:color w:val="auto"/>
              </w:rPr>
              <w:t>Procedure for Domestic Loan Borrowing</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8060" w:type="dxa"/>
            <w:vAlign w:val="bottom"/>
          </w:tcPr>
          <w:p>
            <w:pPr>
              <w:ind w:left="120"/>
              <w:spacing w:after="0"/>
              <w:rPr>
                <w:sz w:val="20"/>
                <w:szCs w:val="20"/>
                <w:color w:val="auto"/>
              </w:rPr>
            </w:pPr>
            <w:r>
              <w:rPr>
                <w:rFonts w:ascii="Arial" w:cs="Arial" w:eastAsia="Arial" w:hAnsi="Arial"/>
                <w:sz w:val="18"/>
                <w:szCs w:val="18"/>
                <w:color w:val="auto"/>
              </w:rPr>
              <w:t>Multicurrency Commitments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8060" w:type="dxa"/>
            <w:vAlign w:val="bottom"/>
          </w:tcPr>
          <w:p>
            <w:pPr>
              <w:ind w:left="120"/>
              <w:spacing w:after="0"/>
              <w:rPr>
                <w:sz w:val="20"/>
                <w:szCs w:val="20"/>
                <w:color w:val="auto"/>
              </w:rPr>
            </w:pPr>
            <w:r>
              <w:rPr>
                <w:rFonts w:ascii="Arial" w:cs="Arial" w:eastAsia="Arial" w:hAnsi="Arial"/>
                <w:sz w:val="18"/>
                <w:szCs w:val="18"/>
                <w:color w:val="auto"/>
              </w:rPr>
              <w:t>Procedure for Multicurrency Loan Borrowing</w:t>
            </w:r>
          </w:p>
        </w:tc>
        <w:tc>
          <w:tcPr>
            <w:tcW w:w="2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8060" w:type="dxa"/>
            <w:vAlign w:val="bottom"/>
          </w:tcPr>
          <w:p>
            <w:pPr>
              <w:ind w:left="120"/>
              <w:spacing w:after="0"/>
              <w:rPr>
                <w:sz w:val="20"/>
                <w:szCs w:val="20"/>
                <w:color w:val="auto"/>
              </w:rPr>
            </w:pPr>
            <w:r>
              <w:rPr>
                <w:rFonts w:ascii="Arial" w:cs="Arial" w:eastAsia="Arial" w:hAnsi="Arial"/>
                <w:sz w:val="18"/>
                <w:szCs w:val="18"/>
                <w:color w:val="auto"/>
              </w:rPr>
              <w:t>Brazilian Commitments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8060" w:type="dxa"/>
            <w:vAlign w:val="bottom"/>
          </w:tcPr>
          <w:p>
            <w:pPr>
              <w:ind w:left="120"/>
              <w:spacing w:after="0"/>
              <w:rPr>
                <w:sz w:val="20"/>
                <w:szCs w:val="20"/>
                <w:color w:val="auto"/>
              </w:rPr>
            </w:pPr>
            <w:r>
              <w:rPr>
                <w:rFonts w:ascii="Arial" w:cs="Arial" w:eastAsia="Arial" w:hAnsi="Arial"/>
                <w:sz w:val="18"/>
                <w:szCs w:val="18"/>
                <w:color w:val="auto"/>
              </w:rPr>
              <w:t>Brazilian Reporting</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8060" w:type="dxa"/>
            <w:vAlign w:val="bottom"/>
          </w:tcPr>
          <w:p>
            <w:pPr>
              <w:ind w:left="120"/>
              <w:spacing w:after="0"/>
              <w:rPr>
                <w:sz w:val="20"/>
                <w:szCs w:val="20"/>
                <w:color w:val="auto"/>
              </w:rPr>
            </w:pPr>
            <w:r>
              <w:rPr>
                <w:rFonts w:ascii="Arial" w:cs="Arial" w:eastAsia="Arial" w:hAnsi="Arial"/>
                <w:sz w:val="18"/>
                <w:szCs w:val="18"/>
                <w:color w:val="auto"/>
              </w:rPr>
              <w:t>Competitive Bid Procedure</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8060" w:type="dxa"/>
            <w:vAlign w:val="bottom"/>
          </w:tcPr>
          <w:p>
            <w:pPr>
              <w:ind w:left="120"/>
              <w:spacing w:after="0"/>
              <w:rPr>
                <w:sz w:val="20"/>
                <w:szCs w:val="20"/>
                <w:color w:val="auto"/>
              </w:rPr>
            </w:pPr>
            <w:r>
              <w:rPr>
                <w:rFonts w:ascii="Arial" w:cs="Arial" w:eastAsia="Arial" w:hAnsi="Arial"/>
                <w:sz w:val="18"/>
                <w:szCs w:val="18"/>
                <w:color w:val="auto"/>
              </w:rPr>
              <w:t>Facility Fees, etc</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8060" w:type="dxa"/>
            <w:vAlign w:val="bottom"/>
          </w:tcPr>
          <w:p>
            <w:pPr>
              <w:ind w:left="120"/>
              <w:spacing w:after="0"/>
              <w:rPr>
                <w:sz w:val="20"/>
                <w:szCs w:val="20"/>
                <w:color w:val="auto"/>
              </w:rPr>
            </w:pPr>
            <w:r>
              <w:rPr>
                <w:rFonts w:ascii="Arial" w:cs="Arial" w:eastAsia="Arial" w:hAnsi="Arial"/>
                <w:sz w:val="18"/>
                <w:szCs w:val="18"/>
                <w:color w:val="auto"/>
              </w:rPr>
              <w:t>Termination, Reduction and Reallocation of Commitments</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8060" w:type="dxa"/>
            <w:vAlign w:val="bottom"/>
          </w:tcPr>
          <w:p>
            <w:pPr>
              <w:ind w:left="120"/>
              <w:spacing w:after="0"/>
              <w:rPr>
                <w:sz w:val="20"/>
                <w:szCs w:val="20"/>
                <w:color w:val="auto"/>
              </w:rPr>
            </w:pPr>
            <w:r>
              <w:rPr>
                <w:rFonts w:ascii="Arial" w:cs="Arial" w:eastAsia="Arial" w:hAnsi="Arial"/>
                <w:sz w:val="18"/>
                <w:szCs w:val="18"/>
                <w:color w:val="auto"/>
              </w:rPr>
              <w:t>Optional Prepayments</w:t>
            </w:r>
          </w:p>
        </w:tc>
        <w:tc>
          <w:tcPr>
            <w:tcW w:w="2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8060" w:type="dxa"/>
            <w:vAlign w:val="bottom"/>
          </w:tcPr>
          <w:p>
            <w:pPr>
              <w:ind w:left="120"/>
              <w:spacing w:after="0"/>
              <w:rPr>
                <w:sz w:val="20"/>
                <w:szCs w:val="20"/>
                <w:color w:val="auto"/>
              </w:rPr>
            </w:pPr>
            <w:r>
              <w:rPr>
                <w:rFonts w:ascii="Arial" w:cs="Arial" w:eastAsia="Arial" w:hAnsi="Arial"/>
                <w:sz w:val="18"/>
                <w:szCs w:val="18"/>
                <w:color w:val="auto"/>
              </w:rPr>
              <w:t>Mandatory Prepayments</w:t>
            </w:r>
          </w:p>
        </w:tc>
        <w:tc>
          <w:tcPr>
            <w:tcW w:w="2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8060" w:type="dxa"/>
            <w:vAlign w:val="bottom"/>
          </w:tcPr>
          <w:p>
            <w:pPr>
              <w:ind w:left="120"/>
              <w:spacing w:after="0"/>
              <w:rPr>
                <w:sz w:val="20"/>
                <w:szCs w:val="20"/>
                <w:color w:val="auto"/>
              </w:rPr>
            </w:pPr>
            <w:r>
              <w:rPr>
                <w:rFonts w:ascii="Arial" w:cs="Arial" w:eastAsia="Arial" w:hAnsi="Arial"/>
                <w:sz w:val="18"/>
                <w:szCs w:val="18"/>
                <w:color w:val="auto"/>
              </w:rPr>
              <w:t>Conversion and Continuation Options</w:t>
            </w:r>
          </w:p>
        </w:tc>
        <w:tc>
          <w:tcPr>
            <w:tcW w:w="2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8060" w:type="dxa"/>
            <w:vAlign w:val="bottom"/>
          </w:tcPr>
          <w:p>
            <w:pPr>
              <w:ind w:left="120"/>
              <w:spacing w:after="0"/>
              <w:rPr>
                <w:sz w:val="20"/>
                <w:szCs w:val="20"/>
                <w:color w:val="auto"/>
              </w:rPr>
            </w:pPr>
            <w:r>
              <w:rPr>
                <w:rFonts w:ascii="Arial" w:cs="Arial" w:eastAsia="Arial" w:hAnsi="Arial"/>
                <w:sz w:val="18"/>
                <w:szCs w:val="18"/>
                <w:color w:val="auto"/>
              </w:rPr>
              <w:t>Limitations on Eurocurrency Tranches</w:t>
            </w:r>
          </w:p>
        </w:tc>
        <w:tc>
          <w:tcPr>
            <w:tcW w:w="2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8060" w:type="dxa"/>
            <w:vAlign w:val="bottom"/>
          </w:tcPr>
          <w:p>
            <w:pPr>
              <w:ind w:left="120"/>
              <w:spacing w:after="0"/>
              <w:rPr>
                <w:sz w:val="20"/>
                <w:szCs w:val="20"/>
                <w:color w:val="auto"/>
              </w:rPr>
            </w:pPr>
            <w:r>
              <w:rPr>
                <w:rFonts w:ascii="Arial" w:cs="Arial" w:eastAsia="Arial" w:hAnsi="Arial"/>
                <w:sz w:val="18"/>
                <w:szCs w:val="18"/>
                <w:color w:val="auto"/>
              </w:rPr>
              <w:t>Interest Rates and Payment Dates</w:t>
            </w:r>
          </w:p>
        </w:tc>
        <w:tc>
          <w:tcPr>
            <w:tcW w:w="2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8060" w:type="dxa"/>
            <w:vAlign w:val="bottom"/>
          </w:tcPr>
          <w:p>
            <w:pPr>
              <w:ind w:left="120"/>
              <w:spacing w:after="0"/>
              <w:rPr>
                <w:sz w:val="20"/>
                <w:szCs w:val="20"/>
                <w:color w:val="auto"/>
              </w:rPr>
            </w:pPr>
            <w:r>
              <w:rPr>
                <w:rFonts w:ascii="Arial" w:cs="Arial" w:eastAsia="Arial" w:hAnsi="Arial"/>
                <w:sz w:val="18"/>
                <w:szCs w:val="18"/>
                <w:color w:val="auto"/>
              </w:rPr>
              <w:t>Computation of Interest and Fees</w:t>
            </w:r>
          </w:p>
        </w:tc>
        <w:tc>
          <w:tcPr>
            <w:tcW w:w="2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8060" w:type="dxa"/>
            <w:vAlign w:val="bottom"/>
          </w:tcPr>
          <w:p>
            <w:pPr>
              <w:ind w:left="120"/>
              <w:spacing w:after="0"/>
              <w:rPr>
                <w:sz w:val="20"/>
                <w:szCs w:val="20"/>
                <w:color w:val="auto"/>
              </w:rPr>
            </w:pPr>
            <w:r>
              <w:rPr>
                <w:rFonts w:ascii="Arial" w:cs="Arial" w:eastAsia="Arial" w:hAnsi="Arial"/>
                <w:sz w:val="18"/>
                <w:szCs w:val="18"/>
                <w:color w:val="auto"/>
              </w:rPr>
              <w:t>Inability to Determine Interest Rate; Illegality</w:t>
            </w:r>
          </w:p>
        </w:tc>
        <w:tc>
          <w:tcPr>
            <w:tcW w:w="2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8060" w:type="dxa"/>
            <w:vAlign w:val="bottom"/>
          </w:tcPr>
          <w:p>
            <w:pPr>
              <w:ind w:left="120"/>
              <w:spacing w:after="0"/>
              <w:rPr>
                <w:sz w:val="20"/>
                <w:szCs w:val="20"/>
                <w:color w:val="auto"/>
              </w:rPr>
            </w:pPr>
            <w:r>
              <w:rPr>
                <w:rFonts w:ascii="Arial" w:cs="Arial" w:eastAsia="Arial" w:hAnsi="Arial"/>
                <w:sz w:val="18"/>
                <w:szCs w:val="18"/>
                <w:color w:val="auto"/>
              </w:rPr>
              <w:t>Pro Rata Treatment and Payments; Evidence of Debt</w:t>
            </w:r>
          </w:p>
        </w:tc>
        <w:tc>
          <w:tcPr>
            <w:tcW w:w="2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8060" w:type="dxa"/>
            <w:vAlign w:val="bottom"/>
          </w:tcPr>
          <w:p>
            <w:pPr>
              <w:ind w:left="120"/>
              <w:spacing w:after="0"/>
              <w:rPr>
                <w:sz w:val="20"/>
                <w:szCs w:val="20"/>
                <w:color w:val="auto"/>
              </w:rPr>
            </w:pPr>
            <w:r>
              <w:rPr>
                <w:rFonts w:ascii="Arial" w:cs="Arial" w:eastAsia="Arial" w:hAnsi="Arial"/>
                <w:sz w:val="18"/>
                <w:szCs w:val="18"/>
                <w:color w:val="auto"/>
              </w:rPr>
              <w:t>Requirements of Law</w:t>
            </w:r>
          </w:p>
        </w:tc>
        <w:tc>
          <w:tcPr>
            <w:tcW w:w="2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8060" w:type="dxa"/>
            <w:vAlign w:val="bottom"/>
          </w:tcPr>
          <w:p>
            <w:pPr>
              <w:ind w:left="120"/>
              <w:spacing w:after="0"/>
              <w:rPr>
                <w:sz w:val="20"/>
                <w:szCs w:val="20"/>
                <w:color w:val="auto"/>
              </w:rPr>
            </w:pPr>
            <w:r>
              <w:rPr>
                <w:rFonts w:ascii="Arial" w:cs="Arial" w:eastAsia="Arial" w:hAnsi="Arial"/>
                <w:sz w:val="18"/>
                <w:szCs w:val="18"/>
                <w:color w:val="auto"/>
              </w:rPr>
              <w:t>Taxes</w:t>
            </w:r>
          </w:p>
        </w:tc>
        <w:tc>
          <w:tcPr>
            <w:tcW w:w="2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8060" w:type="dxa"/>
            <w:vAlign w:val="bottom"/>
          </w:tcPr>
          <w:p>
            <w:pPr>
              <w:ind w:left="120"/>
              <w:spacing w:after="0"/>
              <w:rPr>
                <w:sz w:val="20"/>
                <w:szCs w:val="20"/>
                <w:color w:val="auto"/>
              </w:rPr>
            </w:pPr>
            <w:r>
              <w:rPr>
                <w:rFonts w:ascii="Arial" w:cs="Arial" w:eastAsia="Arial" w:hAnsi="Arial"/>
                <w:sz w:val="18"/>
                <w:szCs w:val="18"/>
                <w:color w:val="auto"/>
              </w:rPr>
              <w:t>Indemnity</w:t>
            </w:r>
          </w:p>
        </w:tc>
        <w:tc>
          <w:tcPr>
            <w:tcW w:w="2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8060" w:type="dxa"/>
            <w:vAlign w:val="bottom"/>
          </w:tcPr>
          <w:p>
            <w:pPr>
              <w:ind w:left="120"/>
              <w:spacing w:after="0"/>
              <w:rPr>
                <w:sz w:val="20"/>
                <w:szCs w:val="20"/>
                <w:color w:val="auto"/>
              </w:rPr>
            </w:pPr>
            <w:r>
              <w:rPr>
                <w:rFonts w:ascii="Arial" w:cs="Arial" w:eastAsia="Arial" w:hAnsi="Arial"/>
                <w:sz w:val="18"/>
                <w:szCs w:val="18"/>
                <w:color w:val="auto"/>
              </w:rPr>
              <w:t>Change of Applicable Lending Office</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8060" w:type="dxa"/>
            <w:vAlign w:val="bottom"/>
          </w:tcPr>
          <w:p>
            <w:pPr>
              <w:ind w:left="120"/>
              <w:spacing w:after="0"/>
              <w:rPr>
                <w:sz w:val="20"/>
                <w:szCs w:val="20"/>
                <w:color w:val="auto"/>
              </w:rPr>
            </w:pPr>
            <w:r>
              <w:rPr>
                <w:rFonts w:ascii="Arial" w:cs="Arial" w:eastAsia="Arial" w:hAnsi="Arial"/>
                <w:sz w:val="18"/>
                <w:szCs w:val="18"/>
                <w:color w:val="auto"/>
              </w:rPr>
              <w:t>Replacement/Termination of Lenders</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8060" w:type="dxa"/>
            <w:vAlign w:val="bottom"/>
          </w:tcPr>
          <w:p>
            <w:pPr>
              <w:ind w:left="120"/>
              <w:spacing w:after="0"/>
              <w:rPr>
                <w:sz w:val="20"/>
                <w:szCs w:val="20"/>
                <w:color w:val="auto"/>
              </w:rPr>
            </w:pPr>
            <w:r>
              <w:rPr>
                <w:rFonts w:ascii="Arial" w:cs="Arial" w:eastAsia="Arial" w:hAnsi="Arial"/>
                <w:sz w:val="18"/>
                <w:szCs w:val="18"/>
                <w:color w:val="auto"/>
              </w:rPr>
              <w:t>Defaulting Lender</w:t>
            </w:r>
          </w:p>
        </w:tc>
        <w:tc>
          <w:tcPr>
            <w:tcW w:w="2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8060" w:type="dxa"/>
            <w:vAlign w:val="bottom"/>
          </w:tcPr>
          <w:p>
            <w:pPr>
              <w:ind w:left="120"/>
              <w:spacing w:after="0"/>
              <w:rPr>
                <w:sz w:val="20"/>
                <w:szCs w:val="20"/>
                <w:color w:val="auto"/>
              </w:rPr>
            </w:pPr>
            <w:r>
              <w:rPr>
                <w:rFonts w:ascii="Arial" w:cs="Arial" w:eastAsia="Arial" w:hAnsi="Arial"/>
                <w:sz w:val="18"/>
                <w:szCs w:val="18"/>
                <w:color w:val="auto"/>
              </w:rPr>
              <w:t>Reallocation of Payments for the Account of Defaulting Lenders</w:t>
            </w:r>
          </w:p>
        </w:tc>
        <w:tc>
          <w:tcPr>
            <w:tcW w:w="2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8060" w:type="dxa"/>
            <w:vAlign w:val="bottom"/>
          </w:tcPr>
          <w:p>
            <w:pPr>
              <w:ind w:left="120"/>
              <w:spacing w:after="0"/>
              <w:rPr>
                <w:sz w:val="20"/>
                <w:szCs w:val="20"/>
                <w:color w:val="auto"/>
              </w:rPr>
            </w:pPr>
            <w:r>
              <w:rPr>
                <w:rFonts w:ascii="Arial" w:cs="Arial" w:eastAsia="Arial" w:hAnsi="Arial"/>
                <w:sz w:val="18"/>
                <w:szCs w:val="18"/>
                <w:color w:val="auto"/>
              </w:rPr>
              <w:t>New Local Facilities</w:t>
            </w:r>
          </w:p>
        </w:tc>
        <w:tc>
          <w:tcPr>
            <w:tcW w:w="2640" w:type="dxa"/>
            <w:vAlign w:val="bottom"/>
          </w:tcPr>
          <w:p>
            <w:pPr>
              <w:jc w:val="right"/>
              <w:spacing w:after="0"/>
              <w:rPr>
                <w:sz w:val="20"/>
                <w:szCs w:val="20"/>
                <w:color w:val="auto"/>
              </w:rPr>
            </w:pPr>
            <w:r>
              <w:rPr>
                <w:rFonts w:ascii="Arial" w:cs="Arial" w:eastAsia="Arial" w:hAnsi="Arial"/>
                <w:sz w:val="18"/>
                <w:szCs w:val="18"/>
                <w:color w:val="auto"/>
              </w:rPr>
              <w:t>59</w:t>
            </w:r>
          </w:p>
        </w:tc>
      </w:tr>
    </w:tbl>
    <w:p>
      <w:pPr>
        <w:jc w:val="right"/>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7" w:name="page248"/>
    <w:bookmarkEnd w:id="247"/>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8140" w:type="dxa"/>
            <w:vAlign w:val="bottom"/>
          </w:tcPr>
          <w:p>
            <w:pPr>
              <w:ind w:left="120"/>
              <w:spacing w:after="0"/>
              <w:rPr>
                <w:sz w:val="20"/>
                <w:szCs w:val="20"/>
                <w:color w:val="auto"/>
              </w:rPr>
            </w:pPr>
            <w:r>
              <w:rPr>
                <w:rFonts w:ascii="Arial" w:cs="Arial" w:eastAsia="Arial" w:hAnsi="Arial"/>
                <w:sz w:val="18"/>
                <w:szCs w:val="18"/>
                <w:color w:val="auto"/>
              </w:rPr>
              <w:t>Incremental Commitments/Facilities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8140" w:type="dxa"/>
            <w:vAlign w:val="bottom"/>
          </w:tcPr>
          <w:p>
            <w:pPr>
              <w:ind w:left="120"/>
              <w:spacing w:after="0"/>
              <w:rPr>
                <w:sz w:val="20"/>
                <w:szCs w:val="20"/>
                <w:color w:val="auto"/>
              </w:rPr>
            </w:pPr>
            <w:r>
              <w:rPr>
                <w:rFonts w:ascii="Arial" w:cs="Arial" w:eastAsia="Arial" w:hAnsi="Arial"/>
                <w:sz w:val="18"/>
                <w:szCs w:val="18"/>
                <w:color w:val="auto"/>
              </w:rPr>
              <w:t>Termination Date Extension</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0"/>
        </w:trPr>
        <w:tc>
          <w:tcPr>
            <w:tcW w:w="8800" w:type="dxa"/>
            <w:vAlign w:val="bottom"/>
            <w:gridSpan w:val="2"/>
          </w:tcPr>
          <w:p>
            <w:pPr>
              <w:spacing w:after="0"/>
              <w:rPr>
                <w:sz w:val="20"/>
                <w:szCs w:val="20"/>
                <w:color w:val="auto"/>
              </w:rPr>
            </w:pPr>
            <w:r>
              <w:rPr>
                <w:rFonts w:ascii="Arial" w:cs="Arial" w:eastAsia="Arial" w:hAnsi="Arial"/>
                <w:sz w:val="18"/>
                <w:szCs w:val="18"/>
                <w:color w:val="auto"/>
              </w:rPr>
              <w:t>SECTION 3. LETTERS OF CREDIT</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8140" w:type="dxa"/>
            <w:vAlign w:val="bottom"/>
          </w:tcPr>
          <w:p>
            <w:pPr>
              <w:ind w:left="120"/>
              <w:spacing w:after="0"/>
              <w:rPr>
                <w:sz w:val="20"/>
                <w:szCs w:val="20"/>
                <w:color w:val="auto"/>
              </w:rPr>
            </w:pPr>
            <w:r>
              <w:rPr>
                <w:rFonts w:ascii="Arial" w:cs="Arial" w:eastAsia="Arial" w:hAnsi="Arial"/>
                <w:sz w:val="18"/>
                <w:szCs w:val="18"/>
                <w:color w:val="auto"/>
              </w:rPr>
              <w:t>L/C Commitment</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8140" w:type="dxa"/>
            <w:vAlign w:val="bottom"/>
          </w:tcPr>
          <w:p>
            <w:pPr>
              <w:ind w:left="120"/>
              <w:spacing w:after="0"/>
              <w:rPr>
                <w:sz w:val="20"/>
                <w:szCs w:val="20"/>
                <w:color w:val="auto"/>
              </w:rPr>
            </w:pPr>
            <w:r>
              <w:rPr>
                <w:rFonts w:ascii="Arial" w:cs="Arial" w:eastAsia="Arial" w:hAnsi="Arial"/>
                <w:sz w:val="18"/>
                <w:szCs w:val="18"/>
                <w:color w:val="auto"/>
              </w:rPr>
              <w:t>Procedure for Issuance of Letters of Credit</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8140" w:type="dxa"/>
            <w:vAlign w:val="bottom"/>
          </w:tcPr>
          <w:p>
            <w:pPr>
              <w:ind w:left="120"/>
              <w:spacing w:after="0"/>
              <w:rPr>
                <w:sz w:val="20"/>
                <w:szCs w:val="20"/>
                <w:color w:val="auto"/>
              </w:rPr>
            </w:pPr>
            <w:r>
              <w:rPr>
                <w:rFonts w:ascii="Arial" w:cs="Arial" w:eastAsia="Arial" w:hAnsi="Arial"/>
                <w:sz w:val="18"/>
                <w:szCs w:val="18"/>
                <w:color w:val="auto"/>
              </w:rPr>
              <w:t>Fees and Other Charges</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8140" w:type="dxa"/>
            <w:vAlign w:val="bottom"/>
          </w:tcPr>
          <w:p>
            <w:pPr>
              <w:ind w:left="120"/>
              <w:spacing w:after="0"/>
              <w:rPr>
                <w:sz w:val="20"/>
                <w:szCs w:val="20"/>
                <w:color w:val="auto"/>
              </w:rPr>
            </w:pPr>
            <w:r>
              <w:rPr>
                <w:rFonts w:ascii="Arial" w:cs="Arial" w:eastAsia="Arial" w:hAnsi="Arial"/>
                <w:sz w:val="18"/>
                <w:szCs w:val="18"/>
                <w:color w:val="auto"/>
              </w:rPr>
              <w:t>L/C Participations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8140" w:type="dxa"/>
            <w:vAlign w:val="bottom"/>
          </w:tcPr>
          <w:p>
            <w:pPr>
              <w:ind w:left="120"/>
              <w:spacing w:after="0"/>
              <w:rPr>
                <w:sz w:val="20"/>
                <w:szCs w:val="20"/>
                <w:color w:val="auto"/>
              </w:rPr>
            </w:pPr>
            <w:r>
              <w:rPr>
                <w:rFonts w:ascii="Arial" w:cs="Arial" w:eastAsia="Arial" w:hAnsi="Arial"/>
                <w:sz w:val="18"/>
                <w:szCs w:val="18"/>
                <w:color w:val="auto"/>
              </w:rPr>
              <w:t>Reimbursement Obligation of the Company and the Applicable Account Party</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8140" w:type="dxa"/>
            <w:vAlign w:val="bottom"/>
          </w:tcPr>
          <w:p>
            <w:pPr>
              <w:ind w:left="120"/>
              <w:spacing w:after="0"/>
              <w:rPr>
                <w:sz w:val="20"/>
                <w:szCs w:val="20"/>
                <w:color w:val="auto"/>
              </w:rPr>
            </w:pPr>
            <w:r>
              <w:rPr>
                <w:rFonts w:ascii="Arial" w:cs="Arial" w:eastAsia="Arial" w:hAnsi="Arial"/>
                <w:sz w:val="18"/>
                <w:szCs w:val="18"/>
                <w:color w:val="auto"/>
              </w:rPr>
              <w:t>Obligations Absolute</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8140" w:type="dxa"/>
            <w:vAlign w:val="bottom"/>
          </w:tcPr>
          <w:p>
            <w:pPr>
              <w:ind w:left="120"/>
              <w:spacing w:after="0"/>
              <w:rPr>
                <w:sz w:val="20"/>
                <w:szCs w:val="20"/>
                <w:color w:val="auto"/>
              </w:rPr>
            </w:pPr>
            <w:r>
              <w:rPr>
                <w:rFonts w:ascii="Arial" w:cs="Arial" w:eastAsia="Arial" w:hAnsi="Arial"/>
                <w:sz w:val="18"/>
                <w:szCs w:val="18"/>
                <w:color w:val="auto"/>
              </w:rPr>
              <w:t>Letter of Credit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8140" w:type="dxa"/>
            <w:vAlign w:val="bottom"/>
          </w:tcPr>
          <w:p>
            <w:pPr>
              <w:ind w:left="120"/>
              <w:spacing w:after="0"/>
              <w:rPr>
                <w:sz w:val="20"/>
                <w:szCs w:val="20"/>
                <w:color w:val="auto"/>
              </w:rPr>
            </w:pPr>
            <w:r>
              <w:rPr>
                <w:rFonts w:ascii="Arial" w:cs="Arial" w:eastAsia="Arial" w:hAnsi="Arial"/>
                <w:sz w:val="18"/>
                <w:szCs w:val="18"/>
                <w:color w:val="auto"/>
              </w:rPr>
              <w:t>Applications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8140" w:type="dxa"/>
            <w:vAlign w:val="bottom"/>
          </w:tcPr>
          <w:p>
            <w:pPr>
              <w:ind w:left="120"/>
              <w:spacing w:after="0"/>
              <w:rPr>
                <w:sz w:val="20"/>
                <w:szCs w:val="20"/>
                <w:color w:val="auto"/>
              </w:rPr>
            </w:pPr>
            <w:r>
              <w:rPr>
                <w:rFonts w:ascii="Arial" w:cs="Arial" w:eastAsia="Arial" w:hAnsi="Arial"/>
                <w:sz w:val="18"/>
                <w:szCs w:val="18"/>
                <w:color w:val="auto"/>
              </w:rPr>
              <w:t>Collateralization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8140" w:type="dxa"/>
            <w:vAlign w:val="bottom"/>
          </w:tcPr>
          <w:p>
            <w:pPr>
              <w:ind w:left="120"/>
              <w:spacing w:after="0"/>
              <w:rPr>
                <w:sz w:val="20"/>
                <w:szCs w:val="20"/>
                <w:color w:val="auto"/>
              </w:rPr>
            </w:pPr>
            <w:r>
              <w:rPr>
                <w:rFonts w:ascii="Arial" w:cs="Arial" w:eastAsia="Arial" w:hAnsi="Arial"/>
                <w:sz w:val="18"/>
                <w:szCs w:val="18"/>
                <w:color w:val="auto"/>
              </w:rPr>
              <w:t>New Issuing Lenders; L/C Commitments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8140" w:type="dxa"/>
            <w:vAlign w:val="bottom"/>
          </w:tcPr>
          <w:p>
            <w:pPr>
              <w:ind w:left="120"/>
              <w:spacing w:after="0"/>
              <w:rPr>
                <w:sz w:val="20"/>
                <w:szCs w:val="20"/>
                <w:color w:val="auto"/>
              </w:rPr>
            </w:pPr>
            <w:r>
              <w:rPr>
                <w:rFonts w:ascii="Arial" w:cs="Arial" w:eastAsia="Arial" w:hAnsi="Arial"/>
                <w:sz w:val="18"/>
                <w:szCs w:val="18"/>
                <w:color w:val="auto"/>
              </w:rPr>
              <w:t>Conflicts</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0"/>
        </w:trPr>
        <w:tc>
          <w:tcPr>
            <w:tcW w:w="880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8140" w:type="dxa"/>
            <w:vAlign w:val="bottom"/>
          </w:tcPr>
          <w:p>
            <w:pPr>
              <w:ind w:left="120"/>
              <w:spacing w:after="0"/>
              <w:rPr>
                <w:sz w:val="20"/>
                <w:szCs w:val="20"/>
                <w:color w:val="auto"/>
              </w:rPr>
            </w:pPr>
            <w:r>
              <w:rPr>
                <w:rFonts w:ascii="Arial" w:cs="Arial" w:eastAsia="Arial" w:hAnsi="Arial"/>
                <w:sz w:val="18"/>
                <w:szCs w:val="18"/>
                <w:color w:val="auto"/>
              </w:rPr>
              <w:t>Financial Condition</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8140" w:type="dxa"/>
            <w:vAlign w:val="bottom"/>
          </w:tcPr>
          <w:p>
            <w:pPr>
              <w:ind w:left="120"/>
              <w:spacing w:after="0"/>
              <w:rPr>
                <w:sz w:val="20"/>
                <w:szCs w:val="20"/>
                <w:color w:val="auto"/>
              </w:rPr>
            </w:pPr>
            <w:r>
              <w:rPr>
                <w:rFonts w:ascii="Arial" w:cs="Arial" w:eastAsia="Arial" w:hAnsi="Arial"/>
                <w:sz w:val="18"/>
                <w:szCs w:val="18"/>
                <w:color w:val="auto"/>
              </w:rPr>
              <w:t>No Change</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8140" w:type="dxa"/>
            <w:vAlign w:val="bottom"/>
          </w:tcPr>
          <w:p>
            <w:pPr>
              <w:ind w:left="120"/>
              <w:spacing w:after="0"/>
              <w:rPr>
                <w:sz w:val="20"/>
                <w:szCs w:val="20"/>
                <w:color w:val="auto"/>
              </w:rPr>
            </w:pPr>
            <w:r>
              <w:rPr>
                <w:rFonts w:ascii="Arial" w:cs="Arial" w:eastAsia="Arial" w:hAnsi="Arial"/>
                <w:sz w:val="18"/>
                <w:szCs w:val="18"/>
                <w:color w:val="auto"/>
              </w:rPr>
              <w:t>Existence</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8140" w:type="dxa"/>
            <w:vAlign w:val="bottom"/>
          </w:tcPr>
          <w:p>
            <w:pPr>
              <w:ind w:left="120"/>
              <w:spacing w:after="0"/>
              <w:rPr>
                <w:sz w:val="20"/>
                <w:szCs w:val="20"/>
                <w:color w:val="auto"/>
              </w:rPr>
            </w:pPr>
            <w:r>
              <w:rPr>
                <w:rFonts w:ascii="Arial" w:cs="Arial" w:eastAsia="Arial" w:hAnsi="Arial"/>
                <w:sz w:val="18"/>
                <w:szCs w:val="18"/>
                <w:color w:val="auto"/>
              </w:rPr>
              <w:t>Power; Authorization; Enforceable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8140" w:type="dxa"/>
            <w:vAlign w:val="bottom"/>
          </w:tcPr>
          <w:p>
            <w:pPr>
              <w:ind w:left="120"/>
              <w:spacing w:after="0"/>
              <w:rPr>
                <w:sz w:val="20"/>
                <w:szCs w:val="20"/>
                <w:color w:val="auto"/>
              </w:rPr>
            </w:pPr>
            <w:r>
              <w:rPr>
                <w:rFonts w:ascii="Arial" w:cs="Arial" w:eastAsia="Arial" w:hAnsi="Arial"/>
                <w:sz w:val="18"/>
                <w:szCs w:val="18"/>
                <w:color w:val="auto"/>
              </w:rPr>
              <w:t>No Legal Bar</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814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8140" w:type="dxa"/>
            <w:vAlign w:val="bottom"/>
          </w:tcPr>
          <w:p>
            <w:pPr>
              <w:ind w:left="120"/>
              <w:spacing w:after="0"/>
              <w:rPr>
                <w:sz w:val="20"/>
                <w:szCs w:val="20"/>
                <w:color w:val="auto"/>
              </w:rPr>
            </w:pPr>
            <w:r>
              <w:rPr>
                <w:rFonts w:ascii="Arial" w:cs="Arial" w:eastAsia="Arial" w:hAnsi="Arial"/>
                <w:sz w:val="18"/>
                <w:szCs w:val="18"/>
                <w:color w:val="auto"/>
              </w:rPr>
              <w:t>No Default</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8140" w:type="dxa"/>
            <w:vAlign w:val="bottom"/>
          </w:tcPr>
          <w:p>
            <w:pPr>
              <w:ind w:left="120"/>
              <w:spacing w:after="0"/>
              <w:rPr>
                <w:sz w:val="20"/>
                <w:szCs w:val="20"/>
                <w:color w:val="auto"/>
              </w:rPr>
            </w:pPr>
            <w:r>
              <w:rPr>
                <w:rFonts w:ascii="Arial" w:cs="Arial" w:eastAsia="Arial" w:hAnsi="Arial"/>
                <w:sz w:val="18"/>
                <w:szCs w:val="18"/>
                <w:color w:val="auto"/>
              </w:rPr>
              <w:t>Ownership of Property</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814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8140" w:type="dxa"/>
            <w:vAlign w:val="bottom"/>
          </w:tcPr>
          <w:p>
            <w:pPr>
              <w:ind w:left="120"/>
              <w:spacing w:after="0"/>
              <w:rPr>
                <w:sz w:val="20"/>
                <w:szCs w:val="20"/>
                <w:color w:val="auto"/>
              </w:rPr>
            </w:pPr>
            <w:r>
              <w:rPr>
                <w:rFonts w:ascii="Arial" w:cs="Arial" w:eastAsia="Arial" w:hAnsi="Arial"/>
                <w:sz w:val="18"/>
                <w:szCs w:val="18"/>
                <w:color w:val="auto"/>
              </w:rPr>
              <w:t>Federal Regulations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8140" w:type="dxa"/>
            <w:vAlign w:val="bottom"/>
          </w:tcPr>
          <w:p>
            <w:pPr>
              <w:ind w:left="120"/>
              <w:spacing w:after="0"/>
              <w:rPr>
                <w:sz w:val="20"/>
                <w:szCs w:val="20"/>
                <w:color w:val="auto"/>
              </w:rPr>
            </w:pPr>
            <w:r>
              <w:rPr>
                <w:rFonts w:ascii="Arial" w:cs="Arial" w:eastAsia="Arial" w:hAnsi="Arial"/>
                <w:sz w:val="18"/>
                <w:szCs w:val="18"/>
                <w:color w:val="auto"/>
              </w:rPr>
              <w:t>ERISA</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8140" w:type="dxa"/>
            <w:vAlign w:val="bottom"/>
          </w:tcPr>
          <w:p>
            <w:pPr>
              <w:ind w:left="120"/>
              <w:spacing w:after="0"/>
              <w:rPr>
                <w:sz w:val="20"/>
                <w:szCs w:val="20"/>
                <w:color w:val="auto"/>
              </w:rPr>
            </w:pPr>
            <w:r>
              <w:rPr>
                <w:rFonts w:ascii="Arial" w:cs="Arial" w:eastAsia="Arial" w:hAnsi="Arial"/>
                <w:sz w:val="18"/>
                <w:szCs w:val="18"/>
                <w:color w:val="auto"/>
              </w:rPr>
              <w:t>Investment Company Act</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8140" w:type="dxa"/>
            <w:vAlign w:val="bottom"/>
          </w:tcPr>
          <w:p>
            <w:pPr>
              <w:ind w:left="120"/>
              <w:spacing w:after="0"/>
              <w:rPr>
                <w:sz w:val="20"/>
                <w:szCs w:val="20"/>
                <w:color w:val="auto"/>
              </w:rPr>
            </w:pPr>
            <w:r>
              <w:rPr>
                <w:rFonts w:ascii="Arial" w:cs="Arial" w:eastAsia="Arial" w:hAnsi="Arial"/>
                <w:sz w:val="18"/>
                <w:szCs w:val="18"/>
                <w:color w:val="auto"/>
              </w:rPr>
              <w:t>Ownership of the Subsidiary Borrowers</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814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8140" w:type="dxa"/>
            <w:vAlign w:val="bottom"/>
          </w:tcPr>
          <w:p>
            <w:pPr>
              <w:ind w:left="120"/>
              <w:spacing w:after="0"/>
              <w:rPr>
                <w:sz w:val="20"/>
                <w:szCs w:val="20"/>
                <w:color w:val="auto"/>
              </w:rPr>
            </w:pPr>
            <w:r>
              <w:rPr>
                <w:rFonts w:ascii="Arial" w:cs="Arial" w:eastAsia="Arial" w:hAnsi="Arial"/>
                <w:sz w:val="18"/>
                <w:szCs w:val="18"/>
                <w:color w:val="auto"/>
              </w:rPr>
              <w:t>Anti-Corruption Laws and Sanctions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0"/>
        </w:trPr>
        <w:tc>
          <w:tcPr>
            <w:tcW w:w="8800" w:type="dxa"/>
            <w:vAlign w:val="bottom"/>
            <w:gridSpan w:val="2"/>
          </w:tcPr>
          <w:p>
            <w:pPr>
              <w:spacing w:after="0"/>
              <w:rPr>
                <w:sz w:val="20"/>
                <w:szCs w:val="20"/>
                <w:color w:val="auto"/>
              </w:rPr>
            </w:pPr>
            <w:r>
              <w:rPr>
                <w:rFonts w:ascii="Arial" w:cs="Arial" w:eastAsia="Arial" w:hAnsi="Arial"/>
                <w:sz w:val="18"/>
                <w:szCs w:val="18"/>
                <w:color w:val="auto"/>
              </w:rPr>
              <w:t>SECTION 5. CONDITIONS PRECEDENT</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8140" w:type="dxa"/>
            <w:vAlign w:val="bottom"/>
          </w:tcPr>
          <w:p>
            <w:pPr>
              <w:ind w:left="120"/>
              <w:spacing w:after="0"/>
              <w:rPr>
                <w:sz w:val="20"/>
                <w:szCs w:val="20"/>
                <w:color w:val="auto"/>
              </w:rPr>
            </w:pPr>
            <w:r>
              <w:rPr>
                <w:rFonts w:ascii="Arial" w:cs="Arial" w:eastAsia="Arial" w:hAnsi="Arial"/>
                <w:sz w:val="18"/>
                <w:szCs w:val="18"/>
                <w:color w:val="auto"/>
              </w:rPr>
              <w:t>Conditions to Closing Date</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8140" w:type="dxa"/>
            <w:vAlign w:val="bottom"/>
          </w:tcPr>
          <w:p>
            <w:pPr>
              <w:ind w:left="120"/>
              <w:spacing w:after="0"/>
              <w:rPr>
                <w:sz w:val="20"/>
                <w:szCs w:val="20"/>
                <w:color w:val="auto"/>
              </w:rPr>
            </w:pPr>
            <w:r>
              <w:rPr>
                <w:rFonts w:ascii="Arial" w:cs="Arial" w:eastAsia="Arial" w:hAnsi="Arial"/>
                <w:sz w:val="18"/>
                <w:szCs w:val="18"/>
                <w:color w:val="auto"/>
              </w:rPr>
              <w:t>Conditions to Each Extension of Credit</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bl>
    <w:p>
      <w:pPr>
        <w:jc w:val="right"/>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8" w:name="page249"/>
    <w:bookmarkEnd w:id="248"/>
    <w:tbl>
      <w:tblPr>
        <w:tblLayout w:type="fixed"/>
        <w:tblInd w:w="0" w:type="dxa"/>
        <w:tblCellMar>
          <w:top w:w="0" w:type="dxa"/>
          <w:left w:w="0" w:type="dxa"/>
          <w:bottom w:w="0" w:type="dxa"/>
          <w:right w:w="0" w:type="dxa"/>
        </w:tblCellMar>
      </w:tblPr>
      <w:tr>
        <w:trPr>
          <w:trHeight w:val="216"/>
        </w:trPr>
        <w:tc>
          <w:tcPr>
            <w:tcW w:w="1090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24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240" w:type="dxa"/>
            <w:vAlign w:val="bottom"/>
          </w:tcPr>
          <w:p>
            <w:pPr>
              <w:ind w:left="120"/>
              <w:spacing w:after="0"/>
              <w:rPr>
                <w:sz w:val="20"/>
                <w:szCs w:val="20"/>
                <w:color w:val="auto"/>
              </w:rPr>
            </w:pPr>
            <w:r>
              <w:rPr>
                <w:rFonts w:ascii="Arial" w:cs="Arial" w:eastAsia="Arial" w:hAnsi="Arial"/>
                <w:sz w:val="18"/>
                <w:szCs w:val="18"/>
                <w:color w:val="auto"/>
              </w:rPr>
              <w:t>Compliance Certificates</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240" w:type="dxa"/>
            <w:vAlign w:val="bottom"/>
          </w:tcPr>
          <w:p>
            <w:pPr>
              <w:ind w:left="120"/>
              <w:spacing w:after="0"/>
              <w:rPr>
                <w:sz w:val="20"/>
                <w:szCs w:val="20"/>
                <w:color w:val="auto"/>
              </w:rPr>
            </w:pPr>
            <w:r>
              <w:rPr>
                <w:rFonts w:ascii="Arial" w:cs="Arial" w:eastAsia="Arial" w:hAnsi="Arial"/>
                <w:sz w:val="18"/>
                <w:szCs w:val="18"/>
                <w:color w:val="auto"/>
              </w:rPr>
              <w:t>Maintenance of Business; Existence</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240" w:type="dxa"/>
            <w:vAlign w:val="bottom"/>
          </w:tcPr>
          <w:p>
            <w:pPr>
              <w:ind w:left="120"/>
              <w:spacing w:after="0"/>
              <w:rPr>
                <w:sz w:val="20"/>
                <w:szCs w:val="20"/>
                <w:color w:val="auto"/>
              </w:rPr>
            </w:pPr>
            <w:r>
              <w:rPr>
                <w:rFonts w:ascii="Arial" w:cs="Arial" w:eastAsia="Arial" w:hAnsi="Arial"/>
                <w:sz w:val="18"/>
                <w:szCs w:val="18"/>
                <w:color w:val="auto"/>
              </w:rPr>
              <w:t>Maintenance of Insurance</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240" w:type="dxa"/>
            <w:vAlign w:val="bottom"/>
          </w:tcPr>
          <w:p>
            <w:pPr>
              <w:ind w:left="120"/>
              <w:spacing w:after="0"/>
              <w:rPr>
                <w:sz w:val="20"/>
                <w:szCs w:val="20"/>
                <w:color w:val="auto"/>
              </w:rPr>
            </w:pPr>
            <w:r>
              <w:rPr>
                <w:rFonts w:ascii="Arial" w:cs="Arial" w:eastAsia="Arial" w:hAnsi="Arial"/>
                <w:sz w:val="18"/>
                <w:szCs w:val="18"/>
                <w:color w:val="auto"/>
              </w:rPr>
              <w:t>Notices</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240" w:type="dxa"/>
            <w:vAlign w:val="bottom"/>
          </w:tcPr>
          <w:p>
            <w:pPr>
              <w:ind w:left="120"/>
              <w:spacing w:after="0"/>
              <w:rPr>
                <w:sz w:val="20"/>
                <w:szCs w:val="20"/>
                <w:color w:val="auto"/>
              </w:rPr>
            </w:pPr>
            <w:r>
              <w:rPr>
                <w:rFonts w:ascii="Arial" w:cs="Arial" w:eastAsia="Arial" w:hAnsi="Arial"/>
                <w:sz w:val="18"/>
                <w:szCs w:val="18"/>
                <w:color w:val="auto"/>
              </w:rPr>
              <w:t>Reinstated Guarantors, etc.</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240" w:type="dxa"/>
            <w:vAlign w:val="bottom"/>
          </w:tcPr>
          <w:p>
            <w:pPr>
              <w:ind w:left="120"/>
              <w:spacing w:after="0"/>
              <w:rPr>
                <w:sz w:val="20"/>
                <w:szCs w:val="20"/>
                <w:color w:val="auto"/>
              </w:rPr>
            </w:pPr>
            <w:r>
              <w:rPr>
                <w:rFonts w:ascii="Arial" w:cs="Arial" w:eastAsia="Arial" w:hAnsi="Arial"/>
                <w:sz w:val="18"/>
                <w:szCs w:val="18"/>
                <w:color w:val="auto"/>
              </w:rPr>
              <w:t>Books and Records</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240" w:type="dxa"/>
            <w:vAlign w:val="bottom"/>
          </w:tcPr>
          <w:p>
            <w:pPr>
              <w:ind w:left="120"/>
              <w:spacing w:after="0"/>
              <w:rPr>
                <w:sz w:val="20"/>
                <w:szCs w:val="20"/>
                <w:color w:val="auto"/>
              </w:rPr>
            </w:pPr>
            <w:r>
              <w:rPr>
                <w:rFonts w:ascii="Arial" w:cs="Arial" w:eastAsia="Arial" w:hAnsi="Arial"/>
                <w:sz w:val="18"/>
                <w:szCs w:val="18"/>
                <w:color w:val="auto"/>
              </w:rPr>
              <w:t>Ratings</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0"/>
        </w:trPr>
        <w:tc>
          <w:tcPr>
            <w:tcW w:w="1090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240" w:type="dxa"/>
            <w:vAlign w:val="bottom"/>
          </w:tcPr>
          <w:p>
            <w:pPr>
              <w:ind w:left="120"/>
              <w:spacing w:after="0"/>
              <w:rPr>
                <w:sz w:val="20"/>
                <w:szCs w:val="20"/>
                <w:color w:val="auto"/>
              </w:rPr>
            </w:pPr>
            <w:r>
              <w:rPr>
                <w:rFonts w:ascii="Arial" w:cs="Arial" w:eastAsia="Arial" w:hAnsi="Arial"/>
                <w:sz w:val="18"/>
                <w:szCs w:val="18"/>
                <w:color w:val="auto"/>
              </w:rPr>
              <w:t>Minimum Liquidity</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240" w:type="dxa"/>
            <w:vAlign w:val="bottom"/>
          </w:tcPr>
          <w:p>
            <w:pPr>
              <w:ind w:left="120"/>
              <w:spacing w:after="0"/>
              <w:rPr>
                <w:sz w:val="20"/>
                <w:szCs w:val="20"/>
                <w:color w:val="auto"/>
              </w:rPr>
            </w:pPr>
            <w:r>
              <w:rPr>
                <w:rFonts w:ascii="Arial" w:cs="Arial" w:eastAsia="Arial" w:hAnsi="Arial"/>
                <w:sz w:val="18"/>
                <w:szCs w:val="18"/>
                <w:color w:val="auto"/>
              </w:rPr>
              <w:t>Indebtedness</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240" w:type="dxa"/>
            <w:vAlign w:val="bottom"/>
          </w:tcPr>
          <w:p>
            <w:pPr>
              <w:ind w:left="120"/>
              <w:spacing w:after="0"/>
              <w:rPr>
                <w:sz w:val="20"/>
                <w:szCs w:val="20"/>
                <w:color w:val="auto"/>
              </w:rPr>
            </w:pPr>
            <w:r>
              <w:rPr>
                <w:rFonts w:ascii="Arial" w:cs="Arial" w:eastAsia="Arial" w:hAnsi="Arial"/>
                <w:sz w:val="18"/>
                <w:szCs w:val="18"/>
                <w:color w:val="auto"/>
              </w:rPr>
              <w:t>Asset Sale Restrictions</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240" w:type="dxa"/>
            <w:vAlign w:val="bottom"/>
          </w:tcPr>
          <w:p>
            <w:pPr>
              <w:ind w:left="120"/>
              <w:spacing w:after="0"/>
              <w:rPr>
                <w:sz w:val="20"/>
                <w:szCs w:val="20"/>
                <w:color w:val="auto"/>
              </w:rPr>
            </w:pPr>
            <w:r>
              <w:rPr>
                <w:rFonts w:ascii="Arial" w:cs="Arial" w:eastAsia="Arial" w:hAnsi="Arial"/>
                <w:sz w:val="18"/>
                <w:szCs w:val="18"/>
                <w:color w:val="auto"/>
              </w:rPr>
              <w:t>Fundamental Changes</w:t>
            </w: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240" w:type="dxa"/>
            <w:vAlign w:val="bottom"/>
          </w:tcPr>
          <w:p>
            <w:pPr>
              <w:ind w:left="120"/>
              <w:spacing w:after="0"/>
              <w:rPr>
                <w:sz w:val="20"/>
                <w:szCs w:val="20"/>
                <w:color w:val="auto"/>
              </w:rPr>
            </w:pPr>
            <w:r>
              <w:rPr>
                <w:rFonts w:ascii="Arial" w:cs="Arial" w:eastAsia="Arial" w:hAnsi="Arial"/>
                <w:sz w:val="18"/>
                <w:szCs w:val="18"/>
                <w:color w:val="auto"/>
              </w:rPr>
              <w:t>Anti-Corruption Laws and Sanctions</w:t>
            </w: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0900" w:type="dxa"/>
            <w:vAlign w:val="bottom"/>
            <w:gridSpan w:val="2"/>
          </w:tcPr>
          <w:p>
            <w:pPr>
              <w:spacing w:after="0"/>
              <w:rPr>
                <w:sz w:val="20"/>
                <w:szCs w:val="20"/>
                <w:color w:val="auto"/>
              </w:rPr>
            </w:pPr>
            <w:r>
              <w:rPr>
                <w:rFonts w:ascii="Arial" w:cs="Arial" w:eastAsia="Arial" w:hAnsi="Arial"/>
                <w:sz w:val="18"/>
                <w:szCs w:val="18"/>
                <w:color w:val="auto"/>
              </w:rPr>
              <w:t>SECTION 8. EVENTS OF DEFAULT</w:t>
            </w: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0"/>
        </w:trPr>
        <w:tc>
          <w:tcPr>
            <w:tcW w:w="10900" w:type="dxa"/>
            <w:vAlign w:val="bottom"/>
            <w:gridSpan w:val="2"/>
          </w:tcPr>
          <w:p>
            <w:pPr>
              <w:spacing w:after="0"/>
              <w:rPr>
                <w:sz w:val="20"/>
                <w:szCs w:val="20"/>
                <w:color w:val="auto"/>
              </w:rPr>
            </w:pPr>
            <w:r>
              <w:rPr>
                <w:rFonts w:ascii="Arial" w:cs="Arial" w:eastAsia="Arial" w:hAnsi="Arial"/>
                <w:sz w:val="18"/>
                <w:szCs w:val="18"/>
                <w:color w:val="auto"/>
              </w:rPr>
              <w:t>SECTION 9. THE AGENTS</w:t>
            </w: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240" w:type="dxa"/>
            <w:vAlign w:val="bottom"/>
          </w:tcPr>
          <w:p>
            <w:pPr>
              <w:ind w:left="120"/>
              <w:spacing w:after="0"/>
              <w:rPr>
                <w:sz w:val="20"/>
                <w:szCs w:val="20"/>
                <w:color w:val="auto"/>
              </w:rPr>
            </w:pPr>
            <w:r>
              <w:rPr>
                <w:rFonts w:ascii="Arial" w:cs="Arial" w:eastAsia="Arial" w:hAnsi="Arial"/>
                <w:sz w:val="18"/>
                <w:szCs w:val="18"/>
                <w:color w:val="auto"/>
              </w:rPr>
              <w:t>Appointment</w:t>
            </w: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0240" w:type="dxa"/>
            <w:vAlign w:val="bottom"/>
          </w:tcPr>
          <w:p>
            <w:pPr>
              <w:ind w:left="120"/>
              <w:spacing w:after="0"/>
              <w:rPr>
                <w:sz w:val="20"/>
                <w:szCs w:val="20"/>
                <w:color w:val="auto"/>
              </w:rPr>
            </w:pPr>
            <w:r>
              <w:rPr>
                <w:rFonts w:ascii="Arial" w:cs="Arial" w:eastAsia="Arial" w:hAnsi="Arial"/>
                <w:sz w:val="18"/>
                <w:szCs w:val="18"/>
                <w:color w:val="auto"/>
              </w:rPr>
              <w:t>Delegation of Duties</w:t>
            </w: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0240" w:type="dxa"/>
            <w:vAlign w:val="bottom"/>
          </w:tcPr>
          <w:p>
            <w:pPr>
              <w:ind w:left="120"/>
              <w:spacing w:after="0"/>
              <w:rPr>
                <w:sz w:val="20"/>
                <w:szCs w:val="20"/>
                <w:color w:val="auto"/>
              </w:rPr>
            </w:pPr>
            <w:r>
              <w:rPr>
                <w:rFonts w:ascii="Arial" w:cs="Arial" w:eastAsia="Arial" w:hAnsi="Arial"/>
                <w:sz w:val="18"/>
                <w:szCs w:val="18"/>
                <w:color w:val="auto"/>
              </w:rPr>
              <w:t>Exculpatory Provisions</w:t>
            </w: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240" w:type="dxa"/>
            <w:vAlign w:val="bottom"/>
          </w:tcPr>
          <w:p>
            <w:pPr>
              <w:ind w:left="120"/>
              <w:spacing w:after="0"/>
              <w:rPr>
                <w:sz w:val="20"/>
                <w:szCs w:val="20"/>
                <w:color w:val="auto"/>
              </w:rPr>
            </w:pPr>
            <w:r>
              <w:rPr>
                <w:rFonts w:ascii="Arial" w:cs="Arial" w:eastAsia="Arial" w:hAnsi="Arial"/>
                <w:sz w:val="18"/>
                <w:szCs w:val="18"/>
                <w:color w:val="auto"/>
              </w:rPr>
              <w:t>Reliance by Administrative Agent and the Brazilian Administrative Agent</w:t>
            </w: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240" w:type="dxa"/>
            <w:vAlign w:val="bottom"/>
          </w:tcPr>
          <w:p>
            <w:pPr>
              <w:ind w:left="120"/>
              <w:spacing w:after="0"/>
              <w:rPr>
                <w:sz w:val="20"/>
                <w:szCs w:val="20"/>
                <w:color w:val="auto"/>
              </w:rPr>
            </w:pPr>
            <w:r>
              <w:rPr>
                <w:rFonts w:ascii="Arial" w:cs="Arial" w:eastAsia="Arial" w:hAnsi="Arial"/>
                <w:sz w:val="18"/>
                <w:szCs w:val="18"/>
                <w:color w:val="auto"/>
              </w:rPr>
              <w:t>Notice of Default</w:t>
            </w: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240" w:type="dxa"/>
            <w:vAlign w:val="bottom"/>
          </w:tcPr>
          <w:p>
            <w:pPr>
              <w:ind w:left="120"/>
              <w:spacing w:after="0"/>
              <w:rPr>
                <w:sz w:val="20"/>
                <w:szCs w:val="20"/>
                <w:color w:val="auto"/>
              </w:rPr>
            </w:pPr>
            <w:r>
              <w:rPr>
                <w:rFonts w:ascii="Arial" w:cs="Arial" w:eastAsia="Arial" w:hAnsi="Arial"/>
                <w:sz w:val="18"/>
                <w:szCs w:val="18"/>
                <w:color w:val="auto"/>
              </w:rPr>
              <w:t>Non-Reliance on Agents and Other Lenders</w:t>
            </w: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24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240" w:type="dxa"/>
            <w:vAlign w:val="bottom"/>
          </w:tcPr>
          <w:p>
            <w:pPr>
              <w:ind w:left="120"/>
              <w:spacing w:after="0"/>
              <w:rPr>
                <w:sz w:val="20"/>
                <w:szCs w:val="20"/>
                <w:color w:val="auto"/>
              </w:rPr>
            </w:pPr>
            <w:r>
              <w:rPr>
                <w:rFonts w:ascii="Arial" w:cs="Arial" w:eastAsia="Arial" w:hAnsi="Arial"/>
                <w:sz w:val="18"/>
                <w:szCs w:val="18"/>
                <w:color w:val="auto"/>
              </w:rPr>
              <w:t>Agent in Its Individual Capacity</w:t>
            </w: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240" w:type="dxa"/>
            <w:vAlign w:val="bottom"/>
          </w:tcPr>
          <w:p>
            <w:pPr>
              <w:ind w:left="120"/>
              <w:spacing w:after="0"/>
              <w:rPr>
                <w:sz w:val="20"/>
                <w:szCs w:val="20"/>
                <w:color w:val="auto"/>
              </w:rPr>
            </w:pPr>
            <w:r>
              <w:rPr>
                <w:rFonts w:ascii="Arial" w:cs="Arial" w:eastAsia="Arial" w:hAnsi="Arial"/>
                <w:sz w:val="18"/>
                <w:szCs w:val="18"/>
                <w:color w:val="auto"/>
              </w:rPr>
              <w:t>Successor Administrative Agent</w:t>
            </w: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10240" w:type="dxa"/>
            <w:vAlign w:val="bottom"/>
          </w:tcPr>
          <w:p>
            <w:pPr>
              <w:ind w:left="120"/>
              <w:spacing w:after="0"/>
              <w:rPr>
                <w:sz w:val="20"/>
                <w:szCs w:val="20"/>
                <w:color w:val="auto"/>
              </w:rPr>
            </w:pPr>
            <w:r>
              <w:rPr>
                <w:rFonts w:ascii="Arial" w:cs="Arial" w:eastAsia="Arial" w:hAnsi="Arial"/>
                <w:sz w:val="18"/>
                <w:szCs w:val="18"/>
                <w:color w:val="auto"/>
              </w:rPr>
              <w:t>Replacement of Brazilian Administrative Agent</w:t>
            </w: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10240" w:type="dxa"/>
            <w:vAlign w:val="bottom"/>
          </w:tcPr>
          <w:p>
            <w:pPr>
              <w:ind w:left="120"/>
              <w:spacing w:after="0"/>
              <w:rPr>
                <w:sz w:val="20"/>
                <w:szCs w:val="20"/>
                <w:color w:val="auto"/>
              </w:rPr>
            </w:pPr>
            <w:r>
              <w:rPr>
                <w:rFonts w:ascii="Arial" w:cs="Arial" w:eastAsia="Arial" w:hAnsi="Arial"/>
                <w:sz w:val="18"/>
                <w:szCs w:val="18"/>
                <w:color w:val="auto"/>
                <w:w w:val="93"/>
              </w:rPr>
              <w:t>Bookrunners, Lead Arrangers, Global and Regional Coordinators, Documentation Agents, Syndication Agent and Co-Syndication Agent</w:t>
            </w: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10240" w:type="dxa"/>
            <w:vAlign w:val="bottom"/>
          </w:tcPr>
          <w:p>
            <w:pPr>
              <w:ind w:left="120"/>
              <w:spacing w:after="0"/>
              <w:rPr>
                <w:sz w:val="20"/>
                <w:szCs w:val="20"/>
                <w:color w:val="auto"/>
              </w:rPr>
            </w:pPr>
            <w:r>
              <w:rPr>
                <w:rFonts w:ascii="Arial" w:cs="Arial" w:eastAsia="Arial" w:hAnsi="Arial"/>
                <w:sz w:val="18"/>
                <w:szCs w:val="18"/>
                <w:color w:val="auto"/>
              </w:rPr>
              <w:t>Certain ERISA Matters</w:t>
            </w: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10"/>
        </w:trPr>
        <w:tc>
          <w:tcPr>
            <w:tcW w:w="1090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240" w:type="dxa"/>
            <w:vAlign w:val="bottom"/>
          </w:tcPr>
          <w:p>
            <w:pPr>
              <w:ind w:left="120"/>
              <w:spacing w:after="0"/>
              <w:rPr>
                <w:sz w:val="20"/>
                <w:szCs w:val="20"/>
                <w:color w:val="auto"/>
              </w:rPr>
            </w:pPr>
            <w:r>
              <w:rPr>
                <w:rFonts w:ascii="Arial" w:cs="Arial" w:eastAsia="Arial" w:hAnsi="Arial"/>
                <w:sz w:val="18"/>
                <w:szCs w:val="18"/>
                <w:color w:val="auto"/>
              </w:rPr>
              <w:t>Amendments and Waivers</w:t>
            </w: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240" w:type="dxa"/>
            <w:vAlign w:val="bottom"/>
          </w:tcPr>
          <w:p>
            <w:pPr>
              <w:ind w:left="120"/>
              <w:spacing w:after="0"/>
              <w:rPr>
                <w:sz w:val="20"/>
                <w:szCs w:val="20"/>
                <w:color w:val="auto"/>
              </w:rPr>
            </w:pPr>
            <w:r>
              <w:rPr>
                <w:rFonts w:ascii="Arial" w:cs="Arial" w:eastAsia="Arial" w:hAnsi="Arial"/>
                <w:sz w:val="18"/>
                <w:szCs w:val="18"/>
                <w:color w:val="auto"/>
              </w:rPr>
              <w:t>Notices</w:t>
            </w: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r>
    </w:tbl>
    <w:p>
      <w:pPr>
        <w:jc w:val="right"/>
        <w:spacing w:after="0"/>
        <w:rPr>
          <w:sz w:val="20"/>
          <w:szCs w:val="20"/>
          <w:color w:val="auto"/>
        </w:rPr>
        <w:sectPr>
          <w:pgSz w:w="11900" w:h="16838" w:orient="portrait"/>
          <w:cols w:equalWidth="0" w:num="1">
            <w:col w:w="11360"/>
          </w:cols>
          <w:pgMar w:left="240" w:top="382"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9" w:name="page250"/>
    <w:bookmarkEnd w:id="249"/>
    <w:tbl>
      <w:tblPr>
        <w:tblLayout w:type="fixed"/>
        <w:tblInd w:w="0" w:type="dxa"/>
        <w:tblCellMar>
          <w:top w:w="0" w:type="dxa"/>
          <w:left w:w="0" w:type="dxa"/>
          <w:bottom w:w="0" w:type="dxa"/>
          <w:right w:w="0" w:type="dxa"/>
        </w:tblCellMar>
      </w:tblP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7920" w:type="dxa"/>
            <w:vAlign w:val="bottom"/>
          </w:tcPr>
          <w:p>
            <w:pPr>
              <w:ind w:left="120"/>
              <w:spacing w:after="0"/>
              <w:rPr>
                <w:sz w:val="20"/>
                <w:szCs w:val="20"/>
                <w:color w:val="auto"/>
              </w:rPr>
            </w:pPr>
            <w:r>
              <w:rPr>
                <w:rFonts w:ascii="Arial" w:cs="Arial" w:eastAsia="Arial" w:hAnsi="Arial"/>
                <w:sz w:val="18"/>
                <w:szCs w:val="18"/>
                <w:color w:val="auto"/>
              </w:rPr>
              <w:t>No Waiver; Cumulative Remedies</w:t>
            </w:r>
          </w:p>
        </w:tc>
        <w:tc>
          <w:tcPr>
            <w:tcW w:w="27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7920" w:type="dxa"/>
            <w:vAlign w:val="bottom"/>
          </w:tcPr>
          <w:p>
            <w:pPr>
              <w:ind w:left="120"/>
              <w:spacing w:after="0"/>
              <w:rPr>
                <w:sz w:val="20"/>
                <w:szCs w:val="20"/>
                <w:color w:val="auto"/>
              </w:rPr>
            </w:pPr>
            <w:r>
              <w:rPr>
                <w:rFonts w:ascii="Arial" w:cs="Arial" w:eastAsia="Arial" w:hAnsi="Arial"/>
                <w:sz w:val="18"/>
                <w:szCs w:val="18"/>
                <w:color w:val="auto"/>
              </w:rPr>
              <w:t>Survival of Representations and Warranties</w:t>
            </w:r>
          </w:p>
        </w:tc>
        <w:tc>
          <w:tcPr>
            <w:tcW w:w="27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7920" w:type="dxa"/>
            <w:vAlign w:val="bottom"/>
          </w:tcPr>
          <w:p>
            <w:pPr>
              <w:ind w:left="120"/>
              <w:spacing w:after="0"/>
              <w:rPr>
                <w:sz w:val="20"/>
                <w:szCs w:val="20"/>
                <w:color w:val="auto"/>
              </w:rPr>
            </w:pPr>
            <w:r>
              <w:rPr>
                <w:rFonts w:ascii="Arial" w:cs="Arial" w:eastAsia="Arial" w:hAnsi="Arial"/>
                <w:sz w:val="18"/>
                <w:szCs w:val="18"/>
                <w:color w:val="auto"/>
              </w:rPr>
              <w:t>Payment of Expenses</w:t>
            </w:r>
          </w:p>
        </w:tc>
        <w:tc>
          <w:tcPr>
            <w:tcW w:w="27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7920" w:type="dxa"/>
            <w:vAlign w:val="bottom"/>
          </w:tcPr>
          <w:p>
            <w:pPr>
              <w:ind w:left="120"/>
              <w:spacing w:after="0"/>
              <w:rPr>
                <w:sz w:val="20"/>
                <w:szCs w:val="20"/>
                <w:color w:val="auto"/>
              </w:rPr>
            </w:pPr>
            <w:r>
              <w:rPr>
                <w:rFonts w:ascii="Arial" w:cs="Arial" w:eastAsia="Arial" w:hAnsi="Arial"/>
                <w:sz w:val="18"/>
                <w:szCs w:val="18"/>
                <w:color w:val="auto"/>
              </w:rPr>
              <w:t>Successors and Assigns; Participations and Assignments</w:t>
            </w:r>
          </w:p>
        </w:tc>
        <w:tc>
          <w:tcPr>
            <w:tcW w:w="27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7920" w:type="dxa"/>
            <w:vAlign w:val="bottom"/>
          </w:tcPr>
          <w:p>
            <w:pPr>
              <w:ind w:left="120"/>
              <w:spacing w:after="0"/>
              <w:rPr>
                <w:sz w:val="20"/>
                <w:szCs w:val="20"/>
                <w:color w:val="auto"/>
              </w:rPr>
            </w:pPr>
            <w:r>
              <w:rPr>
                <w:rFonts w:ascii="Arial" w:cs="Arial" w:eastAsia="Arial" w:hAnsi="Arial"/>
                <w:sz w:val="18"/>
                <w:szCs w:val="18"/>
                <w:color w:val="auto"/>
              </w:rPr>
              <w:t>Adjustments</w:t>
            </w:r>
          </w:p>
        </w:tc>
        <w:tc>
          <w:tcPr>
            <w:tcW w:w="27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792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7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792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7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10.10</w:t>
            </w:r>
          </w:p>
        </w:tc>
        <w:tc>
          <w:tcPr>
            <w:tcW w:w="7920" w:type="dxa"/>
            <w:vAlign w:val="bottom"/>
          </w:tcPr>
          <w:p>
            <w:pPr>
              <w:ind w:left="120"/>
              <w:spacing w:after="0"/>
              <w:rPr>
                <w:sz w:val="20"/>
                <w:szCs w:val="20"/>
                <w:color w:val="auto"/>
              </w:rPr>
            </w:pPr>
            <w:r>
              <w:rPr>
                <w:rFonts w:ascii="Arial" w:cs="Arial" w:eastAsia="Arial" w:hAnsi="Arial"/>
                <w:sz w:val="18"/>
                <w:szCs w:val="18"/>
                <w:color w:val="auto"/>
              </w:rPr>
              <w:t>Integration</w:t>
            </w:r>
          </w:p>
        </w:tc>
        <w:tc>
          <w:tcPr>
            <w:tcW w:w="27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10.11</w:t>
            </w:r>
          </w:p>
        </w:tc>
        <w:tc>
          <w:tcPr>
            <w:tcW w:w="792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7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10.12</w:t>
            </w:r>
          </w:p>
        </w:tc>
        <w:tc>
          <w:tcPr>
            <w:tcW w:w="7920" w:type="dxa"/>
            <w:vAlign w:val="bottom"/>
          </w:tcPr>
          <w:p>
            <w:pPr>
              <w:ind w:left="120"/>
              <w:spacing w:after="0"/>
              <w:rPr>
                <w:sz w:val="20"/>
                <w:szCs w:val="20"/>
                <w:color w:val="auto"/>
              </w:rPr>
            </w:pPr>
            <w:r>
              <w:rPr>
                <w:rFonts w:ascii="Arial" w:cs="Arial" w:eastAsia="Arial" w:hAnsi="Arial"/>
                <w:sz w:val="18"/>
                <w:szCs w:val="18"/>
                <w:color w:val="auto"/>
              </w:rPr>
              <w:t>Submission to Jurisdiction; Waivers</w:t>
            </w:r>
          </w:p>
        </w:tc>
        <w:tc>
          <w:tcPr>
            <w:tcW w:w="27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10.13</w:t>
            </w:r>
          </w:p>
        </w:tc>
        <w:tc>
          <w:tcPr>
            <w:tcW w:w="7920" w:type="dxa"/>
            <w:vAlign w:val="bottom"/>
          </w:tcPr>
          <w:p>
            <w:pPr>
              <w:ind w:left="120"/>
              <w:spacing w:after="0"/>
              <w:rPr>
                <w:sz w:val="20"/>
                <w:szCs w:val="20"/>
                <w:color w:val="auto"/>
              </w:rPr>
            </w:pPr>
            <w:r>
              <w:rPr>
                <w:rFonts w:ascii="Arial" w:cs="Arial" w:eastAsia="Arial" w:hAnsi="Arial"/>
                <w:sz w:val="18"/>
                <w:szCs w:val="18"/>
                <w:color w:val="auto"/>
              </w:rPr>
              <w:t>Judgment</w:t>
            </w:r>
          </w:p>
        </w:tc>
        <w:tc>
          <w:tcPr>
            <w:tcW w:w="27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10.14</w:t>
            </w:r>
          </w:p>
        </w:tc>
        <w:tc>
          <w:tcPr>
            <w:tcW w:w="7920" w:type="dxa"/>
            <w:vAlign w:val="bottom"/>
          </w:tcPr>
          <w:p>
            <w:pPr>
              <w:ind w:left="120"/>
              <w:spacing w:after="0"/>
              <w:rPr>
                <w:sz w:val="20"/>
                <w:szCs w:val="20"/>
                <w:color w:val="auto"/>
              </w:rPr>
            </w:pPr>
            <w:r>
              <w:rPr>
                <w:rFonts w:ascii="Arial" w:cs="Arial" w:eastAsia="Arial" w:hAnsi="Arial"/>
                <w:sz w:val="18"/>
                <w:szCs w:val="18"/>
                <w:color w:val="auto"/>
              </w:rPr>
              <w:t>Acknowledgments</w:t>
            </w:r>
          </w:p>
        </w:tc>
        <w:tc>
          <w:tcPr>
            <w:tcW w:w="27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10.15</w:t>
            </w:r>
          </w:p>
        </w:tc>
        <w:tc>
          <w:tcPr>
            <w:tcW w:w="7920" w:type="dxa"/>
            <w:vAlign w:val="bottom"/>
          </w:tcPr>
          <w:p>
            <w:pPr>
              <w:ind w:left="120"/>
              <w:spacing w:after="0"/>
              <w:rPr>
                <w:sz w:val="20"/>
                <w:szCs w:val="20"/>
                <w:color w:val="auto"/>
              </w:rPr>
            </w:pPr>
            <w:r>
              <w:rPr>
                <w:rFonts w:ascii="Arial" w:cs="Arial" w:eastAsia="Arial" w:hAnsi="Arial"/>
                <w:sz w:val="18"/>
                <w:szCs w:val="18"/>
                <w:color w:val="auto"/>
              </w:rPr>
              <w:t>Releases of Guarantees</w:t>
            </w:r>
          </w:p>
        </w:tc>
        <w:tc>
          <w:tcPr>
            <w:tcW w:w="27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10.16</w:t>
            </w:r>
          </w:p>
        </w:tc>
        <w:tc>
          <w:tcPr>
            <w:tcW w:w="792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2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10.17</w:t>
            </w:r>
          </w:p>
        </w:tc>
        <w:tc>
          <w:tcPr>
            <w:tcW w:w="7920" w:type="dxa"/>
            <w:vAlign w:val="bottom"/>
          </w:tcPr>
          <w:p>
            <w:pPr>
              <w:ind w:left="120"/>
              <w:spacing w:after="0"/>
              <w:rPr>
                <w:sz w:val="20"/>
                <w:szCs w:val="20"/>
                <w:color w:val="auto"/>
              </w:rPr>
            </w:pPr>
            <w:r>
              <w:rPr>
                <w:rFonts w:ascii="Arial" w:cs="Arial" w:eastAsia="Arial" w:hAnsi="Arial"/>
                <w:sz w:val="18"/>
                <w:szCs w:val="18"/>
                <w:color w:val="auto"/>
              </w:rPr>
              <w:t>WAIVERS OF JURY TRIAL</w:t>
            </w:r>
          </w:p>
        </w:tc>
        <w:tc>
          <w:tcPr>
            <w:tcW w:w="2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10.18</w:t>
            </w:r>
          </w:p>
        </w:tc>
        <w:tc>
          <w:tcPr>
            <w:tcW w:w="7920" w:type="dxa"/>
            <w:vAlign w:val="bottom"/>
          </w:tcPr>
          <w:p>
            <w:pPr>
              <w:ind w:left="120"/>
              <w:spacing w:after="0"/>
              <w:rPr>
                <w:sz w:val="20"/>
                <w:szCs w:val="20"/>
                <w:color w:val="auto"/>
              </w:rPr>
            </w:pPr>
            <w:r>
              <w:rPr>
                <w:rFonts w:ascii="Arial" w:cs="Arial" w:eastAsia="Arial" w:hAnsi="Arial"/>
                <w:sz w:val="18"/>
                <w:szCs w:val="18"/>
                <w:color w:val="auto"/>
              </w:rPr>
              <w:t>USA Patriot Act</w:t>
            </w:r>
          </w:p>
        </w:tc>
        <w:tc>
          <w:tcPr>
            <w:tcW w:w="2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10.19</w:t>
            </w:r>
          </w:p>
        </w:tc>
        <w:tc>
          <w:tcPr>
            <w:tcW w:w="7920" w:type="dxa"/>
            <w:vAlign w:val="bottom"/>
          </w:tcPr>
          <w:p>
            <w:pPr>
              <w:ind w:left="120"/>
              <w:spacing w:after="0"/>
              <w:rPr>
                <w:sz w:val="20"/>
                <w:szCs w:val="20"/>
                <w:color w:val="auto"/>
              </w:rPr>
            </w:pPr>
            <w:r>
              <w:rPr>
                <w:rFonts w:ascii="Arial" w:cs="Arial" w:eastAsia="Arial" w:hAnsi="Arial"/>
                <w:sz w:val="18"/>
                <w:szCs w:val="18"/>
                <w:color w:val="auto"/>
              </w:rPr>
              <w:t>No Novation</w:t>
            </w:r>
          </w:p>
        </w:tc>
        <w:tc>
          <w:tcPr>
            <w:tcW w:w="2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10.20</w:t>
            </w:r>
          </w:p>
        </w:tc>
        <w:tc>
          <w:tcPr>
            <w:tcW w:w="7920" w:type="dxa"/>
            <w:vAlign w:val="bottom"/>
          </w:tcPr>
          <w:p>
            <w:pPr>
              <w:ind w:left="12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780" w:type="dxa"/>
            <w:vAlign w:val="bottom"/>
          </w:tcPr>
          <w:p>
            <w:pPr>
              <w:jc w:val="right"/>
              <w:spacing w:after="0"/>
              <w:rPr>
                <w:sz w:val="20"/>
                <w:szCs w:val="20"/>
                <w:color w:val="auto"/>
              </w:rPr>
            </w:pPr>
            <w:r>
              <w:rPr>
                <w:rFonts w:ascii="Arial" w:cs="Arial" w:eastAsia="Arial" w:hAnsi="Arial"/>
                <w:sz w:val="18"/>
                <w:szCs w:val="18"/>
                <w:color w:val="auto"/>
              </w:rPr>
              <w:t>97</w:t>
            </w:r>
          </w:p>
        </w:tc>
      </w:tr>
    </w:tbl>
    <w:p>
      <w:pPr>
        <w:jc w:val="right"/>
        <w:spacing w:after="0"/>
        <w:rPr>
          <w:sz w:val="20"/>
          <w:szCs w:val="20"/>
          <w:color w:val="auto"/>
        </w:rPr>
        <w:sectPr>
          <w:pgSz w:w="11900" w:h="16838" w:orient="portrait"/>
          <w:cols w:equalWidth="0" w:num="1">
            <w:col w:w="11200"/>
          </w:cols>
          <w:pgMar w:left="40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50" w:name="page251"/>
    <w:bookmarkEnd w:id="2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1.1A</w:t>
            </w:r>
          </w:p>
        </w:tc>
        <w:tc>
          <w:tcPr>
            <w:tcW w:w="5940" w:type="dxa"/>
            <w:vAlign w:val="bottom"/>
          </w:tcPr>
          <w:p>
            <w:pPr>
              <w:ind w:left="360"/>
              <w:spacing w:after="0"/>
              <w:rPr>
                <w:sz w:val="20"/>
                <w:szCs w:val="20"/>
                <w:color w:val="auto"/>
              </w:rPr>
            </w:pPr>
            <w:r>
              <w:rPr>
                <w:rFonts w:ascii="Arial" w:cs="Arial" w:eastAsia="Arial" w:hAnsi="Arial"/>
                <w:sz w:val="18"/>
                <w:szCs w:val="18"/>
                <w:color w:val="auto"/>
                <w:w w:val="89"/>
              </w:rPr>
              <w:t>Commitments; Scheme Reference Number and Jurisdiction of Tax Residence</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1.1B</w:t>
            </w:r>
          </w:p>
        </w:tc>
        <w:tc>
          <w:tcPr>
            <w:tcW w:w="5940" w:type="dxa"/>
            <w:vAlign w:val="bottom"/>
          </w:tcPr>
          <w:p>
            <w:pPr>
              <w:ind w:left="360"/>
              <w:spacing w:after="0"/>
              <w:rPr>
                <w:sz w:val="20"/>
                <w:szCs w:val="20"/>
                <w:color w:val="auto"/>
              </w:rPr>
            </w:pPr>
            <w:r>
              <w:rPr>
                <w:rFonts w:ascii="Arial" w:cs="Arial" w:eastAsia="Arial" w:hAnsi="Arial"/>
                <w:sz w:val="18"/>
                <w:szCs w:val="18"/>
                <w:color w:val="auto"/>
              </w:rPr>
              <w:t>Initial Excluded Subsidiaries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1.1C</w:t>
            </w:r>
          </w:p>
        </w:tc>
        <w:tc>
          <w:tcPr>
            <w:tcW w:w="5940" w:type="dxa"/>
            <w:vAlign w:val="bottom"/>
          </w:tcPr>
          <w:p>
            <w:pPr>
              <w:ind w:left="360"/>
              <w:spacing w:after="0"/>
              <w:rPr>
                <w:sz w:val="20"/>
                <w:szCs w:val="20"/>
                <w:color w:val="auto"/>
              </w:rPr>
            </w:pPr>
            <w:r>
              <w:rPr>
                <w:rFonts w:ascii="Arial" w:cs="Arial" w:eastAsia="Arial" w:hAnsi="Arial"/>
                <w:sz w:val="18"/>
                <w:szCs w:val="18"/>
                <w:color w:val="auto"/>
              </w:rPr>
              <w:t>Applicable Pricing Grid</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1.1D</w:t>
            </w:r>
          </w:p>
        </w:tc>
        <w:tc>
          <w:tcPr>
            <w:tcW w:w="5940" w:type="dxa"/>
            <w:vAlign w:val="bottom"/>
          </w:tcPr>
          <w:p>
            <w:pPr>
              <w:ind w:left="360"/>
              <w:spacing w:after="0"/>
              <w:rPr>
                <w:sz w:val="20"/>
                <w:szCs w:val="20"/>
                <w:color w:val="auto"/>
              </w:rPr>
            </w:pPr>
            <w:r>
              <w:rPr>
                <w:rFonts w:ascii="Arial" w:cs="Arial" w:eastAsia="Arial" w:hAnsi="Arial"/>
                <w:sz w:val="18"/>
                <w:szCs w:val="18"/>
                <w:color w:val="auto"/>
              </w:rPr>
              <w:t>Existing Liens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1.1E</w:t>
            </w:r>
          </w:p>
        </w:tc>
        <w:tc>
          <w:tcPr>
            <w:tcW w:w="5940" w:type="dxa"/>
            <w:vAlign w:val="bottom"/>
          </w:tcPr>
          <w:p>
            <w:pPr>
              <w:ind w:left="360"/>
              <w:spacing w:after="0"/>
              <w:rPr>
                <w:sz w:val="20"/>
                <w:szCs w:val="20"/>
                <w:color w:val="auto"/>
              </w:rPr>
            </w:pPr>
            <w:r>
              <w:rPr>
                <w:rFonts w:ascii="Arial" w:cs="Arial" w:eastAsia="Arial" w:hAnsi="Arial"/>
                <w:sz w:val="18"/>
                <w:szCs w:val="18"/>
                <w:color w:val="auto"/>
              </w:rPr>
              <w:t>Excluded Subsidiary Businesses</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5940" w:type="dxa"/>
            <w:vAlign w:val="bottom"/>
          </w:tcPr>
          <w:p>
            <w:pPr>
              <w:ind w:left="360"/>
              <w:spacing w:after="0"/>
              <w:rPr>
                <w:sz w:val="20"/>
                <w:szCs w:val="20"/>
                <w:color w:val="auto"/>
              </w:rPr>
            </w:pPr>
            <w:r>
              <w:rPr>
                <w:rFonts w:ascii="Arial" w:cs="Arial" w:eastAsia="Arial" w:hAnsi="Arial"/>
                <w:sz w:val="18"/>
                <w:szCs w:val="18"/>
                <w:color w:val="auto"/>
              </w:rPr>
              <w:t>Litigation</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080" w:hanging="1072"/>
        <w:spacing w:after="0"/>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Form of Guarantee</w:t>
      </w:r>
    </w:p>
    <w:p>
      <w:pPr>
        <w:spacing w:after="0" w:line="23" w:lineRule="exact"/>
        <w:rPr>
          <w:sz w:val="20"/>
          <w:szCs w:val="20"/>
          <w:color w:val="auto"/>
        </w:rPr>
      </w:pPr>
    </w:p>
    <w:p>
      <w:pPr>
        <w:ind w:left="1080" w:hanging="1072"/>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Form of Competitive Bid Request</w:t>
      </w:r>
    </w:p>
    <w:p>
      <w:pPr>
        <w:spacing w:after="0" w:line="9" w:lineRule="exact"/>
        <w:rPr>
          <w:sz w:val="20"/>
          <w:szCs w:val="20"/>
          <w:color w:val="auto"/>
        </w:rPr>
      </w:pPr>
    </w:p>
    <w:p>
      <w:pPr>
        <w:ind w:left="1080" w:hanging="1072"/>
        <w:spacing w:after="0"/>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Form of Competitive Bid</w:t>
      </w:r>
    </w:p>
    <w:p>
      <w:pPr>
        <w:spacing w:after="0" w:line="9" w:lineRule="exact"/>
        <w:rPr>
          <w:sz w:val="20"/>
          <w:szCs w:val="20"/>
          <w:color w:val="auto"/>
        </w:rPr>
      </w:pPr>
    </w:p>
    <w:p>
      <w:pPr>
        <w:ind w:left="1080" w:hanging="1072"/>
        <w:spacing w:after="0"/>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Form of Competitive Bid Accept/Reject Letter</w:t>
      </w:r>
    </w:p>
    <w:p>
      <w:pPr>
        <w:spacing w:after="0" w:line="9" w:lineRule="exact"/>
        <w:rPr>
          <w:sz w:val="20"/>
          <w:szCs w:val="20"/>
          <w:color w:val="auto"/>
        </w:rPr>
      </w:pPr>
    </w:p>
    <w:p>
      <w:pPr>
        <w:ind w:left="1080" w:hanging="1072"/>
        <w:spacing w:after="0"/>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Form of Incremental Loan Activation Notice</w:t>
      </w:r>
    </w:p>
    <w:p>
      <w:pPr>
        <w:spacing w:after="0" w:line="9" w:lineRule="exact"/>
        <w:rPr>
          <w:sz w:val="20"/>
          <w:szCs w:val="20"/>
          <w:color w:val="auto"/>
        </w:rPr>
      </w:pPr>
    </w:p>
    <w:p>
      <w:pPr>
        <w:ind w:left="1080" w:hanging="1072"/>
        <w:spacing w:after="0"/>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Form of Closing Certificate</w:t>
      </w:r>
    </w:p>
    <w:p>
      <w:pPr>
        <w:spacing w:after="0" w:line="9" w:lineRule="exact"/>
        <w:rPr>
          <w:sz w:val="20"/>
          <w:szCs w:val="20"/>
          <w:color w:val="auto"/>
        </w:rPr>
      </w:pPr>
    </w:p>
    <w:p>
      <w:pPr>
        <w:ind w:left="1080" w:hanging="1072"/>
        <w:spacing w:after="0"/>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9" w:lineRule="exact"/>
        <w:rPr>
          <w:sz w:val="20"/>
          <w:szCs w:val="20"/>
          <w:color w:val="auto"/>
        </w:rPr>
      </w:pPr>
    </w:p>
    <w:p>
      <w:pPr>
        <w:ind w:left="1080" w:hanging="1072"/>
        <w:spacing w:after="0"/>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Form of Borrower Joinder Agreement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I-1</w:t>
            </w: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Form of Exemption Certificate for Non-Partnership Non-U.S. Lenders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I-2</w:t>
            </w:r>
          </w:p>
        </w:tc>
        <w:tc>
          <w:tcPr>
            <w:tcW w:w="5780" w:type="dxa"/>
            <w:vAlign w:val="bottom"/>
          </w:tcPr>
          <w:p>
            <w:pPr>
              <w:ind w:left="420"/>
              <w:spacing w:after="0"/>
              <w:rPr>
                <w:sz w:val="20"/>
                <w:szCs w:val="20"/>
                <w:color w:val="auto"/>
              </w:rPr>
            </w:pPr>
            <w:r>
              <w:rPr>
                <w:rFonts w:ascii="Arial" w:cs="Arial" w:eastAsia="Arial" w:hAnsi="Arial"/>
                <w:sz w:val="18"/>
                <w:szCs w:val="18"/>
                <w:color w:val="auto"/>
              </w:rPr>
              <w:t>Form of Exemption Certificate for Partnership Non-U.S. Lenders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I-3</w:t>
            </w:r>
          </w:p>
        </w:tc>
        <w:tc>
          <w:tcPr>
            <w:tcW w:w="5780" w:type="dxa"/>
            <w:vAlign w:val="bottom"/>
          </w:tcPr>
          <w:p>
            <w:pPr>
              <w:ind w:left="420"/>
              <w:spacing w:after="0"/>
              <w:rPr>
                <w:sz w:val="20"/>
                <w:szCs w:val="20"/>
                <w:color w:val="auto"/>
              </w:rPr>
            </w:pPr>
            <w:r>
              <w:rPr>
                <w:rFonts w:ascii="Arial" w:cs="Arial" w:eastAsia="Arial" w:hAnsi="Arial"/>
                <w:sz w:val="18"/>
                <w:szCs w:val="18"/>
                <w:color w:val="auto"/>
                <w:w w:val="92"/>
              </w:rPr>
              <w:t>Form of Exemption Certificate for Non-Partnership Non-U.S. Participants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I-4</w:t>
            </w:r>
          </w:p>
        </w:tc>
        <w:tc>
          <w:tcPr>
            <w:tcW w:w="5780" w:type="dxa"/>
            <w:vAlign w:val="bottom"/>
          </w:tcPr>
          <w:p>
            <w:pPr>
              <w:ind w:left="420"/>
              <w:spacing w:after="0"/>
              <w:rPr>
                <w:sz w:val="20"/>
                <w:szCs w:val="20"/>
                <w:color w:val="auto"/>
              </w:rPr>
            </w:pPr>
            <w:r>
              <w:rPr>
                <w:rFonts w:ascii="Arial" w:cs="Arial" w:eastAsia="Arial" w:hAnsi="Arial"/>
                <w:sz w:val="18"/>
                <w:szCs w:val="18"/>
                <w:color w:val="auto"/>
                <w:w w:val="99"/>
              </w:rPr>
              <w:t>Form of Exemption Certificate for Partnership Non-U.S. Participants</w:t>
            </w:r>
          </w:p>
        </w:tc>
      </w:tr>
    </w:tbl>
    <w:p>
      <w:pPr>
        <w:ind w:left="1080" w:hanging="1072"/>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ind w:left="1080" w:hanging="107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Form of Note</w:t>
      </w:r>
    </w:p>
    <w:p>
      <w:pPr>
        <w:spacing w:after="0" w:line="9" w:lineRule="exact"/>
        <w:rPr>
          <w:sz w:val="20"/>
          <w:szCs w:val="20"/>
          <w:color w:val="auto"/>
        </w:rPr>
      </w:pPr>
    </w:p>
    <w:p>
      <w:pPr>
        <w:ind w:left="1080" w:hanging="1072"/>
        <w:spacing w:after="0"/>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Form of Borrowing Request</w:t>
      </w:r>
    </w:p>
    <w:p>
      <w:pPr>
        <w:sectPr>
          <w:pgSz w:w="11900" w:h="16838" w:orient="portrait"/>
          <w:cols w:equalWidth="0" w:num="1">
            <w:col w:w="10219"/>
          </w:cols>
          <w:pgMar w:left="240" w:top="274" w:right="1440" w:bottom="1440" w:gutter="0" w:footer="0" w:header="0"/>
        </w:sectPr>
      </w:pPr>
    </w:p>
    <w:bookmarkStart w:id="251" w:name="page252"/>
    <w:bookmarkEnd w:id="251"/>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AMENDED AND RESTATED FIVE YEAR REVOLVING CREDIT AGREEMENT, dated as of April 18, 2018 (this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GMF</w:t>
      </w:r>
      <w:r>
        <w:rPr>
          <w:rFonts w:ascii="Arial" w:cs="Arial" w:eastAsia="Arial" w:hAnsi="Arial"/>
          <w:sz w:val="16"/>
          <w:szCs w:val="16"/>
          <w:color w:val="auto"/>
        </w:rPr>
        <w:t>”), GM Global Treasury Centre Limited, a private limited company incorporated under the laws of England and Wales (“</w:t>
      </w:r>
      <w:r>
        <w:rPr>
          <w:rFonts w:ascii="Arial" w:cs="Arial" w:eastAsia="Arial" w:hAnsi="Arial"/>
          <w:sz w:val="16"/>
          <w:szCs w:val="16"/>
          <w:u w:val="single" w:color="auto"/>
          <w:color w:val="auto"/>
        </w:rPr>
        <w:t>GMGTC</w:t>
      </w:r>
      <w:r>
        <w:rPr>
          <w:rFonts w:ascii="Arial" w:cs="Arial" w:eastAsia="Arial" w:hAnsi="Arial"/>
          <w:sz w:val="16"/>
          <w:szCs w:val="16"/>
          <w:color w:val="auto"/>
        </w:rPr>
        <w:t>”), General Motors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 Brasil Ltda., a Brazilian limited liability company (“</w:t>
      </w:r>
      <w:r>
        <w:rPr>
          <w:rFonts w:ascii="Arial" w:cs="Arial" w:eastAsia="Arial" w:hAnsi="Arial"/>
          <w:sz w:val="17"/>
          <w:szCs w:val="17"/>
          <w:u w:val="single" w:color="auto"/>
          <w:color w:val="auto"/>
        </w:rPr>
        <w:t>GMB</w:t>
      </w:r>
      <w:r>
        <w:rPr>
          <w:rFonts w:ascii="Arial" w:cs="Arial" w:eastAsia="Arial" w:hAnsi="Arial"/>
          <w:sz w:val="17"/>
          <w:szCs w:val="17"/>
          <w:color w:val="auto"/>
        </w:rPr>
        <w:t>”), the other Subsidiary Borrowers (as defined herein) from time to time parties hereto,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several banks and other financial institutions or entities from time to time parties hereto, as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BANK, N.A. (and any of its branches and affiliates acting on its behalf in such capacity), as administrative agent for the Lenders (in such capacity,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BANCO DO BRASIL S.A. (and any of its branches and affiliates acting on its behalf in such capacity), as administrative agent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Brazilian Lenders (in such capacity, the “</w:t>
      </w:r>
      <w:r>
        <w:rPr>
          <w:rFonts w:ascii="Arial" w:cs="Arial" w:eastAsia="Arial" w:hAnsi="Arial"/>
          <w:sz w:val="17"/>
          <w:szCs w:val="17"/>
          <w:u w:val="single" w:color="auto"/>
          <w:color w:val="auto"/>
        </w:rPr>
        <w:t>Brazilian Administrative Agent</w:t>
      </w:r>
      <w:r>
        <w:rPr>
          <w:rFonts w:ascii="Arial" w:cs="Arial" w:eastAsia="Arial" w:hAnsi="Arial"/>
          <w:sz w:val="17"/>
          <w:szCs w:val="17"/>
          <w:color w:val="auto"/>
        </w:rPr>
        <w:t>”), CITIBANK, N.A., as syndication agent (in such capacity, the “</w:t>
      </w:r>
      <w:r>
        <w:rPr>
          <w:rFonts w:ascii="Arial" w:cs="Arial" w:eastAsia="Arial" w:hAnsi="Arial"/>
          <w:sz w:val="17"/>
          <w:szCs w:val="17"/>
          <w:u w:val="single" w:color="auto"/>
          <w:color w:val="auto"/>
        </w:rPr>
        <w:t>Syndication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w:t>
      </w:r>
      <w:r>
        <w:rPr>
          <w:rFonts w:ascii="Arial" w:cs="Arial" w:eastAsia="Arial" w:hAnsi="Arial"/>
          <w:sz w:val="18"/>
          <w:szCs w:val="18"/>
          <w:color w:val="auto"/>
        </w:rPr>
        <w:t>”) and BANK OF AMERICA, N.A., as co-syndication agent (in such capacity, the “</w:t>
      </w:r>
      <w:r>
        <w:rPr>
          <w:rFonts w:ascii="Arial" w:cs="Arial" w:eastAsia="Arial" w:hAnsi="Arial"/>
          <w:sz w:val="18"/>
          <w:szCs w:val="18"/>
          <w:u w:val="single" w:color="auto"/>
          <w:color w:val="auto"/>
        </w:rPr>
        <w:t>Co-Syndication Agent</w:t>
      </w:r>
      <w:r>
        <w:rPr>
          <w:rFonts w:ascii="Arial" w:cs="Arial" w:eastAsia="Arial" w:hAnsi="Arial"/>
          <w:sz w:val="18"/>
          <w:szCs w:val="18"/>
          <w:color w:val="auto"/>
        </w:rPr>
        <w:t>”).</w:t>
      </w:r>
    </w:p>
    <w:p>
      <w:pPr>
        <w:spacing w:after="0" w:line="21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WHEREAS, the Company entered into that certain Second Amended and Restated Five Year Revolving Credit Agreement, dated as of May 26, 2016 (the “</w:t>
      </w:r>
      <w:r>
        <w:rPr>
          <w:rFonts w:ascii="Arial" w:cs="Arial" w:eastAsia="Arial" w:hAnsi="Arial"/>
          <w:sz w:val="18"/>
          <w:szCs w:val="18"/>
          <w:u w:val="single" w:color="auto"/>
          <w:color w:val="auto"/>
        </w:rPr>
        <w:t>Existing Five Year Credit Agreement</w:t>
      </w:r>
      <w:r>
        <w:rPr>
          <w:rFonts w:ascii="Arial" w:cs="Arial" w:eastAsia="Arial" w:hAnsi="Arial"/>
          <w:sz w:val="18"/>
          <w:szCs w:val="18"/>
          <w:color w:val="auto"/>
        </w:rPr>
        <w:t>”), with GMF, GMB, the other subsidiary borrowers from time to time party thereto, the several lenders from time to time party thereto, JPMorgan Chase Bank, N.A., as administrative agent, Banco do Brasil S.A., as the Brazilian administrative agent, and the other agents party thereto;</w:t>
      </w:r>
    </w:p>
    <w:p>
      <w:pPr>
        <w:spacing w:after="0" w:line="187" w:lineRule="exact"/>
        <w:rPr>
          <w:sz w:val="20"/>
          <w:szCs w:val="20"/>
          <w:color w:val="auto"/>
        </w:rPr>
      </w:pPr>
    </w:p>
    <w:p>
      <w:pPr>
        <w:ind w:right="580" w:firstLine="913"/>
        <w:spacing w:after="0" w:line="308" w:lineRule="auto"/>
        <w:rPr>
          <w:sz w:val="20"/>
          <w:szCs w:val="20"/>
          <w:color w:val="auto"/>
        </w:rPr>
      </w:pPr>
      <w:r>
        <w:rPr>
          <w:rFonts w:ascii="Arial" w:cs="Arial" w:eastAsia="Arial" w:hAnsi="Arial"/>
          <w:sz w:val="17"/>
          <w:szCs w:val="17"/>
          <w:color w:val="auto"/>
        </w:rPr>
        <w:t>WHEREAS, the parties have agreed to amend and restate the Existing Five Year Credit Agreement as provided in this Agreement, which Agreement shall become effective upon the satisfaction (or waiver pursuant to Section 10.1) of the conditions set forth in Section 5.1;</w:t>
      </w:r>
    </w:p>
    <w:p>
      <w:pPr>
        <w:spacing w:after="0" w:line="147"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NOW, THEREFORE, in consideration of the premises and the agreements, provisions and covenants herein contained, the parties hereto hereby agree that on the Closing Date (as defined below), the Existing Five Year Credit Agreement shall be amended and restated in its entirety as follows:</w:t>
      </w:r>
    </w:p>
    <w:p>
      <w:pPr>
        <w:spacing w:after="0" w:line="12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SECTION 1. DEFINITIONS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terms listed in this Section 1.1 shall have the respective meanings set forth in this Section 1.1.</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2017 10-K</w:t>
      </w:r>
      <w:r>
        <w:rPr>
          <w:rFonts w:ascii="Arial" w:cs="Arial" w:eastAsia="Arial" w:hAnsi="Arial"/>
          <w:sz w:val="18"/>
          <w:szCs w:val="18"/>
          <w:color w:val="auto"/>
        </w:rPr>
        <w:t>” has the meaning assigned to such term in Section 4.1.</w:t>
      </w:r>
    </w:p>
    <w:p>
      <w:pPr>
        <w:spacing w:after="0" w:line="225"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3-Year Revolving Credit Agreement</w:t>
      </w:r>
      <w:r>
        <w:rPr>
          <w:rFonts w:ascii="Arial" w:cs="Arial" w:eastAsia="Arial" w:hAnsi="Arial"/>
          <w:sz w:val="17"/>
          <w:szCs w:val="17"/>
          <w:color w:val="auto"/>
        </w:rPr>
        <w:t>” means (i) that certain Third Amended and Restated Three Year Revolving Credit Agreement, dated as of the date hereof, among the Company, GMF, GMGTC, GMB,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ectPr>
          <w:pgSz w:w="11900" w:h="16838" w:orient="portrait"/>
          <w:cols w:equalWidth="0" w:num="1">
            <w:col w:w="11380"/>
          </w:cols>
          <w:pgMar w:left="240" w:top="274" w:right="279" w:bottom="1440" w:gutter="0" w:footer="0" w:header="0"/>
        </w:sectPr>
      </w:pPr>
    </w:p>
    <w:bookmarkStart w:id="252" w:name="page253"/>
    <w:bookmarkEnd w:id="252"/>
    <w:p>
      <w:pPr>
        <w:ind w:right="4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3-Year Total Available Commitments</w:t>
      </w:r>
      <w:r>
        <w:rPr>
          <w:rFonts w:ascii="Arial" w:cs="Arial" w:eastAsia="Arial" w:hAnsi="Arial"/>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87"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3-Year Total Commitments</w:t>
      </w:r>
      <w:r>
        <w:rPr>
          <w:rFonts w:ascii="Arial" w:cs="Arial" w:eastAsia="Arial" w:hAnsi="Arial"/>
          <w:sz w:val="17"/>
          <w:szCs w:val="17"/>
          <w:color w:val="auto"/>
        </w:rPr>
        <w:t>” means the “Total Commitments” (or equivalent term) under, and as defined in, the 3-Year Revolving Credit Agreement (it being understood that if there is more than one 3-Year Revolving Credit Agreement in effect at any time, references hereunder to “3-Year Total Commitments” shall be deemed to mean the sum of the “3-Year Total Commitments” (as defined above) under each such agreement).</w:t>
      </w:r>
    </w:p>
    <w:p>
      <w:pPr>
        <w:spacing w:after="0" w:line="166"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3-Year Total Extensions of Credit</w:t>
      </w:r>
      <w:r>
        <w:rPr>
          <w:rFonts w:ascii="Arial" w:cs="Arial" w:eastAsia="Arial" w:hAnsi="Arial"/>
          <w:sz w:val="16"/>
          <w:szCs w:val="16"/>
          <w:color w:val="auto"/>
        </w:rPr>
        <w:t>” means the “Total Extensions of Credit” (or equivalent term) under, and as defined in, the 3-Year Revolving Credit Agreement (it being understood that if there is more than one 3-Year Revolving Credit Agreement in effect at any time, references hereunder to “3-Year Total Extensions of Credit” shall be deemed to mean the sum of the “3-Year Total Extensions of Credit” (as defined above) under each such agreement).</w:t>
      </w:r>
    </w:p>
    <w:p>
      <w:pPr>
        <w:spacing w:after="0" w:line="147" w:lineRule="exact"/>
        <w:rPr>
          <w:sz w:val="20"/>
          <w:szCs w:val="20"/>
          <w:color w:val="auto"/>
        </w:rPr>
      </w:pPr>
    </w:p>
    <w:p>
      <w:pPr>
        <w:ind w:firstLine="913"/>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ABR</w:t>
      </w:r>
      <w:r>
        <w:rPr>
          <w:rFonts w:ascii="Arial" w:cs="Arial" w:eastAsia="Arial" w:hAnsi="Arial"/>
          <w:sz w:val="16"/>
          <w:szCs w:val="16"/>
          <w:color w:val="auto"/>
        </w:rPr>
        <w:t xml:space="preserve">” means for any day, a rate per annum (rounded upwards, if necessary, to the next 1/16 of 1.00%) equal to the greatest of (a) the Prime Rate in effect on such day, (b) the NYFRB Rate in effect on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1.00% and (c) the Eurocurrency Rate, calculated as of such date in respect of a proposed Eurocurrency Loan denominated in Dollars with a one-month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1.00%;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rate determined pursuant to this definition of “ABR” shall be less than zero, such rate shall be deemed to be zero for purposes of this Agreement. Any change in the ABR due to a change in the Prime Rate, the NYFRB Rate or the Eurocurrency Rate shall be effective as of the opening of business on the effective day of such change in the Prime Rate, the NYFRB Rate or the Eurocurrency Rate, respectively. If the ABR is being used as an alternate rate of interest pursuant to Section 2.16 hereof, then the ABR shall be the greater of clause (a) and (b) above and shall be determined without reference to clause (c) above.</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 has the meaning assigned to such term in Section 2.16(a)(iii).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the Administrative Agent and the Brazilian Administrative Agent, collectively.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Rate</w:t>
      </w:r>
      <w:r>
        <w:rPr>
          <w:rFonts w:ascii="Arial" w:cs="Arial" w:eastAsia="Arial" w:hAnsi="Arial"/>
          <w:sz w:val="18"/>
          <w:szCs w:val="18"/>
          <w:color w:val="auto"/>
        </w:rPr>
        <w:t xml:space="preserve">” means, for any day, the sum of (a) a rate per annum selected by the Administrative Agent, in its reasonable discretion based on market conditions in consultation with the Company (and any applicable Subsidiary Borrower) and the relevant Lenders,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Applicable Margin for Eurocurrency Loans. When used in reference to any Loan, “Alternate Rate” refers to whether such Loan is bearing interest at a rate determined by reference to the Alternate Rate.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and the UK Bribery Act.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53" w:name="page254"/>
    <w:bookmarkEnd w:id="25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Applicable Account Party</w:t>
      </w:r>
      <w:r>
        <w:rPr>
          <w:rFonts w:ascii="Arial" w:cs="Arial" w:eastAsia="Arial" w:hAnsi="Arial"/>
          <w:sz w:val="18"/>
          <w:szCs w:val="18"/>
          <w:color w:val="auto"/>
        </w:rPr>
        <w:t>” has the meaning assigned to such term in Section 3.1(a).</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any Lender, such Lender’s office, branch or affiliate designated for Eurocurrency Loans denominated in the applicable Currency, ABR Loans, CDI Loans, L/C Obligations or Letters of Credit denominated in the applicable Currency, as applicable, as notified to the Administrative Agent and the Company or as otherwise specified in the Assignment and Assumption pursuant to which such Lender became a party hereto, any of which offices may, subject to Section 2.21, be changed by such Lender upon 10 days’ prior written notice to the Administrative Agent and the Company.</w:t>
      </w:r>
    </w:p>
    <w:p>
      <w:pPr>
        <w:spacing w:after="0" w:line="188"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means, for any day, with respect to any ABR Loan, CDI Loan or Eurocurrency Loan, as the case may be, the applicable rate per annum set forth under the relevant column heading in the Applicable Pricing Grid, based upon the Applicable Rating in effect on such day.</w:t>
      </w:r>
    </w:p>
    <w:p>
      <w:pPr>
        <w:spacing w:after="0" w:line="14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(i) in the case of any Loan (other than a CDI Loan) the table set forth on Schedule 1.1C and (ii) in the case of any CDI Loan, the table set forth in Exhibit 3.2 in the applicable Brazilian Bank Certificate.</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Rating</w:t>
      </w:r>
      <w:r>
        <w:rPr>
          <w:rFonts w:ascii="Arial" w:cs="Arial" w:eastAsia="Arial" w:hAnsi="Arial"/>
          <w:sz w:val="18"/>
          <w:szCs w:val="18"/>
          <w:color w:val="auto"/>
        </w:rPr>
        <w:t xml:space="preserve">” means the Index Debt Rating;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the Company has obtained or maintained a Facility Rating from at least two of Moody’s, S&amp;P or Fitch, the “Applicable Rating” shall be the Facility Rating in effect at any time of determination.</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means, with respect to an Issuing Lender, a customary application consistent with this Agreement, in such form as such Issuing Lender may specify from time to time, requesting such Issuing Lender to issue a Letter of Credit.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G.</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 (b) a “plan” as defined in Section 4975 of the Code to which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54" w:name="page255"/>
    <w:bookmarkEnd w:id="25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225"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the Company, GMB, GMGTC, GMF or any other Subsidiary Borrower designated from time to time by the Company until (in the case of any Subsidiary Borrower) such time as such Subsidiary Borrower is removed as a party hereto pursuant to Section 10.1(d).</w:t>
      </w:r>
    </w:p>
    <w:p>
      <w:pPr>
        <w:spacing w:after="0" w:line="14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DTTP Filing</w:t>
      </w:r>
      <w:r>
        <w:rPr>
          <w:rFonts w:ascii="Arial" w:cs="Arial" w:eastAsia="Arial" w:hAnsi="Arial"/>
          <w:sz w:val="17"/>
          <w:szCs w:val="17"/>
          <w:color w:val="auto"/>
        </w:rPr>
        <w:t>” means an HMRC Form DTTP2, duly completed and filed by the relevant Borrower, which contains the scheme reference number and jurisdiction of tax residence provided by a UK Treaty Lender to the relevant UK Borrower and the Administrative Agent in accordance with Section 2.19(e) and which (a) where it relates to a UK Treaty Lender that is a Lender on the date of this Agreement, contains the scheme reference number and jurisdiction of tax residence stated opposite that Lender’s name in Schedule 1.1A to this Agreement, and (i) where the UK Borrower is a Borrower on the date of this Agreement, is filed with HMRC within 30 days of the date of this Agreement; or (ii) where the UK Borrower becomes a Borrower after the date of this Agreement, is filed with HMRC within 30 days of that date; or (b) where it relates to a UK Treaty Lender that is not a Lender on the date of this Agreement, contains the scheme reference number and jurisdiction of tax residence stated in respect of that Lender in the documentation which it executes on becoming a Lender; and (i) where the UK Borrower is a Borrower as at the date on which that UK Treaty Lender becomes a Lender, is filed with HMRC within 30 days of that date; or (ii) where the UK Borrower is not a Borrower as at the date on which that UK Treaty Lender becomes a Lender, is filed with HMRC within 30 days of the date on which that UK Borrower becomes a Borrower.</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joinder agreement substantially in the form of Exhibit H.</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or any Subsidiary Borrower as a date on which the Company or such Subsidiary Borrower requests the relevant Lenders to make Loans 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Request</w:t>
      </w:r>
      <w:r>
        <w:rPr>
          <w:rFonts w:ascii="Arial" w:cs="Arial" w:eastAsia="Arial" w:hAnsi="Arial"/>
          <w:sz w:val="17"/>
          <w:szCs w:val="17"/>
          <w:color w:val="auto"/>
        </w:rPr>
        <w:t>” means a request by any Borrower for a Domestic Loan or Multicurrency Loan, in substantially the form of Exhibit L.</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Bank Certificate</w:t>
      </w:r>
      <w:r>
        <w:rPr>
          <w:rFonts w:ascii="Arial" w:cs="Arial" w:eastAsia="Arial" w:hAnsi="Arial"/>
          <w:sz w:val="18"/>
          <w:szCs w:val="18"/>
          <w:color w:val="auto"/>
        </w:rPr>
        <w:t>” means each bank credit certificate, issued by any Brazilian Subsidiary Borrower in favor of any Brazilian Lender pursuant to which such Brazilian Lender agrees to make Brazilian Loans.</w:t>
      </w:r>
    </w:p>
    <w:p>
      <w:pPr>
        <w:spacing w:after="0" w:line="17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Commitment</w:t>
      </w:r>
      <w:r>
        <w:rPr>
          <w:rFonts w:ascii="Arial" w:cs="Arial" w:eastAsia="Arial" w:hAnsi="Arial"/>
          <w:sz w:val="18"/>
          <w:szCs w:val="18"/>
          <w:color w:val="auto"/>
        </w:rPr>
        <w:t>” means as to any Lender, the obligation of such Lender, if any, to make Brazilian Loans in an aggregate principal amount in Brazilian Reais the Dollar Equivalent of which shall not exceed the amount set forth under the heading “Brazilian Commitment” opposite such Lender’s name on Schedule 1.1A or in the Assignment and Assumption pursuant to which such Lender became a party hereto, as the same may be changed from time to time pursuant to the terms hereof. The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255" w:name="page256"/>
    <w:bookmarkEnd w:id="255"/>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aggregate principal amount in Brazilian Reais of the Brazilian Commitment shall be (i) calculated based on the Real/U.S. Dollars exchange rate, expressed as the amount of Reais for conversion into Dollars as reported by the Central Bank of Brazil and on its website (which, at the date hereof, is located at http://www.bcb.gov.br/?txcambio), under transaction “Cotações e Boletins” option “Cotações de fechamento de todas as moedas em uma data”, “Venda” (or any successor screen established by the Central Bank of Brazil) (such rate, the “PTAX”) on each valuation date of the exchange rates; (ii) the Brazilian Commitment shall be updated every quarter as of the issuance date of each Brazilian Bank Certificate based on the exchange rate above available on the Business Day prior to the date of issuance of a written amendment to the respective Brazilian Bank Certificate and (iii) informed by the Brazilian Administrative Agent to each Brazilian Lender and the relevant Brazilian Subsidiary Borrower on the disbursement date of each borrowing under the Brazilian Commitment or at any day if so requested by any Brazilian Subsidiary Borrower and/or any Brazilian Lender. If the PTAX is not available, for any reason, the sale closing average quotations received from three leading Brazilian banks as selected by GMB in its sole discretion shall be applied. Notwithstanding the foregoing, if such rate cannot be determined, the conversion rate shall be jointly defined by GMB and the Brazilian Lenders.</w:t>
      </w:r>
    </w:p>
    <w:p>
      <w:pPr>
        <w:spacing w:after="0" w:line="169"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Extensions of Credit</w:t>
      </w:r>
      <w:r>
        <w:rPr>
          <w:rFonts w:ascii="Arial" w:cs="Arial" w:eastAsia="Arial" w:hAnsi="Arial"/>
          <w:sz w:val="18"/>
          <w:szCs w:val="18"/>
          <w:color w:val="auto"/>
        </w:rPr>
        <w:t>” means, as to any Brazilian Lender at any time, an amount equal to the Dollar Equivalent of the aggregate principal amount of all Brazilian Loans held by such Lender then outstanding.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Facility</w:t>
      </w:r>
      <w:r>
        <w:rPr>
          <w:rFonts w:ascii="Arial" w:cs="Arial" w:eastAsia="Arial" w:hAnsi="Arial"/>
          <w:sz w:val="18"/>
          <w:szCs w:val="18"/>
          <w:color w:val="auto"/>
        </w:rPr>
        <w:t>” means the Brazilian Commitments and the extensions of credit made thereunder.</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Intercreditor Agreement</w:t>
      </w:r>
      <w:r>
        <w:rPr>
          <w:rFonts w:ascii="Arial" w:cs="Arial" w:eastAsia="Arial" w:hAnsi="Arial"/>
          <w:sz w:val="18"/>
          <w:szCs w:val="18"/>
          <w:color w:val="auto"/>
        </w:rPr>
        <w:t>” means the Creditors’ Agreement (as defined in the Brazilian Bank Certificate dated as of the date hereof), if any, after the execution thereof.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Lender</w:t>
      </w:r>
      <w:r>
        <w:rPr>
          <w:rFonts w:ascii="Arial" w:cs="Arial" w:eastAsia="Arial" w:hAnsi="Arial"/>
          <w:sz w:val="18"/>
          <w:szCs w:val="18"/>
          <w:color w:val="auto"/>
        </w:rPr>
        <w:t>” means each Lender that has a Brazilian Commitment or that holds Brazilian Loans.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Loans</w:t>
      </w:r>
      <w:r>
        <w:rPr>
          <w:rFonts w:ascii="Arial" w:cs="Arial" w:eastAsia="Arial" w:hAnsi="Arial"/>
          <w:sz w:val="18"/>
          <w:szCs w:val="18"/>
          <w:color w:val="auto"/>
        </w:rPr>
        <w:t>” has the meaning assigned to such term in Section 2.5(a).</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Percentage</w:t>
      </w:r>
      <w:r>
        <w:rPr>
          <w:rFonts w:ascii="Arial" w:cs="Arial" w:eastAsia="Arial" w:hAnsi="Arial"/>
          <w:sz w:val="18"/>
          <w:szCs w:val="18"/>
          <w:color w:val="auto"/>
        </w:rPr>
        <w:t>” means as to any Brazilian Lender at any time, the percentage which such Lender’s Brazilian Commitment then constitutes of the aggregate amount of the Brazilian Commitments then in effect or, at any time after the Brazilian Commitments shall have expired or terminated, the percentage which the aggregate Outstanding Amount of Brazilian Extensions of Credit of such Lender then outstanding constitutes of the aggregate Outstanding Amount of Brazilian Extensions of Credit of the Brazilian Lenders then outstanding.</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Reais</w:t>
      </w:r>
      <w:r>
        <w:rPr>
          <w:rFonts w:ascii="Arial" w:cs="Arial" w:eastAsia="Arial" w:hAnsi="Arial"/>
          <w:sz w:val="18"/>
          <w:szCs w:val="18"/>
          <w:color w:val="auto"/>
        </w:rPr>
        <w:t>” and “</w:t>
      </w:r>
      <w:r>
        <w:rPr>
          <w:rFonts w:ascii="Arial" w:cs="Arial" w:eastAsia="Arial" w:hAnsi="Arial"/>
          <w:sz w:val="18"/>
          <w:szCs w:val="18"/>
          <w:u w:val="single" w:color="auto"/>
          <w:color w:val="auto"/>
        </w:rPr>
        <w:t>R$</w:t>
      </w:r>
      <w:r>
        <w:rPr>
          <w:rFonts w:ascii="Arial" w:cs="Arial" w:eastAsia="Arial" w:hAnsi="Arial"/>
          <w:sz w:val="18"/>
          <w:szCs w:val="18"/>
          <w:color w:val="auto"/>
        </w:rPr>
        <w:t>” mean the lawful currency of the Federative Republic of Brazil.</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Subsidiary</w:t>
      </w:r>
      <w:r>
        <w:rPr>
          <w:rFonts w:ascii="Arial" w:cs="Arial" w:eastAsia="Arial" w:hAnsi="Arial"/>
          <w:sz w:val="18"/>
          <w:szCs w:val="18"/>
          <w:color w:val="auto"/>
        </w:rPr>
        <w:t>” means, with respect to any Person, any Subsidiary of such Person organized under the laws of any jurisdiction within the Federative Republic of Brazil. Unless otherwise qualified, all references to a “Brazilian Subsidiary” or to “Brazilian Subsidiaries” in this Agreement shall refer to a Brazilian Subsidiary or Brazilian Subsidiaries of the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Brazilian Subsidiary Borrower</w:t>
      </w:r>
      <w:r>
        <w:rPr>
          <w:rFonts w:ascii="Arial" w:cs="Arial" w:eastAsia="Arial" w:hAnsi="Arial"/>
          <w:sz w:val="17"/>
          <w:szCs w:val="17"/>
          <w:color w:val="auto"/>
        </w:rPr>
        <w:t>” means GMB and any Subsidiary Borrower that is a Subsidiary of GMF or GMB and which is a Brazilian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1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banks in New York City and, solely in connection with matters relating to the Brazilian Lenders, São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56" w:name="page257"/>
    <w:bookmarkEnd w:id="25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Paulo and São Caetano do Sul, both in the State of São Paulo, Brazil, are permitted to close;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used in connection with (a) a Eurocurrency Loan, the term “Business Day” shall also exclude any day on which banks are not open for dealings in Dollar deposits or deposits in any Optional Currency, as applicable, in the London Interbank market, (b) an extension of credit denominated in Euros, the term “Business Day” shall also exclude any day that is not a TARGET Day and (c) an extension of credit denominated in any Optional Currency (other than Euros) or any other currency, the term “Business Day” shall also exclude any day on which banks in the principal financial center of the country of such Optional Currency or other currency are not open for general business.</w:t>
      </w:r>
    </w:p>
    <w:p>
      <w:pPr>
        <w:spacing w:after="0" w:line="19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24"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CDI</w:t>
      </w:r>
      <w:r>
        <w:rPr>
          <w:rFonts w:ascii="Arial" w:cs="Arial" w:eastAsia="Arial" w:hAnsi="Arial"/>
          <w:sz w:val="16"/>
          <w:szCs w:val="16"/>
          <w:color w:val="auto"/>
        </w:rPr>
        <w:t>” means the daily average rate of the DI – Depósitos Interfinanceiros de um dia, “over extra-grupo”, expressed in the form of a percentage per annum, based upon 252 business days, calculated and published daily by the B3 S.A. – Brasil, Bolsa, Balcão, at the website http://www.cetip.com.br.</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CDI Loans</w:t>
      </w:r>
      <w:r>
        <w:rPr>
          <w:rFonts w:ascii="Arial" w:cs="Arial" w:eastAsia="Arial" w:hAnsi="Arial"/>
          <w:sz w:val="18"/>
          <w:szCs w:val="18"/>
          <w:color w:val="auto"/>
        </w:rPr>
        <w:t>” means Loans the rate of interest applicable to which is based upon the CDI.</w:t>
      </w:r>
    </w:p>
    <w:p>
      <w:pPr>
        <w:spacing w:after="0" w:line="225"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Lender (or, for purposes of Section 2.18, by any lending office of such Lender or Issuing Lender or by such Lender’s or Issuing Lender’s holding company, if any) with any request, guideline or directive (whether or not having the force of law) of any Governmental Authority made or issued after the date of this Agreement. For purposes of this definition and Section 2.18,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has the meaning assigned to such term in Section 2.19(a).</w:t>
      </w:r>
    </w:p>
    <w:p>
      <w:pPr>
        <w:spacing w:after="0" w:line="225"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 (a) any “</w:t>
      </w:r>
      <w:r>
        <w:rPr>
          <w:rFonts w:ascii="Arial" w:cs="Arial" w:eastAsia="Arial" w:hAnsi="Arial"/>
          <w:sz w:val="16"/>
          <w:szCs w:val="16"/>
          <w:u w:val="single" w:color="auto"/>
          <w:color w:val="auto"/>
        </w:rPr>
        <w:t>person</w:t>
      </w:r>
      <w:r>
        <w:rPr>
          <w:rFonts w:ascii="Arial" w:cs="Arial" w:eastAsia="Arial" w:hAnsi="Arial"/>
          <w:sz w:val="16"/>
          <w:szCs w:val="16"/>
          <w:color w:val="auto"/>
        </w:rPr>
        <w:t>” or “</w:t>
      </w:r>
      <w:r>
        <w:rPr>
          <w:rFonts w:ascii="Arial" w:cs="Arial" w:eastAsia="Arial" w:hAnsi="Arial"/>
          <w:sz w:val="16"/>
          <w:szCs w:val="16"/>
          <w:u w:val="single" w:color="auto"/>
          <w:color w:val="auto"/>
        </w:rPr>
        <w:t>group</w:t>
      </w:r>
      <w:r>
        <w:rPr>
          <w:rFonts w:ascii="Arial" w:cs="Arial" w:eastAsia="Arial" w:hAnsi="Arial"/>
          <w:sz w:val="16"/>
          <w:szCs w:val="16"/>
          <w:color w:val="auto"/>
        </w:rPr>
        <w:t>” (as such terms are used in Sections 13(d) and 14(d) of the Exchange Act) shall become, or obtain rights (whether by means of warrants, options or otherwise) to become, the “</w:t>
      </w:r>
      <w:r>
        <w:rPr>
          <w:rFonts w:ascii="Arial" w:cs="Arial" w:eastAsia="Arial" w:hAnsi="Arial"/>
          <w:sz w:val="16"/>
          <w:szCs w:val="16"/>
          <w:u w:val="single" w:color="auto"/>
          <w:color w:val="auto"/>
        </w:rPr>
        <w:t>beneficial owner</w:t>
      </w:r>
      <w:r>
        <w:rPr>
          <w:rFonts w:ascii="Arial" w:cs="Arial" w:eastAsia="Arial" w:hAnsi="Arial"/>
          <w:sz w:val="16"/>
          <w:szCs w:val="16"/>
          <w:color w:val="auto"/>
        </w:rPr>
        <w:t>” (as defined in Rules 13(d)-3 and 13(d) 5 under the Exchange Act), directly or indirectly, of more than 50% of the outstanding Voting Stock of the Company or</w:t>
      </w:r>
    </w:p>
    <w:p>
      <w:pPr>
        <w:ind w:left="5660" w:right="2760" w:hanging="5652"/>
        <w:spacing w:after="0" w:line="433" w:lineRule="auto"/>
        <w:tabs>
          <w:tab w:leader="none" w:pos="25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Continuing Directors cease to constitute at least a majority of the members of the board of directors of the Company. 6</w:t>
      </w:r>
    </w:p>
    <w:p>
      <w:pPr>
        <w:sectPr>
          <w:pgSz w:w="11900" w:h="16838" w:orient="portrait"/>
          <w:cols w:equalWidth="0" w:num="1">
            <w:col w:w="11420"/>
          </w:cols>
          <w:pgMar w:left="240" w:top="274" w:right="239" w:bottom="1440" w:gutter="0" w:footer="0" w:header="0"/>
        </w:sectPr>
      </w:pPr>
    </w:p>
    <w:bookmarkStart w:id="257" w:name="page258"/>
    <w:bookmarkEnd w:id="257"/>
    <w:p>
      <w:pPr>
        <w:ind w:right="1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CLO</w:t>
      </w:r>
      <w:r>
        <w:rPr>
          <w:rFonts w:ascii="Arial" w:cs="Arial" w:eastAsia="Arial" w:hAnsi="Arial"/>
          <w:sz w:val="18"/>
          <w:szCs w:val="18"/>
          <w:color w:val="auto"/>
        </w:rPr>
        <w:t>” means any person that is primarily engaged in the issuance of securities based on, collateralized by or otherwise backed by one or more pools of assets consisting primarily of bank loans.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the conditions precedent set forth in Section 5.1 shall have been satisfied, which date is April 18, 2018.</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Collateralized</w:t>
      </w:r>
      <w:r>
        <w:rPr>
          <w:rFonts w:ascii="Arial" w:cs="Arial" w:eastAsia="Arial" w:hAnsi="Arial"/>
          <w:sz w:val="18"/>
          <w:szCs w:val="18"/>
          <w:color w:val="auto"/>
        </w:rPr>
        <w:t>” means, with respect to any Letter of Credit, that such Letter of Credit is secured by cash collateral arrangements and/or backstop letters of credit entered into on terms (and, with respect to any such backstop letters of credit, from issuers) reasonably satisfactory to the relevant Issuing Lender; and the terms “Collateralize” and “Collateralization” shall have correlative meanings.</w:t>
      </w:r>
    </w:p>
    <w:p>
      <w:pPr>
        <w:spacing w:after="0" w:line="181" w:lineRule="exact"/>
        <w:rPr>
          <w:sz w:val="20"/>
          <w:szCs w:val="20"/>
          <w:color w:val="auto"/>
        </w:rPr>
      </w:pPr>
    </w:p>
    <w:p>
      <w:pPr>
        <w:ind w:right="5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individually and collectively, the Brazilian Commitments, the Domestic Commitments and the Multicurrency Commitments. To the extent any Incremental Facility or New Local Facility is established, the “Commitments” shall, to the extent appropriate, include commitments under such Facilities.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assigned to such term in Section 2.26(a).</w:t>
      </w:r>
    </w:p>
    <w:p>
      <w:pPr>
        <w:spacing w:after="0" w:line="225" w:lineRule="exact"/>
        <w:rPr>
          <w:sz w:val="20"/>
          <w:szCs w:val="20"/>
          <w:color w:val="auto"/>
        </w:rPr>
      </w:pPr>
    </w:p>
    <w:p>
      <w:pPr>
        <w:ind w:right="7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means, as to any Commitment Increase, the date (which shall be a Business Day) specified in the related Incremental Loan Activation Notice as the date on which such Commitment Increase shall be effective.</w:t>
      </w:r>
    </w:p>
    <w:p>
      <w:pPr>
        <w:spacing w:after="0" w:line="170" w:lineRule="exact"/>
        <w:rPr>
          <w:sz w:val="20"/>
          <w:szCs w:val="20"/>
          <w:color w:val="auto"/>
        </w:rPr>
      </w:pPr>
    </w:p>
    <w:p>
      <w:pPr>
        <w:jc w:val="both"/>
        <w:ind w:right="4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any Facility, the period from and including the Closing Date (or in the case of a Lender that becomes a Lender under such Facility after the Closing Date, the date on which such Lender becomes a Lender under such Facility) to, but excluding, the Termination Date applicable to such Lender under such Facility.</w:t>
      </w:r>
    </w:p>
    <w:p>
      <w:pPr>
        <w:spacing w:after="0" w:line="18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the Brazilian Intercreditor Agreement or otherwise transmitted between the parties hereto relating to this Agreement, the other Loan Documents, the Brazilian Intercreditor Agreement, any Loan Party or its affiliates, or the transactions contemplated by this Agreement, the other Loan Documents or the Brazilian Intercreditor Agreement.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Accept/Reject Letter</w:t>
      </w:r>
      <w:r>
        <w:rPr>
          <w:rFonts w:ascii="Arial" w:cs="Arial" w:eastAsia="Arial" w:hAnsi="Arial"/>
          <w:sz w:val="16"/>
          <w:szCs w:val="16"/>
          <w:color w:val="auto"/>
        </w:rPr>
        <w:t>” means a notification made by the Company pursuant to Section 2.7, substantially in the form of Exhibit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xml:space="preserve">” means, with respect to any Competitive Bid (a) in the case of a Eurocurrency Competitive Loan,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the Margin and (b) in the case of a Fixed Rate Loan, the fixed rate of interest per annum, in each case specified by the Lender making such Competitive Loan in its related Competitive Bid.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58" w:name="page259"/>
    <w:bookmarkEnd w:id="25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made pursuant to Section 2.7, substantially in the form of Exhibit 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J.</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Domestic Liquidity</w:t>
      </w:r>
      <w:r>
        <w:rPr>
          <w:rFonts w:ascii="Arial" w:cs="Arial" w:eastAsia="Arial" w:hAnsi="Arial"/>
          <w:sz w:val="16"/>
          <w:szCs w:val="16"/>
          <w:color w:val="auto"/>
        </w:rPr>
        <w:t>” means, as of any date of determination, the sum of (a) the Total Available Commitments as of such date plus</w:t>
      </w:r>
    </w:p>
    <w:p>
      <w:pPr>
        <w:spacing w:after="0" w:line="46" w:lineRule="exact"/>
        <w:rPr>
          <w:sz w:val="20"/>
          <w:szCs w:val="20"/>
          <w:color w:val="auto"/>
        </w:rPr>
      </w:pPr>
    </w:p>
    <w:p>
      <w:pPr>
        <w:ind w:right="40" w:firstLine="8"/>
        <w:spacing w:after="0" w:line="269" w:lineRule="auto"/>
        <w:tabs>
          <w:tab w:leader="none" w:pos="25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the 3-Year Total Available Commitments at such date plus (c) the total available commitments (after giving effect to any applicable borrowing base limitations) under other then-effective committed credit facilities of the Company or any Domestic Subsidiary (including any Ancillary Commitments under and as defined in the 3-Year Revolving Credit Agreement, which may at such time be reallocated to provide availability to the Company or any Domestic Subsidiary)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Global Liquidity</w:t>
      </w:r>
      <w:r>
        <w:rPr>
          <w:rFonts w:ascii="Arial" w:cs="Arial" w:eastAsia="Arial" w:hAnsi="Arial"/>
          <w:sz w:val="16"/>
          <w:szCs w:val="16"/>
          <w:color w:val="auto"/>
        </w:rPr>
        <w:t>” means as of any date of determination, the sum of (a) the Total Available Commitments as of such date plus</w:t>
      </w:r>
    </w:p>
    <w:p>
      <w:pPr>
        <w:spacing w:after="0" w:line="46" w:lineRule="exact"/>
        <w:rPr>
          <w:sz w:val="20"/>
          <w:szCs w:val="20"/>
          <w:color w:val="auto"/>
        </w:rPr>
      </w:pPr>
    </w:p>
    <w:p>
      <w:pPr>
        <w:ind w:firstLine="8"/>
        <w:spacing w:after="0" w:line="252" w:lineRule="auto"/>
        <w:tabs>
          <w:tab w:leader="none" w:pos="25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the 3-Year Total Available Commitments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total available commitments (after giving effect to any applicable borrowing base limitations) under other then-effective committed credit facilities of the Company or any of its Subsidiaries (including any Ancillary Commitments under and as defined in the 3-Year Revolving Credit Agreement available to the Company or any of its Subsidiaries, if applicable)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94"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Assets</w:t>
      </w:r>
      <w:r>
        <w:rPr>
          <w:rFonts w:ascii="Arial" w:cs="Arial" w:eastAsia="Arial" w:hAnsi="Arial"/>
          <w:sz w:val="17"/>
          <w:szCs w:val="17"/>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66"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Director</w:t>
      </w:r>
      <w:r>
        <w:rPr>
          <w:rFonts w:ascii="Arial" w:cs="Arial" w:eastAsia="Arial" w:hAnsi="Arial"/>
          <w:sz w:val="16"/>
          <w:szCs w:val="16"/>
          <w:color w:val="auto"/>
        </w:rPr>
        <w:t>” means, at any date, an individual (a) who is a member of the board of directors of the Company on the Closing Date or</w:t>
      </w:r>
    </w:p>
    <w:p>
      <w:pPr>
        <w:spacing w:after="0" w:line="46" w:lineRule="exact"/>
        <w:rPr>
          <w:sz w:val="20"/>
          <w:szCs w:val="20"/>
          <w:color w:val="auto"/>
        </w:rPr>
      </w:pPr>
    </w:p>
    <w:p>
      <w:pPr>
        <w:ind w:right="80" w:firstLine="8"/>
        <w:spacing w:after="0" w:line="261" w:lineRule="auto"/>
        <w:tabs>
          <w:tab w:leader="none" w:pos="25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who has been nominated or appointed to be a member of such board of directors, or approved or otherwise ratified, by a majority of the other Continuing Directors then in office.</w:t>
      </w:r>
    </w:p>
    <w:p>
      <w:pPr>
        <w:spacing w:after="0" w:line="184"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259" w:name="page260"/>
    <w:bookmarkEnd w:id="25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Optional Currency.</w:t>
      </w:r>
    </w:p>
    <w:p>
      <w:pPr>
        <w:spacing w:after="0" w:line="225"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8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of the events specified in Section 8, whether or not any requirement for the giving of notice, the lapse of time, or both, has been satisfied.</w:t>
      </w:r>
    </w:p>
    <w:p>
      <w:pPr>
        <w:spacing w:after="0" w:line="170"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at any time, a Lender (a) that has defaulted in its obligation to make Loans or participate in Letters of Credit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7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Principal Trade Name</w:t>
      </w:r>
      <w:r>
        <w:rPr>
          <w:rFonts w:ascii="Arial" w:cs="Arial" w:eastAsia="Arial" w:hAnsi="Arial"/>
          <w:sz w:val="18"/>
          <w:szCs w:val="18"/>
          <w:color w:val="auto"/>
        </w:rPr>
        <w:t xml:space="preserve">” means a Principal Trade Name, designated by the Company as the “Designated Principal Trade Name” in a written notice to the Administrative Agent pursuant to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only one Principal Trade Name may be designated as a “Designated Principal Trade Name” during the term of this Agreement.</w:t>
      </w:r>
    </w:p>
    <w:p>
      <w:pPr>
        <w:spacing w:after="0" w:line="181" w:lineRule="exact"/>
        <w:rPr>
          <w:sz w:val="20"/>
          <w:szCs w:val="20"/>
          <w:color w:val="auto"/>
        </w:rPr>
      </w:pPr>
    </w:p>
    <w:p>
      <w:pPr>
        <w:ind w:right="28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with respect to any property, any sale, transfer or other disposition thereof; and the terms “Dispose” and “Disposed of” shall have correlative meanings;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(for purposes of calculating the amount of Loans to be borrowed from the respective Lenders on any date or for any other purpose), the Administrative Agent shall use the relevant Exchange Rate in effect on the date on which the Company or any Subsidiary Borrower delivers a request for a Loan or Letter of Credit or on such other date upon which a Dollar Equivalent is required to be determined pursuant to the provisions of this Agreement. As appropriate, amounts specified herein as amounts in Dollars shall be or include any relevant Dollar Equivalent amount.</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Commitment</w:t>
      </w:r>
      <w:r>
        <w:rPr>
          <w:rFonts w:ascii="Arial" w:cs="Arial" w:eastAsia="Arial" w:hAnsi="Arial"/>
          <w:sz w:val="18"/>
          <w:szCs w:val="18"/>
          <w:color w:val="auto"/>
        </w:rPr>
        <w:t>” means as to any Lender, the obligation of such Lender, if any, to make Domestic Loans and participate in Letters of Credit in an aggregate principal and/or face amount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60" w:name="page261"/>
    <w:bookmarkEnd w:id="260"/>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Dollar Equivalent of which shall not exceed the amount set forth under the heading “Domestic Commitment” opposite such Lender’s name on Schedule 1.1A or in the Assignment and Assumption pursuant to which such Lender became a party hereto, as the same may be changed from time to time pursuant to the terms 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Competitive Loan</w:t>
      </w:r>
      <w:r>
        <w:rPr>
          <w:rFonts w:ascii="Arial" w:cs="Arial" w:eastAsia="Arial" w:hAnsi="Arial"/>
          <w:sz w:val="18"/>
          <w:szCs w:val="18"/>
          <w:color w:val="auto"/>
        </w:rPr>
        <w:t>” means a Competitive Loan made under the Domestic Facility.</w:t>
      </w:r>
    </w:p>
    <w:p>
      <w:pPr>
        <w:spacing w:after="0" w:line="225" w:lineRule="exact"/>
        <w:rPr>
          <w:sz w:val="20"/>
          <w:szCs w:val="20"/>
          <w:color w:val="auto"/>
        </w:rPr>
      </w:pPr>
    </w:p>
    <w:p>
      <w:pPr>
        <w:jc w:val="both"/>
        <w:ind w:right="5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Extensions of Credit</w:t>
      </w:r>
      <w:r>
        <w:rPr>
          <w:rFonts w:ascii="Arial" w:cs="Arial" w:eastAsia="Arial" w:hAnsi="Arial"/>
          <w:sz w:val="18"/>
          <w:szCs w:val="18"/>
          <w:color w:val="auto"/>
        </w:rPr>
        <w:t>” means, as to any Domestic Lender at any time, an amount equal to the sum of (a) the aggregate principal amount of all Domestic Loans held by such Lender then outstanding and (b) an amount equal to such Lender’s applicable Domestic Percentage of the aggregate L/C Obligations then outstanding.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Facility</w:t>
      </w:r>
      <w:r>
        <w:rPr>
          <w:rFonts w:ascii="Arial" w:cs="Arial" w:eastAsia="Arial" w:hAnsi="Arial"/>
          <w:sz w:val="18"/>
          <w:szCs w:val="18"/>
          <w:color w:val="auto"/>
        </w:rPr>
        <w:t>” means the Domestic Commitments and the extensions of credit made thereunder.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Lender</w:t>
      </w:r>
      <w:r>
        <w:rPr>
          <w:rFonts w:ascii="Arial" w:cs="Arial" w:eastAsia="Arial" w:hAnsi="Arial"/>
          <w:sz w:val="16"/>
          <w:szCs w:val="16"/>
          <w:color w:val="auto"/>
        </w:rPr>
        <w:t>” means each Lender that has a Domestic Commitment or that holds Domestic Loans or other Loans made under the Domestic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Loans</w:t>
      </w:r>
      <w:r>
        <w:rPr>
          <w:rFonts w:ascii="Arial" w:cs="Arial" w:eastAsia="Arial" w:hAnsi="Arial"/>
          <w:sz w:val="18"/>
          <w:szCs w:val="18"/>
          <w:color w:val="auto"/>
        </w:rPr>
        <w:t>” has the meaning assigned to such term in Section 2.1.</w:t>
      </w:r>
    </w:p>
    <w:p>
      <w:pPr>
        <w:spacing w:after="0" w:line="225"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Percentage</w:t>
      </w:r>
      <w:r>
        <w:rPr>
          <w:rFonts w:ascii="Arial" w:cs="Arial" w:eastAsia="Arial" w:hAnsi="Arial"/>
          <w:sz w:val="18"/>
          <w:szCs w:val="18"/>
          <w:color w:val="auto"/>
        </w:rPr>
        <w:t>” means as to any Domestic Lender at any time, the percentage which such Lender’s Domestic Commitment then constitutes of the aggregate amount of the Domestic Commitments then in effect or, at any time after the Domestic Commitments shall have expired or terminated, the percentage which the aggregate Outstanding Amount of Domestic Extensions of Credit and Domestic Competitive Loans of such Lender then outstanding constitutes of the aggregate Outstanding Amount of Domestic Extensions of Credit and Domestic Competitive Loans of the Domestic Lenders then outstanding.</w:t>
      </w:r>
    </w:p>
    <w:p>
      <w:pPr>
        <w:spacing w:after="0" w:line="188"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 Borrower</w:t>
      </w:r>
      <w:r>
        <w:rPr>
          <w:rFonts w:ascii="Arial" w:cs="Arial" w:eastAsia="Arial" w:hAnsi="Arial"/>
          <w:sz w:val="18"/>
          <w:szCs w:val="18"/>
          <w:color w:val="auto"/>
        </w:rPr>
        <w:t>” means any Subsidiary Borrower which is a Domestic Subsidiary.</w:t>
      </w:r>
    </w:p>
    <w:p>
      <w:pPr>
        <w:spacing w:after="0" w:line="225" w:lineRule="exact"/>
        <w:rPr>
          <w:sz w:val="20"/>
          <w:szCs w:val="20"/>
          <w:color w:val="auto"/>
        </w:rPr>
      </w:pPr>
    </w:p>
    <w:p>
      <w:pPr>
        <w:ind w:right="30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w:t>
      </w:r>
    </w:p>
    <w:p>
      <w:pPr>
        <w:ind w:firstLine="8"/>
        <w:spacing w:after="0" w:line="261" w:lineRule="auto"/>
        <w:tabs>
          <w:tab w:leader="none" w:pos="24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institution established in an EEA Member Country which is a subsidiary of an institution described in clauses (a) or (b) of this definition and is subject to consolidated supervision with its parent.</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61" w:name="page262"/>
    <w:bookmarkEnd w:id="261"/>
    <w:p>
      <w:pPr>
        <w:ind w:right="1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81"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Default</w:t>
      </w:r>
      <w:r>
        <w:rPr>
          <w:rFonts w:ascii="Arial" w:cs="Arial" w:eastAsia="Arial" w:hAnsi="Arial"/>
          <w:sz w:val="16"/>
          <w:szCs w:val="16"/>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w:t>
      </w:r>
    </w:p>
    <w:p>
      <w:pPr>
        <w:spacing w:after="0" w:line="1" w:lineRule="exact"/>
        <w:rPr>
          <w:sz w:val="20"/>
          <w:szCs w:val="20"/>
          <w:color w:val="auto"/>
        </w:rPr>
      </w:pPr>
    </w:p>
    <w:p>
      <w:pPr>
        <w:jc w:val="both"/>
        <w:ind w:right="60" w:firstLine="8"/>
        <w:spacing w:after="0" w:line="273" w:lineRule="auto"/>
        <w:tabs>
          <w:tab w:leader="none" w:pos="25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7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Base Rate</w:t>
      </w:r>
      <w:r>
        <w:rPr>
          <w:rFonts w:ascii="Arial" w:cs="Arial" w:eastAsia="Arial" w:hAnsi="Arial"/>
          <w:sz w:val="16"/>
          <w:szCs w:val="16"/>
          <w:color w:val="auto"/>
        </w:rPr>
        <w:t xml:space="preserve">” means, with respect to each day during each Interest Period pertaining to a Eurocurrency Loan, the London Interbank offered rate as administered by the ICE Benchmark Administration (or any other Person that takes over the administration of such rate) for the applicable Currency for a period equal to such Interest Period commencing on the first day of such Interest Period as displayed on page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with the consent of the Company (such consent not to be unreasonably withheld); in each case, the “Screen Rate”) as of 11:00 A.M., London time, on the Quotation Date; provided, that, if the Screen Rate shall not be available at such time for such Interest Period (an “Impacted Interest Period”) with respect to the applicable Currency, then the Eurocurrency Base Rate shall be the Interpolated Rate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Screen Rate shall be less than zero, such rate shall be deemed to be zero for purposes of this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62" w:name="page263"/>
    <w:bookmarkEnd w:id="262"/>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“Interpolated Rate” means, at any time,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for the applicable Currency) that is shorter than the Impacted Interest Period and (b) the Screen Rate for the shortest period (for which that Screen Rate is available for the applicable Currency) that exceeds the Impacted Interest Period, in each case,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Interpolated Rate shall be less than zero, such rate shall be deemed to be zero for purposes of this Agreement.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Competitive Loans</w:t>
      </w:r>
      <w:r>
        <w:rPr>
          <w:rFonts w:ascii="Arial" w:cs="Arial" w:eastAsia="Arial" w:hAnsi="Arial"/>
          <w:sz w:val="17"/>
          <w:szCs w:val="17"/>
          <w:color w:val="auto"/>
        </w:rPr>
        <w:t>” means Competitive Loans bearing interest at a rate determined by reference to the Eurocurrency Rate.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Loans</w:t>
      </w:r>
      <w:r>
        <w:rPr>
          <w:rFonts w:ascii="Arial" w:cs="Arial" w:eastAsia="Arial" w:hAnsi="Arial"/>
          <w:sz w:val="18"/>
          <w:szCs w:val="18"/>
          <w:color w:val="auto"/>
        </w:rPr>
        <w:t>” means Loans the rate of interest applicable to which is based upon the Eurocurrency Rate.</w:t>
      </w:r>
    </w:p>
    <w:p>
      <w:pPr>
        <w:spacing w:after="0" w:line="225" w:lineRule="exact"/>
        <w:rPr>
          <w:sz w:val="20"/>
          <w:szCs w:val="20"/>
          <w:color w:val="auto"/>
        </w:rPr>
      </w:pPr>
    </w:p>
    <w:p>
      <w:pPr>
        <w:ind w:right="8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19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14605</wp:posOffset>
            </wp:positionV>
            <wp:extent cx="4707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1.00 - Eurocurrency Reserve Requirements</w:t>
      </w:r>
    </w:p>
    <w:p>
      <w:pPr>
        <w:spacing w:after="0" w:line="22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Reserve Requirements</w:t>
      </w:r>
      <w:r>
        <w:rPr>
          <w:rFonts w:ascii="Arial" w:cs="Arial" w:eastAsia="Arial" w:hAnsi="Arial"/>
          <w:sz w:val="17"/>
          <w:szCs w:val="17"/>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pacing w:after="0" w:line="179"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Tranche</w:t>
      </w:r>
      <w:r>
        <w:rPr>
          <w:rFonts w:ascii="Arial" w:cs="Arial" w:eastAsia="Arial" w:hAnsi="Arial"/>
          <w:sz w:val="17"/>
          <w:szCs w:val="17"/>
          <w:color w:val="auto"/>
        </w:rPr>
        <w:t>” means the collective reference to Eurocurrency Loans under a particular Facility and denominated in the same Currency,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7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22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for any day with respect to (i) any currency (other than Dollars or Brazilian Reais), the rate at which such currency may be exchanged into Dollars, as set forth at 11:00 A.M., London time, on such day on the applicable Reuters currency page with respect to such currency and</w:t>
      </w:r>
    </w:p>
    <w:p>
      <w:pPr>
        <w:ind w:left="5620" w:right="4340" w:hanging="5612"/>
        <w:spacing w:after="0" w:line="433" w:lineRule="auto"/>
        <w:tabs>
          <w:tab w:leader="none" w:pos="26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Brazilian Reais, the exchange rate (</w:t>
      </w:r>
      <w:r>
        <w:rPr>
          <w:rFonts w:ascii="Arial" w:cs="Arial" w:eastAsia="Arial" w:hAnsi="Arial"/>
          <w:sz w:val="18"/>
          <w:szCs w:val="18"/>
          <w:i w:val="1"/>
          <w:iCs w:val="1"/>
          <w:color w:val="auto"/>
        </w:rPr>
        <w:t>taxa de</w:t>
      </w:r>
      <w:r>
        <w:rPr>
          <w:rFonts w:ascii="Arial" w:cs="Arial" w:eastAsia="Arial" w:hAnsi="Arial"/>
          <w:sz w:val="18"/>
          <w:szCs w:val="18"/>
          <w:color w:val="auto"/>
        </w:rPr>
        <w:t xml:space="preserve"> câmbio) at which such currency may be exchanged 12</w:t>
      </w:r>
    </w:p>
    <w:p>
      <w:pPr>
        <w:sectPr>
          <w:pgSz w:w="11900" w:h="16838" w:orient="portrait"/>
          <w:cols w:equalWidth="0" w:num="1">
            <w:col w:w="11420"/>
          </w:cols>
          <w:pgMar w:left="240" w:top="274" w:right="239" w:bottom="1440" w:gutter="0" w:footer="0" w:header="0"/>
        </w:sectPr>
      </w:pPr>
    </w:p>
    <w:bookmarkStart w:id="263" w:name="page264"/>
    <w:bookmarkEnd w:id="263"/>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into Dollars disclosed by the Central Bank of Brazil on its website (which, at the date hereof, is located at http://www.bcb.gov.br/?txcambio), under transaction “Cotações e Boletins” option “Cotações de fechamento de todas as moedas em uma data”, “Venda” (or any successor screen established by the Central Bank of Brazil), on such day. In the event that such rate does not appear on the applicable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or, with respect to Brazilian Reais, 11:00 A.M., Local Time, on such day for the purchase of Dollars with such currency, for delivery two Business Days later;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78"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means (a) GM Holdings, (b) each of the Initial Excluded Subsidiaries, (c) each Subsidiary of the Company that (i) 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contract, agreement, instrument, indenture or other Contractual Obligation shall not have been entered into in contemplation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Unconsolidated Subsidiary,</w:t>
      </w:r>
    </w:p>
    <w:p>
      <w:pPr>
        <w:spacing w:after="0" w:line="1" w:lineRule="exact"/>
        <w:rPr>
          <w:sz w:val="20"/>
          <w:szCs w:val="20"/>
          <w:color w:val="auto"/>
        </w:rPr>
      </w:pPr>
    </w:p>
    <w:p>
      <w:pPr>
        <w:ind w:right="160" w:firstLine="8"/>
        <w:spacing w:after="0" w:line="254" w:lineRule="auto"/>
        <w:tabs>
          <w:tab w:leader="none" w:pos="22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each Finance Subsidiary of the Company, (g) each Subsidiary that is a dealership and (h) each Subsidiary acquired or formed after the Closing Date primarily to operate an Excluded Subsidiary Business; provided,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Businesses</w:t>
      </w:r>
      <w:r>
        <w:rPr>
          <w:rFonts w:ascii="Arial" w:cs="Arial" w:eastAsia="Arial" w:hAnsi="Arial"/>
          <w:sz w:val="18"/>
          <w:szCs w:val="18"/>
          <w:color w:val="auto"/>
        </w:rPr>
        <w:t>” means the businesses and/or Subsidiaries indicated on Schedule 1.1E.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Five Year Credit Agreement</w:t>
      </w:r>
      <w:r>
        <w:rPr>
          <w:rFonts w:ascii="Arial" w:cs="Arial" w:eastAsia="Arial" w:hAnsi="Arial"/>
          <w:sz w:val="18"/>
          <w:szCs w:val="18"/>
          <w:color w:val="auto"/>
        </w:rPr>
        <w:t>” has the meaning assigned to such term in the recitals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w:t>
      </w:r>
      <w:r>
        <w:rPr>
          <w:rFonts w:ascii="Arial" w:cs="Arial" w:eastAsia="Arial" w:hAnsi="Arial"/>
          <w:sz w:val="18"/>
          <w:szCs w:val="18"/>
          <w:color w:val="auto"/>
        </w:rPr>
        <w:t>” means any “Loan” under and as defined in the Existing Five Year Credit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Required Lenders</w:t>
      </w:r>
      <w:r>
        <w:rPr>
          <w:rFonts w:ascii="Arial" w:cs="Arial" w:eastAsia="Arial" w:hAnsi="Arial"/>
          <w:sz w:val="18"/>
          <w:szCs w:val="18"/>
          <w:color w:val="auto"/>
        </w:rPr>
        <w:t>” means the “Required Lenders” under and as defined in the Existing Five Year Credit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has the meaning assigned to such term in Section 2.27(a).</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 as to any Brazilian Lender, such Lender’s Brazilian Extensions of Credit, (b) as to any Domestic Lender, such Lender’s Domestic Extensions of Credit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64" w:name="page265"/>
    <w:bookmarkEnd w:id="264"/>
    <w:p>
      <w:pPr>
        <w:ind w:right="540" w:firstLine="8"/>
        <w:spacing w:after="0" w:line="342" w:lineRule="auto"/>
        <w:tabs>
          <w:tab w:leader="none" w:pos="245" w:val="left"/>
        </w:tabs>
        <w:numPr>
          <w:ilvl w:val="0"/>
          <w:numId w:val="2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to any Multicurrency Lender, such Lender’s Multicurrency Extensions of Credit. To the extent any Incremental Facility or New Local Facility is established, “Extensions of Credit” shall, to the extent appropriate, include the Outstanding Amount of any extensions of credit under such Facilities.</w:t>
      </w:r>
    </w:p>
    <w:p>
      <w:pPr>
        <w:spacing w:after="0" w:line="124"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each of (a) the Brazilian Facility, (b) the Domestic Facility, (c) the Multicurrency Facility, (d) any New Local Facility and (e) any Incremental Facility.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2.8(a).</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 Rate</w:t>
      </w:r>
      <w:r>
        <w:rPr>
          <w:rFonts w:ascii="Arial" w:cs="Arial" w:eastAsia="Arial" w:hAnsi="Arial"/>
          <w:sz w:val="18"/>
          <w:szCs w:val="18"/>
          <w:color w:val="auto"/>
        </w:rPr>
        <w:t>” means, for any day relating to each of the Domestic Facility and the Multicurrency Facility, with respect to the Facility Fees payable hereunder, the applicable rate per annum set forth under the column heading “Facility Fee Rate” in the Applicable Pricing Grid, based upon the Applicable Rating in effect on such day.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Rating</w:t>
      </w:r>
      <w:r>
        <w:rPr>
          <w:rFonts w:ascii="Arial" w:cs="Arial" w:eastAsia="Arial" w:hAnsi="Arial"/>
          <w:sz w:val="16"/>
          <w:szCs w:val="16"/>
          <w:color w:val="auto"/>
        </w:rPr>
        <w:t>” means, as of any date, the credit rating provided by Moody’s, S&amp;P or Fitch, as applicable, for the Facilities provided hereunder.</w:t>
      </w:r>
    </w:p>
    <w:p>
      <w:pPr>
        <w:spacing w:after="0" w:line="248" w:lineRule="exact"/>
        <w:rPr>
          <w:sz w:val="20"/>
          <w:szCs w:val="20"/>
          <w:color w:val="auto"/>
        </w:rPr>
      </w:pPr>
    </w:p>
    <w:p>
      <w:pPr>
        <w:ind w:right="54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73"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Federal Funds Effective Rate shall be less than zero, such rate shall be deemed to be zero for purposes of this Agreement.</w:t>
      </w:r>
    </w:p>
    <w:p>
      <w:pPr>
        <w:spacing w:after="0" w:line="18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1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 or Collateralized).</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Subsidiary</w:t>
      </w:r>
      <w:r>
        <w:rPr>
          <w:rFonts w:ascii="Arial" w:cs="Arial" w:eastAsia="Arial" w:hAnsi="Arial"/>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w:t>
      </w:r>
    </w:p>
    <w:p>
      <w:pPr>
        <w:spacing w:after="0" w:line="18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65" w:name="page266"/>
    <w:bookmarkEnd w:id="26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 per annum specified by the Lender making such Loan in its related Competitive Bid.</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Subsidiary Borrower that is not a Domestic Subsidiary.</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(or other interests that could reasonably be characterized as equity for U.S. federal income tax purposes) of one or more Foreign Subsidiaries or other Foreign Subsidiary Holding Companies.</w:t>
      </w:r>
    </w:p>
    <w:p>
      <w:pPr>
        <w:spacing w:after="0" w:line="181"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Office</w:t>
      </w:r>
      <w:r>
        <w:rPr>
          <w:rFonts w:ascii="Arial" w:cs="Arial" w:eastAsia="Arial" w:hAnsi="Arial"/>
          <w:sz w:val="18"/>
          <w:szCs w:val="18"/>
          <w:color w:val="auto"/>
        </w:rPr>
        <w:t>” means the office of the Administrative Agent specified in Section 10.2 or such other office as may be specified from time to time by the Administrative Agent as its funding office with respect to any Facility or Facilities by written notice to the Company, any relevant Subsidiary Borrower and the applicable Lenders.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 Holdings</w:t>
      </w:r>
      <w:r>
        <w:rPr>
          <w:rFonts w:ascii="Arial" w:cs="Arial" w:eastAsia="Arial" w:hAnsi="Arial"/>
          <w:sz w:val="18"/>
          <w:szCs w:val="18"/>
          <w:color w:val="auto"/>
        </w:rPr>
        <w:t>” means General Motors Holdings LLC, a Delaware limited liability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GMB</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GMGTC</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Third Amended and Restated Guarantee Agreement to be executed and delivered by the Company, substantially in the form of Exhibit A.</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225"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66" w:name="page267"/>
    <w:bookmarkEnd w:id="26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7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Reinstatement Date</w:t>
      </w:r>
      <w:r>
        <w:rPr>
          <w:rFonts w:ascii="Arial" w:cs="Arial" w:eastAsia="Arial" w:hAnsi="Arial"/>
          <w:sz w:val="16"/>
          <w:szCs w:val="16"/>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65" w:lineRule="exact"/>
        <w:rPr>
          <w:sz w:val="20"/>
          <w:szCs w:val="20"/>
          <w:color w:val="auto"/>
        </w:rPr>
      </w:pPr>
    </w:p>
    <w:p>
      <w:pPr>
        <w:jc w:val="both"/>
        <w:ind w:right="10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Release Date</w:t>
      </w:r>
      <w:r>
        <w:rPr>
          <w:rFonts w:ascii="Arial" w:cs="Arial" w:eastAsia="Arial" w:hAnsi="Arial"/>
          <w:sz w:val="16"/>
          <w:szCs w:val="16"/>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w:t>
      </w:r>
    </w:p>
    <w:p>
      <w:pPr>
        <w:ind w:right="20" w:firstLine="8"/>
        <w:spacing w:after="0" w:line="251" w:lineRule="auto"/>
        <w:tabs>
          <w:tab w:leader="none" w:pos="2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98" w:lineRule="exact"/>
        <w:rPr>
          <w:sz w:val="20"/>
          <w:szCs w:val="20"/>
          <w:color w:val="auto"/>
        </w:rPr>
      </w:pPr>
    </w:p>
    <w:p>
      <w:pPr>
        <w:ind w:right="6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collectively, the Company (with respect to the Obligations of any Subsidiary Borrower) and, during any Reinstated Guarantee Period, the Subsidiary Guarantors. For the avoidance of doubt, GM Holdings does not and shall not constitute a Guarantor.</w:t>
      </w:r>
    </w:p>
    <w:p>
      <w:pPr>
        <w:spacing w:after="0" w:line="124"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67" w:name="page268"/>
    <w:bookmarkEnd w:id="26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HMRC</w:t>
      </w:r>
      <w:r>
        <w:rPr>
          <w:rFonts w:ascii="Arial" w:cs="Arial" w:eastAsia="Arial" w:hAnsi="Arial"/>
          <w:sz w:val="18"/>
          <w:szCs w:val="18"/>
          <w:color w:val="auto"/>
        </w:rPr>
        <w:t>” means Her Majesty’s Revenue and Customs.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HMRC DT Treaty Passport scheme</w:t>
      </w:r>
      <w:r>
        <w:rPr>
          <w:rFonts w:ascii="Arial" w:cs="Arial" w:eastAsia="Arial" w:hAnsi="Arial"/>
          <w:sz w:val="18"/>
          <w:szCs w:val="18"/>
          <w:color w:val="auto"/>
        </w:rPr>
        <w:t>” means the HMRC Double Taxation Treaty Passport scheme.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means, as to each Incremental Lender, in respect of any Commitment Increase or Incremental Facility, the obligation of such Incremental Lender on and after the applicable Commitment Increase Date or Incremental Facility Closing Date to make Incremental Loans under the relevant Facility in a principal amount equal to the amount set forth under the heading “Incremental Commitment” opposite such Incremental Lender’s name on the applicable Incremental Loan Activation Notice.</w:t>
      </w:r>
    </w:p>
    <w:p>
      <w:pPr>
        <w:spacing w:after="0" w:line="187"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means any series of Incremental Commitments (other than any Commitment Increase) and the extensions of credit thereunder as provided in any Incremental Loan Activation Notice.</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means, as to any Incremental Facility, the date (which shall be a Business Day) specified in the related Incremental Loan Activation Notice as the first date on which Incremental Loans will be made available thereunder.</w:t>
      </w:r>
    </w:p>
    <w:p>
      <w:pPr>
        <w:spacing w:after="0" w:line="170" w:lineRule="exact"/>
        <w:rPr>
          <w:sz w:val="20"/>
          <w:szCs w:val="20"/>
          <w:color w:val="auto"/>
        </w:rPr>
      </w:pPr>
    </w:p>
    <w:p>
      <w:pPr>
        <w:ind w:right="16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Lender</w:t>
      </w:r>
      <w:r>
        <w:rPr>
          <w:rFonts w:ascii="Arial" w:cs="Arial" w:eastAsia="Arial" w:hAnsi="Arial"/>
          <w:sz w:val="17"/>
          <w:szCs w:val="17"/>
          <w:color w:val="auto"/>
        </w:rPr>
        <w:t>” means (a) any Lender designated by the Company (in the case of a Commitment Increase with respect to the Domestic Facility, with the consent of each Material Issuing Lender (unless such Lender is (A) a Domestic Lender or (B) any other bank, financial institution or any other Person that has an investment grade rating from two of S&amp;P, Moody’s and Fitch at the time of such Commitment Increase, in each case, such consents not to be unreasonably withheld)),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the Administrative Agent and, in the case of a Commitment Increase with respect to the Domestic Facility, each Material Issuing Lender at such time (such consents not to be unreasonably withheld), and (c) each Lender which has made, or acquired pursuant to an assignment made in accordance with Section 10.6, an Incremental Commitment.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Activation Notice</w:t>
      </w:r>
      <w:r>
        <w:rPr>
          <w:rFonts w:ascii="Arial" w:cs="Arial" w:eastAsia="Arial" w:hAnsi="Arial"/>
          <w:sz w:val="18"/>
          <w:szCs w:val="18"/>
          <w:color w:val="auto"/>
        </w:rPr>
        <w:t>” means a notice substantially in the form of Exhibit 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68" w:name="page269"/>
    <w:bookmarkEnd w:id="268"/>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Incremental Loan Maturity Date</w:t>
      </w:r>
      <w:r>
        <w:rPr>
          <w:rFonts w:ascii="Arial" w:cs="Arial" w:eastAsia="Arial" w:hAnsi="Arial"/>
          <w:sz w:val="18"/>
          <w:szCs w:val="18"/>
          <w:color w:val="auto"/>
        </w:rPr>
        <w:t>” means, as to any Incremental Facility, the maturity date specified in the Incremental Loan Activation Notice relating thereto.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has the meaning assigned to such term in Section 2.26(b).</w:t>
      </w:r>
    </w:p>
    <w:p>
      <w:pPr>
        <w:spacing w:after="0" w:line="22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w:t>
      </w:r>
    </w:p>
    <w:p>
      <w:pPr>
        <w:ind w:firstLine="8"/>
        <w:spacing w:after="0" w:line="287" w:lineRule="auto"/>
        <w:tabs>
          <w:tab w:leader="none" w:pos="245"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 Rating</w:t>
      </w:r>
      <w:r>
        <w:rPr>
          <w:rFonts w:ascii="Arial" w:cs="Arial" w:eastAsia="Arial" w:hAnsi="Arial"/>
          <w:sz w:val="18"/>
          <w:szCs w:val="18"/>
          <w:color w:val="auto"/>
        </w:rPr>
        <w:t>” means, as of any date, the credit rating provided by Moody’s, S&amp;P or Fitch, as applicable, for senior, unsecured, long-term Indebtedness of the Company.</w:t>
      </w:r>
    </w:p>
    <w:p>
      <w:pPr>
        <w:spacing w:after="0" w:line="17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Assignee</w:t>
      </w:r>
      <w:r>
        <w:rPr>
          <w:rFonts w:ascii="Arial" w:cs="Arial" w:eastAsia="Arial" w:hAnsi="Arial"/>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9"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Participant</w:t>
      </w:r>
      <w:r>
        <w:rPr>
          <w:rFonts w:ascii="Arial" w:cs="Arial" w:eastAsia="Arial" w:hAnsi="Arial"/>
          <w:sz w:val="16"/>
          <w:szCs w:val="16"/>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xml:space="preserve">” means each Subsidiary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69" w:name="page270"/>
    <w:bookmarkEnd w:id="269"/>
    <w:p>
      <w:pPr>
        <w:ind w:right="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88"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 as to any Eurocurrency Loan (i) initially, the period commencing on the borrowing or conversion date, as the case may be, with respect to such Loan and ending one, two, three or six (or, if agreed to by all Lenders under the relevant Facility, twelve) months (or additionally, in the case of any Eurocurrency Competitive Loan, one or three weeks) thereafter,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one, two, three or six (or, if agreed to by all Lenders under the relevant Facility, twelve) months (or additionally, in the case of any Eurocurrency Competitive Loan, one or three weeks)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6"/>
          <w:szCs w:val="16"/>
          <w:u w:val="single" w:color="auto"/>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196" w:lineRule="exact"/>
        <w:rPr>
          <w:sz w:val="20"/>
          <w:szCs w:val="20"/>
          <w:color w:val="auto"/>
        </w:rPr>
      </w:pPr>
    </w:p>
    <w:p>
      <w:pPr>
        <w:ind w:left="1480" w:right="240" w:hanging="567"/>
        <w:spacing w:after="0" w:line="312" w:lineRule="auto"/>
        <w:tabs>
          <w:tab w:leader="none" w:pos="148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if any Interest Period is one month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73" w:lineRule="exact"/>
        <w:rPr>
          <w:rFonts w:ascii="Arial" w:cs="Arial" w:eastAsia="Arial" w:hAnsi="Arial"/>
          <w:sz w:val="16"/>
          <w:szCs w:val="16"/>
          <w:color w:val="auto"/>
        </w:rPr>
      </w:pPr>
    </w:p>
    <w:p>
      <w:pPr>
        <w:ind w:left="1480" w:right="120" w:hanging="567"/>
        <w:spacing w:after="0" w:line="277" w:lineRule="auto"/>
        <w:tabs>
          <w:tab w:leader="none" w:pos="14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or relevant Subsidiary Borrower may not select an Interest Period under a particular Facility that would extend beyond the earliest Termination Date then in effect for such Facility; and</w:t>
      </w:r>
    </w:p>
    <w:p>
      <w:pPr>
        <w:spacing w:after="0" w:line="197" w:lineRule="exact"/>
        <w:rPr>
          <w:rFonts w:ascii="Arial" w:cs="Arial" w:eastAsia="Arial" w:hAnsi="Arial"/>
          <w:sz w:val="18"/>
          <w:szCs w:val="18"/>
          <w:color w:val="auto"/>
        </w:rPr>
      </w:pPr>
    </w:p>
    <w:p>
      <w:pPr>
        <w:ind w:left="1480" w:right="180" w:hanging="567"/>
        <w:spacing w:after="0" w:line="264" w:lineRule="auto"/>
        <w:tabs>
          <w:tab w:leader="none" w:pos="14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Interest Period that is one month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70" w:name="page271"/>
    <w:bookmarkEnd w:id="270"/>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(1998), International Chamber of Commerce Publication No. 590 and any subsequent revision thereof adhered to by the Issuing Lenders.</w:t>
      </w:r>
    </w:p>
    <w:p>
      <w:pPr>
        <w:spacing w:after="0" w:line="17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with respect to a Letter of Credit, the Lender or the Applicable Lending Office thereof that is requested to issue, or that issues, such Letter of Credit pursuant to an L/C Commitment. For the avoidance of doubt, each party hereto acknowledges that, subject to the ability of the Company to add Issuing Lenders pursuant to Section 3.10 following the Closing Date, as of the Closing Date no Lender or any Applicable Lending Office thereof is an Issuing Lender.</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Japanese Yen</w:t>
      </w:r>
      <w:r>
        <w:rPr>
          <w:rFonts w:ascii="Arial" w:cs="Arial" w:eastAsia="Arial" w:hAnsi="Arial"/>
          <w:sz w:val="18"/>
          <w:szCs w:val="18"/>
          <w:color w:val="auto"/>
        </w:rPr>
        <w:t>” means the official currency of Japan.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jc w:val="both"/>
        <w:ind w:right="2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as to any Lender (or Applicable Lending Office thereof), the obligation of such Person to issue Letters of Credit pursuant to Section 3 in an aggregate Outstanding Amount at any time not to exceed the amount set forth under the heading “L/C Commitment” opposite such Person’s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or in the Assignment and Assumption pursuant to which such Lender becomes a party thereto, in each case, as the same may be changed from time to time pursuant to the terms hereof, including Section 3.10. For the avoidance of doubt, each party hereto acknowledges that, subject to the ability of the Company to add Issuing Lenders pursuant to Section 3.10 following the Closing Date, as of the Closing Date no Lender or any Applicable Lending Office thereof has an L/C Commitment.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means, at any time, the Dollar Equivalent of the aggregate Outstanding Amount of all Letters of Credit, after giving effect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3.9.</w:t>
      </w:r>
    </w:p>
    <w:p>
      <w:pPr>
        <w:spacing w:after="0" w:line="211"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means, with respect to any Letter of Credit issued by an Issuing Lender, the collective reference to all of the Domestic Lenders (other than the Issuing Lender with respect to such Letter of Credit).</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Sublimit</w:t>
      </w:r>
      <w:r>
        <w:rPr>
          <w:rFonts w:ascii="Arial" w:cs="Arial" w:eastAsia="Arial" w:hAnsi="Arial"/>
          <w:sz w:val="18"/>
          <w:szCs w:val="18"/>
          <w:color w:val="auto"/>
        </w:rPr>
        <w:t xml:space="preserve">” means, at the time of determination, the lesser of (i) $500 million or (ii) the Total Domestic Commitment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from time to time, the Company may increase the L/C Sublimit by notice to the Administrative Agent.</w:t>
      </w:r>
    </w:p>
    <w:p>
      <w:pPr>
        <w:spacing w:after="0" w:line="17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93" w:lineRule="exact"/>
        <w:rPr>
          <w:sz w:val="20"/>
          <w:szCs w:val="20"/>
          <w:color w:val="auto"/>
        </w:rPr>
      </w:pPr>
    </w:p>
    <w:p>
      <w:pPr>
        <w:ind w:right="5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assigned to such term in the preamble hereto and shall include, individually and in the aggregate, the Brazilian Lenders, the Domestic Lenders, the Issuing Lenders and the Multicurrency Lenders. To the extent any Incremental Facility or New Local Facility is established, “Lenders” shall, to the extent appropriate, include any Lender under such Facilities.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has the meaning assigned to such term in Section 3.1(a), after giving effect to Section 3.9.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71" w:name="page272"/>
    <w:bookmarkEnd w:id="27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has the meaning assigned to such term in Section 3.3.</w:t>
      </w:r>
    </w:p>
    <w:p>
      <w:pPr>
        <w:spacing w:after="0" w:line="225" w:lineRule="exact"/>
        <w:rPr>
          <w:sz w:val="20"/>
          <w:szCs w:val="20"/>
          <w:color w:val="auto"/>
        </w:rPr>
      </w:pPr>
    </w:p>
    <w:p>
      <w:pPr>
        <w:ind w:right="9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security interest, charge, conditional sale or other title retention agreement or other similar encumbrance.</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Brazilian Bank Certificates, the Guarantee, the Notes, each Borrower Joinder Agreement, each Guarantee Joinder and any amendment, waiver, supplement or other modification to any of the foregoing.</w:t>
      </w:r>
    </w:p>
    <w:p>
      <w:pPr>
        <w:spacing w:after="0" w:line="170"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(a) the Company and each Subsidiary Borrower and (b) during any Reinstated Guarantee Period, each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87" w:lineRule="exact"/>
        <w:rPr>
          <w:sz w:val="20"/>
          <w:szCs w:val="20"/>
          <w:color w:val="auto"/>
        </w:rPr>
      </w:pPr>
    </w:p>
    <w:p>
      <w:pPr>
        <w:ind w:right="6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 including Brazilian Loans, Domestic Loans, Multicurrency Loans and Competitive Loans. To the extent any Incremental Facility or New Local Facility is established, “Loans” shall, to the extent appropriate, include Loans made under such Facilities.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Facility Amendment</w:t>
      </w:r>
      <w:r>
        <w:rPr>
          <w:rFonts w:ascii="Arial" w:cs="Arial" w:eastAsia="Arial" w:hAnsi="Arial"/>
          <w:sz w:val="18"/>
          <w:szCs w:val="18"/>
          <w:color w:val="auto"/>
        </w:rPr>
        <w:t>” has the meaning assigned to such term in Section 2.25(a).</w:t>
      </w:r>
    </w:p>
    <w:p>
      <w:pPr>
        <w:spacing w:after="0" w:line="225"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Local Time</w:t>
      </w:r>
      <w:r>
        <w:rPr>
          <w:rFonts w:ascii="Arial" w:cs="Arial" w:eastAsia="Arial" w:hAnsi="Arial"/>
          <w:sz w:val="16"/>
          <w:szCs w:val="16"/>
          <w:color w:val="auto"/>
        </w:rPr>
        <w:t>” means (i) New York City time in the case of a Loan or other disbursement denominated in Dollars, (ii) London time in the case of a Loan or other disbursement denominated in an Optional Currency other than Brazilian Reais (or any such other local time as otherwise notified to or communicated by the Administrative Agent) and (iii) São Paulo time in the case of any Loan or other disbursement denominated in Brazilian Reais.</w:t>
      </w:r>
    </w:p>
    <w:p>
      <w:pPr>
        <w:spacing w:after="0" w:line="14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Facility Lenders</w:t>
      </w:r>
      <w:r>
        <w:rPr>
          <w:rFonts w:ascii="Arial" w:cs="Arial" w:eastAsia="Arial" w:hAnsi="Arial"/>
          <w:sz w:val="18"/>
          <w:szCs w:val="18"/>
          <w:color w:val="auto"/>
        </w:rPr>
        <w:t>” means with respect to any Facility, the holders of more than 50% of the aggregate amount of Commitments outstanding under such Facility (or at any time after all of the Commitments thereunder shall have expired or terminated, the holders of more than 50% of the aggregate amount of Extensions of Credit and Competitive Loans thereunder).</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w:t>
      </w:r>
      <w:r>
        <w:rPr>
          <w:rFonts w:ascii="Arial" w:cs="Arial" w:eastAsia="Arial" w:hAnsi="Arial"/>
          <w:sz w:val="18"/>
          <w:szCs w:val="18"/>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72" w:name="page273"/>
    <w:bookmarkEnd w:id="272"/>
    <w:p>
      <w:pPr>
        <w:ind w:right="34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Issuing Lender</w:t>
      </w:r>
      <w:r>
        <w:rPr>
          <w:rFonts w:ascii="Arial" w:cs="Arial" w:eastAsia="Arial" w:hAnsi="Arial"/>
          <w:sz w:val="18"/>
          <w:szCs w:val="18"/>
          <w:color w:val="auto"/>
        </w:rPr>
        <w:t>” means any Issuing Lender with an L/C Commitment of $200 million or more.</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Loan Party</w:t>
      </w:r>
      <w:r>
        <w:rPr>
          <w:rFonts w:ascii="Arial" w:cs="Arial" w:eastAsia="Arial" w:hAnsi="Arial"/>
          <w:sz w:val="18"/>
          <w:szCs w:val="18"/>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2017 10-K and thereafter in the most recent annual consolidated financial statements of the Company delivered or deemed delivered pursuant to Section 6.1 and (b) at all other times, the Company.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w:t>
      </w:r>
      <w:r>
        <w:rPr>
          <w:rFonts w:ascii="Arial" w:cs="Arial" w:eastAsia="Arial" w:hAnsi="Arial"/>
          <w:sz w:val="18"/>
          <w:szCs w:val="18"/>
          <w:color w:val="auto"/>
        </w:rPr>
        <w:t>” means, as to any Lender, the obligation of such Lender, if any, to make Multicurrency Loans in an aggregate principal amount, the Dollar Equivalent of which shall not exceed the amount set forth under the heading “Multicurrency Commitment” opposite such Lender’s name on Schedule 1.1A or in the Assignment and Assumption pursuant to which such Lender became a party hereto, as the same may be changed from time to time pursuant to the terms hereof.</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Competitive Loan</w:t>
      </w:r>
      <w:r>
        <w:rPr>
          <w:rFonts w:ascii="Arial" w:cs="Arial" w:eastAsia="Arial" w:hAnsi="Arial"/>
          <w:sz w:val="18"/>
          <w:szCs w:val="18"/>
          <w:color w:val="auto"/>
        </w:rPr>
        <w:t>” means a Competitive Loan made under the Multicurrency Facility.</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Extensions of Credit</w:t>
      </w:r>
      <w:r>
        <w:rPr>
          <w:rFonts w:ascii="Arial" w:cs="Arial" w:eastAsia="Arial" w:hAnsi="Arial"/>
          <w:sz w:val="18"/>
          <w:szCs w:val="18"/>
          <w:color w:val="auto"/>
        </w:rPr>
        <w:t>” means, as to any Multicurrency Lender at any time, an amount equal to the Dollar Equivalent of the aggregate principal amount of all Multicurrency Loans held by such Lender then outstanding.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Facility</w:t>
      </w:r>
      <w:r>
        <w:rPr>
          <w:rFonts w:ascii="Arial" w:cs="Arial" w:eastAsia="Arial" w:hAnsi="Arial"/>
          <w:sz w:val="18"/>
          <w:szCs w:val="18"/>
          <w:color w:val="auto"/>
        </w:rPr>
        <w:t>” means the Multicurrency Commitments and the extensions of credit made thereunder.</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Lender</w:t>
      </w:r>
      <w:r>
        <w:rPr>
          <w:rFonts w:ascii="Arial" w:cs="Arial" w:eastAsia="Arial" w:hAnsi="Arial"/>
          <w:sz w:val="18"/>
          <w:szCs w:val="18"/>
          <w:color w:val="auto"/>
        </w:rPr>
        <w:t>” means each Lender that has a Multicurrency Commitment or that holds Multicurrency Loans or other Loans made under the Multicurrency Facility.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Loans</w:t>
      </w:r>
      <w:r>
        <w:rPr>
          <w:rFonts w:ascii="Arial" w:cs="Arial" w:eastAsia="Arial" w:hAnsi="Arial"/>
          <w:sz w:val="18"/>
          <w:szCs w:val="18"/>
          <w:color w:val="auto"/>
        </w:rPr>
        <w:t>” has the meaning assigned to such term in Section 2.3.</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Percentage</w:t>
      </w:r>
      <w:r>
        <w:rPr>
          <w:rFonts w:ascii="Arial" w:cs="Arial" w:eastAsia="Arial" w:hAnsi="Arial"/>
          <w:sz w:val="16"/>
          <w:szCs w:val="16"/>
          <w:color w:val="auto"/>
        </w:rPr>
        <w:t>” means, as to any Multicurrency Lender at any time, the percentage which such Lender’s Multicurrency Commitment then constitutes of the aggregate amount of the Multicurrency Commitments then in effect or, at any time after all of the Multicurrency Commitments shall have expired or terminated, the percentage which the aggregate Outstanding Amount of Multicurrency Extensions of Credit and the Dollar Equivalent of outstanding Multicurrency Competitive Loans of such Lender then outstanding constitutes of the aggregate Outstanding Amount of Multicurrency Extensions of Credit and the Dollar Equivalent of outstanding Multicurrency Competitive Loans of the Multicurrency Lenders then outstanding.</w:t>
      </w:r>
    </w:p>
    <w:p>
      <w:pPr>
        <w:spacing w:after="0" w:line="158"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73" w:name="page274"/>
    <w:bookmarkEnd w:id="273"/>
    <w:p>
      <w:pPr>
        <w:jc w:val="both"/>
        <w:ind w:right="2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w:t>
      </w:r>
      <w:r>
        <w:rPr>
          <w:rFonts w:ascii="Arial" w:cs="Arial" w:eastAsia="Arial" w:hAnsi="Arial"/>
          <w:sz w:val="18"/>
          <w:szCs w:val="18"/>
          <w:color w:val="auto"/>
        </w:rPr>
        <w:t>” has the meaning assigned to such term in Section 2.25(a).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Local Facility Lender</w:t>
      </w:r>
      <w:r>
        <w:rPr>
          <w:rFonts w:ascii="Arial" w:cs="Arial" w:eastAsia="Arial" w:hAnsi="Arial"/>
          <w:sz w:val="18"/>
          <w:szCs w:val="18"/>
          <w:color w:val="auto"/>
        </w:rPr>
        <w:t>” has the meaning assigned to such term in Section 2.25(a).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has the meaning assigned to such term in Section 2.19(a).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has the meaning assigned to such term in Section 2.27(b).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has the meaning assigned to such term in Section 2.19(d).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2.17(g).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7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collectively, the unpaid principal of and interest on the Loans, Reimbursement Obligations and all other obligations and liabilities of the Company, any other Borrower, any Subsidiary Guarantor or any Applicable Account Party (including interest accruing at the then applicable rate provided in this Agreement after the maturity of the Loans and Reimbursement Obligations and Post-Petition Interest) to the Administrative Agent, the Brazilian Administrative Agent, any Lender or any Issuing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the Brazilian Administrative Agent, the Lenders or the Issuing Lenders that are required to be paid by the Company, any of the Subsidiary Borrowers, any of the Subsidiary Guarantors or any of the Applicable Account Parties pursuant to the terms of any of the Loan Documents).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Currency</w:t>
      </w:r>
      <w:r>
        <w:rPr>
          <w:rFonts w:ascii="Arial" w:cs="Arial" w:eastAsia="Arial" w:hAnsi="Arial"/>
          <w:sz w:val="18"/>
          <w:szCs w:val="18"/>
          <w:color w:val="auto"/>
        </w:rPr>
        <w:t>” means, with respect to Loans or Letters of Credit made under each Facility (other than the Brazilian Facility and the Domestic Facility), at any time, Euro, Pounds Sterling, Japanese Yen and such other currencies which are freely convertible into Dollars and are freely traded and available in the London Interbank eurocurrency market with the consent of the Administrative Agent and the Lenders under the applicable Facility (or, in the case of Letters of Credit, the applicable Issuing Lender).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74" w:name="page275"/>
    <w:bookmarkEnd w:id="27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225" w:lineRule="exact"/>
        <w:rPr>
          <w:sz w:val="20"/>
          <w:szCs w:val="20"/>
          <w:color w:val="auto"/>
        </w:rPr>
      </w:pPr>
    </w:p>
    <w:p>
      <w:pPr>
        <w:ind w:right="30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54"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xml:space="preserve">” means (a) with respect to indebtedness for borrowed money, the aggregate outstanding principal amount thereof, (b) with respect to banker’s acceptances, letters of credit or letters of guarantee, the aggregate undrawn, unexpired face amount thereof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unreimbursed drawn amount thereof, (c) with respect to Hedging Obligations, the aggregate amount recorded by the applicable obligor as its termination liability thereunder and (d) with respect to any other obligations, the aggregate outstanding amount thereof.</w:t>
      </w:r>
    </w:p>
    <w:p>
      <w:pPr>
        <w:spacing w:after="0" w:line="17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xml:space="preserve">” means, for any day, the rate comprised of both overnight federal funds and overnight eurocurrency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Overnight Bank Funding Rate shall be less than zero, such rate shall be deemed to be zero for purposes of this Agreement.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225"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w:t>
      </w:r>
      <w:r>
        <w:rPr>
          <w:rFonts w:ascii="Arial" w:cs="Arial" w:eastAsia="Arial" w:hAnsi="Arial"/>
          <w:sz w:val="18"/>
          <w:szCs w:val="18"/>
          <w:color w:val="auto"/>
        </w:rPr>
        <w:t>” means as to any Lender, the applicable Brazilian Percentage of such Lender, the applicable Domestic Percentage of such Lender or the applicable Multicurrency Percentage of such Lender. To the extent any Incremental Facility or New Local Facility is established, the “Percentage” of any Lender in respect of such Facility shall be determined on a comparable basis.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920" w:right="60" w:firstLine="421"/>
        <w:spacing w:after="0" w:line="291" w:lineRule="auto"/>
        <w:tabs>
          <w:tab w:leader="none" w:pos="1585" w:val="left"/>
        </w:tabs>
        <w:numPr>
          <w:ilvl w:val="1"/>
          <w:numId w:val="270"/>
        </w:numPr>
        <w:rPr>
          <w:rFonts w:ascii="Arial" w:cs="Arial" w:eastAsia="Arial" w:hAnsi="Arial"/>
          <w:sz w:val="16"/>
          <w:szCs w:val="16"/>
          <w:color w:val="auto"/>
        </w:rPr>
      </w:pPr>
      <w:r>
        <w:rPr>
          <w:rFonts w:ascii="Arial" w:cs="Arial" w:eastAsia="Arial" w:hAnsi="Arial"/>
          <w:sz w:val="16"/>
          <w:szCs w:val="16"/>
          <w:color w:val="auto"/>
        </w:rPr>
        <w:t>Liens for Taxes, assessments, governmental charges and utility charges, in each case that (i) are not yet delinquent, (ii) are not yet subject to penalties or interest for non-payment, (iii) are due, but the Liens imposed for such Taxes, assessments or charges are unenforceable or</w:t>
      </w:r>
    </w:p>
    <w:p>
      <w:pPr>
        <w:ind w:left="920" w:right="420" w:firstLine="1"/>
        <w:spacing w:after="0" w:line="261" w:lineRule="auto"/>
        <w:tabs>
          <w:tab w:leader="none" w:pos="122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are being contested in good faith by appropriate actions or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that if and to the extent required by GAAP, adequate reserves with respect thereto are maintained on the books of the relevant Person in conformity with GAAP;</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275" w:name="page276"/>
    <w:bookmarkEnd w:id="275"/>
    <w:p>
      <w:pPr>
        <w:jc w:val="both"/>
        <w:ind w:left="-280" w:right="80" w:firstLine="421"/>
        <w:spacing w:after="0" w:line="264" w:lineRule="auto"/>
        <w:tabs>
          <w:tab w:leader="none" w:pos="395"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181" w:lineRule="exact"/>
        <w:rPr>
          <w:rFonts w:ascii="Arial" w:cs="Arial" w:eastAsia="Arial" w:hAnsi="Arial"/>
          <w:sz w:val="18"/>
          <w:szCs w:val="18"/>
          <w:color w:val="auto"/>
        </w:rPr>
      </w:pPr>
    </w:p>
    <w:p>
      <w:pPr>
        <w:ind w:left="380" w:hanging="239"/>
        <w:spacing w:after="0"/>
        <w:tabs>
          <w:tab w:leader="none" w:pos="3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w:t>
      </w:r>
    </w:p>
    <w:p>
      <w:pPr>
        <w:spacing w:after="0" w:line="225" w:lineRule="exact"/>
        <w:rPr>
          <w:rFonts w:ascii="Arial" w:cs="Arial" w:eastAsia="Arial" w:hAnsi="Arial"/>
          <w:sz w:val="18"/>
          <w:szCs w:val="18"/>
          <w:color w:val="auto"/>
        </w:rPr>
      </w:pPr>
    </w:p>
    <w:p>
      <w:pPr>
        <w:jc w:val="both"/>
        <w:ind w:left="-280" w:right="600" w:firstLine="421"/>
        <w:spacing w:after="0" w:line="264" w:lineRule="auto"/>
        <w:tabs>
          <w:tab w:leader="none" w:pos="39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181" w:lineRule="exact"/>
        <w:rPr>
          <w:rFonts w:ascii="Arial" w:cs="Arial" w:eastAsia="Arial" w:hAnsi="Arial"/>
          <w:sz w:val="18"/>
          <w:szCs w:val="18"/>
          <w:color w:val="auto"/>
        </w:rPr>
      </w:pPr>
    </w:p>
    <w:p>
      <w:pPr>
        <w:ind w:left="-280" w:right="40" w:firstLine="421"/>
        <w:spacing w:after="0" w:line="257" w:lineRule="auto"/>
        <w:tabs>
          <w:tab w:leader="none" w:pos="38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188" w:lineRule="exact"/>
        <w:rPr>
          <w:rFonts w:ascii="Arial" w:cs="Arial" w:eastAsia="Arial" w:hAnsi="Arial"/>
          <w:sz w:val="18"/>
          <w:szCs w:val="18"/>
          <w:color w:val="auto"/>
        </w:rPr>
      </w:pPr>
    </w:p>
    <w:p>
      <w:pPr>
        <w:ind w:left="-280" w:right="60" w:firstLine="421"/>
        <w:spacing w:after="0" w:line="277" w:lineRule="auto"/>
        <w:tabs>
          <w:tab w:leader="none" w:pos="36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70" w:lineRule="exact"/>
        <w:rPr>
          <w:rFonts w:ascii="Arial" w:cs="Arial" w:eastAsia="Arial" w:hAnsi="Arial"/>
          <w:sz w:val="18"/>
          <w:szCs w:val="18"/>
          <w:color w:val="auto"/>
        </w:rPr>
      </w:pPr>
    </w:p>
    <w:p>
      <w:pPr>
        <w:ind w:left="-280" w:right="80" w:firstLine="421"/>
        <w:spacing w:after="0" w:line="255" w:lineRule="auto"/>
        <w:tabs>
          <w:tab w:leader="none" w:pos="39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193" w:lineRule="exact"/>
        <w:rPr>
          <w:rFonts w:ascii="Arial" w:cs="Arial" w:eastAsia="Arial" w:hAnsi="Arial"/>
          <w:sz w:val="18"/>
          <w:szCs w:val="18"/>
          <w:color w:val="auto"/>
        </w:rPr>
      </w:pPr>
    </w:p>
    <w:p>
      <w:pPr>
        <w:ind w:left="-280" w:firstLine="421"/>
        <w:spacing w:after="0" w:line="264" w:lineRule="auto"/>
        <w:tabs>
          <w:tab w:leader="none" w:pos="39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 or instruments;</w:t>
      </w:r>
    </w:p>
    <w:p>
      <w:pPr>
        <w:spacing w:after="0" w:line="181" w:lineRule="exact"/>
        <w:rPr>
          <w:rFonts w:ascii="Arial" w:cs="Arial" w:eastAsia="Arial" w:hAnsi="Arial"/>
          <w:sz w:val="18"/>
          <w:szCs w:val="18"/>
          <w:color w:val="auto"/>
        </w:rPr>
      </w:pPr>
    </w:p>
    <w:p>
      <w:pPr>
        <w:jc w:val="both"/>
        <w:ind w:left="-280" w:right="80" w:firstLine="421"/>
        <w:spacing w:after="0" w:line="259" w:lineRule="auto"/>
        <w:tabs>
          <w:tab w:leader="none" w:pos="35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20"/>
          </w:cols>
          <w:pgMar w:left="1440" w:top="274" w:right="239" w:bottom="1440" w:gutter="0" w:footer="0" w:header="0"/>
        </w:sectPr>
      </w:pPr>
    </w:p>
    <w:bookmarkStart w:id="276" w:name="page277"/>
    <w:bookmarkEnd w:id="276"/>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81" w:lineRule="exact"/>
        <w:rPr>
          <w:sz w:val="20"/>
          <w:szCs w:val="20"/>
          <w:color w:val="auto"/>
        </w:rPr>
      </w:pPr>
    </w:p>
    <w:p>
      <w:pPr>
        <w:ind w:right="280" w:firstLine="421"/>
        <w:spacing w:after="0" w:line="264" w:lineRule="auto"/>
        <w:tabs>
          <w:tab w:leader="none" w:pos="635"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and listed on Schedule 1.1D,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181" w:lineRule="exact"/>
        <w:rPr>
          <w:rFonts w:ascii="Arial" w:cs="Arial" w:eastAsia="Arial" w:hAnsi="Arial"/>
          <w:sz w:val="18"/>
          <w:szCs w:val="18"/>
          <w:color w:val="auto"/>
        </w:rPr>
      </w:pPr>
    </w:p>
    <w:p>
      <w:pPr>
        <w:jc w:val="both"/>
        <w:ind w:right="60" w:firstLine="421"/>
        <w:spacing w:after="0" w:line="312" w:lineRule="auto"/>
        <w:tabs>
          <w:tab w:leader="none" w:pos="675" w:val="left"/>
        </w:tabs>
        <w:numPr>
          <w:ilvl w:val="1"/>
          <w:numId w:val="273"/>
        </w:numPr>
        <w:rPr>
          <w:rFonts w:ascii="Arial" w:cs="Arial" w:eastAsia="Arial" w:hAnsi="Arial"/>
          <w:sz w:val="16"/>
          <w:szCs w:val="16"/>
          <w:color w:val="auto"/>
        </w:rPr>
      </w:pPr>
      <w:r>
        <w:rPr>
          <w:rFonts w:ascii="Arial" w:cs="Arial" w:eastAsia="Arial" w:hAnsi="Arial"/>
          <w:sz w:val="16"/>
          <w:szCs w:val="16"/>
          <w:color w:val="auto"/>
        </w:rPr>
        <w:t xml:space="preserve">Liens on property or Capital Stock of a Person at the time such Person becomes a Loan Party or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Liens are not created, incurred or assumed in connection with, or in contemplation of, such other Person becoming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Lien may not extend to any other property owned by the Company or any Principal Domestic Subsidiary;</w:t>
      </w:r>
    </w:p>
    <w:p>
      <w:pPr>
        <w:spacing w:after="0" w:line="146" w:lineRule="exact"/>
        <w:rPr>
          <w:rFonts w:ascii="Arial" w:cs="Arial" w:eastAsia="Arial" w:hAnsi="Arial"/>
          <w:sz w:val="16"/>
          <w:szCs w:val="16"/>
          <w:color w:val="auto"/>
        </w:rPr>
      </w:pPr>
    </w:p>
    <w:p>
      <w:pPr>
        <w:ind w:firstLine="421"/>
        <w:spacing w:after="0" w:line="279" w:lineRule="auto"/>
        <w:tabs>
          <w:tab w:leader="none" w:pos="635" w:val="left"/>
        </w:tabs>
        <w:numPr>
          <w:ilvl w:val="1"/>
          <w:numId w:val="273"/>
        </w:numPr>
        <w:rPr>
          <w:rFonts w:ascii="Arial" w:cs="Arial" w:eastAsia="Arial" w:hAnsi="Arial"/>
          <w:sz w:val="17"/>
          <w:szCs w:val="17"/>
          <w:color w:val="auto"/>
        </w:rPr>
      </w:pPr>
      <w:r>
        <w:rPr>
          <w:rFonts w:ascii="Arial" w:cs="Arial" w:eastAsia="Arial" w:hAnsi="Arial"/>
          <w:sz w:val="17"/>
          <w:szCs w:val="17"/>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Liens are not created, incurred or assumed in connection with, or in contemplation of,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Company or any Principal Domestic Subsidiary;</w:t>
      </w:r>
    </w:p>
    <w:p>
      <w:pPr>
        <w:spacing w:after="0" w:line="171" w:lineRule="exact"/>
        <w:rPr>
          <w:rFonts w:ascii="Arial" w:cs="Arial" w:eastAsia="Arial" w:hAnsi="Arial"/>
          <w:sz w:val="17"/>
          <w:szCs w:val="17"/>
          <w:color w:val="auto"/>
        </w:rPr>
      </w:pPr>
    </w:p>
    <w:p>
      <w:pPr>
        <w:jc w:val="both"/>
        <w:ind w:right="20" w:firstLine="421"/>
        <w:spacing w:after="0" w:line="342" w:lineRule="auto"/>
        <w:tabs>
          <w:tab w:leader="none" w:pos="725"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123" w:lineRule="exact"/>
        <w:rPr>
          <w:rFonts w:ascii="Arial" w:cs="Arial" w:eastAsia="Arial" w:hAnsi="Arial"/>
          <w:sz w:val="16"/>
          <w:szCs w:val="16"/>
          <w:color w:val="auto"/>
        </w:rPr>
      </w:pPr>
    </w:p>
    <w:p>
      <w:pPr>
        <w:ind w:right="260" w:firstLine="421"/>
        <w:spacing w:after="0" w:line="277" w:lineRule="auto"/>
        <w:tabs>
          <w:tab w:leader="none" w:pos="675"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any Lien arising out of claims under a judgment rendered, decree or claim filed so long as such judgments, decrees or claims do not constitute an Event of Default;</w:t>
      </w:r>
    </w:p>
    <w:p>
      <w:pPr>
        <w:spacing w:after="0" w:line="170" w:lineRule="exact"/>
        <w:rPr>
          <w:rFonts w:ascii="Arial" w:cs="Arial" w:eastAsia="Arial" w:hAnsi="Arial"/>
          <w:sz w:val="18"/>
          <w:szCs w:val="18"/>
          <w:color w:val="auto"/>
        </w:rPr>
      </w:pPr>
    </w:p>
    <w:p>
      <w:pPr>
        <w:ind w:left="680" w:hanging="259"/>
        <w:spacing w:after="0"/>
        <w:tabs>
          <w:tab w:leader="none" w:pos="6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225" w:lineRule="exact"/>
        <w:rPr>
          <w:rFonts w:ascii="Arial" w:cs="Arial" w:eastAsia="Arial" w:hAnsi="Arial"/>
          <w:sz w:val="18"/>
          <w:szCs w:val="18"/>
          <w:color w:val="auto"/>
        </w:rPr>
      </w:pPr>
    </w:p>
    <w:p>
      <w:pPr>
        <w:ind w:left="680" w:hanging="259"/>
        <w:spacing w:after="0"/>
        <w:tabs>
          <w:tab w:leader="none" w:pos="6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w:t>
      </w:r>
    </w:p>
    <w:p>
      <w:pPr>
        <w:spacing w:after="0" w:line="225" w:lineRule="exact"/>
        <w:rPr>
          <w:rFonts w:ascii="Arial" w:cs="Arial" w:eastAsia="Arial" w:hAnsi="Arial"/>
          <w:sz w:val="18"/>
          <w:szCs w:val="18"/>
          <w:color w:val="auto"/>
        </w:rPr>
      </w:pPr>
    </w:p>
    <w:p>
      <w:pPr>
        <w:ind w:firstLine="421"/>
        <w:spacing w:after="0" w:line="288" w:lineRule="auto"/>
        <w:tabs>
          <w:tab w:leader="none" w:pos="675" w:val="left"/>
        </w:tabs>
        <w:numPr>
          <w:ilvl w:val="1"/>
          <w:numId w:val="273"/>
        </w:numPr>
        <w:rPr>
          <w:rFonts w:ascii="Arial" w:cs="Arial" w:eastAsia="Arial" w:hAnsi="Arial"/>
          <w:sz w:val="16"/>
          <w:szCs w:val="16"/>
          <w:color w:val="auto"/>
        </w:rPr>
      </w:pPr>
      <w:r>
        <w:rPr>
          <w:rFonts w:ascii="Arial" w:cs="Arial" w:eastAsia="Arial" w:hAnsi="Arial"/>
          <w:sz w:val="16"/>
          <w:szCs w:val="16"/>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w:t>
      </w:r>
    </w:p>
    <w:p>
      <w:pPr>
        <w:ind w:right="100" w:firstLine="1"/>
        <w:spacing w:after="0" w:line="281" w:lineRule="auto"/>
        <w:tabs>
          <w:tab w:leader="none" w:pos="305" w:val="left"/>
        </w:tabs>
        <w:numPr>
          <w:ilvl w:val="0"/>
          <w:numId w:val="274"/>
        </w:numPr>
        <w:rPr>
          <w:rFonts w:ascii="Arial" w:cs="Arial" w:eastAsia="Arial" w:hAnsi="Arial"/>
          <w:sz w:val="16"/>
          <w:szCs w:val="16"/>
          <w:color w:val="auto"/>
        </w:rPr>
      </w:pPr>
      <w:r>
        <w:rPr>
          <w:rFonts w:ascii="Arial" w:cs="Arial" w:eastAsia="Arial" w:hAnsi="Arial"/>
          <w:sz w:val="16"/>
          <w:szCs w:val="16"/>
          <w:color w:val="auto"/>
        </w:rPr>
        <w:t>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 (viii) rental deposits, (ix) judicial appeals and</w:t>
      </w:r>
    </w:p>
    <w:p>
      <w:pPr>
        <w:spacing w:after="0" w:line="2" w:lineRule="exact"/>
        <w:rPr>
          <w:rFonts w:ascii="Arial" w:cs="Arial" w:eastAsia="Arial" w:hAnsi="Arial"/>
          <w:sz w:val="16"/>
          <w:szCs w:val="16"/>
          <w:color w:val="auto"/>
        </w:rPr>
      </w:pPr>
    </w:p>
    <w:p>
      <w:pPr>
        <w:ind w:left="260" w:hanging="259"/>
        <w:spacing w:after="0"/>
        <w:tabs>
          <w:tab w:leader="none" w:pos="2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service contracts;</w:t>
      </w:r>
    </w:p>
    <w:p>
      <w:pPr>
        <w:spacing w:after="0" w:line="14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420"/>
          </w:cols>
          <w:pgMar w:left="1160" w:top="274" w:right="319" w:bottom="1440" w:gutter="0" w:footer="0" w:header="0"/>
        </w:sectPr>
      </w:pPr>
    </w:p>
    <w:bookmarkStart w:id="277" w:name="page278"/>
    <w:bookmarkEnd w:id="277"/>
    <w:p>
      <w:pPr>
        <w:ind w:left="1560" w:hanging="219"/>
        <w:spacing w:after="0"/>
        <w:tabs>
          <w:tab w:leader="none" w:pos="15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securing Indebtedness or other obligations of a Subsidiary owing to the Company or any Principal Domestic Subsidiary;</w:t>
      </w:r>
    </w:p>
    <w:p>
      <w:pPr>
        <w:spacing w:after="0" w:line="236" w:lineRule="exact"/>
        <w:rPr>
          <w:rFonts w:ascii="Arial" w:cs="Arial" w:eastAsia="Arial" w:hAnsi="Arial"/>
          <w:sz w:val="17"/>
          <w:szCs w:val="17"/>
          <w:color w:val="auto"/>
        </w:rPr>
      </w:pPr>
    </w:p>
    <w:p>
      <w:pPr>
        <w:ind w:left="920" w:right="500" w:firstLine="421"/>
        <w:spacing w:after="0" w:line="264" w:lineRule="auto"/>
        <w:tabs>
          <w:tab w:leader="none" w:pos="157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81" w:lineRule="exact"/>
        <w:rPr>
          <w:rFonts w:ascii="Arial" w:cs="Arial" w:eastAsia="Arial" w:hAnsi="Arial"/>
          <w:sz w:val="18"/>
          <w:szCs w:val="18"/>
          <w:color w:val="auto"/>
        </w:rPr>
      </w:pPr>
    </w:p>
    <w:p>
      <w:pPr>
        <w:ind w:left="920" w:right="200" w:firstLine="421"/>
        <w:spacing w:after="0" w:line="279" w:lineRule="auto"/>
        <w:tabs>
          <w:tab w:leader="none" w:pos="155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171" w:lineRule="exact"/>
        <w:rPr>
          <w:rFonts w:ascii="Arial" w:cs="Arial" w:eastAsia="Arial" w:hAnsi="Arial"/>
          <w:sz w:val="17"/>
          <w:szCs w:val="17"/>
          <w:color w:val="auto"/>
        </w:rPr>
      </w:pPr>
    </w:p>
    <w:p>
      <w:pPr>
        <w:ind w:left="1600" w:hanging="259"/>
        <w:spacing w:after="0"/>
        <w:tabs>
          <w:tab w:leader="none" w:pos="16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225" w:lineRule="exact"/>
        <w:rPr>
          <w:rFonts w:ascii="Arial" w:cs="Arial" w:eastAsia="Arial" w:hAnsi="Arial"/>
          <w:sz w:val="18"/>
          <w:szCs w:val="18"/>
          <w:color w:val="auto"/>
        </w:rPr>
      </w:pPr>
    </w:p>
    <w:p>
      <w:pPr>
        <w:ind w:left="920" w:right="20" w:firstLine="421"/>
        <w:spacing w:after="0" w:line="264" w:lineRule="auto"/>
        <w:tabs>
          <w:tab w:leader="none" w:pos="159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181" w:lineRule="exact"/>
        <w:rPr>
          <w:rFonts w:ascii="Arial" w:cs="Arial" w:eastAsia="Arial" w:hAnsi="Arial"/>
          <w:sz w:val="18"/>
          <w:szCs w:val="18"/>
          <w:color w:val="auto"/>
        </w:rPr>
      </w:pPr>
    </w:p>
    <w:p>
      <w:pPr>
        <w:ind w:left="920" w:right="200" w:firstLine="421"/>
        <w:spacing w:after="0" w:line="277" w:lineRule="auto"/>
        <w:tabs>
          <w:tab w:leader="none" w:pos="163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170" w:lineRule="exact"/>
        <w:rPr>
          <w:rFonts w:ascii="Arial" w:cs="Arial" w:eastAsia="Arial" w:hAnsi="Arial"/>
          <w:sz w:val="18"/>
          <w:szCs w:val="18"/>
          <w:color w:val="auto"/>
        </w:rPr>
      </w:pPr>
    </w:p>
    <w:p>
      <w:pPr>
        <w:ind w:left="920" w:firstLine="421"/>
        <w:spacing w:after="0" w:line="277" w:lineRule="auto"/>
        <w:tabs>
          <w:tab w:leader="none" w:pos="159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or licenses or sublicenses of Intellectual Property, in each case, entered into in the ordinary course of business;</w:t>
      </w:r>
    </w:p>
    <w:p>
      <w:pPr>
        <w:spacing w:after="0" w:line="170" w:lineRule="exact"/>
        <w:rPr>
          <w:rFonts w:ascii="Arial" w:cs="Arial" w:eastAsia="Arial" w:hAnsi="Arial"/>
          <w:sz w:val="18"/>
          <w:szCs w:val="18"/>
          <w:color w:val="auto"/>
        </w:rPr>
      </w:pPr>
    </w:p>
    <w:p>
      <w:pPr>
        <w:ind w:left="920" w:right="260" w:firstLine="421"/>
        <w:spacing w:after="0" w:line="277" w:lineRule="auto"/>
        <w:tabs>
          <w:tab w:leader="none" w:pos="159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Liens of sellers of goods to any Loan Party arising under Article 2 of the UCC or similar provisions of applicable law in the ordinary course of business; and</w:t>
      </w:r>
    </w:p>
    <w:p>
      <w:pPr>
        <w:spacing w:after="0" w:line="170" w:lineRule="exact"/>
        <w:rPr>
          <w:rFonts w:ascii="Arial" w:cs="Arial" w:eastAsia="Arial" w:hAnsi="Arial"/>
          <w:sz w:val="18"/>
          <w:szCs w:val="18"/>
          <w:color w:val="auto"/>
        </w:rPr>
      </w:pPr>
    </w:p>
    <w:p>
      <w:pPr>
        <w:ind w:left="920" w:right="60" w:firstLine="421"/>
        <w:spacing w:after="0" w:line="312" w:lineRule="auto"/>
        <w:tabs>
          <w:tab w:leader="none" w:pos="158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47"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24"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at a particular time, an employee pension benefit plan covered by Title IV of ERISA or Section 412 of the Code or Section 303 of ERISA, but excluding any Multiemployer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8" w:name="page279"/>
    <w:bookmarkEnd w:id="278"/>
    <w:p>
      <w:pPr>
        <w:jc w:val="both"/>
        <w:ind w:right="40" w:firstLine="8"/>
        <w:spacing w:after="0" w:line="259" w:lineRule="auto"/>
        <w:tabs>
          <w:tab w:leader="none" w:pos="245"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is sponsored, established, contributed to or maintained by the Company or any ERISA Affiliate, (b) 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Asset Regulations</w:t>
      </w:r>
      <w:r>
        <w:rPr>
          <w:rFonts w:ascii="Arial" w:cs="Arial" w:eastAsia="Arial" w:hAnsi="Arial"/>
          <w:sz w:val="17"/>
          <w:szCs w:val="17"/>
          <w:color w:val="auto"/>
        </w:rPr>
        <w:t xml:space="preserve">” means of 29 CFR § 2510.3-101 </w:t>
      </w:r>
      <w:r>
        <w:rPr>
          <w:rFonts w:ascii="Arial" w:cs="Arial" w:eastAsia="Arial" w:hAnsi="Arial"/>
          <w:sz w:val="17"/>
          <w:szCs w:val="17"/>
          <w:i w:val="1"/>
          <w:iCs w:val="1"/>
          <w:color w:val="auto"/>
        </w:rPr>
        <w:t>et seq.</w:t>
      </w:r>
      <w:r>
        <w:rPr>
          <w:rFonts w:ascii="Arial" w:cs="Arial" w:eastAsia="Arial" w:hAnsi="Arial"/>
          <w:sz w:val="17"/>
          <w:szCs w:val="17"/>
          <w:color w:val="auto"/>
        </w:rPr>
        <w:t>, as modified by Section 3(42) of ERISA, as amended from time to time.</w:t>
      </w:r>
    </w:p>
    <w:p>
      <w:pPr>
        <w:spacing w:after="0" w:line="23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jc w:val="both"/>
        <w:ind w:right="10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Post-Petition Interest</w:t>
      </w:r>
      <w:r>
        <w:rPr>
          <w:rFonts w:ascii="Arial" w:cs="Arial" w:eastAsia="Arial" w:hAnsi="Arial"/>
          <w:sz w:val="17"/>
          <w:szCs w:val="17"/>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right="36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Previously Pledged Assets</w:t>
      </w:r>
      <w:r>
        <w:rPr>
          <w:rFonts w:ascii="Arial" w:cs="Arial" w:eastAsia="Arial" w:hAnsi="Arial"/>
          <w:sz w:val="17"/>
          <w:szCs w:val="17"/>
          <w:color w:val="auto"/>
        </w:rPr>
        <w:t>” means the “Collateral,” under and as defined in that certain Five Year Revolving Credit Agreement, dated as of November 5, 2012, among General Motors Holdings LLC, GMF, GM Europe Treasury Company AB, GMB, the other subsidiary borrowers from time to time party thereto, the several lenders from time to time party thereto, JPMorgan Chase Bank, N.A., as administrative agent, Banco do Brasil S.A., as the Brazilian administrative agent, and the other agents party thereto, determined as if such agreement were still outstanding, and with each reference to Section 7.2(b) therein being deemed to be a reference to Section 7.2 hereof.</w:t>
      </w:r>
    </w:p>
    <w:p>
      <w:pPr>
        <w:spacing w:after="0" w:line="17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borrowers).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Domestic Subsidiary</w:t>
      </w:r>
      <w:r>
        <w:rPr>
          <w:rFonts w:ascii="Arial" w:cs="Arial" w:eastAsia="Arial" w:hAnsi="Arial"/>
          <w:sz w:val="16"/>
          <w:szCs w:val="16"/>
          <w:color w:val="auto"/>
        </w:rPr>
        <w:t>” means (a) during any Reinstated Guarantee Period, (i) GM Holdings and (ii) each Subsidiary Guarantor and</w:t>
      </w:r>
    </w:p>
    <w:p>
      <w:pPr>
        <w:spacing w:after="0" w:line="46" w:lineRule="exact"/>
        <w:rPr>
          <w:sz w:val="20"/>
          <w:szCs w:val="20"/>
          <w:color w:val="auto"/>
        </w:rPr>
      </w:pPr>
    </w:p>
    <w:p>
      <w:pPr>
        <w:ind w:right="60" w:firstLine="8"/>
        <w:spacing w:after="0" w:line="273" w:lineRule="auto"/>
        <w:tabs>
          <w:tab w:leader="none" w:pos="255"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2017 10-K), (B) at least 80% or more of the Capital Stock or Voting Stock of such Domestic Subsidiary is owned, directly or indirectly, by the Company and (C) none of the Capital Stock of such Domestic Subsidiary is publicly held.</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 Holding Company</w:t>
      </w:r>
      <w:r>
        <w:rPr>
          <w:rFonts w:ascii="Arial" w:cs="Arial" w:eastAsia="Arial" w:hAnsi="Arial"/>
          <w:sz w:val="18"/>
          <w:szCs w:val="18"/>
          <w:color w:val="auto"/>
        </w:rPr>
        <w:t>” means any wholly-owned Foreign Subsidiary of the Company to which the Designated Principal Trade Name is transferred.</w:t>
      </w:r>
    </w:p>
    <w:p>
      <w:pPr>
        <w:spacing w:after="0" w:line="170"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Quotation Date</w:t>
      </w:r>
      <w:r>
        <w:rPr>
          <w:rFonts w:ascii="Arial" w:cs="Arial" w:eastAsia="Arial" w:hAnsi="Arial"/>
          <w:sz w:val="16"/>
          <w:szCs w:val="16"/>
          <w:color w:val="auto"/>
        </w:rPr>
        <w:t>” means, in relation to any period for which the Eurocurrency Base Rate is to be determined hereunder, the Business Day on which quotations would ordinarily be given by prime banks in the London Interbank market (or, if the Currency in relation to which such rate is determined is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79" w:name="page280"/>
    <w:bookmarkEnd w:id="279"/>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Euro, the European Interbank market) for deposits in the Currency in relation to which such rate is to be determined for delivery on the first day of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for any such period quotations would ordinarily be given on more than one date, the Quotation Date for that period shall be the last of those dates.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has the meaning assigned to such term in Section 3.5.</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means the obligation of the Company or the Applicable Account Party to reimburse an Issuing Lender pursuant to Section 3.5 for amounts drawn under Letters of Credit.</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Period</w:t>
      </w:r>
      <w:r>
        <w:rPr>
          <w:rFonts w:ascii="Arial" w:cs="Arial" w:eastAsia="Arial" w:hAnsi="Arial"/>
          <w:sz w:val="18"/>
          <w:szCs w:val="18"/>
          <w:color w:val="auto"/>
        </w:rPr>
        <w:t>” means a period from and including the 30</w:t>
      </w:r>
      <w:r>
        <w:rPr>
          <w:rFonts w:ascii="Arial" w:cs="Arial" w:eastAsia="Arial" w:hAnsi="Arial"/>
          <w:sz w:val="15"/>
          <w:szCs w:val="15"/>
          <w:color w:val="auto"/>
        </w:rPr>
        <w:t>th</w:t>
      </w:r>
      <w:r>
        <w:rPr>
          <w:rFonts w:ascii="Arial" w:cs="Arial" w:eastAsia="Arial" w:hAnsi="Arial"/>
          <w:sz w:val="18"/>
          <w:szCs w:val="18"/>
          <w:color w:val="auto"/>
        </w:rPr>
        <w:t xml:space="preserve"> day after any Guarantee Reinstatement Date to but excluding the following Guarantee Release Date, if any.</w:t>
      </w:r>
    </w:p>
    <w:p>
      <w:pPr>
        <w:spacing w:after="0" w:line="170"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Requirement Period</w:t>
      </w:r>
      <w:r>
        <w:rPr>
          <w:rFonts w:ascii="Arial" w:cs="Arial" w:eastAsia="Arial" w:hAnsi="Arial"/>
          <w:sz w:val="18"/>
          <w:szCs w:val="18"/>
          <w:color w:val="auto"/>
        </w:rPr>
        <w:t>” means a period from and including any Guarantee Reinstatement Date to but excluding the following Guarantee Release Date, if any.</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the holders of more than 50% of the aggregate amount of the Total Commitments (or, at any time after the Commitments shall have expired or terminated, the holders of more than 50% of the Total Extensions of Credit).</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 and its successors.</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has the meaning assigned to such term in Section 4.15.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80" w:name="page281"/>
    <w:bookmarkEnd w:id="280"/>
    <w:p>
      <w:pPr>
        <w:ind w:right="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List</w:t>
      </w:r>
      <w:r>
        <w:rPr>
          <w:rFonts w:ascii="Arial" w:cs="Arial" w:eastAsia="Arial" w:hAnsi="Arial"/>
          <w:sz w:val="18"/>
          <w:szCs w:val="18"/>
          <w:color w:val="auto"/>
        </w:rPr>
        <w:t>” has the meaning assigned to such term in Section 4.15.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225"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65"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Borrower</w:t>
      </w:r>
      <w:r>
        <w:rPr>
          <w:rFonts w:ascii="Arial" w:cs="Arial" w:eastAsia="Arial" w:hAnsi="Arial"/>
          <w:sz w:val="17"/>
          <w:szCs w:val="17"/>
          <w:color w:val="auto"/>
        </w:rPr>
        <w:t>” means GMB (solely with respect to the Brazilian Facility), GMGTC, GMF and any other Subsidiary that becomes a party hereto pursuant to Section 10.1(d) until such time as such Subsidiary Borrower is removed as a party hereto pursuant to Section 10.1(d).</w:t>
      </w:r>
    </w:p>
    <w:p>
      <w:pPr>
        <w:spacing w:after="0" w:line="147" w:lineRule="exact"/>
        <w:rPr>
          <w:sz w:val="20"/>
          <w:szCs w:val="20"/>
          <w:color w:val="auto"/>
        </w:rPr>
      </w:pPr>
    </w:p>
    <w:p>
      <w:pPr>
        <w:jc w:val="both"/>
        <w:ind w:right="12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xml:space="preserve">” means during any Reinstated Guarantee Period, each Domestic Subsidiary that was a Principal Domestic Subsidiary on the applicable Guarantee Reinstatement Date or that became a party to the Guarantee after such Guarantee Reinstatement Date pursuant to Section 6.6(a) or 6.6(b) or Section 10.1(b);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payment system is open for the settlement of payments in Euro.</w:t>
      </w:r>
    </w:p>
    <w:p>
      <w:pPr>
        <w:spacing w:after="0" w:line="170"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24"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as to any Lender under any Facility, initially, the fifth anniversary of the Closing Date, as such date for such Lender under such Facility may be extended from time to time pursuant to Section 2.27.</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Brazilian Commitments</w:t>
      </w:r>
      <w:r>
        <w:rPr>
          <w:rFonts w:ascii="Arial" w:cs="Arial" w:eastAsia="Arial" w:hAnsi="Arial"/>
          <w:sz w:val="18"/>
          <w:szCs w:val="18"/>
          <w:color w:val="auto"/>
        </w:rPr>
        <w:t xml:space="preserve">” means, at any time, an amount equal to the excess, if any, of (a) the Total Brazilian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Brazilian Extensions of Credit then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281" w:name="page282"/>
    <w:bookmarkEnd w:id="281"/>
    <w:p>
      <w:pPr>
        <w:ind w:right="3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Domestic Commitments</w:t>
      </w:r>
      <w:r>
        <w:rPr>
          <w:rFonts w:ascii="Arial" w:cs="Arial" w:eastAsia="Arial" w:hAnsi="Arial"/>
          <w:sz w:val="18"/>
          <w:szCs w:val="18"/>
          <w:color w:val="auto"/>
        </w:rPr>
        <w:t>” means, at any time, an amount equal to the excess, if any, of (a) the Total Domestic Commitments then in effect, over (b) the Total Domestic Extensions of Credit then outstanding.</w:t>
      </w:r>
    </w:p>
    <w:p>
      <w:pPr>
        <w:spacing w:after="0" w:line="170"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Multicurrency Commitments</w:t>
      </w:r>
      <w:r>
        <w:rPr>
          <w:rFonts w:ascii="Arial" w:cs="Arial" w:eastAsia="Arial" w:hAnsi="Arial"/>
          <w:sz w:val="18"/>
          <w:szCs w:val="18"/>
          <w:color w:val="auto"/>
        </w:rPr>
        <w:t>” means, at any time, an amount equal to the excess, if any, of (a) the Total Multicurrency Commitments then in effect, over (b) the Total Multicurrency Extensions of Credit then outstanding.</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Commitment</w:t>
      </w:r>
      <w:r>
        <w:rPr>
          <w:rFonts w:ascii="Arial" w:cs="Arial" w:eastAsia="Arial" w:hAnsi="Arial"/>
          <w:sz w:val="18"/>
          <w:szCs w:val="18"/>
          <w:color w:val="auto"/>
        </w:rPr>
        <w:t>” means, at any time, the aggregate amount of the Brazilian Commitments then in effect. The original amount of the Total Brazilian Commitment is $240 million.</w:t>
      </w:r>
    </w:p>
    <w:p>
      <w:pPr>
        <w:spacing w:after="0" w:line="170"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Brazilian Extensions of Credit</w:t>
      </w:r>
      <w:r>
        <w:rPr>
          <w:rFonts w:ascii="Arial" w:cs="Arial" w:eastAsia="Arial" w:hAnsi="Arial"/>
          <w:sz w:val="18"/>
          <w:szCs w:val="18"/>
          <w:color w:val="auto"/>
        </w:rPr>
        <w:t>” means, at any time, the aggregate Outstanding Amount of the Brazilian Extensions of Credit of the Brazilian Lenders at such time.</w:t>
      </w:r>
    </w:p>
    <w:p>
      <w:pPr>
        <w:spacing w:after="0" w:line="170"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at any time, the aggregate amount of the Commitments then in effect. The original amount of the Total Commitments is $10.5 billion.</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Commitment</w:t>
      </w:r>
      <w:r>
        <w:rPr>
          <w:rFonts w:ascii="Arial" w:cs="Arial" w:eastAsia="Arial" w:hAnsi="Arial"/>
          <w:sz w:val="18"/>
          <w:szCs w:val="18"/>
          <w:color w:val="auto"/>
        </w:rPr>
        <w:t>” means, at any time, the aggregate amount of the Domestic Commitments then in effect. The original amount of the Total Domestic Commitment is $189,421,000.</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Domestic Extensions of Credit</w:t>
      </w:r>
      <w:r>
        <w:rPr>
          <w:rFonts w:ascii="Arial" w:cs="Arial" w:eastAsia="Arial" w:hAnsi="Arial"/>
          <w:sz w:val="18"/>
          <w:szCs w:val="18"/>
          <w:color w:val="auto"/>
        </w:rPr>
        <w:t xml:space="preserve">” means, at any time, the aggregate Outstanding Amount of (a) the Domestic Extensions of Credit of the Domestic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Domestic Competitive Loans at such time.</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Extensions of Credit</w:t>
      </w:r>
      <w:r>
        <w:rPr>
          <w:rFonts w:ascii="Arial" w:cs="Arial" w:eastAsia="Arial" w:hAnsi="Arial"/>
          <w:sz w:val="18"/>
          <w:szCs w:val="18"/>
          <w:color w:val="auto"/>
        </w:rPr>
        <w:t xml:space="preserve">” means, at any time, the aggregate Outstanding Amount of (a) the Extensions of Credit of the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Competitive Loans at such time.</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Multicurrency Commitment</w:t>
      </w:r>
      <w:r>
        <w:rPr>
          <w:rFonts w:ascii="Arial" w:cs="Arial" w:eastAsia="Arial" w:hAnsi="Arial"/>
          <w:sz w:val="18"/>
          <w:szCs w:val="18"/>
          <w:color w:val="auto"/>
        </w:rPr>
        <w:t>” means, at any time, the aggregate amount of the Multicurrency Commitments then in effect. The original amount of the Total Multicurrency Commitment is $10,070,579,000.</w:t>
      </w:r>
    </w:p>
    <w:p>
      <w:pPr>
        <w:spacing w:after="0" w:line="170"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Multicurrency Extensions of Credit</w:t>
      </w:r>
      <w:r>
        <w:rPr>
          <w:rFonts w:ascii="Arial" w:cs="Arial" w:eastAsia="Arial" w:hAnsi="Arial"/>
          <w:sz w:val="17"/>
          <w:szCs w:val="17"/>
          <w:color w:val="auto"/>
        </w:rPr>
        <w:t xml:space="preserve">” means, at any time, the aggregate Outstanding Amount of (a) the Multicurrency Extensions of Credit of the Multicurrency Lenders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Dollar Equivalent of the Multicurrency Competitive Loans at such time.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 as to any Loan (other than a Competitive Loan), its nature as an ABR Loan, a CDI Loan or a Eurocurrency Loan and (b) as to any Competitive Loan, its nature as a Eurocurrency Competitive Loan or a Fixed Rate Loan.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the Uniform Customs and Practice for Documentary Credits (2007 Revision), International Chamber of Commerce Publication No. 600, and any subsequent revision thereof adhered to by the Issuing Lenders.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74" w:right="299" w:bottom="1440" w:gutter="0" w:footer="0" w:header="0"/>
        </w:sectPr>
      </w:pPr>
    </w:p>
    <w:bookmarkStart w:id="282" w:name="page283"/>
    <w:bookmarkEnd w:id="282"/>
    <w:p>
      <w:pPr>
        <w:ind w:right="5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UK Borrower</w:t>
      </w:r>
      <w:r>
        <w:rPr>
          <w:rFonts w:ascii="Arial" w:cs="Arial" w:eastAsia="Arial" w:hAnsi="Arial"/>
          <w:sz w:val="18"/>
          <w:szCs w:val="18"/>
          <w:color w:val="auto"/>
        </w:rPr>
        <w:t>” means any Borrower (i) that is incorporated under the laws of the United Kingdom or (ii) payments from which under this Agreement or any other Loan Document are subject to withholding Taxes imposed by the laws of the United Kingdom.</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CTA</w:t>
      </w:r>
      <w:r>
        <w:rPr>
          <w:rFonts w:ascii="Arial" w:cs="Arial" w:eastAsia="Arial" w:hAnsi="Arial"/>
          <w:sz w:val="18"/>
          <w:szCs w:val="18"/>
          <w:color w:val="auto"/>
        </w:rPr>
        <w:t>” means the United Kingdom Corporation Tax Act 2009, as amended or re-enacted.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ITA</w:t>
      </w:r>
      <w:r>
        <w:rPr>
          <w:rFonts w:ascii="Arial" w:cs="Arial" w:eastAsia="Arial" w:hAnsi="Arial"/>
          <w:sz w:val="18"/>
          <w:szCs w:val="18"/>
          <w:color w:val="auto"/>
        </w:rPr>
        <w:t>” means the United Kingdom Income Tax Act 2007, as amended or re-enacted.</w:t>
      </w:r>
    </w:p>
    <w:p>
      <w:pPr>
        <w:spacing w:after="0" w:line="225"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Qualifying Lender</w:t>
      </w:r>
      <w:r>
        <w:rPr>
          <w:rFonts w:ascii="Arial" w:cs="Arial" w:eastAsia="Arial" w:hAnsi="Arial"/>
          <w:sz w:val="17"/>
          <w:szCs w:val="17"/>
          <w:color w:val="auto"/>
        </w:rPr>
        <w:t>” means (a) a Lender which is beneficially entitled to interest payable to that Lender in respect of an advance under a Loan Document and is: (i) a Lender: (A) which is a bank (as defined for the purpose of section 879 of the UK ITA) making an advance under a Loan Document and is within the charge to United Kingdom corporation tax as respects any payments of interest made in respect of that advance or would be within such charge as respects such payments apart from section 18A of the UK CTA; or (B) in respect of an advance made under a Loan Document by a person that was a bank (as defined for the purpose of section 879 of the UK ITA) at the time that that advance was made and within the charge to United Kingdom corporation tax as respects any payments of interest made in respect of that advance; or (ii) a Lender which is: (A) a company resident in the United Kingdom for United Kingdom tax purposes; (B)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 or (iii) a UK Treaty Lender; or (b) a Lender which is a building society (as defined for the purposes of section 880 of the UK ITA) making an advance under a Loan Document.</w:t>
      </w:r>
    </w:p>
    <w:p>
      <w:pPr>
        <w:spacing w:after="0" w:line="18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Tax Confirmation</w:t>
      </w:r>
      <w:r>
        <w:rPr>
          <w:rFonts w:ascii="Arial" w:cs="Arial" w:eastAsia="Arial" w:hAnsi="Arial"/>
          <w:sz w:val="16"/>
          <w:szCs w:val="16"/>
          <w:color w:val="auto"/>
        </w:rPr>
        <w:t>” means a confirmation by a Lender that the person beneficially entitled to interest payable to that Lender in respect of an advance under a Loan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w:t>
      </w:r>
    </w:p>
    <w:p>
      <w:pPr>
        <w:spacing w:after="0" w:line="167"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Tax Deduction</w:t>
      </w:r>
      <w:r>
        <w:rPr>
          <w:rFonts w:ascii="Arial" w:cs="Arial" w:eastAsia="Arial" w:hAnsi="Arial"/>
          <w:sz w:val="18"/>
          <w:szCs w:val="18"/>
          <w:color w:val="auto"/>
        </w:rPr>
        <w:t>” means a deduction or withholding for or on account of Taxes from a payment under a Loan Document, other than a deduction or withholding required by FATCA.</w:t>
      </w:r>
    </w:p>
    <w:p>
      <w:pPr>
        <w:spacing w:after="0" w:line="170" w:lineRule="exact"/>
        <w:rPr>
          <w:sz w:val="20"/>
          <w:szCs w:val="20"/>
          <w:color w:val="auto"/>
        </w:rPr>
      </w:pPr>
    </w:p>
    <w:p>
      <w:pPr>
        <w:jc w:val="both"/>
        <w:ind w:right="2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Treaty Lender</w:t>
      </w:r>
      <w:r>
        <w:rPr>
          <w:rFonts w:ascii="Arial" w:cs="Arial" w:eastAsia="Arial" w:hAnsi="Arial"/>
          <w:sz w:val="17"/>
          <w:szCs w:val="17"/>
          <w:color w:val="auto"/>
        </w:rPr>
        <w:t>” means a Lender which: (a) is treated as a resident of a UK Treaty State for the purposes of the relevant UK Treaty; (b) does not carry on a business in the United Kingdom through a permanent establishment with which that Lender’s participation in the Loan is effectively connected; and (c) meets all other conditions in the relevant UK Treaty for full exemption from Taxes imposed by the United Kingdom on interest payable to that Lender in respect of an advance under a Loan Document, including the completion of any necessary procedural formalities.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283" w:name="page284"/>
    <w:bookmarkEnd w:id="28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UK Treaty</w:t>
      </w:r>
      <w:r>
        <w:rPr>
          <w:rFonts w:ascii="Arial" w:cs="Arial" w:eastAsia="Arial" w:hAnsi="Arial"/>
          <w:sz w:val="18"/>
          <w:szCs w:val="18"/>
          <w:color w:val="auto"/>
        </w:rPr>
        <w:t>” has the meaning given to that term in the definition of UK Treaty State.</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Treaty State</w:t>
      </w:r>
      <w:r>
        <w:rPr>
          <w:rFonts w:ascii="Arial" w:cs="Arial" w:eastAsia="Arial" w:hAnsi="Arial"/>
          <w:sz w:val="18"/>
          <w:szCs w:val="18"/>
          <w:color w:val="auto"/>
        </w:rPr>
        <w:t>” means a jurisdiction having a double taxation agreement with the United Kingdom (a “</w:t>
      </w:r>
      <w:r>
        <w:rPr>
          <w:rFonts w:ascii="Arial" w:cs="Arial" w:eastAsia="Arial" w:hAnsi="Arial"/>
          <w:sz w:val="18"/>
          <w:szCs w:val="18"/>
          <w:u w:val="single" w:color="auto"/>
          <w:color w:val="auto"/>
        </w:rPr>
        <w:t>UK Treaty</w:t>
      </w:r>
      <w:r>
        <w:rPr>
          <w:rFonts w:ascii="Arial" w:cs="Arial" w:eastAsia="Arial" w:hAnsi="Arial"/>
          <w:sz w:val="18"/>
          <w:szCs w:val="18"/>
          <w:color w:val="auto"/>
        </w:rPr>
        <w:t>”) which makes provision for full exemption from tax imposed by the United Kingdom on interest.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Company or other Person whose financial results are not, in accordance with GAAP, included in the consolidated financial statements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URDG</w:t>
      </w:r>
      <w:r>
        <w:rPr>
          <w:rFonts w:ascii="Arial" w:cs="Arial" w:eastAsia="Arial" w:hAnsi="Arial"/>
          <w:sz w:val="16"/>
          <w:szCs w:val="16"/>
          <w:color w:val="auto"/>
        </w:rPr>
        <w:t>” means the Uniform Rules for Demand Guarantees, ICC Publication 758, and any subsequent revision thereof adhered to by the Issuing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170"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225" w:lineRule="exact"/>
        <w:rPr>
          <w:sz w:val="20"/>
          <w:szCs w:val="20"/>
          <w:color w:val="auto"/>
        </w:rPr>
      </w:pPr>
    </w:p>
    <w:p>
      <w:pPr>
        <w:ind w:right="660" w:firstLine="921"/>
        <w:spacing w:after="0" w:line="277" w:lineRule="auto"/>
        <w:tabs>
          <w:tab w:leader="none" w:pos="1158" w:val="left"/>
        </w:tabs>
        <w:numPr>
          <w:ilvl w:val="1"/>
          <w:numId w:val="279"/>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279"/>
        </w:numPr>
        <w:rPr>
          <w:rFonts w:ascii="Arial" w:cs="Arial" w:eastAsia="Arial" w:hAnsi="Arial"/>
          <w:sz w:val="17"/>
          <w:szCs w:val="17"/>
          <w:color w:val="auto"/>
        </w:rPr>
      </w:pPr>
      <w:r>
        <w:rPr>
          <w:rFonts w:ascii="Arial" w:cs="Arial" w:eastAsia="Arial" w:hAnsi="Arial"/>
          <w:sz w:val="17"/>
          <w:szCs w:val="17"/>
          <w:color w:val="auto"/>
        </w:rPr>
        <w:t>As used herein and in the other Loan Documents, and any certificate or other document made or delivered pursuant hereto or thereto,</w:t>
      </w:r>
    </w:p>
    <w:p>
      <w:pPr>
        <w:spacing w:after="0" w:line="34" w:lineRule="exact"/>
        <w:rPr>
          <w:rFonts w:ascii="Arial" w:cs="Arial" w:eastAsia="Arial" w:hAnsi="Arial"/>
          <w:sz w:val="17"/>
          <w:szCs w:val="17"/>
          <w:color w:val="auto"/>
        </w:rPr>
      </w:pPr>
    </w:p>
    <w:p>
      <w:pPr>
        <w:ind w:firstLine="8"/>
        <w:spacing w:after="0" w:line="281" w:lineRule="auto"/>
        <w:tabs>
          <w:tab w:leader="none" w:pos="215"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w:t>
      </w:r>
    </w:p>
    <w:p>
      <w:pPr>
        <w:spacing w:after="0" w:line="1" w:lineRule="exact"/>
        <w:rPr>
          <w:rFonts w:ascii="Arial" w:cs="Arial" w:eastAsia="Arial" w:hAnsi="Arial"/>
          <w:sz w:val="16"/>
          <w:szCs w:val="16"/>
          <w:color w:val="auto"/>
        </w:rPr>
      </w:pPr>
    </w:p>
    <w:p>
      <w:pPr>
        <w:ind w:right="100" w:firstLine="8"/>
        <w:spacing w:after="0" w:line="281" w:lineRule="auto"/>
        <w:tabs>
          <w:tab w:leader="none" w:pos="31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2" w:lineRule="exact"/>
        <w:rPr>
          <w:rFonts w:ascii="Arial" w:cs="Arial" w:eastAsia="Arial" w:hAnsi="Arial"/>
          <w:sz w:val="16"/>
          <w:szCs w:val="16"/>
          <w:color w:val="auto"/>
        </w:rPr>
      </w:pPr>
    </w:p>
    <w:p>
      <w:pPr>
        <w:ind w:right="100" w:firstLine="8"/>
        <w:spacing w:after="0" w:line="252" w:lineRule="auto"/>
        <w:tabs>
          <w:tab w:leader="none" w:pos="25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284" w:name="page285"/>
    <w:bookmarkEnd w:id="284"/>
    <w:p>
      <w:pPr>
        <w:ind w:right="140" w:firstLine="921"/>
        <w:spacing w:after="0" w:line="264" w:lineRule="auto"/>
        <w:tabs>
          <w:tab w:leader="none" w:pos="1158"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Conversion of Foreign Currencies</w:t>
      </w:r>
      <w:r>
        <w:rPr>
          <w:rFonts w:ascii="Arial" w:cs="Arial" w:eastAsia="Arial" w:hAnsi="Arial"/>
          <w:sz w:val="18"/>
          <w:szCs w:val="18"/>
          <w:color w:val="auto"/>
        </w:rPr>
        <w:t>.</w:t>
      </w:r>
    </w:p>
    <w:p>
      <w:pPr>
        <w:spacing w:after="0" w:line="225" w:lineRule="exact"/>
        <w:rPr>
          <w:sz w:val="20"/>
          <w:szCs w:val="20"/>
          <w:color w:val="auto"/>
        </w:rPr>
      </w:pPr>
    </w:p>
    <w:p>
      <w:pPr>
        <w:ind w:right="80" w:firstLine="921"/>
        <w:spacing w:after="0" w:line="259" w:lineRule="auto"/>
        <w:tabs>
          <w:tab w:leader="none" w:pos="115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86" w:lineRule="exact"/>
        <w:rPr>
          <w:rFonts w:ascii="Arial" w:cs="Arial" w:eastAsia="Arial" w:hAnsi="Arial"/>
          <w:sz w:val="18"/>
          <w:szCs w:val="18"/>
          <w:color w:val="auto"/>
        </w:rPr>
      </w:pPr>
    </w:p>
    <w:p>
      <w:pPr>
        <w:jc w:val="both"/>
        <w:ind w:right="80" w:firstLine="921"/>
        <w:spacing w:after="0" w:line="302" w:lineRule="auto"/>
        <w:tabs>
          <w:tab w:leader="none" w:pos="116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For purposes of Section 3.1, the Dollar Equivalent of an outstanding Letter of Credit shall be determined on its issuance date and thereafter on the last day of each subsequent Fee Payment Period.</w:t>
      </w:r>
    </w:p>
    <w:p>
      <w:pPr>
        <w:spacing w:after="0" w:line="154" w:lineRule="exact"/>
        <w:rPr>
          <w:rFonts w:ascii="Arial" w:cs="Arial" w:eastAsia="Arial" w:hAnsi="Arial"/>
          <w:sz w:val="16"/>
          <w:szCs w:val="16"/>
          <w:color w:val="auto"/>
        </w:rPr>
      </w:pPr>
    </w:p>
    <w:p>
      <w:pPr>
        <w:ind w:firstLine="921"/>
        <w:spacing w:after="0" w:line="286" w:lineRule="auto"/>
        <w:tabs>
          <w:tab w:leader="none" w:pos="1158"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Administrative Agent and/or the Brazilian Administrative Agent, as applicable,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66"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2. AMOUNT AND TERMS OF COMMITMENTS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Domestic Commitments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90" w:lineRule="auto"/>
        <w:tabs>
          <w:tab w:leader="none" w:pos="115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Subject to the terms and conditions hereof, each Domestic Lender severally agrees to make (or cause its Applicable Lending Office to make) revolving loans (“</w:t>
      </w:r>
      <w:r>
        <w:rPr>
          <w:rFonts w:ascii="Arial" w:cs="Arial" w:eastAsia="Arial" w:hAnsi="Arial"/>
          <w:sz w:val="16"/>
          <w:szCs w:val="16"/>
          <w:u w:val="single" w:color="auto"/>
          <w:color w:val="auto"/>
        </w:rPr>
        <w:t>Domestic Loans</w:t>
      </w:r>
      <w:r>
        <w:rPr>
          <w:rFonts w:ascii="Arial" w:cs="Arial" w:eastAsia="Arial" w:hAnsi="Arial"/>
          <w:sz w:val="16"/>
          <w:szCs w:val="16"/>
          <w:color w:val="auto"/>
        </w:rPr>
        <w:t xml:space="preserve">”) in Dollars to the Company or any Domestic Subsidiary Borrower from time to time during the Commitment Period of such Domestic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(i) such Lender’s Domestic Extensions of Credit do not exceed the amount of such Lender’s Domestic Commitments, (ii) the Total Domestic Extensions of Credit shall not exceed the Total Domestic Commitments then in effect and (iii) the Total Extensions of Credit shall not exceed the Total Commitments then in effect. During the Commitment Period of the applicable Domestic Lenders for the Domestic Facility, the Company and any Domestic Subsidiary Borrower may use the Domestic Commitments by borrowing, prepaying the Domestic Loans in whole or in part, and reborrowing, all in accordance with the terms and conditions hereof. The Domestic Loans may from time to time be Eurocurrency Loans, ABR Loans or any combination of the foregoing, as determined by the Company 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relevant Domestic Subsidiary Borrower and notified to the Administrative Agent in accordance with Section 2.2 and 2.12.</w:t>
      </w:r>
    </w:p>
    <w:p>
      <w:pPr>
        <w:spacing w:after="0" w:line="225" w:lineRule="exact"/>
        <w:rPr>
          <w:sz w:val="20"/>
          <w:szCs w:val="20"/>
          <w:color w:val="auto"/>
        </w:rPr>
      </w:pPr>
    </w:p>
    <w:p>
      <w:pPr>
        <w:ind w:right="20" w:firstLine="921"/>
        <w:spacing w:after="0" w:line="277" w:lineRule="auto"/>
        <w:tabs>
          <w:tab w:leader="none" w:pos="116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Domestic Subsidiary Borrower shall repay all outstanding Domestic Loans of a Lender on the Termination Date for such Lender under the Domestic Facility.</w:t>
      </w:r>
    </w:p>
    <w:p>
      <w:pPr>
        <w:spacing w:after="0" w:line="170"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Procedure for Domestic Loan Borrowing</w:t>
      </w:r>
      <w:r>
        <w:rPr>
          <w:rFonts w:ascii="Arial" w:cs="Arial" w:eastAsia="Arial" w:hAnsi="Arial"/>
          <w:sz w:val="16"/>
          <w:szCs w:val="16"/>
          <w:color w:val="auto"/>
        </w:rPr>
        <w:t xml:space="preserve">. The Company and any Domestic Subsidiary Borrower may borrow under the Domestic Commitments during the applicable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in the case of a deemed request for an ABR Loan on the Reimbursement Date of a Reimbursement Obligation as contemplated by Section 3.5, the Company or the relevant Domestic Subsidiary Borrower shall give the Administrative Agent a written Borrowing Request (or telephonic notice promptly confirmed with a written Borrowing Request) prior to (a) 1:00 P.M., New York City time, three Business Days prior to the requested Borrowing Date, in the case of Eurocurrency Loans, or (b) 1:00 P.M., New York City time, on the date of the proposed borrowing, in the case of ABR Loans, specifying (i) the amount and Type of Domestic Loans to be borrowed, (ii) the requested Borrowing Date and (iii) in the case of Eurocurrency Loans, the respective lengths of the initial Interest Period(s)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Borrowing Request submitted by a Domestic Subsidiary Borrower shall include the written consent of the Company. If no election as to the Type of a Domestic Loan is specified in any such notice, then the requested borrowing shall be an ABR Loan. If no Interest Period with respect to a Eurocurrency Loan is specified in any such notice, then the Company or the relevant Domestic Subsidiary Borrower shall be deemed to have selected an Interest Period of one month’s duration. Except as otherwise contemplated by Section 3.5, each borrowing under the Domestic Commitments shall be in an amount equal to $25 million (or, if the Total Available Domestic Commitments at such time are less than $25 million, such lesser amount) or a whole multiple of $5 million in excess thereof. Upon receipt of any such notice (or, as provided in Section 3.5, deemed notice) from the Company or the relevant Domestic Subsidiary Borrower, the Administrative Agent shall promptly notify each Domestic Lender thereof. Each Domestic Lender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such borrowing available to the Administrative Agent for the account of the Company or the relevant Domestic Subsidiary Borrower at the Funding Office prior to 1:00 P.M. (or, in the case of an ABR Loan requested on the proposed Borrowing Date, 3:00 P.M.), New York City time, on the Borrowing Date requested (or deemed requested) by the Company or the relevant Domestic Subsidiary Borrower in funds immediately available to the Administrative Agent. Subject to Section 3.5 (where the proceeds of such borrowing shall be applied to repay the related Reimbursement Obligation), such borrowing will then be made available to the Company or the relevant Domestic Subsidiary Borrower by the Administrative Agent crediting the account of the Company or the relevant Domestic Subsidiary Borrower on the books of such office or such other account as the Company or the relevant Domestic Subsidiary Borrower may specify to the Administrative Agent with the aggregate of the amounts made available to the Administrative Agent by the Domestic Lenders and in like funds as received by the Administrative Agent.</w:t>
      </w:r>
    </w:p>
    <w:p>
      <w:pPr>
        <w:spacing w:after="0" w:line="3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Multicurrency Commitments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55" w:lineRule="auto"/>
        <w:tabs>
          <w:tab w:leader="none" w:pos="115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Subject to the terms and conditions hereof, each Multicurrency Lender severally agrees to make (or cause its Applicable Lending Office to make) revolving loans (“</w:t>
      </w:r>
      <w:r>
        <w:rPr>
          <w:rFonts w:ascii="Arial" w:cs="Arial" w:eastAsia="Arial" w:hAnsi="Arial"/>
          <w:sz w:val="18"/>
          <w:szCs w:val="18"/>
          <w:u w:val="single" w:color="auto"/>
          <w:color w:val="auto"/>
        </w:rPr>
        <w:t>Multicurrency Loans</w:t>
      </w:r>
      <w:r>
        <w:rPr>
          <w:rFonts w:ascii="Arial" w:cs="Arial" w:eastAsia="Arial" w:hAnsi="Arial"/>
          <w:sz w:val="18"/>
          <w:szCs w:val="18"/>
          <w:color w:val="auto"/>
        </w:rPr>
        <w:t xml:space="preserve">”) in Dollars or any Optional Currency to the Company, GMF or any Foreign Subsidiary Borrower from time to time during the Commitment Period of such Multicurrency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after giving effect to such borrowing and the use of proceeds thereof,(i) such Lender’s Multicurrency Extensions of Credit do not exceed the amount of such Lender’s Multicurrency Commitments, (ii) the Total Multicurrency Extensions of Credit shall not exceed the Total Multicurrency Commitments then in effect and (iii) the Total Extensions of Credit shall not exceed the Total Commitments then in effect. During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286" w:name="page287"/>
    <w:bookmarkEnd w:id="28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Commitment Period of the applicable Multicurrency Lenders for the Multicurrency Facility, the Company and any relevant Subsidiary Borrower may use the Multicurrency Commitments by borrowing, prepaying the Multicurrency Loans in whole or in part, and reborrowing, all in accordance with the terms and conditions hereof. The Multicurrency Loans shall be Eurocurrency Loans or (if made to the Company and denominated in Dollars) ABR Loans, in each case, as notified to the Administrative Agent in accordance with Section 2.4 and 2.12.</w:t>
      </w:r>
    </w:p>
    <w:p>
      <w:pPr>
        <w:spacing w:after="0" w:line="187" w:lineRule="exact"/>
        <w:rPr>
          <w:sz w:val="20"/>
          <w:szCs w:val="20"/>
          <w:color w:val="auto"/>
        </w:rPr>
      </w:pPr>
    </w:p>
    <w:p>
      <w:pPr>
        <w:ind w:right="300" w:firstLine="921"/>
        <w:spacing w:after="0" w:line="277" w:lineRule="auto"/>
        <w:tabs>
          <w:tab w:leader="none" w:pos="116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Multicurrency Loans of a Lender on the Termination Date for such Lender under the Multicurrency Facility.</w:t>
      </w:r>
    </w:p>
    <w:p>
      <w:pPr>
        <w:spacing w:after="0" w:line="170"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Procedure for Multicurrency Loan Borrowing</w:t>
      </w:r>
      <w:r>
        <w:rPr>
          <w:rFonts w:ascii="Arial" w:cs="Arial" w:eastAsia="Arial" w:hAnsi="Arial"/>
          <w:sz w:val="16"/>
          <w:szCs w:val="16"/>
          <w:color w:val="auto"/>
        </w:rPr>
        <w:t xml:space="preserve">. The Company and any relevant Subsidiary Borrower may borrow under the Multicurrency Commitments during the applicable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or the relevant Subsidiary Borrower shall deliver to the Administrative Agent (x) in the case of any Multicurrency Loan denominated in Dollars, a written Borrowing Request (or telephonic notice promptly confirmed in a written Borrowing Request) prior to (a) in the case of Eurocurrency Loans, (i) in the case of requests made by the Company or any Subsidiary Borrower other than GMGTC, 1:00 P.M., New York City time, three Business Days prior to the requested Borrowing Date or (ii) in the case of requests made by GMGTC, 1:00 P.M., London time, three Business Days prior to the requested Borrowing Date or (b) 1:00 P.M., New York City time, on the date of the proposed borrowing, in the case of ABR Loans requested by the Company and (y) in the case of any Multicurrency Loan denominated in an Optional Currency, a written Borrowing Request prior to 1:00 P.M., London time, three Business Days prior to the requested Borrowing Date, in each case, specifying</w:t>
      </w:r>
    </w:p>
    <w:p>
      <w:pPr>
        <w:spacing w:after="0" w:line="1" w:lineRule="exact"/>
        <w:rPr>
          <w:sz w:val="20"/>
          <w:szCs w:val="20"/>
          <w:color w:val="auto"/>
        </w:rPr>
      </w:pPr>
    </w:p>
    <w:p>
      <w:pPr>
        <w:ind w:firstLine="8"/>
        <w:spacing w:after="0" w:line="284" w:lineRule="auto"/>
        <w:tabs>
          <w:tab w:leader="none" w:pos="24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the amount, Type and Currency of Multicurrency Loans to be borrowed, (b) the requested Borrowing Date and (c) the respective lengths of the initial Interest Period(s) therefor, if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Borrowing Request submitted by a Subsidiary Borrower shall include the written consent of the Company. If no election as to the Type of a Multicurrency Loan denominated in Dollars and requested by the Company is specified in any such notice, then the requested borrowing shall be an ABR Loan. If no Interest Period with respect to any Eurocurrency Loan is specified in any such notice, then the Company or the relevant Subsidiary Borrower shall be deemed to have selected an Interest Period of one month’s duration. Each borrowing under the Multicurrency 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 Upon receipt of any such notice from the Company or the relevant Subsidiary Borrower, the Administrative Agent shall promptly notify each Multicurrency Lender holding Multicurrency Commitments of such notice. Each Multicurrency Lender holding Multicurrency Commitments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borrowing available to the Administrative Agent for the account of the Company or the relevant Subsidiary Borrower at the Funding Office prior to (x) in the case of any Multicurrency Loan denominated in Dollars, (i) 1:00 P.M. (or, in the case of an ABR Loan requested on the proposed Borrowing Date, 3:00 P.M.), New York City time, on the Borrowing Date requested by the Company or the relevant Subsidiary Borrower (other than GMGTC) and (ii) 1:00 P.M. London time, on the Borrowing Date requested by GMGTC and (y) in the case of any Multicurrency Loan denominated in an Optional Currency, 2:00 P.M., London time, on the Borrowing Date requested by the Company or such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relevant Subsidiary Borrower may specify to the Administrative Agent with the aggregate of the amounts made available to the Administrative Agent by the applicable Multicurrency Lenders and in like funds as received by the Administrative Agent.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287" w:name="page288"/>
    <w:bookmarkEnd w:id="287"/>
    <w:p>
      <w:pPr>
        <w:ind w:right="26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6"/>
          <w:szCs w:val="16"/>
          <w:u w:val="single" w:color="auto"/>
          <w:color w:val="auto"/>
        </w:rPr>
        <w:t>Brazilian Commitments</w:t>
      </w:r>
      <w:r>
        <w:rPr>
          <w:rFonts w:ascii="Arial" w:cs="Arial" w:eastAsia="Arial" w:hAnsi="Arial"/>
          <w:sz w:val="16"/>
          <w:szCs w:val="16"/>
          <w:color w:val="auto"/>
        </w:rPr>
        <w:t>. (a) Subject to the terms and conditions hereof, each Brazilian Lender severally agrees to make (or cause its Applicable Lending Office to make) revolving loans (“</w:t>
      </w:r>
      <w:r>
        <w:rPr>
          <w:rFonts w:ascii="Arial" w:cs="Arial" w:eastAsia="Arial" w:hAnsi="Arial"/>
          <w:sz w:val="16"/>
          <w:szCs w:val="16"/>
          <w:u w:val="single" w:color="auto"/>
          <w:color w:val="auto"/>
        </w:rPr>
        <w:t>Brazilian Loans”</w:t>
      </w:r>
      <w:r>
        <w:rPr>
          <w:rFonts w:ascii="Arial" w:cs="Arial" w:eastAsia="Arial" w:hAnsi="Arial"/>
          <w:sz w:val="16"/>
          <w:szCs w:val="16"/>
          <w:color w:val="auto"/>
        </w:rPr>
        <w:t xml:space="preserve">) in Brazilian Reais to any Brazilian Subsidiary Borrower from time to time during the Commitment Period of such Brazilian Lender pursuant to, in accordance with and subject to the terms of, its Brazilian Bank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ind w:right="100" w:firstLine="8"/>
        <w:spacing w:after="0" w:line="252" w:lineRule="auto"/>
        <w:tabs>
          <w:tab w:leader="none" w:pos="25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after giving effect to such borrowing and the use of proceeds thereof, (i) such Lender’s Brazilian Extensions of Credit do not exceed the amount of such Lender’s Brazilian Commitments then in effect, (ii) the Total Brazilian Extensions of Credit shall not exceed the Total Brazilian Commitment then in effect and (iii) the Total Extensions of Credit shall not exceed the Total Commitments then in effect and (y) each borrowing under the Brazilian Commitments shall be in an amount that is an integral multiple of R$10 million and no less than R$50 million (or, if the Total Available Brazilian Commitments are less than R$50 million at such time, such lesser amount). During the Commitment Period of the applicable Brazilian Lenders for the Brazilian Facility, the relevant Brazilian Subsidiary Borrower may use the Brazilian Commitments by borrowing, prepaying the Brazilian Loans in whole or in part, and reborrowing, all in accordance with the terms and conditions of the Brazilian Bank Certificates, the Brazilian Intercreditor Agreement and this Agreement. The Brazilian Loans shall be CDI Loans.</w:t>
      </w:r>
    </w:p>
    <w:p>
      <w:pPr>
        <w:spacing w:after="0" w:line="191" w:lineRule="exact"/>
        <w:rPr>
          <w:rFonts w:ascii="Arial" w:cs="Arial" w:eastAsia="Arial" w:hAnsi="Arial"/>
          <w:sz w:val="18"/>
          <w:szCs w:val="18"/>
          <w:color w:val="auto"/>
        </w:rPr>
      </w:pPr>
    </w:p>
    <w:p>
      <w:pPr>
        <w:ind w:right="100" w:firstLine="921"/>
        <w:spacing w:after="0" w:line="277" w:lineRule="auto"/>
        <w:tabs>
          <w:tab w:leader="none" w:pos="116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all outstanding Brazilian Loans of a Lender on the Termination Date for such Lender under the Brazilian Facility.</w:t>
      </w:r>
    </w:p>
    <w:p>
      <w:pPr>
        <w:spacing w:after="0" w:line="170" w:lineRule="exact"/>
        <w:rPr>
          <w:rFonts w:ascii="Arial" w:cs="Arial" w:eastAsia="Arial" w:hAnsi="Arial"/>
          <w:sz w:val="18"/>
          <w:szCs w:val="18"/>
          <w:color w:val="auto"/>
        </w:rPr>
      </w:pPr>
    </w:p>
    <w:p>
      <w:pPr>
        <w:ind w:right="360" w:firstLine="921"/>
        <w:spacing w:after="0" w:line="277" w:lineRule="auto"/>
        <w:tabs>
          <w:tab w:leader="none" w:pos="115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relevant Brazilian Subsidiary Borrower shall repay any outstanding Brazilian Loans on the dates required by the applicable Brazilian Bank Certificate.</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Brazilian Reporting</w:t>
      </w:r>
      <w:r>
        <w:rPr>
          <w:rFonts w:ascii="Arial" w:cs="Arial" w:eastAsia="Arial" w:hAnsi="Arial"/>
          <w:sz w:val="18"/>
          <w:szCs w:val="18"/>
          <w:color w:val="auto"/>
        </w:rPr>
        <w:t>. Unless otherwise requested by the Administrative Agent, the Brazilian Administrative Agent shall report in writing to the Administrative Agent (i) on the last Business Day of each month, the amount of all Brazilian Loans outstanding, (ii) on each Business Day on which the Brazilian Administrative Agent expects a Brazilian Loan to be made, the aggregate principal amount of such Brazilian Loan to be made on such date and the Dollar Equivalent thereof, and the Brazilian Administrative Agent shall not be permitted to release or deliver to any Brazilian Subsidiary Borrower all or any portion of such Brazilian Loan without first notifying the Administrative Agent as set forth herein, and (iii) on any other Business Day, such other information as the Administrative Agent shall reasonably request, including but not limited to prompt verification of such information as may be requested by the Administrative Agent.</w:t>
      </w:r>
    </w:p>
    <w:p>
      <w:pPr>
        <w:spacing w:after="0" w:line="189"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Competitive Bid Procedure</w:t>
      </w:r>
      <w:r>
        <w:rPr>
          <w:rFonts w:ascii="Arial" w:cs="Arial" w:eastAsia="Arial" w:hAnsi="Arial"/>
          <w:sz w:val="16"/>
          <w:szCs w:val="16"/>
          <w:color w:val="auto"/>
        </w:rPr>
        <w:t xml:space="preserve">. (a) (i) Subject to the terms and conditions set forth herein, from time to time during the Commitment Period in respect of Domestic Commitments, the Company or any Domestic Subsidiary Borrower may request Competitive Bids under the Domestic Facility and may (but shall not have any obligation to) accept Competitive Bids and borrow Competitive Loans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such borrowing and the use of proceeds thereof, (i) the Total Domestic Extensions of Credit shall not exceed the Total Domestic Commitments then in effect and (ii) the Total Extensions of Credit shall not exceed the Total Commitments then in effect. To request Competitive Bids under the Domestic Facility, the Company or the relevant Domestic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Domestic Facility, (2) the amount (which shall be a minimum of $50 million) and Type of the requested Competitive Loans, (3) the requested Borrowing Date and (4) the requested Interest Period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or the relevant Domestic Subsidiary Borrower may request offers to make Competitive Loans under the Domestic Facility for more than one Interest Period or for multiple Types of Competitive Loans under the Domestic Facility in a single Competitive Bid Request.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288" w:name="page289"/>
    <w:bookmarkEnd w:id="288"/>
    <w:p>
      <w:pPr>
        <w:ind w:left="-8" w:firstLine="921"/>
        <w:spacing w:after="0" w:line="287" w:lineRule="auto"/>
        <w:tabs>
          <w:tab w:leader="none" w:pos="1170" w:val="left"/>
        </w:tabs>
        <w:numPr>
          <w:ilvl w:val="0"/>
          <w:numId w:val="2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Subject to the terms and conditions set forth herein, from time to time during the Commitment Period in respect of Multicurrency Commitments, the Company or any relevant Subsidiary Borrower may request Competitive Bids under the Multicurrency Facility and may (but shall not have any obligation to) accept Competitive Bids and borrow Competitive Loans in Dollars or any Optional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such borrowing and the use of proceeds thereof, (x) the Total Multicurrency Extensions of Credit shall not exceed the Total Multicurrency Commitments then in effect and (y) the Total Extensions of Credit shall not exceed the Total Commitments then in effect. To request Competitive Bids under the Multicurrency Facility, the Company or the relevant Subsidiary Borrower shall give the Administrative Agent written notice by delivery of a Competitive Bid Request not later than 12:00 Noon London time (A) four Business Days prior to the requested Borrowing Date, in the case of Eurocurrency Competitive Loans, or (B) one Business Day prior to the requested Borrowing Date, in the case of Fixed Rate Loans. Each such Competitive Bid Request shall specify (1) that it is a request for Competitive Loans under the Multicurrency Facility, (2) the requested Currency, (3) the amount (which shall be a minimum of $50 million or the Dollar Equivalent in any Optional Currency) and Type of the requested Competitive Loans, (4) the requested Borrowing Date and (5) the requested Interest Period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or the relevant Subsidiary Borrower may request offers to make Competitive Loans under the Multicurrency Facility for more than one Interest Period or for multiple Types of Competitive Loans under the Multicurrency Facility in a single Competitive Bid Request.</w:t>
      </w:r>
    </w:p>
    <w:p>
      <w:pPr>
        <w:spacing w:after="0" w:line="169" w:lineRule="exact"/>
        <w:rPr>
          <w:sz w:val="20"/>
          <w:szCs w:val="20"/>
          <w:color w:val="auto"/>
        </w:rPr>
      </w:pPr>
    </w:p>
    <w:p>
      <w:pPr>
        <w:ind w:left="1172" w:hanging="259"/>
        <w:spacing w:after="0"/>
        <w:tabs>
          <w:tab w:leader="none" w:pos="117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Promptly following receipt of a Competitive Bid Request conforming to the requirements of this Section 2.7 (but, in any event, no later than</w:t>
      </w:r>
    </w:p>
    <w:p>
      <w:pPr>
        <w:spacing w:after="0" w:line="46" w:lineRule="exact"/>
        <w:rPr>
          <w:rFonts w:ascii="Arial" w:cs="Arial" w:eastAsia="Arial" w:hAnsi="Arial"/>
          <w:sz w:val="16"/>
          <w:szCs w:val="16"/>
          <w:color w:val="auto"/>
        </w:rPr>
      </w:pPr>
    </w:p>
    <w:p>
      <w:pPr>
        <w:ind w:left="-8" w:right="420" w:firstLine="8"/>
        <w:spacing w:after="0" w:line="255" w:lineRule="auto"/>
        <w:tabs>
          <w:tab w:leader="none" w:pos="24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with respect to any such request under the Domestic Facility, 3:00 P.M. New York City time and (y) with respect to any such request under the Multicurrency Facility, 3:00 P.M., London time, in each case, on the date of receipt thereof), the Administrative Agent shall notify the Lenders under the applicable Facility of the details thereof, inviting such Lenders to submit Competitive Bids.</w:t>
      </w:r>
    </w:p>
    <w:p>
      <w:pPr>
        <w:spacing w:after="0" w:line="190" w:lineRule="exact"/>
        <w:rPr>
          <w:rFonts w:ascii="Arial" w:cs="Arial" w:eastAsia="Arial" w:hAnsi="Arial"/>
          <w:sz w:val="18"/>
          <w:szCs w:val="18"/>
          <w:color w:val="auto"/>
        </w:rPr>
      </w:pPr>
    </w:p>
    <w:p>
      <w:pPr>
        <w:ind w:left="-8" w:right="20" w:firstLine="921"/>
        <w:spacing w:after="0" w:line="268" w:lineRule="auto"/>
        <w:tabs>
          <w:tab w:leader="none" w:pos="1150" w:val="left"/>
        </w:tabs>
        <w:numPr>
          <w:ilvl w:val="1"/>
          <w:numId w:val="293"/>
        </w:numPr>
        <w:rPr>
          <w:rFonts w:ascii="Arial" w:cs="Arial" w:eastAsia="Arial" w:hAnsi="Arial"/>
          <w:sz w:val="17"/>
          <w:szCs w:val="17"/>
          <w:color w:val="auto"/>
        </w:rPr>
      </w:pPr>
      <w:r>
        <w:rPr>
          <w:rFonts w:ascii="Arial" w:cs="Arial" w:eastAsia="Arial" w:hAnsi="Arial"/>
          <w:sz w:val="17"/>
          <w:szCs w:val="17"/>
          <w:color w:val="auto"/>
        </w:rPr>
        <w:t>Each Lender under the applicable Facility (or any Applicable Lending Office of such Lender) may (but shall not have any obligation to) make one or more Competitive Bids to the Company in response to a Competitive Bid Request. Each Competitive Bid by a Lender must be substantially in the form of Exhibit C and must be received by the Administrative Agent at its office specified in Section 10.2 not later than (x) with respect to any such Competitive Bid made under the Domestic Facility, 9:30 A.M., New York City time, three Business Days before the proposed Borrowing Date, in the case of Eurocurrency Competitive Loans, or 9:30 A.M., New York City time, on the proposed Borrowing Date, in the case of Fixed Rate Loans and (y) with respect to any such Competitive Bid made under the Multicurrency Facility, 9:30 A.M., London time, three Business Days before the proposed Borrowing Date, in the case of Eurocurrency Competitive Loans, or 9:30 A.M., London time, one Business Day before the proposed Borrowing Date, in the case of Fixed Rate Loans. Competitive Bids that do not conform substantially to Exhibit C may be rejected by the Administrative Agent, and the Administrative Agent shall notify the applicable Lender as promptly as practicable if such bid is rejected. Each Competitive Bid shall specify (i) the principal amount (which shall be a minimum of $5 million (or 5 million units of an Optional Currency) and which may equal the entire principal amount of the Competitive Loans requested by the Company or the relevant Subsidiary Borrower in the applicable Currency)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1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12"/>
          </w:cols>
          <w:pgMar w:left="248" w:top="274" w:right="239" w:bottom="1440" w:gutter="0" w:footer="0" w:header="0"/>
        </w:sectPr>
      </w:pPr>
    </w:p>
    <w:bookmarkStart w:id="289" w:name="page290"/>
    <w:bookmarkEnd w:id="289"/>
    <w:p>
      <w:pPr>
        <w:jc w:val="both"/>
        <w:ind w:right="280" w:firstLine="921"/>
        <w:spacing w:after="0" w:line="291" w:lineRule="auto"/>
        <w:tabs>
          <w:tab w:leader="none" w:pos="1168" w:val="left"/>
        </w:tabs>
        <w:numPr>
          <w:ilvl w:val="1"/>
          <w:numId w:val="2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promptly (and, in any event, by no later than (x) with respect to any such requested Domestic Competitive Loan, 10:00 A.M., New York City time (i) three Business Days before the proposed Borrowing Date, in the case of Eurocurrency Competitive Loans, and</w:t>
      </w:r>
    </w:p>
    <w:p>
      <w:pPr>
        <w:ind w:left="280" w:hanging="272"/>
        <w:spacing w:after="0"/>
        <w:tabs>
          <w:tab w:leader="none" w:pos="28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on the proposed Borrowing Date, in the case of Fixed Rate Loans and (y) with respect to any such requested Multicurrency Competitive Loan,</w:t>
      </w:r>
    </w:p>
    <w:p>
      <w:pPr>
        <w:spacing w:after="0" w:line="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10:30 A.M., London time (i) three Business Days before the proposed Borrowing Date, in the case of Eurocurrency Competitive Loans, and (ii) one Business Day before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177" w:lineRule="exact"/>
        <w:rPr>
          <w:sz w:val="20"/>
          <w:szCs w:val="20"/>
          <w:color w:val="auto"/>
        </w:rPr>
      </w:pPr>
    </w:p>
    <w:p>
      <w:pPr>
        <w:ind w:right="60" w:firstLine="921"/>
        <w:spacing w:after="0" w:line="283" w:lineRule="auto"/>
        <w:tabs>
          <w:tab w:leader="none" w:pos="1158" w:val="left"/>
        </w:tabs>
        <w:numPr>
          <w:ilvl w:val="1"/>
          <w:numId w:val="296"/>
        </w:numPr>
        <w:rPr>
          <w:rFonts w:ascii="Arial" w:cs="Arial" w:eastAsia="Arial" w:hAnsi="Arial"/>
          <w:sz w:val="16"/>
          <w:szCs w:val="16"/>
          <w:color w:val="auto"/>
        </w:rPr>
      </w:pPr>
      <w:r>
        <w:rPr>
          <w:rFonts w:ascii="Arial" w:cs="Arial" w:eastAsia="Arial" w:hAnsi="Arial"/>
          <w:sz w:val="16"/>
          <w:szCs w:val="16"/>
          <w:color w:val="auto"/>
        </w:rPr>
        <w:t xml:space="preserve">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(x) with respect to any requested Domestic Competitive Loan, 10:30 A.M., New York City time (i) three Business Days before the proposed Borrowing Date, in the case of Eurocurrency Competitive Loans, and (ii) on the proposed Borrowing Date, in the case of Fixed Rate Loans and (y) with respect to any requested Multicurrency Competitive Loan, 11:30 A.M., London time (i) three Business Days before the proposed Borrowing Date, in the case of Eurocurrency Competitive Loans, and (ii) one Business Day before the proposed Borrowing Date, in the case of Fixed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 (C) the aggregate amount of the Competitive Bids accepted by the Company or the relevant Subsidiary Borrower shall not exceed the aggregate amount of the requested Competitive Loans specified in the related Competitive Bid Request, (D) to the extent necessary to comply with clause</w:t>
      </w:r>
    </w:p>
    <w:p>
      <w:pPr>
        <w:spacing w:after="0" w:line="3" w:lineRule="exact"/>
        <w:rPr>
          <w:rFonts w:ascii="Arial" w:cs="Arial" w:eastAsia="Arial" w:hAnsi="Arial"/>
          <w:sz w:val="16"/>
          <w:szCs w:val="16"/>
          <w:color w:val="auto"/>
        </w:rPr>
      </w:pPr>
    </w:p>
    <w:p>
      <w:pPr>
        <w:ind w:firstLine="8"/>
        <w:spacing w:after="0" w:line="270" w:lineRule="auto"/>
        <w:tabs>
          <w:tab w:leader="none" w:pos="285"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 amount of each such Competitive Bid with such amounts rounded (as nearly as possible) to integral multiples of 1 million units of the applicable Currency, in a manner determined by the Company or the relevant Subsidiary Borrower, and (E) except pursuant to clause (D) above, no Competitive Bid shall be accepted for a Competitive Loan made by a Lender unless such Competitive Loan is in a minimum principal amount of $5 million (or 5 million units of an Optional Currency). A notice given by the Company or the relevant Subsidiary Borrower pursuant to this paragraph shall be irrevocable.</w:t>
      </w:r>
    </w:p>
    <w:p>
      <w:pPr>
        <w:spacing w:after="0" w:line="178" w:lineRule="exact"/>
        <w:rPr>
          <w:rFonts w:ascii="Arial" w:cs="Arial" w:eastAsia="Arial" w:hAnsi="Arial"/>
          <w:sz w:val="17"/>
          <w:szCs w:val="17"/>
          <w:color w:val="auto"/>
        </w:rPr>
      </w:pPr>
    </w:p>
    <w:p>
      <w:pPr>
        <w:ind w:right="180" w:firstLine="921"/>
        <w:spacing w:after="0" w:line="272" w:lineRule="auto"/>
        <w:tabs>
          <w:tab w:leader="none" w:pos="1138" w:val="left"/>
        </w:tabs>
        <w:numPr>
          <w:ilvl w:val="1"/>
          <w:numId w:val="297"/>
        </w:numPr>
        <w:rPr>
          <w:rFonts w:ascii="Arial" w:cs="Arial" w:eastAsia="Arial" w:hAnsi="Arial"/>
          <w:sz w:val="17"/>
          <w:szCs w:val="17"/>
          <w:color w:val="auto"/>
        </w:rPr>
      </w:pPr>
      <w:r>
        <w:rPr>
          <w:rFonts w:ascii="Arial" w:cs="Arial" w:eastAsia="Arial" w:hAnsi="Arial"/>
          <w:sz w:val="17"/>
          <w:szCs w:val="17"/>
          <w:color w:val="auto"/>
        </w:rPr>
        <w:t>The Administrative Agent shall promptly (and, in any event, by (x) with respect to any requested Domestic Competitive Loan, 11:00 A.M., New York City time (i) three Business Days before the proposed Borrowing Date, in the case of Eurocurrency Competitive Loans, and (ii) on the proposed Borrowing Date, in the case of Fixed Rate Loans and (y) with respect to any requested Multicurrency Competitive Loan, 12:00 Noon, London time (i) three Business Days before the proposed Borrowing Date, in the case of Eurocurrency Competitive Loans, and (ii) one Business Day before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290" w:name="page291"/>
    <w:bookmarkEnd w:id="290"/>
    <w:p>
      <w:pPr>
        <w:jc w:val="both"/>
        <w:ind w:right="140" w:firstLine="921"/>
        <w:spacing w:after="0" w:line="264" w:lineRule="auto"/>
        <w:tabs>
          <w:tab w:leader="none" w:pos="1168" w:val="left"/>
        </w:tabs>
        <w:numPr>
          <w:ilvl w:val="0"/>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 2.7.</w:t>
      </w:r>
    </w:p>
    <w:p>
      <w:pPr>
        <w:spacing w:after="0" w:line="181" w:lineRule="exact"/>
        <w:rPr>
          <w:rFonts w:ascii="Arial" w:cs="Arial" w:eastAsia="Arial" w:hAnsi="Arial"/>
          <w:sz w:val="18"/>
          <w:szCs w:val="18"/>
          <w:color w:val="auto"/>
        </w:rPr>
      </w:pPr>
    </w:p>
    <w:p>
      <w:pPr>
        <w:ind w:firstLine="921"/>
        <w:spacing w:after="0" w:line="277" w:lineRule="auto"/>
        <w:tabs>
          <w:tab w:leader="none" w:pos="116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Company or, to the extent of its borrowings, any relevant Subsidiary Borrower shall repay each outstanding Competitive Loan on the last day of the Interest Period therefor.</w:t>
      </w:r>
    </w:p>
    <w:p>
      <w:pPr>
        <w:spacing w:after="0" w:line="170"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Facility Fees, etc</w:t>
      </w:r>
      <w:r>
        <w:rPr>
          <w:rFonts w:ascii="Arial" w:cs="Arial" w:eastAsia="Arial" w:hAnsi="Arial"/>
          <w:sz w:val="18"/>
          <w:szCs w:val="18"/>
          <w:color w:val="auto"/>
        </w:rPr>
        <w:t>.. (a) The Company agrees to pay to the Administrative Agent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for the account of each Domestic Lender and Multicurrency Lender for the period from and including the Closing Date (or such later date as of which such Lender shall become a Lender under the Domestic Facility or Multicurrency Facility, as applicable) to the date on which all Extensions of Credit of such Lender under such Facility have been paid in full (or Collateralized) and the Commitments of such Lender under such Facility have been terminated, computed at the Facility Fee Rate on the average daily amount of the Commitments of such Domestic Lender or Multicurrency Lender, as applicable (whether used or unused) under such Facility or, if such Commitments have been terminated, on the daily average Extensions of Credit and Competitive Loans of such Lender under such Facility during the related Fee Payment Period for which payment is made, payable in arrears on each Fee Payment Date, commencing on the first such date to occur after the Closing Date.</w:t>
      </w:r>
    </w:p>
    <w:p>
      <w:pPr>
        <w:spacing w:after="0" w:line="192" w:lineRule="exact"/>
        <w:rPr>
          <w:sz w:val="20"/>
          <w:szCs w:val="20"/>
          <w:color w:val="auto"/>
        </w:rPr>
      </w:pPr>
    </w:p>
    <w:p>
      <w:pPr>
        <w:ind w:right="80" w:firstLine="921"/>
        <w:spacing w:after="0" w:line="264" w:lineRule="auto"/>
        <w:tabs>
          <w:tab w:leader="none" w:pos="116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Company, GMB or any other Brazilian Subsidiary Borrower shall pay to the Brazilian Administrative Agent for the account of each Brazilian Lender the “Commission” (as such term is defined in each Brazilian Bank Certificate pursuant to the terms thereof, on the dates and in the amounts set forth therein).</w:t>
      </w:r>
    </w:p>
    <w:p>
      <w:pPr>
        <w:spacing w:after="0" w:line="181" w:lineRule="exact"/>
        <w:rPr>
          <w:rFonts w:ascii="Arial" w:cs="Arial" w:eastAsia="Arial" w:hAnsi="Arial"/>
          <w:sz w:val="18"/>
          <w:szCs w:val="18"/>
          <w:color w:val="auto"/>
        </w:rPr>
      </w:pPr>
    </w:p>
    <w:p>
      <w:pPr>
        <w:ind w:right="40" w:firstLine="921"/>
        <w:spacing w:after="0" w:line="277" w:lineRule="auto"/>
        <w:tabs>
          <w:tab w:leader="none" w:pos="115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Administrative Agent Fee Letter, dated as of February 5, 2018 between the Company and the Administrative Agent.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Termination, Reduction and Reallocation of Commitments</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87" w:lineRule="auto"/>
        <w:tabs>
          <w:tab w:leader="none" w:pos="1158"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The Company shall have the right, upon not less than three Business Days’ notice to the Administrative Agent (and, in the case of a reduction or termination of Brazilian Commitments, the Brazilian Administrative Agent), to terminate the Commitments under any Facility or, from time to time, to reduce the amount of Commitments under any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termination or reduction of such Commitments shall be permitted if, after giving effect thereto and to any prepayments of the Loans (if applicable) made on the effective date thereof, (v) the Total Brazilian Extensions of Credit would exceed the Total Brazilian Commitments then in effect, (w) the Total Domestic Extensions of Credit would exceed the Total Domestic Commitments then in effect, (x) the Domestic Extensions of Credit of any Lender would exceed such Lender’s Domestic Commitment then in effect or (y) the Total Multicurrency Extensions of Credit would exceed the Total Multicurrency Commitments then in effect. In the event that the Administrative Agent (and the Brazilian Administrative Agent, if applicable) receives such notice, the Administrative Agent (or the Brazilian Administrative Agent, if applicable) shall give notice thereof to the relevant Lenders as soon as practicable thereafter. Any such reduction shall be in an amount equal to $25 million or a whole multiple of $10 million in excess thereof and shall reduce permanently the Commitments then in effect under such Facility. Each notice delivered by the Company pursuant to this Section 2.9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that a notice to terminate any Commitments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291" w:name="page292"/>
    <w:bookmarkEnd w:id="291"/>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by the Company may state that such notice is conditioned upon the effectiveness of other credit facilities or a Change of Control, in which case, such notice may be revoked by the Company (by notice to the Administrative Agent (and the Brazilian Administrative Agent, if applicable) on or prior to the specified effective date) if such condition is not satisfied. Notwithstanding the foregoing, the revocation of a termination notice shall not affect the Company’s obligation to indemnify any Lender in accordance with Section 2.20 for any loss or expense sustained or incurred as a consequence thereof.</w:t>
      </w:r>
    </w:p>
    <w:p>
      <w:pPr>
        <w:spacing w:after="0" w:line="154" w:lineRule="exact"/>
        <w:rPr>
          <w:sz w:val="20"/>
          <w:szCs w:val="20"/>
          <w:color w:val="auto"/>
        </w:rPr>
      </w:pPr>
    </w:p>
    <w:p>
      <w:pPr>
        <w:ind w:firstLine="921"/>
        <w:spacing w:after="0" w:line="285" w:lineRule="auto"/>
        <w:tabs>
          <w:tab w:leader="none" w:pos="116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The Company shall have the right, upon not less than three Business Days’ notice to the Administrative Agent, to require the Lenders under the Multicurrency Facility to reallocate the Multicurrency Commitments to the Domestic Facility and the Company may at any time or from time to time after the Closing Date, by notice to the Administrative Agent and the Lenders, request that one or more of the Lenders under the Brazilian Facility reallocate a portion of their respective Brazilian Commitments to the Domestic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any such reallocation, (x) in the case of a reallocation of Multicurrency Commitments, (A) the Total Multicurrency Extensions of Credit shall not exceed the Total Multicurrency Commitments then in effect and (B) the Multicurrency Extensions of Credit of any Lender shall not exceed the amount of such Lender’s Multicurrency Commitments then in effect and (y) in the case of a reallocation of Brazilian Commitments, the Total Brazilian Extensions of Credit shall not exceed the Total Brazilian Commitments then in effect and (ii) such reallocation with respect to any Lender shall have been consented to by each Material Issuing Lender to the extent such consent would be required for an assignment to such Lender pursuant to Section 10.6(b). Except as provided in Section 2.22, any such reallocation shall be in an amount equal to $25 million or a whole multiple of $1 million in excess thereof. Any such reallocation shall reduce the Multicurrency Commitment of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existing Multicurrency Commitments at such time and increase such Lender’s Domestic Commitment by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reallocation would result in amounts being payable by the Company or any Subsidiary Borrower to any Lender under Section 2.18 or 2.19, such Lender shall use reasonable efforts (subject to Section 2.21) to change its Applicable Lending Office to avoid such result. On the date of any such reallocation, (i) each relevant Lender shall make available to the Administrative Agent such amounts in immediately available funds as the Administrative Agent shall determine are necessary in order to cause, after giving effect to such increased Domestic Commitments and the application of such amounts to prepay Domestic Loans of other Domestic Lenders, the Domestic Loans to be held ratably by all Domestic Lenders in accordance with their respective Domestic Commitments after giving effect to such reallocation, (ii) the Company and any relevant Subsidiary Borrower shall be deemed to have prepaid and reborrowed all outstanding Domestic Loans and (iii) the Company and any relevant Subsidiary Borrower shall pay to the relevant Domestic Lenders the amounts, if any, payable under Section 2.20 as a result of such prepayment. Notwithstanding anything in this clause (b) to the contrary, no Brazilian Lender shall be obligated to reallocate any portion of its Brazilian Commitments to the Domestic Facility unless such Lender agrees.</w:t>
      </w:r>
    </w:p>
    <w:p>
      <w:pPr>
        <w:spacing w:after="0" w:line="168" w:lineRule="exact"/>
        <w:rPr>
          <w:rFonts w:ascii="Arial" w:cs="Arial" w:eastAsia="Arial" w:hAnsi="Arial"/>
          <w:sz w:val="16"/>
          <w:szCs w:val="16"/>
          <w:color w:val="auto"/>
        </w:rPr>
      </w:pPr>
    </w:p>
    <w:p>
      <w:pPr>
        <w:ind w:right="260" w:firstLine="921"/>
        <w:spacing w:after="0" w:line="290" w:lineRule="auto"/>
        <w:tabs>
          <w:tab w:leader="none" w:pos="115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The Company may at any time or from time to time after the Closing Date, by notice to the Administrative Agent and the Lenders, request that one or more of the Lenders under the Domestic Facility or Brazilian Facility, as applicable, reallocate a portion of their respective Domestic Commitments or Brazilian Commitments, as applicable, to the Multicurrency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such reallocation and any prepayment of the Domestic Loans or Brazilian Loans, as applicable (which, notwithstanding anything to the contrary contained herein, may include a non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prepayment of the Lenders agreeing to such reallocation), (i) in the case of a reallocation of Domestic Commitments, (A) the Total Domestic Extensions of Credit shall not exceed the Total Domestic Commitments then in effect and (B) the Domestic Extensions of Credit of any Lender shall not exceed the amount of such Lender’s Domestic Commitments then in effect, and (ii) in the case of a reallocation of Brazilian Commitments, the Total Brazilian Extensions of Credit shall not exceed the Total Brazilian Commitments then in effect. Each notice from the Company pursuant to this paragraph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292" w:name="page293"/>
    <w:bookmarkEnd w:id="292"/>
    <w:p>
      <w:pPr>
        <w:ind w:firstLine="8"/>
        <w:spacing w:after="0" w:line="269" w:lineRule="auto"/>
        <w:tabs>
          <w:tab w:leader="none" w:pos="245" w:val="left"/>
        </w:tabs>
        <w:numPr>
          <w:ilvl w:val="0"/>
          <w:numId w:val="3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set forth the requested amount of such reallocation and date of such reallocation (which shall be at least three Business Days after the date of such request) and shall also set forth the agreement of the relevant Domestic Lenders or the Brazilian Lenders, as applicable, to such reallocation. The relevant Lenders agreeing to reallocate a portion of their Domestic Commitments or Brazilian Commitments, as applicable, to the Multicurrency Facility shall have such portion of their Domestic Commitment or Brazilian Commitments, as applicable, reallocated as provided in such notice. On the date of any such reallocation, (i) each relevant Lender shall make available to the Administrative Agent such amounts in immediately available funds as the Administrative Agent shall determine is necessary in order to cause, after giving effect to such reallocation and the application of such amounts to prepay Multicurrency Loans of the other Multicurrency Lenders, the Multicurrency Loans to be held ratably by all Multicurrency Lenders in accordance with their respective Multicurrency Commitments after giving effect to such reallocation, (ii) the Company and any relevant Subsidiary Borrower shall be deemed to have prepaid and reborrowed all outstanding Multicurrency Loans and (iii) the Company and any relevant Subsidiary Borrower shall pay to the relevant Lenders the amounts, if any, payable under Section 2.20 as a result of such prepayment(s). Notwithstanding anything in this clause (c) to the contrary, no Domestic Lender or Brazilian Lender, as applicable, shall be obligated to reallocate any portion of its Domestic Commitments or Brazilian Commitments, as applicable, to the Multicurrency Facility unless such Lender agrees.</w:t>
      </w:r>
    </w:p>
    <w:p>
      <w:pPr>
        <w:spacing w:after="0" w:line="179" w:lineRule="exact"/>
        <w:rPr>
          <w:rFonts w:ascii="Arial" w:cs="Arial" w:eastAsia="Arial" w:hAnsi="Arial"/>
          <w:sz w:val="17"/>
          <w:szCs w:val="17"/>
          <w:color w:val="auto"/>
        </w:rPr>
      </w:pPr>
    </w:p>
    <w:p>
      <w:pPr>
        <w:jc w:val="both"/>
        <w:ind w:right="60" w:firstLine="921"/>
        <w:spacing w:after="0" w:line="264" w:lineRule="auto"/>
        <w:tabs>
          <w:tab w:leader="none" w:pos="116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reallocation of Brazilian Commitments described above shall be made pursuant to an amendment to the Brazilian Bank Certificates and, to the extent required, this Agreement and, as appropriate, the other Loan Documents, executed by the applicable Brazilian Lenders, each Borrower under the Brazilian Facility, the Administrative Agent and/or the Brazilian Administrative Agent, as applicable.</w:t>
      </w:r>
    </w:p>
    <w:p>
      <w:pPr>
        <w:spacing w:after="0" w:line="181"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The Company and any relevant Subsidiary Borrower may at any time and from time to time prepay the Loans (other than the Brazilian Loans), in whole or in part, without premium or penalty, upon irrevocable notice delivered to the Administrative Agent no later than</w:t>
      </w:r>
    </w:p>
    <w:p>
      <w:pPr>
        <w:ind w:right="20" w:firstLine="8"/>
        <w:spacing w:after="0" w:line="266" w:lineRule="auto"/>
        <w:tabs>
          <w:tab w:leader="none" w:pos="25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with respect to Domestic Loans and Domestic Competitive Loans, 1:00 P.M., New York City time, three Business Days prior thereto, in the case of Eurocurrency Loans, and no later than 1:00 P.M., New York City time, on the day of such prepayment, in the case of ABR Loans, and (y) with respect to Multicurrency Loans and Multicurrency Competitive Loans, 11 A.M., London time, three Business Days prior thereto, in each case which notice shall specify the applicable Facility, the date and amount of prepayment and whether the prepayment is of Eurocurrency Loans or ABR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 Eurocurrency Loan is prepaid on any day other than the last day of the Interest Period applicable thereto, the Company or the relevant Subsidiary Borrower shall also pay any amounts owing pursuant to Section 2.20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2.20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(other than Brazilian Loans) shall be in an integral multiple of 1 million units of the Currency of such Loan and no less than the Dollar Equivalent of $25 million.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293" w:name="page294"/>
    <w:bookmarkEnd w:id="293"/>
    <w:p>
      <w:pPr>
        <w:ind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Brazilian Subsidiary Borrower may at any time and from time to time prepay the Brazilian Loans, in whole or in part, without premium or penalty, upon irrevocable notice delivered to the Brazilian Administrative Agent pursuant to, and in accordance with the terms of, each Brazilian Bank Certificate.</w:t>
      </w:r>
    </w:p>
    <w:p>
      <w:pPr>
        <w:spacing w:after="0" w:line="12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Mandatory Prepayments</w:t>
      </w:r>
      <w:r>
        <w:rPr>
          <w:rFonts w:ascii="Arial" w:cs="Arial" w:eastAsia="Arial" w:hAnsi="Arial"/>
          <w:sz w:val="16"/>
          <w:szCs w:val="16"/>
          <w:color w:val="auto"/>
        </w:rPr>
        <w:t xml:space="preserve">. (a) On each Fee Payment Date on which any Letter of Credit denominated in an Optional Currency is outstanding, the Administrative Agent shall determine the Dollar Equivalent of the Total Domestic Extensions of Credit as of the last day of the related Fee Payment Period. If, as of the last day of any Fee Payment Period, the Dollar Equivalent of the Total Domestic Extensions of Credit exceeds the Total Domestic Commitments then in effect by 5% or more, then the Administrative Agent shall notify the Company and, within five Business Days of such notice, the Company or the relevant Subsidiary Borrower shall prepay Domestic Loans or Collateralize outstanding Letters of Credit in an aggregate principal or face amount at least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the Administrative Agent to determine the Dollar Equivalent of the Total Domestic Extensions of Credit as provided in this Section 2.11(a) shall not subject the Administrative Agent to any liability hereunder.</w:t>
      </w:r>
    </w:p>
    <w:p>
      <w:pPr>
        <w:spacing w:after="0" w:line="167" w:lineRule="exact"/>
        <w:rPr>
          <w:sz w:val="20"/>
          <w:szCs w:val="20"/>
          <w:color w:val="auto"/>
        </w:rPr>
      </w:pPr>
    </w:p>
    <w:p>
      <w:pPr>
        <w:ind w:right="20" w:firstLine="921"/>
        <w:spacing w:after="0" w:line="255" w:lineRule="auto"/>
        <w:tabs>
          <w:tab w:leader="none" w:pos="116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On each Fee Payment Date, the Administrative Agent shall determine the Total Multicurrency Extensions of Credit as of the last day of the related Fee Payment Period. If, as of the last day of any Fee Payment Period, the Total Multicurrency Extensions of Credit exceeds the Total Multicurrency Commitments then in effect by 5% or more, then the Administrative Agent shall notify the Company and, within five Business Days of such notice, the Company or the relevant Subsidiary Borrower shall prepay Multicurrency Loans in an aggregate principal amount at least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failure of the Administrative Agent to determine the Total Multicurrency Extensions of Credit as provided in this Section 2.11(b) shall not subject the Administrative Agent to any liability hereunder.</w:t>
      </w:r>
    </w:p>
    <w:p>
      <w:pPr>
        <w:spacing w:after="0" w:line="193" w:lineRule="exact"/>
        <w:rPr>
          <w:rFonts w:ascii="Arial" w:cs="Arial" w:eastAsia="Arial" w:hAnsi="Arial"/>
          <w:sz w:val="18"/>
          <w:szCs w:val="18"/>
          <w:color w:val="auto"/>
        </w:rPr>
      </w:pPr>
    </w:p>
    <w:p>
      <w:pPr>
        <w:ind w:firstLine="921"/>
        <w:spacing w:after="0" w:line="255" w:lineRule="auto"/>
        <w:tabs>
          <w:tab w:leader="none" w:pos="115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The Brazilian Administrative Agent shall determine the Total Brazilian Extensions of Credit on a quarterly basis as detailed in the Brazilian Bank Certificates. If, as of any quarterly date of determination, the Total Brazilian Extensions of Credit exceeds the Total Brazilian Commitments then in effect by 5% or more, then the Brazilian Administrative Agent shall notify the Administrative Agent and the Company and, within five Business Days of such notice, the Company or the relevant Subsidiary Borrower shall prepay the Brazilian Loans in an aggregate principal amount at least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failure of the Brazilian Administrative Agent to determine the Total Brazilian Extensions of Credit as provided in this Section 2.11(c) shall not subject the Brazilian Administrative Agent to any liability hereunder.</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Conversion and Continuation Options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0" w:lineRule="auto"/>
        <w:tabs>
          <w:tab w:leader="none" w:pos="1158" w:val="left"/>
        </w:tabs>
        <w:numPr>
          <w:ilvl w:val="0"/>
          <w:numId w:val="305"/>
        </w:numPr>
        <w:rPr>
          <w:rFonts w:ascii="Arial" w:cs="Arial" w:eastAsia="Arial" w:hAnsi="Arial"/>
          <w:sz w:val="17"/>
          <w:szCs w:val="17"/>
          <w:color w:val="auto"/>
        </w:rPr>
      </w:pPr>
      <w:r>
        <w:rPr>
          <w:rFonts w:ascii="Arial" w:cs="Arial" w:eastAsia="Arial" w:hAnsi="Arial"/>
          <w:sz w:val="17"/>
          <w:szCs w:val="17"/>
          <w:color w:val="auto"/>
        </w:rPr>
        <w:t xml:space="preserve">The Company or any Subsidiary Borrower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conversion of Eurocurrency Loans that is not made on the last day of an Interest Period with respect thereto shall be subject to Section 2.20. The Company or any Subsidiary Borrower may elect from time to time to convert ABR Loans to Eurocurrency Loans denominated in Dollars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7"/>
          <w:szCs w:val="17"/>
          <w:u w:val="single" w:color="auto"/>
          <w:color w:val="auto"/>
        </w:rPr>
        <w:t>provided</w:t>
      </w:r>
      <w:r>
        <w:rPr>
          <w:rFonts w:ascii="Arial" w:cs="Arial" w:eastAsia="Arial" w:hAnsi="Arial"/>
          <w:sz w:val="17"/>
          <w:szCs w:val="17"/>
          <w:color w:val="auto"/>
        </w:rPr>
        <w:t>, that no ABR Loan may be converted into a Eurocurrency Loan denominated in Dollars when (after giving effect to such Loan and to the application of proceeds thereof) any Event of Default has occurred and is continuing and the Administrative Agent has or the Majority Facility Lenders in respect of such Facility have determined in its or their sole discretion not to permit such conversions (and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294" w:name="page295"/>
    <w:bookmarkEnd w:id="294"/>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147" w:lineRule="exact"/>
        <w:rPr>
          <w:sz w:val="20"/>
          <w:szCs w:val="20"/>
          <w:color w:val="auto"/>
        </w:rPr>
      </w:pPr>
    </w:p>
    <w:p>
      <w:pPr>
        <w:ind w:firstLine="921"/>
        <w:spacing w:after="0" w:line="287" w:lineRule="auto"/>
        <w:tabs>
          <w:tab w:leader="none" w:pos="1168"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 contrary provision hereof, if (after giving effect to such Loan and to the application of proceeds thereof) an Event of Default has occurred and is continuing and the Administrative Agent, at the request of the Majority Facility Lenders in respect of any Facility or in its sole discretion, so notifies the Company, then, so long as an Event of Default is continuing, other than to the extent repaid, (i) each Eurocurrency Loan denominated in Dollars under the relevant Facility shall be converted to an ABR Loan at the end of the Interest Period applicable thereto and (ii) each Eurocurrency Loan denominated in an Optional Currency under the applicable Facility shall be converted at the end of the Interest Period applicable thereto to a Eurocurrency Loan with an Interest Period of two weeks;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169"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Limitations on Eurocurrency Tranches</w:t>
      </w:r>
      <w:r>
        <w:rPr>
          <w:rFonts w:ascii="Arial" w:cs="Arial" w:eastAsia="Arial" w:hAnsi="Arial"/>
          <w:sz w:val="18"/>
          <w:szCs w:val="18"/>
          <w:color w:val="auto"/>
        </w:rPr>
        <w:t>. Notwithstanding anything to the contrary in this Agreement, all borrowings, conversions and continuations of Eurocurrency Loans and all selections of Interest Periods shall be in such amounts and be made pursuant to such elections so that no more than 30 Eurocurrency Tranches shall be outstanding at any one time.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Interest Rates and Payment Dates</w:t>
      </w:r>
      <w:r>
        <w:rPr>
          <w:rFonts w:ascii="Arial" w:cs="Arial" w:eastAsia="Arial" w:hAnsi="Arial"/>
          <w:sz w:val="18"/>
          <w:szCs w:val="18"/>
          <w:color w:val="auto"/>
        </w:rPr>
        <w:t>.</w:t>
      </w:r>
    </w:p>
    <w:p>
      <w:pPr>
        <w:spacing w:after="0" w:line="225" w:lineRule="exact"/>
        <w:rPr>
          <w:sz w:val="20"/>
          <w:szCs w:val="20"/>
          <w:color w:val="auto"/>
        </w:rPr>
      </w:pPr>
    </w:p>
    <w:p>
      <w:pPr>
        <w:ind w:right="260" w:firstLine="921"/>
        <w:spacing w:after="0" w:line="308" w:lineRule="auto"/>
        <w:tabs>
          <w:tab w:leader="none" w:pos="1158"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Each Eurocurrency Loan that is a Multicurrency Loan or a Domestic Loan shall bear interest for each day during each Interest Period with respect thereto at a rate per annum equal to the Eurocurrency Rate determined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w:t>
      </w:r>
    </w:p>
    <w:p>
      <w:pPr>
        <w:spacing w:after="0" w:line="146" w:lineRule="exact"/>
        <w:rPr>
          <w:rFonts w:ascii="Arial" w:cs="Arial" w:eastAsia="Arial" w:hAnsi="Arial"/>
          <w:sz w:val="17"/>
          <w:szCs w:val="17"/>
          <w:color w:val="auto"/>
        </w:rPr>
      </w:pPr>
    </w:p>
    <w:p>
      <w:pPr>
        <w:ind w:right="100" w:firstLine="921"/>
        <w:spacing w:after="0" w:line="277" w:lineRule="auto"/>
        <w:tabs>
          <w:tab w:leader="none" w:pos="116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Each Eurocurrency Competitive Loan shall bear interest at a rate per annum equal to the Eurocurrency Rate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minus, as applicable) the Margin.</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Each Fixed Rate Loan shall bear interest at the fixed rate applicable to such Loan.</w:t>
      </w:r>
    </w:p>
    <w:p>
      <w:pPr>
        <w:spacing w:after="0" w:line="225" w:lineRule="exact"/>
        <w:rPr>
          <w:rFonts w:ascii="Arial" w:cs="Arial" w:eastAsia="Arial" w:hAnsi="Arial"/>
          <w:sz w:val="18"/>
          <w:szCs w:val="18"/>
          <w:color w:val="auto"/>
        </w:rPr>
      </w:pPr>
    </w:p>
    <w:p>
      <w:pPr>
        <w:ind w:right="40" w:firstLine="921"/>
        <w:spacing w:after="0" w:line="255" w:lineRule="auto"/>
        <w:tabs>
          <w:tab w:leader="none" w:pos="115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(i) If all or a portion of the principal amount of any Loan (other than any Brazilian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2.14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or (y) in the case of Reimbursement Obligations, the rate applicable to ABR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(ii) if all or a portion of any interest payable on any Loan or Reimbursement Obligation or any Facility Fee or Letter of Credit Fee payable hereunder (in each case, other than any of the foregoing in connection with the Brazilian Facility) shall not be paid when due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295" w:name="page296"/>
    <w:bookmarkEnd w:id="295"/>
    <w:p>
      <w:pPr>
        <w:ind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at the stated maturity, by acceleration or otherwise), such overdue amount (in the case of any Reimbursement Obligations denominated in an Optional Currency, converted into Dollars on the applicable Reimbursement Date if necessary) shall bear interest at a rate per annum equal to the rate then applicable to ABR Loans, in each case, with respect to clauses (i) and (ii) above, from the date of such nonpayment until such amount is paid in full (as well after as before judgment) and (iii) if all or a portion of any principal amount of any Brazilian Loans or any interest payable on any Brazilian Loan or any fee payable in connection with the Brazilian Facility shall not be paid when due (whether at the stated maturity, by acceleration or otherwise), such overdue amount shall bear interest at the rate per annum required by the Brazilian Bank Certificates.</w:t>
      </w:r>
    </w:p>
    <w:p>
      <w:pPr>
        <w:spacing w:after="0" w:line="178" w:lineRule="exact"/>
        <w:rPr>
          <w:sz w:val="20"/>
          <w:szCs w:val="20"/>
          <w:color w:val="auto"/>
        </w:rPr>
      </w:pPr>
    </w:p>
    <w:p>
      <w:pPr>
        <w:jc w:val="both"/>
        <w:ind w:right="360" w:firstLine="921"/>
        <w:spacing w:after="0" w:line="264" w:lineRule="auto"/>
        <w:tabs>
          <w:tab w:leader="none" w:pos="113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(x) interest accruing pursuant to Section 2.14(e) shall be payable from time to time on demand and (y) interest accruing in respect of the Brazilian Facility shall be payable in accordance with and pursuant to the terms of the Brazilian Bank Certificates.</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All interest hereunder shall be paid in the Currency in which the Loan giving rise to such interest is denominated.</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 (a) Interest and fees payable pursuant hereto shall be calculated on the basis of a 360-day year for the actual days elapsed, except that (i) interest computed by reference to ABR at times when ABR is based on the Prime Rate shall be computed on the basis of a year of 365 days (or 366 days in a leap year), and shall be payable for the actual number of days elapsed, (ii) interest computed on Loans and Letters of Credit denominated in Pounds Sterling shall be computed on the basis of a year of 365 days, and shall be payable for the actual number of days elapsed and</w:t>
      </w:r>
    </w:p>
    <w:p>
      <w:pPr>
        <w:spacing w:after="0" w:line="2" w:lineRule="exact"/>
        <w:rPr>
          <w:sz w:val="20"/>
          <w:szCs w:val="20"/>
          <w:color w:val="auto"/>
        </w:rPr>
      </w:pPr>
    </w:p>
    <w:p>
      <w:pPr>
        <w:ind w:right="80" w:firstLine="8"/>
        <w:spacing w:after="0" w:line="252" w:lineRule="auto"/>
        <w:tabs>
          <w:tab w:leader="none" w:pos="31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interest and fees payable in connection with the Brazilian Facility shall be calculated in the manner required by the Brazilian Bank Certificates. The Administrative Agent shall as soon as practicable notify the Company or relevant Subsidiary Borrower and the Lenders of each determination of a Eurocurrency Rate. Any change in the interest rate on a Loan resulting from a change in the ABR, the CDI or the Eurocurrency Reserve Requirements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 (other than any such change in the CDI).</w:t>
      </w:r>
    </w:p>
    <w:p>
      <w:pPr>
        <w:spacing w:after="0" w:line="194" w:lineRule="exact"/>
        <w:rPr>
          <w:rFonts w:ascii="Arial" w:cs="Arial" w:eastAsia="Arial" w:hAnsi="Arial"/>
          <w:sz w:val="18"/>
          <w:szCs w:val="18"/>
          <w:color w:val="auto"/>
        </w:rPr>
      </w:pPr>
    </w:p>
    <w:p>
      <w:pPr>
        <w:ind w:right="120" w:firstLine="921"/>
        <w:spacing w:after="0" w:line="276" w:lineRule="auto"/>
        <w:tabs>
          <w:tab w:leader="none" w:pos="1168" w:val="left"/>
        </w:tabs>
        <w:numPr>
          <w:ilvl w:val="1"/>
          <w:numId w:val="309"/>
        </w:numPr>
        <w:rPr>
          <w:rFonts w:ascii="Arial" w:cs="Arial" w:eastAsia="Arial" w:hAnsi="Arial"/>
          <w:sz w:val="17"/>
          <w:szCs w:val="17"/>
          <w:color w:val="auto"/>
        </w:rPr>
      </w:pPr>
      <w:r>
        <w:rPr>
          <w:rFonts w:ascii="Arial" w:cs="Arial" w:eastAsia="Arial" w:hAnsi="Arial"/>
          <w:sz w:val="17"/>
          <w:szCs w:val="17"/>
          <w:color w:val="auto"/>
        </w:rPr>
        <w:t>Each determination of an interest rate by the Administrative Agent (or, in the case of the CDI, the Brazilian Administrative Agent) pursuant to any provision of this Agreement or any other Loan Document shall be conclusive and binding on the Company, any Subsidiary Borrower and the Lenders in the absence of manifest error. The Administrative Agent (or the Brazilian Administrative Agent, if applicable) shall, at the request of the Company or any Subsidiary Borrower, deliver to the Company or such Subsidiary Borrower a statement showing the quotations used by the Administrative Agent (or the Brazilian Administrative Agent, as the case may be) in determining any interest rate pursuant to Section 2.17(a).</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Inability to Determine Interest Rate; Illegality</w:t>
      </w:r>
      <w:r>
        <w:rPr>
          <w:rFonts w:ascii="Arial" w:cs="Arial" w:eastAsia="Arial" w:hAnsi="Arial"/>
          <w:sz w:val="18"/>
          <w:szCs w:val="18"/>
          <w:color w:val="auto"/>
        </w:rPr>
        <w:t>. (a) If prior to the first day of any Interest Period:</w:t>
      </w:r>
    </w:p>
    <w:p>
      <w:pPr>
        <w:spacing w:after="0" w:line="225" w:lineRule="exact"/>
        <w:rPr>
          <w:sz w:val="20"/>
          <w:szCs w:val="20"/>
          <w:color w:val="auto"/>
        </w:rPr>
      </w:pPr>
    </w:p>
    <w:p>
      <w:pPr>
        <w:jc w:val="both"/>
        <w:ind w:right="680" w:firstLine="921"/>
        <w:spacing w:after="0" w:line="264" w:lineRule="auto"/>
        <w:tabs>
          <w:tab w:leader="none" w:pos="112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Company or relevant Subsidiary Borrower) that, by reason of circumstances affecting the relevant market, adequate and reasonable means do not exist for ascertaining the Eurocurrency Rate for such Interest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296" w:name="page297"/>
    <w:bookmarkEnd w:id="296"/>
    <w:p>
      <w:pPr>
        <w:ind w:right="40" w:firstLine="921"/>
        <w:spacing w:after="0" w:line="264" w:lineRule="auto"/>
        <w:tabs>
          <w:tab w:leader="none" w:pos="1178" w:val="left"/>
        </w:tabs>
        <w:numPr>
          <w:ilvl w:val="0"/>
          <w:numId w:val="3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have received notice from the Majority Facility Lenders in respect of such Facility that the Eurocurrency Rate determined or to be determined for such Interest Period will not adequately and fairly reflect the cost to such Lenders (as conclusively certified by such Lenders) of making or maintaining their affected Loans during such Interest Period; or</w:t>
      </w:r>
    </w:p>
    <w:p>
      <w:pPr>
        <w:spacing w:after="0" w:line="181" w:lineRule="exact"/>
        <w:rPr>
          <w:rFonts w:ascii="Arial" w:cs="Arial" w:eastAsia="Arial" w:hAnsi="Arial"/>
          <w:sz w:val="18"/>
          <w:szCs w:val="18"/>
          <w:color w:val="auto"/>
        </w:rPr>
      </w:pPr>
    </w:p>
    <w:p>
      <w:pPr>
        <w:ind w:right="80" w:firstLine="921"/>
        <w:spacing w:after="0" w:line="264" w:lineRule="auto"/>
        <w:tabs>
          <w:tab w:leader="none" w:pos="122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and binding upon the Company or the relevant Subsidiary Borrower) that deposits in the applicable Currency are not generally available in the applicable market (any Optional Currency affected by the circumstances described in clause (i), (ii) or (iii) is referred to as an “</w:t>
      </w:r>
      <w:r>
        <w:rPr>
          <w:rFonts w:ascii="Arial" w:cs="Arial" w:eastAsia="Arial" w:hAnsi="Arial"/>
          <w:sz w:val="18"/>
          <w:szCs w:val="18"/>
          <w:u w:val="single" w:color="auto"/>
          <w:color w:val="auto"/>
        </w:rPr>
        <w:t>Affected Foreign Currency</w:t>
      </w:r>
      <w:r>
        <w:rPr>
          <w:rFonts w:ascii="Arial" w:cs="Arial" w:eastAsia="Arial" w:hAnsi="Arial"/>
          <w:sz w:val="18"/>
          <w:szCs w:val="18"/>
          <w:color w:val="auto"/>
        </w:rPr>
        <w:t>”);</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Administrative Agent shall give notice thereof to the Company and any relevant Subsidiary Borrower and the relevant Lenders as soon as practicable thereafter. If any such notice is given (A) pursuant to clause (i) or (ii) of this Section 2.16(a) in respect of Eurocurrency Loans denominated in Dollars,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in Dollars under the relevant Facility requested to be made on the first day of such Interest Period shall be made as ABR Loans, (2) any ABR Loans that were to have been converted on the first day of such Interest Period to Eurocurrency Loans denominated in Dollars shall be continued as ABR Loans, (3) any outstanding Eurocurrency Loans denominated in Dollars shall be converted, on the last day of the then-current Interest Period, to ABR Loans, (4) any Multicurrency Loans denominated in an Optional Currency requested to be made on the first day of such Interest Period shall not be made and (5) any outstanding Multicurrency Loans denominated in an Optional Currency shall be converted to or be made as Alternate Rate Loans (and any request set forth in such interest rate election shall be deemed to be a request for such Multicurrency Loans to be converted to or be made as Alternate Rate Loans) and (B) in respect of any Multicurrency Loans denominated in an Optional Currency, then thereafter (and until the Administrative Agent notifies the Company and the Lenders that the circumstances giving rise to such notice no longer exist) (such notice to be given promptly upon the Administrative Agent becoming aware of such change in circumstances) if such notice is given pursuant to clause (iii) above, any Multicurrency Loans in an Affected Foreign Currency requested to be made on the first day of such Interest Period shall not be made.</w:t>
      </w:r>
    </w:p>
    <w:p>
      <w:pPr>
        <w:spacing w:after="0" w:line="172" w:lineRule="exact"/>
        <w:rPr>
          <w:sz w:val="20"/>
          <w:szCs w:val="20"/>
          <w:color w:val="auto"/>
        </w:rPr>
      </w:pPr>
    </w:p>
    <w:p>
      <w:pPr>
        <w:ind w:firstLine="921"/>
        <w:spacing w:after="0" w:line="287" w:lineRule="auto"/>
        <w:tabs>
          <w:tab w:leader="none" w:pos="116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the Company and any affected Subsidiary Borrower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denominated in Dollars, continue such Eurocurrency Loans as such and convert ABR Loans to Eurocurrency Loans denominated in Dollars shall forthwith be cancelled, (ii) such Lender’s outstanding Eurocurrency Loans denominated in Dollars shall be converted automatically on the last day of the then current Interest Periods with respect to such Loans (or within such earlier period as shall be required by law) to ABR Loans and (iii) such Lender’s outstanding Eurocurrency Loans denominated in any Optional Currency shall be paid in full by the applicable Borrower on the respective last days of the then current Interest Periods with respect to such Loans (or within such earlier period as may be required by law). If any such conversion or prepayment of a Eurocurrency Loan occurs on a day which is not the last day of the then current Interest Period with respect thereto, the Company or relevant Subsidiary Borrower shall pay to any Lender whose Loan is converted or prepaid such amounts, if any, as may be required pursuant to Section 2.20.</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297" w:name="page298"/>
    <w:bookmarkEnd w:id="297"/>
    <w:p>
      <w:pPr>
        <w:ind w:firstLine="921"/>
        <w:spacing w:after="0" w:line="285" w:lineRule="auto"/>
        <w:tabs>
          <w:tab w:leader="none" w:pos="1158" w:val="left"/>
        </w:tabs>
        <w:numPr>
          <w:ilvl w:val="0"/>
          <w:numId w:val="3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at any time the Administrative Agent determines (which determination shall be conclusive and binding upon the Company or relevant Subsidiary Borrower) that (i) the circumstances set forth in clause (a)(i) have arisen and such circumstances are unlikely to be temporary or (ii) the circumstances set forth in clause (a)(i) have not arisen but the supervisor for the administrator of the Screen Rate or a Governmental Authority having jurisdiction over the Administrative Agent has made a public statement identifying a specific date after which the Screen Rate for the applicable Currency shall no longer be used for determining interest rates for loans, then the Administrative Agent and the Company shall use their commercially reasonable efforts to endeavor to promptly establish an alternate rate of interest to the Eurocurrency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changes will not include a reduction in the Applicable Margin). Notwithstanding anything to the contrary in Section 10.1,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Majority Facility Lenders in respect of each Facility stating that such Majority Facility Lenders object to such amendment;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alternate rate of interest shall be less than zero, such rate shall be deemed to be zero for the purposes of this Agreement. Until an alternate rate of interest shall be determined in accordance with this clause (c) (but, only to the extent the Screen Rate for the applicable Currency and such Interest Period is not available or published at such time on a current basis), (A) any notice that requests the conversion of any Loans to, or continuation of any Loans as, Eurocurrency Loans shall be ineffective, (B) if any Borrowing Request requests a Eurocurrency Loan, such Loan shall be made as an ABR Loan and (C) any request by the Borrower for a Eurocurrency Competitive Loan shall be ineffective.</w:t>
      </w:r>
    </w:p>
    <w:p>
      <w:pPr>
        <w:spacing w:after="0" w:line="178"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Pro Rata Treatment and Payments; Evidence of Debt</w:t>
      </w:r>
      <w:r>
        <w:rPr>
          <w:rFonts w:ascii="Arial" w:cs="Arial" w:eastAsia="Arial" w:hAnsi="Arial"/>
          <w:sz w:val="16"/>
          <w:szCs w:val="16"/>
          <w:color w:val="auto"/>
        </w:rPr>
        <w:t xml:space="preserve">. (a) Each borrowing of Loans under any Facility by the Company or any Subsidiary Borrower from the Lenders under such Facility, each payment by the Company or any Subsidiary Borrower on account of any Facility Fee or Letter of Credit Fee and any reduction of the Commitments of the Lenders under any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according to the respective Percentages under such Facility, of the relevant Lenders in such Facility except to the extent required or permitted pursuant to Sections 2.7, 2.9, 2.22, 2.23, 2.25 and 2.27.</w:t>
      </w:r>
    </w:p>
    <w:p>
      <w:pPr>
        <w:spacing w:after="0" w:line="154" w:lineRule="exact"/>
        <w:rPr>
          <w:sz w:val="20"/>
          <w:szCs w:val="20"/>
          <w:color w:val="auto"/>
        </w:rPr>
      </w:pPr>
    </w:p>
    <w:p>
      <w:pPr>
        <w:ind w:right="40" w:firstLine="921"/>
        <w:spacing w:after="0" w:line="302" w:lineRule="auto"/>
        <w:tabs>
          <w:tab w:leader="none" w:pos="1168"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Each payment (including each prepayment) by the Company or any Subsidiary Borrower on account of principal of and interest on the Loans under any Facility shall be made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Lenders under such Facility according to the respective outstanding principal amounts of the Loans under such Facility then held by the Lenders under such Facility except to the extent required or permitted pursuant to Sections 2.7, 2.9, 2.22, 2.23, 2.25 and 2.27. Except as otherwise provided in Section 8, each such payment shall be paid in the relevant Currency in which such Loan was made.</w:t>
      </w:r>
    </w:p>
    <w:p>
      <w:pPr>
        <w:spacing w:after="0" w:line="154" w:lineRule="exact"/>
        <w:rPr>
          <w:rFonts w:ascii="Arial" w:cs="Arial" w:eastAsia="Arial" w:hAnsi="Arial"/>
          <w:sz w:val="16"/>
          <w:szCs w:val="16"/>
          <w:color w:val="auto"/>
        </w:rPr>
      </w:pPr>
    </w:p>
    <w:p>
      <w:pPr>
        <w:ind w:right="20" w:firstLine="921"/>
        <w:spacing w:after="0" w:line="254" w:lineRule="auto"/>
        <w:tabs>
          <w:tab w:leader="none" w:pos="115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All payments (including prepayments) to be made by the Company or any Subsidiary Borrower hereunder, whether on account of principal, interest, fees or otherwise, shall be made without setoff or counterclaim and shall be made prior to 3:00 P.M., Local Time, on the due date thereof to the Administrative Agent, for the account of the applicable Lenders, at the Funding Office, in the applicable Currency and in immediately available funds, except that (x) payment of fronting fees owing to any Issuing Lender shall be made directly to the relevant Issuing Lender and (y) payment of all amounts in connection with the Brazilian Facility shall be paid to the Brazilian Administrative Agent pursuant to the terms of the Brazilian Bank Certificates.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298" w:name="page299"/>
    <w:bookmarkEnd w:id="298"/>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88" w:lineRule="exact"/>
        <w:rPr>
          <w:sz w:val="20"/>
          <w:szCs w:val="20"/>
          <w:color w:val="auto"/>
        </w:rPr>
      </w:pPr>
    </w:p>
    <w:p>
      <w:pPr>
        <w:ind w:firstLine="921"/>
        <w:spacing w:after="0" w:line="268" w:lineRule="auto"/>
        <w:tabs>
          <w:tab w:leader="none" w:pos="1168" w:val="left"/>
        </w:tabs>
        <w:numPr>
          <w:ilvl w:val="0"/>
          <w:numId w:val="315"/>
        </w:numPr>
        <w:rPr>
          <w:rFonts w:ascii="Arial" w:cs="Arial" w:eastAsia="Arial" w:hAnsi="Arial"/>
          <w:sz w:val="17"/>
          <w:szCs w:val="17"/>
          <w:color w:val="auto"/>
        </w:rPr>
      </w:pPr>
      <w:r>
        <w:rPr>
          <w:rFonts w:ascii="Arial" w:cs="Arial" w:eastAsia="Arial" w:hAnsi="Arial"/>
          <w:sz w:val="17"/>
          <w:szCs w:val="17"/>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 in the case of amounts denominated in Dollars, at a rate up to the greater of (i) the Federal Funds Effective Rate and (ii) a rate reasonably determined by the Administrative Agent in accordance with banking industry rules on interbank compensation and (B) in the case of amounts denominated in any other Currency, at a rate determined by the Administrative Agent to be the cost to it of funding such amount, in each case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 in the case of amounts denominated in Dollars, at the rate per annum applicable to ABR Loans under the relevant Facility and (B) in the case of amounts denominated in any other Currency, at a rate determined by the Administrative Agent to be the cost to it of funding such amount, on demand, from the Company or the relevant Subsidiary Borrower.</w:t>
      </w:r>
    </w:p>
    <w:p>
      <w:pPr>
        <w:spacing w:after="0" w:line="185" w:lineRule="exact"/>
        <w:rPr>
          <w:rFonts w:ascii="Arial" w:cs="Arial" w:eastAsia="Arial" w:hAnsi="Arial"/>
          <w:sz w:val="17"/>
          <w:szCs w:val="17"/>
          <w:color w:val="auto"/>
        </w:rPr>
      </w:pPr>
    </w:p>
    <w:p>
      <w:pPr>
        <w:ind w:firstLine="921"/>
        <w:spacing w:after="0" w:line="288" w:lineRule="auto"/>
        <w:tabs>
          <w:tab w:leader="none" w:pos="1158"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been notified in writing by the Company or relevant Subsidiary Borrower prior to the date of any payment due to be made by the Company or such Subsidiary Borrower under any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such Facility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(A) in the case of amounts denominated in Dollars, such amount with interest thereon at the rate per annum equal to the daily average Federal Funds Effective Rate and (B) in the case of amounts denominated in other Currencies, such amount with interest thereon at a rate per annum reasonably determined by the Administrative Agent to be the cost to it of funding such amount. Nothing herein shall be deemed to limit the rights of the Administrative Agent or any Lender against the Company or any Subsidiary Borrower.</w:t>
      </w:r>
    </w:p>
    <w:p>
      <w:pPr>
        <w:spacing w:after="0" w:line="169" w:lineRule="exact"/>
        <w:rPr>
          <w:rFonts w:ascii="Arial" w:cs="Arial" w:eastAsia="Arial" w:hAnsi="Arial"/>
          <w:sz w:val="16"/>
          <w:szCs w:val="16"/>
          <w:color w:val="auto"/>
        </w:rPr>
      </w:pPr>
    </w:p>
    <w:p>
      <w:pPr>
        <w:ind w:right="80" w:firstLine="921"/>
        <w:spacing w:after="0" w:line="264" w:lineRule="auto"/>
        <w:tabs>
          <w:tab w:leader="none" w:pos="113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2.17(a) and (b) (applied as if such payments were made by the Company) and Section 10.7.</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299" w:name="page300"/>
    <w:bookmarkEnd w:id="299"/>
    <w:p>
      <w:pPr>
        <w:ind w:right="20" w:firstLine="921"/>
        <w:spacing w:after="0" w:line="312" w:lineRule="auto"/>
        <w:tabs>
          <w:tab w:leader="none" w:pos="1168" w:val="left"/>
        </w:tabs>
        <w:numPr>
          <w:ilvl w:val="0"/>
          <w:numId w:val="3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Arial" w:cs="Arial" w:eastAsia="Arial" w:hAnsi="Arial"/>
          <w:sz w:val="16"/>
          <w:szCs w:val="16"/>
          <w:u w:val="single" w:color="auto"/>
          <w:color w:val="auto"/>
        </w:rPr>
        <w:t>Note</w:t>
      </w:r>
      <w:r>
        <w:rPr>
          <w:rFonts w:ascii="Arial" w:cs="Arial" w:eastAsia="Arial" w:hAnsi="Arial"/>
          <w:sz w:val="16"/>
          <w:szCs w:val="16"/>
          <w:color w:val="auto"/>
        </w:rPr>
        <w:t>”), with appropriate insertions as to date and principal amount.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with respect to Competitive Loans to which this Section 2.18 shall not apply: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If any Change in Law shall:</w:t>
      </w:r>
    </w:p>
    <w:p>
      <w:pPr>
        <w:spacing w:after="0" w:line="225" w:lineRule="exact"/>
        <w:rPr>
          <w:sz w:val="20"/>
          <w:szCs w:val="20"/>
          <w:color w:val="auto"/>
        </w:rPr>
      </w:pPr>
    </w:p>
    <w:p>
      <w:pPr>
        <w:ind w:right="60" w:firstLine="921"/>
        <w:spacing w:after="0" w:line="264" w:lineRule="auto"/>
        <w:tabs>
          <w:tab w:leader="none" w:pos="112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289" w:lineRule="exact"/>
        <w:rPr>
          <w:rFonts w:ascii="Arial" w:cs="Arial" w:eastAsia="Arial" w:hAnsi="Arial"/>
          <w:sz w:val="18"/>
          <w:szCs w:val="18"/>
          <w:color w:val="auto"/>
        </w:rPr>
      </w:pPr>
    </w:p>
    <w:p>
      <w:pPr>
        <w:ind w:left="1180" w:hanging="259"/>
        <w:spacing w:after="0"/>
        <w:tabs>
          <w:tab w:leader="none" w:pos="11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impose on such Lender or any London Interbank market any other condition;</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and the result of any of the foregoing is to increase the cost to the Administrative Agent, the Brazilian Administrative Agent or such Lender (or its affiliate, as the case may be), by an amount that the Administrative Agent, the Brazilian Administrative Agent or such Lender reasonably deems material, of making, converting into, continuing or maintaining Eurocurrency Loans, issuing or participating in Letters of Credit, or to reduce any amount receivable hereunder in respect thereof, then, in any such case, the Company and any relevant Subsidiary Borrower shall pay the Administrative Agent, the Brazilian Administrative Agent or such Lender, within 15 Business Days of receipt of notice from the Administrative Agent, the Brazilian Administrative Agent or the relevant Lender as described below, any additional amounts necessary to compensate the Administrative Agent, the Brazilian Administrative Agent or such Lender for such increased cost or reduced amount receivable (it being understood that the provisions set forth in this Section 2.18(a) are not intended to derogate from the Company’s rights provided in Section 2.21 and Section 2.22). If the Administrative Agent, the Brazilian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169" w:lineRule="exact"/>
        <w:rPr>
          <w:sz w:val="20"/>
          <w:szCs w:val="20"/>
          <w:color w:val="auto"/>
        </w:rPr>
      </w:pPr>
    </w:p>
    <w:p>
      <w:pPr>
        <w:ind w:firstLine="921"/>
        <w:spacing w:after="0" w:line="290" w:lineRule="auto"/>
        <w:tabs>
          <w:tab w:leader="none" w:pos="1168" w:val="left"/>
        </w:tabs>
        <w:numPr>
          <w:ilvl w:val="0"/>
          <w:numId w:val="318"/>
        </w:numPr>
        <w:rPr>
          <w:rFonts w:ascii="Arial" w:cs="Arial" w:eastAsia="Arial" w:hAnsi="Arial"/>
          <w:sz w:val="16"/>
          <w:szCs w:val="16"/>
          <w:color w:val="auto"/>
        </w:rPr>
      </w:pPr>
      <w:r>
        <w:rPr>
          <w:rFonts w:ascii="Arial" w:cs="Arial" w:eastAsia="Arial" w:hAnsi="Arial"/>
          <w:sz w:val="16"/>
          <w:szCs w:val="16"/>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or under or in respect of any Letter of Credit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2.18(b) are not intended to derogate from the Company’s rights provided in Sections 2.21 and 2.22).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300" w:name="page301"/>
    <w:bookmarkEnd w:id="300"/>
    <w:p>
      <w:pPr>
        <w:ind w:right="40" w:firstLine="921"/>
        <w:spacing w:after="0" w:line="286" w:lineRule="auto"/>
        <w:tabs>
          <w:tab w:leader="none" w:pos="1158" w:val="left"/>
        </w:tabs>
        <w:numPr>
          <w:ilvl w:val="0"/>
          <w:numId w:val="3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certificate as to any additional amounts payable pursuant to this Section 2.18 submitted by the Administrative Agent, the Brazilian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the Brazilian Administrative Agent nor any Lender shall be entitled to request any payment or amount under this Section 2.18 unless the Administrative Agent, the Brazilian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Administrative Agent nor the Brazilian Administrative Agent shall be under any obligation to verify any such request of a Lender) and (ii) the Company and any relevant Subsidiary Borrower shall not be required to compensate the Administrative Agent, the Brazilian Administrative Agent or a Lender pursuant to this Section 2.18 for any amounts incurred more than 90 days prior to the date that the Administrative Agent, the Brazilian Administrative Agent or such Lender notifies the Company or relevant Subsidiary Borrower of the Administrative Agent’s, the Brazilian Administrative Agent’s or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2.18 shall survive the termination of this Agreement and the payment of the Loans and all interest thereon and fees payable hereunder.</w:t>
      </w:r>
    </w:p>
    <w:p>
      <w:pPr>
        <w:spacing w:after="0" w:line="172"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2.19 </w:t>
      </w:r>
      <w:r>
        <w:rPr>
          <w:rFonts w:ascii="Arial" w:cs="Arial" w:eastAsia="Arial" w:hAnsi="Arial"/>
          <w:sz w:val="17"/>
          <w:szCs w:val="17"/>
          <w:u w:val="single" w:color="auto"/>
          <w:color w:val="auto"/>
        </w:rPr>
        <w:t>Taxes</w:t>
      </w:r>
      <w:r>
        <w:rPr>
          <w:rFonts w:ascii="Arial" w:cs="Arial" w:eastAsia="Arial" w:hAnsi="Arial"/>
          <w:sz w:val="17"/>
          <w:szCs w:val="17"/>
          <w:color w:val="auto"/>
        </w:rPr>
        <w:t>. (a) All payments made by or on behalf of any Loan Party under this Agreement (other than in respect of any Competitive Loans as to which this Section 2.19(a) shall not apply) or any other Loan Document shall be made free and clear of, and without deduction or withholding for or on account of, any present or future Taxes, excluding (i) Taxes imposed on or measured by income or profits (including franchise taxes imposed in lieu of or in addition to net income taxes) imposed on the Administrative Agent, the Brazilian Administrative Agent or any Lender as a result of a present or former connection between the Administrative Agent, the Brazilian Administrative Agent or such Lender and the jurisdiction of the Governmental Authority imposing such tax or any political subdivision or taxing authority thereof or therein (other than any such connection arising solely from the Administrative Agent, the Brazilian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 (i) above and (iii) any Taxes imposed by reason of FATCA (any such non-excluded Taxes, “</w:t>
      </w:r>
      <w:r>
        <w:rPr>
          <w:rFonts w:ascii="Arial" w:cs="Arial" w:eastAsia="Arial" w:hAnsi="Arial"/>
          <w:sz w:val="17"/>
          <w:szCs w:val="17"/>
          <w:u w:val="single" w:color="auto"/>
          <w:color w:val="auto"/>
        </w:rPr>
        <w:t>Non-Excluded Taxes</w:t>
      </w:r>
      <w:r>
        <w:rPr>
          <w:rFonts w:ascii="Arial" w:cs="Arial" w:eastAsia="Arial" w:hAnsi="Arial"/>
          <w:sz w:val="17"/>
          <w:szCs w:val="17"/>
          <w:color w:val="auto"/>
        </w:rPr>
        <w:t xml:space="preserve">”). If any Taxes are required to be withheld from any amounts payable to the Administrative Agent, the Brazilian Administrative Agent or any Lender under any Loan Document, as determined in good faith by the applicable withholding agent or by the relevant Borrower, to the extent there is no withholding agent, the applicable withholding agent or the relevant Borrower shall make such deductions and shall pay the full amount deducted to the relevant Governmental Authority in accordance with applicable laws. In the case of any Non-Excluded Taxes or Other Taxes, the amounts so payable by the applicable Loan Party to the Administrative Agent, the Brazilian Administrative Agent or such Lender shall be increased to the extent necessary to yield to the Administrative Agent, the Brazilian Administrative Agent or such Lender (after payment of all Non-Excluded Taxes and Other Taxes) an amount equal to the sum which would have been received had no such deduction or withholding been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Loan Party shall be required to increase any such amounts payable to the Administrative Agent, the Brazilian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7"/>
          <w:szCs w:val="17"/>
          <w:u w:val="single" w:color="auto"/>
          <w:color w:val="auto"/>
        </w:rPr>
        <w:t>Change in Tax Law</w:t>
      </w:r>
      <w:r>
        <w:rPr>
          <w:rFonts w:ascii="Arial" w:cs="Arial" w:eastAsia="Arial" w:hAnsi="Arial"/>
          <w:sz w:val="17"/>
          <w:szCs w:val="17"/>
          <w:color w:val="auto"/>
        </w:rPr>
        <w:t>”), shall result in an increase in the rate of any deduction, withholding or payment from that in effect at the time such Lender becomes a party to this Agreement (or designates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301" w:name="page302"/>
    <w:bookmarkEnd w:id="301"/>
    <w:p>
      <w:pPr>
        <w:jc w:val="both"/>
        <w:ind w:right="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2.19.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(f) of this Section 2.19 except as such failure relates to a Change in Tax Law rendering such Person legally unable to comply.</w:t>
      </w:r>
    </w:p>
    <w:p>
      <w:pPr>
        <w:spacing w:after="0" w:line="158" w:lineRule="exact"/>
        <w:rPr>
          <w:sz w:val="20"/>
          <w:szCs w:val="20"/>
          <w:color w:val="auto"/>
        </w:rPr>
      </w:pPr>
    </w:p>
    <w:p>
      <w:pPr>
        <w:ind w:left="1180" w:hanging="259"/>
        <w:spacing w:after="0"/>
        <w:tabs>
          <w:tab w:leader="none" w:pos="118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In addition, each Loan Party shall pay any Other Taxes over to the relevant Governmental Authority in accordance with applicable law.</w:t>
      </w:r>
    </w:p>
    <w:p>
      <w:pPr>
        <w:spacing w:after="0" w:line="236" w:lineRule="exact"/>
        <w:rPr>
          <w:rFonts w:ascii="Arial" w:cs="Arial" w:eastAsia="Arial" w:hAnsi="Arial"/>
          <w:sz w:val="17"/>
          <w:szCs w:val="17"/>
          <w:color w:val="auto"/>
        </w:rPr>
      </w:pPr>
    </w:p>
    <w:p>
      <w:pPr>
        <w:ind w:firstLine="921"/>
        <w:spacing w:after="0" w:line="268" w:lineRule="auto"/>
        <w:tabs>
          <w:tab w:leader="none" w:pos="115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Whenever any Non-Excluded Taxes or Other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Non-Excluded Taxes or Other Taxes when due to the appropriate taxing authority, (ii) any Loan Party fails to remit to the Administrative Agent the required receipts or other required documentary evidence or (iii) any Non-Excluded Taxes or Other Taxes are imposed directly upon the Administrative Agent, the Brazilian Administrative Agent or any Lender, the Loan Parties shall indemnify the Administrative Agent, the Brazilian Administrative Agent and the Lenders for such amount and any incremental taxes, interest, additions to tax, expenses or penalties that may become payable by the Administrative Agent, the Brazilian Administrative Agent or any Lender as a result of any such failure in the case of clauses (i) and (ii), or any such direct imposition in the case of clause (iii). The indemnification payment under this Section 2.19 shall be made within 30 days after the date the Administrative Agent, the Brazilian Administrative Agent or such Lender (as the case may be) makes a written demand therefor (together with a reasonably detailed calculation of such amounts). The UK Borrower shall not be required to indemnify the Administrative Agent, the Brazilian Administrative Agent or the Lenders for any amount which would have been compensated for by an increased payment pursuant to Section 2.19(a) but was not so compensated solely because one of the exclusions in Section 2.19(e)(ii) applied.</w:t>
      </w:r>
    </w:p>
    <w:p>
      <w:pPr>
        <w:spacing w:after="0" w:line="187" w:lineRule="exact"/>
        <w:rPr>
          <w:rFonts w:ascii="Arial" w:cs="Arial" w:eastAsia="Arial" w:hAnsi="Arial"/>
          <w:sz w:val="17"/>
          <w:szCs w:val="17"/>
          <w:color w:val="auto"/>
        </w:rPr>
      </w:pPr>
    </w:p>
    <w:p>
      <w:pPr>
        <w:ind w:firstLine="921"/>
        <w:spacing w:after="0" w:line="286" w:lineRule="auto"/>
        <w:tabs>
          <w:tab w:leader="none" w:pos="1168" w:val="left"/>
        </w:tabs>
        <w:numPr>
          <w:ilvl w:val="0"/>
          <w:numId w:val="320"/>
        </w:numPr>
        <w:rPr>
          <w:rFonts w:ascii="Arial" w:cs="Arial" w:eastAsia="Arial" w:hAnsi="Arial"/>
          <w:sz w:val="16"/>
          <w:szCs w:val="16"/>
          <w:color w:val="auto"/>
        </w:rPr>
      </w:pPr>
      <w:r>
        <w:rPr>
          <w:rFonts w:ascii="Arial" w:cs="Arial" w:eastAsia="Arial" w:hAnsi="Arial"/>
          <w:sz w:val="16"/>
          <w:szCs w:val="16"/>
          <w:color w:val="auto"/>
        </w:rPr>
        <w:t>Each Lender (or Transferee) (i) that is not a “United States person” as defined in Section 7701(a)(30) of the Code (a “</w:t>
      </w:r>
      <w:r>
        <w:rPr>
          <w:rFonts w:ascii="Arial" w:cs="Arial" w:eastAsia="Arial" w:hAnsi="Arial"/>
          <w:sz w:val="16"/>
          <w:szCs w:val="16"/>
          <w:u w:val="single" w:color="auto"/>
          <w:color w:val="auto"/>
        </w:rPr>
        <w:t>Non-U.S. Lender</w:t>
      </w:r>
      <w:r>
        <w:rPr>
          <w:rFonts w:ascii="Arial" w:cs="Arial" w:eastAsia="Arial" w:hAnsi="Arial"/>
          <w:sz w:val="16"/>
          <w:szCs w:val="16"/>
          <w:color w:val="auto"/>
        </w:rPr>
        <w:t>”)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302" w:name="page303"/>
    <w:bookmarkEnd w:id="30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any relevant Subsidiary Borrower. If any Commitment is reallocated in accordance with Section 2.9(b), then the relevant Lender (to whom such Commitment has been reallocated) shall deliver, on the effective date of such reallocation, all such forms that it is legally able to deliver.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2.19(d), “FATCA” shall include any amendments made to FATCA after the date of this Agreement. Notwithstanding any other provision of this Section 2.19, a Lender shall not be required to deliver any form pursuant to this Section 2.19 (other than clause (ii) of the first sentence of this paragraph) that such Lender is not legally able to deliver.</w:t>
      </w:r>
    </w:p>
    <w:p>
      <w:pPr>
        <w:spacing w:after="0" w:line="175" w:lineRule="exact"/>
        <w:rPr>
          <w:sz w:val="20"/>
          <w:szCs w:val="20"/>
          <w:color w:val="auto"/>
        </w:rPr>
      </w:pPr>
    </w:p>
    <w:p>
      <w:pPr>
        <w:ind w:left="1160" w:hanging="239"/>
        <w:spacing w:after="0"/>
        <w:tabs>
          <w:tab w:leader="none" w:pos="116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Additional United Kingdom Withholding Tax Matters</w:t>
      </w:r>
      <w:r>
        <w:rPr>
          <w:rFonts w:ascii="Arial" w:cs="Arial" w:eastAsia="Arial" w:hAnsi="Arial"/>
          <w:sz w:val="18"/>
          <w:szCs w:val="18"/>
          <w:color w:val="auto"/>
        </w:rPr>
        <w:t>.</w:t>
      </w:r>
    </w:p>
    <w:p>
      <w:pPr>
        <w:spacing w:after="0" w:line="225" w:lineRule="exact"/>
        <w:rPr>
          <w:sz w:val="20"/>
          <w:szCs w:val="20"/>
          <w:color w:val="auto"/>
        </w:rPr>
      </w:pPr>
    </w:p>
    <w:p>
      <w:pPr>
        <w:jc w:val="both"/>
        <w:ind w:right="60" w:firstLine="921"/>
        <w:spacing w:after="0" w:line="259" w:lineRule="auto"/>
        <w:tabs>
          <w:tab w:leader="none" w:pos="112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Each UK Borrower shall promptly upon becoming aware that it must make a UK Tax Deduction (or that there is any change in the rate or the basis of a UK Tax Deduction) notify the Administrative Agent accordingly. Similarly, a Lender shall promptly notify the Administrative Agent on becoming so aware in respect of a payment payable by any UK Borrower to that Lender. If the Administrative Agent receives such notification from a Lender it shall notify the relevant UK Borrower.</w:t>
      </w:r>
    </w:p>
    <w:p>
      <w:pPr>
        <w:spacing w:after="0" w:line="186" w:lineRule="exact"/>
        <w:rPr>
          <w:rFonts w:ascii="Arial" w:cs="Arial" w:eastAsia="Arial" w:hAnsi="Arial"/>
          <w:sz w:val="18"/>
          <w:szCs w:val="18"/>
          <w:color w:val="auto"/>
        </w:rPr>
      </w:pPr>
    </w:p>
    <w:p>
      <w:pPr>
        <w:ind w:firstLine="921"/>
        <w:spacing w:after="0" w:line="269" w:lineRule="auto"/>
        <w:tabs>
          <w:tab w:leader="none" w:pos="1178" w:val="left"/>
        </w:tabs>
        <w:numPr>
          <w:ilvl w:val="0"/>
          <w:numId w:val="322"/>
        </w:numPr>
        <w:rPr>
          <w:rFonts w:ascii="Arial" w:cs="Arial" w:eastAsia="Arial" w:hAnsi="Arial"/>
          <w:sz w:val="17"/>
          <w:szCs w:val="17"/>
          <w:color w:val="auto"/>
        </w:rPr>
      </w:pPr>
      <w:r>
        <w:rPr>
          <w:rFonts w:ascii="Arial" w:cs="Arial" w:eastAsia="Arial" w:hAnsi="Arial"/>
          <w:sz w:val="17"/>
          <w:szCs w:val="17"/>
          <w:color w:val="auto"/>
        </w:rPr>
        <w:t>Without prejudice to the generality of Section 2.19(a), a payment from a UK Borrower shall not be increased pursuant to Section 2.19(a) by reason of a UK Tax Deduction on account of Taxes imposed by the United Kingdom, if on the date on which the payment falls due: (A) the payment could have been made to the relevant Lender without a UK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UK Treaty or any published practice or published concession of any relevant taxing authority; or (B) the relevant Lender is a UK Qualifying Lender solely by virtue of paragraph (a)(ii) of the definition of “UK Qualifying Lender”; an officer of HMRC has given (and not revoked) a direction (a “</w:t>
      </w:r>
      <w:r>
        <w:rPr>
          <w:rFonts w:ascii="Arial" w:cs="Arial" w:eastAsia="Arial" w:hAnsi="Arial"/>
          <w:sz w:val="17"/>
          <w:szCs w:val="17"/>
          <w:u w:val="single" w:color="auto"/>
          <w:color w:val="auto"/>
        </w:rPr>
        <w:t>Direction</w:t>
      </w:r>
      <w:r>
        <w:rPr>
          <w:rFonts w:ascii="Arial" w:cs="Arial" w:eastAsia="Arial" w:hAnsi="Arial"/>
          <w:sz w:val="17"/>
          <w:szCs w:val="17"/>
          <w:color w:val="auto"/>
        </w:rPr>
        <w:t>”) under section 931 of the UK ITA which relates to the payment and that Lender has received from the relevant UK Borrower (or from the Company) a certified copy of that Direction; and the payment could have been made to the Lender without any UK Tax Deduction if that Direction had not been made; or (C) the relevant Lender is a UK Qualifying Lender solely by virtue of paragraph (a)(ii) of the definition of “UK Qualifying Lender”; the relevant Lender has not given a UK Tax Confirmation to the relevant UK Borrower; and the payment could have been made to the Lender without any UK Tax Deduction if the Lender had given a UK Tax</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4" w:right="279" w:bottom="1440" w:gutter="0" w:footer="0" w:header="0"/>
        </w:sectPr>
      </w:pPr>
    </w:p>
    <w:bookmarkStart w:id="303" w:name="page304"/>
    <w:bookmarkEnd w:id="303"/>
    <w:p>
      <w:pPr>
        <w:ind w:right="4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Confirmation to the relevant UK Borrower, on the basis that the UK Tax Confirmation would have enabled the relevant UK Borrower to have formed a reasonable belief that the payment was an “excepted payment” for the purpose of section 930 of the UK ITA; or (D) the relevant Lender is a UK Treaty Lender (or would be a UK Treaty Lender following the completion of any necessary procedural formalities) and the relevant UK Borrower is able to demonstrate that the payment could have been made to the Lender without the UK Tax Deduction had that Lender complied with its obligations under Section 2.19(e)(iii) or Section 2.19(e)(iv) (as applicable) below.</w:t>
      </w:r>
    </w:p>
    <w:p>
      <w:pPr>
        <w:spacing w:after="0" w:line="188" w:lineRule="exact"/>
        <w:rPr>
          <w:sz w:val="20"/>
          <w:szCs w:val="20"/>
          <w:color w:val="auto"/>
        </w:rPr>
      </w:pPr>
    </w:p>
    <w:p>
      <w:pPr>
        <w:ind w:right="20" w:firstLine="921"/>
        <w:spacing w:after="0" w:line="342" w:lineRule="auto"/>
        <w:tabs>
          <w:tab w:leader="none" w:pos="1228" w:val="left"/>
        </w:tabs>
        <w:numPr>
          <w:ilvl w:val="1"/>
          <w:numId w:val="323"/>
        </w:numPr>
        <w:rPr>
          <w:rFonts w:ascii="Arial" w:cs="Arial" w:eastAsia="Arial" w:hAnsi="Arial"/>
          <w:sz w:val="16"/>
          <w:szCs w:val="16"/>
          <w:color w:val="auto"/>
        </w:rPr>
      </w:pPr>
      <w:r>
        <w:rPr>
          <w:rFonts w:ascii="Arial" w:cs="Arial" w:eastAsia="Arial" w:hAnsi="Arial"/>
          <w:sz w:val="16"/>
          <w:szCs w:val="16"/>
          <w:color w:val="auto"/>
        </w:rPr>
        <w:t>Subject to clause (e)(iv) below, each Lender and each UK Borrower which makes a payment to which that Lender is entitled shall co-operate in completing any procedural formalities necessary for such UK Borrower to obtain authorization to make such payment without a UK Tax Deduction.</w:t>
      </w:r>
    </w:p>
    <w:p>
      <w:pPr>
        <w:spacing w:after="0" w:line="123" w:lineRule="exact"/>
        <w:rPr>
          <w:rFonts w:ascii="Arial" w:cs="Arial" w:eastAsia="Arial" w:hAnsi="Arial"/>
          <w:sz w:val="16"/>
          <w:szCs w:val="16"/>
          <w:color w:val="auto"/>
        </w:rPr>
      </w:pPr>
    </w:p>
    <w:p>
      <w:pPr>
        <w:ind w:left="1220" w:hanging="299"/>
        <w:spacing w:after="0"/>
        <w:tabs>
          <w:tab w:leader="none" w:pos="122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(A) A Lender on the day on which this Agreement is entered into that (x) holds a passport under the HMRC DT Treaty Passport scheme and</w:t>
      </w:r>
    </w:p>
    <w:p>
      <w:pPr>
        <w:spacing w:after="0" w:line="46" w:lineRule="exact"/>
        <w:rPr>
          <w:rFonts w:ascii="Arial" w:cs="Arial" w:eastAsia="Arial" w:hAnsi="Arial"/>
          <w:sz w:val="16"/>
          <w:szCs w:val="16"/>
          <w:color w:val="auto"/>
        </w:rPr>
      </w:pPr>
    </w:p>
    <w:p>
      <w:pPr>
        <w:ind w:right="100" w:firstLine="8"/>
        <w:spacing w:after="0" w:line="261" w:lineRule="auto"/>
        <w:tabs>
          <w:tab w:leader="none" w:pos="25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wishes such scheme to apply to this Agreement, shall confirm its scheme reference number and its jurisdiction of tax residence to each UK Borrower and the Administrative Agent; and</w:t>
      </w:r>
    </w:p>
    <w:p>
      <w:pPr>
        <w:spacing w:after="0" w:line="183" w:lineRule="exact"/>
        <w:rPr>
          <w:rFonts w:ascii="Arial" w:cs="Arial" w:eastAsia="Arial" w:hAnsi="Arial"/>
          <w:sz w:val="18"/>
          <w:szCs w:val="18"/>
          <w:color w:val="auto"/>
        </w:rPr>
      </w:pPr>
    </w:p>
    <w:p>
      <w:pPr>
        <w:ind w:left="920" w:firstLine="421"/>
        <w:spacing w:after="0" w:line="259" w:lineRule="auto"/>
        <w:tabs>
          <w:tab w:leader="none" w:pos="1625" w:val="left"/>
        </w:tabs>
        <w:numPr>
          <w:ilvl w:val="2"/>
          <w:numId w:val="324"/>
        </w:numPr>
        <w:rPr>
          <w:rFonts w:ascii="Arial" w:cs="Arial" w:eastAsia="Arial" w:hAnsi="Arial"/>
          <w:sz w:val="18"/>
          <w:szCs w:val="18"/>
          <w:color w:val="auto"/>
        </w:rPr>
      </w:pPr>
      <w:r>
        <w:rPr>
          <w:rFonts w:ascii="Arial" w:cs="Arial" w:eastAsia="Arial" w:hAnsi="Arial"/>
          <w:sz w:val="18"/>
          <w:szCs w:val="18"/>
          <w:color w:val="auto"/>
        </w:rPr>
        <w:t>A Lender which becomes a Lender hereunder after the day on which this Agreement is entered into (including, for the avoidance of doubt, any Transferee) that (x) holds a passport under the HMRC DT Treaty Passport scheme and (y) wishes such scheme to apply to this Agreement, shall confirm its scheme reference number and its jurisdiction of tax residence to each UK Borrower and the Administrative Agent in the documentation which it executes upon becoming a party to this Agreement, and</w:t>
      </w:r>
    </w:p>
    <w:p>
      <w:pPr>
        <w:spacing w:after="0" w:line="186" w:lineRule="exact"/>
        <w:rPr>
          <w:rFonts w:ascii="Arial" w:cs="Arial" w:eastAsia="Arial" w:hAnsi="Arial"/>
          <w:sz w:val="18"/>
          <w:szCs w:val="18"/>
          <w:color w:val="auto"/>
        </w:rPr>
      </w:pPr>
    </w:p>
    <w:p>
      <w:pPr>
        <w:ind w:left="1620" w:hanging="279"/>
        <w:spacing w:after="0"/>
        <w:tabs>
          <w:tab w:leader="none" w:pos="162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Upon satisfying either clause (A) or (B) above, such Lender shall have satisfied its obligation under clause (e)(iii) above.</w:t>
      </w:r>
    </w:p>
    <w:p>
      <w:pPr>
        <w:spacing w:after="0" w:line="225" w:lineRule="exact"/>
        <w:rPr>
          <w:rFonts w:ascii="Arial" w:cs="Arial" w:eastAsia="Arial" w:hAnsi="Arial"/>
          <w:sz w:val="18"/>
          <w:szCs w:val="18"/>
          <w:color w:val="auto"/>
        </w:rPr>
      </w:pPr>
    </w:p>
    <w:p>
      <w:pPr>
        <w:ind w:right="180" w:firstLine="921"/>
        <w:spacing w:after="0" w:line="277" w:lineRule="auto"/>
        <w:tabs>
          <w:tab w:leader="none" w:pos="116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 xml:space="preserve">If a Lender has confirmed its scheme reference number and its jurisdiction of tax residence in accordance with clause (e)(iv) above, the UK Borrower(s) shall make a Borrower DTTP Filing with respect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if:</w:t>
      </w:r>
    </w:p>
    <w:p>
      <w:pPr>
        <w:spacing w:after="0" w:line="170" w:lineRule="exact"/>
        <w:rPr>
          <w:rFonts w:ascii="Arial" w:cs="Arial" w:eastAsia="Arial" w:hAnsi="Arial"/>
          <w:sz w:val="18"/>
          <w:szCs w:val="18"/>
          <w:color w:val="auto"/>
        </w:rPr>
      </w:pPr>
    </w:p>
    <w:p>
      <w:pPr>
        <w:ind w:left="1640" w:hanging="299"/>
        <w:spacing w:after="0"/>
        <w:tabs>
          <w:tab w:leader="none" w:pos="1640" w:val="left"/>
        </w:tabs>
        <w:numPr>
          <w:ilvl w:val="2"/>
          <w:numId w:val="325"/>
        </w:numPr>
        <w:rPr>
          <w:rFonts w:ascii="Arial" w:cs="Arial" w:eastAsia="Arial" w:hAnsi="Arial"/>
          <w:sz w:val="18"/>
          <w:szCs w:val="18"/>
          <w:color w:val="auto"/>
        </w:rPr>
      </w:pPr>
      <w:r>
        <w:rPr>
          <w:rFonts w:ascii="Arial" w:cs="Arial" w:eastAsia="Arial" w:hAnsi="Arial"/>
          <w:sz w:val="18"/>
          <w:szCs w:val="18"/>
          <w:color w:val="auto"/>
        </w:rPr>
        <w:t>a UK Borrower making a payment to such Lender has not made a Borrower DTTP Filing in respect of such Lender; or</w:t>
      </w:r>
    </w:p>
    <w:p>
      <w:pPr>
        <w:spacing w:after="0" w:line="225" w:lineRule="exact"/>
        <w:rPr>
          <w:rFonts w:ascii="Arial" w:cs="Arial" w:eastAsia="Arial" w:hAnsi="Arial"/>
          <w:sz w:val="18"/>
          <w:szCs w:val="18"/>
          <w:color w:val="auto"/>
        </w:rPr>
      </w:pPr>
    </w:p>
    <w:p>
      <w:pPr>
        <w:ind w:left="1620" w:hanging="279"/>
        <w:spacing w:after="0"/>
        <w:tabs>
          <w:tab w:leader="none" w:pos="1620" w:val="left"/>
        </w:tabs>
        <w:numPr>
          <w:ilvl w:val="2"/>
          <w:numId w:val="325"/>
        </w:numPr>
        <w:rPr>
          <w:rFonts w:ascii="Arial" w:cs="Arial" w:eastAsia="Arial" w:hAnsi="Arial"/>
          <w:sz w:val="18"/>
          <w:szCs w:val="18"/>
          <w:color w:val="auto"/>
        </w:rPr>
      </w:pPr>
      <w:r>
        <w:rPr>
          <w:rFonts w:ascii="Arial" w:cs="Arial" w:eastAsia="Arial" w:hAnsi="Arial"/>
          <w:sz w:val="18"/>
          <w:szCs w:val="18"/>
          <w:color w:val="auto"/>
        </w:rPr>
        <w:t>a UK Borrower making a payment to such Lender has made a Borrower DTTP Filing in respect of such Lender but:</w:t>
      </w:r>
    </w:p>
    <w:p>
      <w:pPr>
        <w:spacing w:after="0" w:line="252" w:lineRule="exact"/>
        <w:rPr>
          <w:rFonts w:ascii="Arial" w:cs="Arial" w:eastAsia="Arial" w:hAnsi="Arial"/>
          <w:sz w:val="18"/>
          <w:szCs w:val="18"/>
          <w:color w:val="auto"/>
        </w:rPr>
      </w:pPr>
    </w:p>
    <w:p>
      <w:pPr>
        <w:ind w:left="2380" w:hanging="441"/>
        <w:spacing w:after="0"/>
        <w:tabs>
          <w:tab w:leader="none" w:pos="2380" w:val="left"/>
        </w:tabs>
        <w:numPr>
          <w:ilvl w:val="3"/>
          <w:numId w:val="325"/>
        </w:numPr>
        <w:rPr>
          <w:rFonts w:ascii="Arial" w:cs="Arial" w:eastAsia="Arial" w:hAnsi="Arial"/>
          <w:sz w:val="18"/>
          <w:szCs w:val="18"/>
          <w:color w:val="auto"/>
        </w:rPr>
      </w:pPr>
      <w:r>
        <w:rPr>
          <w:rFonts w:ascii="Arial" w:cs="Arial" w:eastAsia="Arial" w:hAnsi="Arial"/>
          <w:sz w:val="18"/>
          <w:szCs w:val="18"/>
          <w:color w:val="auto"/>
        </w:rPr>
        <w:t>such Borrower DTTP Filing has been rejected by HMRC; or</w:t>
      </w:r>
    </w:p>
    <w:p>
      <w:pPr>
        <w:spacing w:after="0" w:line="252" w:lineRule="exact"/>
        <w:rPr>
          <w:rFonts w:ascii="Arial" w:cs="Arial" w:eastAsia="Arial" w:hAnsi="Arial"/>
          <w:sz w:val="18"/>
          <w:szCs w:val="18"/>
          <w:color w:val="auto"/>
        </w:rPr>
      </w:pPr>
    </w:p>
    <w:p>
      <w:pPr>
        <w:ind w:left="2380" w:right="40" w:hanging="441"/>
        <w:spacing w:after="0" w:line="277" w:lineRule="auto"/>
        <w:tabs>
          <w:tab w:leader="none" w:pos="2380" w:val="left"/>
        </w:tabs>
        <w:numPr>
          <w:ilvl w:val="3"/>
          <w:numId w:val="325"/>
        </w:numPr>
        <w:rPr>
          <w:rFonts w:ascii="Arial" w:cs="Arial" w:eastAsia="Arial" w:hAnsi="Arial"/>
          <w:sz w:val="18"/>
          <w:szCs w:val="18"/>
          <w:color w:val="auto"/>
        </w:rPr>
      </w:pPr>
      <w:r>
        <w:rPr>
          <w:rFonts w:ascii="Arial" w:cs="Arial" w:eastAsia="Arial" w:hAnsi="Arial"/>
          <w:sz w:val="18"/>
          <w:szCs w:val="18"/>
          <w:color w:val="auto"/>
        </w:rPr>
        <w:t>HMRC has not given such UK Borrower authority to make payments to such Lender without a UK Tax Deduction within 60 days of the date of such Borrower DTTP Filing;</w:t>
      </w:r>
    </w:p>
    <w:p>
      <w:pPr>
        <w:spacing w:after="0" w:line="170" w:lineRule="exact"/>
        <w:rPr>
          <w:sz w:val="20"/>
          <w:szCs w:val="20"/>
          <w:color w:val="auto"/>
        </w:rPr>
      </w:pPr>
    </w:p>
    <w:p>
      <w:pPr>
        <w:ind w:left="1940" w:right="40"/>
        <w:spacing w:after="0" w:line="264" w:lineRule="auto"/>
        <w:rPr>
          <w:sz w:val="20"/>
          <w:szCs w:val="20"/>
          <w:color w:val="auto"/>
        </w:rPr>
      </w:pPr>
      <w:r>
        <w:rPr>
          <w:rFonts w:ascii="Arial" w:cs="Arial" w:eastAsia="Arial" w:hAnsi="Arial"/>
          <w:sz w:val="18"/>
          <w:szCs w:val="18"/>
          <w:color w:val="auto"/>
        </w:rPr>
        <w:t>and in each case, such UK Borrower has notified that Lender in writing of either clause (1) or (2) above, then such Lender and such UK Borrower shall co-operate in completing any additional procedural formalities necessary for such UK Borrower to obtain authorization to make that payment without a UK Tax Deduction.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304" w:name="page305"/>
    <w:bookmarkEnd w:id="304"/>
    <w:p>
      <w:pPr>
        <w:ind w:left="-20" w:right="120" w:firstLine="921"/>
        <w:spacing w:after="0" w:line="264" w:lineRule="auto"/>
        <w:tabs>
          <w:tab w:leader="none" w:pos="1198" w:val="left"/>
        </w:tabs>
        <w:numPr>
          <w:ilvl w:val="0"/>
          <w:numId w:val="3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Lender has not confirmed its scheme reference number and jurisdiction of tax residence in accordance with clause (e)(iv) above, no UK Borrower shall make a Borrower DTTP Filing or file any other form relating to the HMRC DT Treaty Passport scheme in respect of that Lender’s Commitment(s) or its participation in any Loan unless the Lender otherwise agrees.</w:t>
      </w:r>
    </w:p>
    <w:p>
      <w:pPr>
        <w:spacing w:after="0" w:line="181" w:lineRule="exact"/>
        <w:rPr>
          <w:rFonts w:ascii="Arial" w:cs="Arial" w:eastAsia="Arial" w:hAnsi="Arial"/>
          <w:sz w:val="18"/>
          <w:szCs w:val="18"/>
          <w:color w:val="auto"/>
        </w:rPr>
      </w:pPr>
    </w:p>
    <w:p>
      <w:pPr>
        <w:ind w:left="-20" w:firstLine="921"/>
        <w:spacing w:after="0" w:line="277" w:lineRule="auto"/>
        <w:tabs>
          <w:tab w:leader="none" w:pos="124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Each UK Borrower shall, promptly on making a Borrower DTTP Filing, deliver a copy of such Borrower DTTP Filing to the Administrative Agent for delivery to the relevant Lender.</w:t>
      </w:r>
    </w:p>
    <w:p>
      <w:pPr>
        <w:spacing w:after="0" w:line="170" w:lineRule="exact"/>
        <w:rPr>
          <w:rFonts w:ascii="Arial" w:cs="Arial" w:eastAsia="Arial" w:hAnsi="Arial"/>
          <w:sz w:val="18"/>
          <w:szCs w:val="18"/>
          <w:color w:val="auto"/>
        </w:rPr>
      </w:pPr>
    </w:p>
    <w:p>
      <w:pPr>
        <w:ind w:left="-20" w:right="100" w:firstLine="921"/>
        <w:spacing w:after="0" w:line="259" w:lineRule="auto"/>
        <w:tabs>
          <w:tab w:leader="none" w:pos="129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Each Lender shall notify HMRC, each UK Borrower and the Administrative Agent if it determines in its sole discretion that it is not or ceases to be entitled to claim the benefits of the applicable UK Treaty with respect to payments made by any UK Borrower hereunder, including as the result of any participation under Section 10.6(c) pursuant to which it ceases to be beneficially entitled to any interest payable to it by any UK Borrower under any Loan Document.</w:t>
      </w:r>
    </w:p>
    <w:p>
      <w:pPr>
        <w:spacing w:after="0" w:line="186" w:lineRule="exact"/>
        <w:rPr>
          <w:rFonts w:ascii="Arial" w:cs="Arial" w:eastAsia="Arial" w:hAnsi="Arial"/>
          <w:sz w:val="18"/>
          <w:szCs w:val="18"/>
          <w:color w:val="auto"/>
        </w:rPr>
      </w:pPr>
    </w:p>
    <w:p>
      <w:pPr>
        <w:ind w:left="-20" w:firstLine="921"/>
        <w:spacing w:after="0" w:line="271" w:lineRule="auto"/>
        <w:tabs>
          <w:tab w:leader="none" w:pos="1198" w:val="left"/>
        </w:tabs>
        <w:numPr>
          <w:ilvl w:val="0"/>
          <w:numId w:val="326"/>
        </w:numPr>
        <w:rPr>
          <w:rFonts w:ascii="Arial" w:cs="Arial" w:eastAsia="Arial" w:hAnsi="Arial"/>
          <w:sz w:val="17"/>
          <w:szCs w:val="17"/>
          <w:color w:val="auto"/>
        </w:rPr>
      </w:pPr>
      <w:r>
        <w:rPr>
          <w:rFonts w:ascii="Arial" w:cs="Arial" w:eastAsia="Arial" w:hAnsi="Arial"/>
          <w:sz w:val="17"/>
          <w:szCs w:val="17"/>
          <w:color w:val="auto"/>
        </w:rPr>
        <w:t>Each Lender which becomes a party to this Agreement after the date of this Agreement shall indicate, in the documentation which it executes on becoming a party, and for the benefit of the Administrative Agent and without liability to any Loan Party, which of the following categories it falls in with respect to any UK Borrower to which it will make advances under any Loan Document: (A) not a UK Qualifying Lender; (B) a UK Qualifying Lender (other than a UK Treaty Lender); or (C) a UK Treaty Lender. If such a Lender fails to indicate its status in accordance with this Section 2.19(e)(ix) then that Lender shall be treated for the purposes of this Agreement (including by each UK Borrower) as if it is not a UK Qualifying Lender until such time as it notifies the Administrative Agent which category applies (and the Administrative Agent, upon receipt of such notification, shall inform the Company). For the avoidance of doubt, the documentation which a Lender executes on becoming a party to this Agreement shall not be invalidated by any failure of a Lender to comply with this Section 2.19(e)(ix).</w:t>
      </w:r>
    </w:p>
    <w:p>
      <w:pPr>
        <w:spacing w:after="0" w:line="179" w:lineRule="exact"/>
        <w:rPr>
          <w:sz w:val="20"/>
          <w:szCs w:val="20"/>
          <w:color w:val="auto"/>
        </w:rPr>
      </w:pPr>
    </w:p>
    <w:p>
      <w:pPr>
        <w:ind w:left="-20" w:firstLine="921"/>
        <w:spacing w:after="0" w:line="287" w:lineRule="auto"/>
        <w:tabs>
          <w:tab w:leader="none" w:pos="1118" w:val="left"/>
        </w:tabs>
        <w:numPr>
          <w:ilvl w:val="0"/>
          <w:numId w:val="327"/>
        </w:numPr>
        <w:rPr>
          <w:rFonts w:ascii="Arial" w:cs="Arial" w:eastAsia="Arial" w:hAnsi="Arial"/>
          <w:sz w:val="16"/>
          <w:szCs w:val="16"/>
          <w:color w:val="auto"/>
        </w:rPr>
      </w:pPr>
      <w:r>
        <w:rPr>
          <w:rFonts w:ascii="Arial" w:cs="Arial" w:eastAsia="Arial" w:hAnsi="Arial"/>
          <w:sz w:val="16"/>
          <w:szCs w:val="16"/>
          <w:color w:val="auto"/>
        </w:rPr>
        <w:t>With respect to each Foreign Subsidiary Borrower a Lender or Transferee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or on account of, any Non-Excluded Taxes imposed on such payment under the laws of the jurisdiction under which such Foreign Subsidiary Borrower is incorporated or organized. If any Commitment is reallocated in accordance with Section 2.9,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 In the event of a Change in Tax Law after the date such Foreign Subsidiary Borrower makes the first payment, a Lender or Transferee shall deliver all such required forms that it is legally able to deliver, including any form claiming a reduced rate of non-U.S. withholding tax on payments by such Foreign Subsidiary Borrower under this Agreement and the other Loan Documents. With respect to any UK Borrower, in the case of any conflict between this Section 2.19(f) and Section 2.19(e), the provisions of Section 2.19(e) shall prevail.</w:t>
      </w:r>
    </w:p>
    <w:p>
      <w:pPr>
        <w:spacing w:after="0" w:line="172" w:lineRule="exact"/>
        <w:rPr>
          <w:rFonts w:ascii="Arial" w:cs="Arial" w:eastAsia="Arial" w:hAnsi="Arial"/>
          <w:sz w:val="16"/>
          <w:szCs w:val="16"/>
          <w:color w:val="auto"/>
        </w:rPr>
      </w:pPr>
    </w:p>
    <w:p>
      <w:pPr>
        <w:ind w:left="-20" w:right="20" w:firstLine="921"/>
        <w:spacing w:after="0" w:line="257" w:lineRule="auto"/>
        <w:tabs>
          <w:tab w:leader="none" w:pos="114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If the Administrative Agent, the Brazilian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2.19, it shall pay over such refund to such Loan Party (but only to the extent of indemnity payments made, or additional amounts paid, by such Loan Party under this Section 2.19 with respect to the Non-Excluded Taxes or Other Taxes giving rise to such refund), net of all out-of-pocket expenses of the Administrative Agent, the Brazilian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60" w:top="273" w:right="259" w:bottom="1440" w:gutter="0" w:footer="0" w:header="0"/>
        </w:sectPr>
      </w:pPr>
    </w:p>
    <w:bookmarkStart w:id="305" w:name="page306"/>
    <w:bookmarkEnd w:id="30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Administrative Agent, such Transferee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Loan Party, upon the request of the Administrative Agent, the Brazilian Administrative Agent, such Transferee or such Lender, agrees to repay the amount paid over to such Loan Party (plus any penalties, interest or other charges imposed by the relevant Governmental Authority) to the Administrative Agent, the Brazilian Administrative Agent, such Transferee or such Lender in the event the Administrative Agent, the Brazilian Administrative Agent, such Transferee or such Lender is required to repay such refund to such Governmental Authority. This paragraph shall not be construed to (i) interfere with the right of the Administrative Agent, the Brazilian Administrative Agent, any Transferee or any Lender to arrange its tax affairs in whatever manner it sees fit, (ii) obligate the Administrative Agent, the Brazilian Administrative Agent, any Transferee or any Lender to claim any tax refund, (iii) require the Administrative Agent, the Brazilian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the Brazilian Administrative Agent, any Transferee or any Lender to do anything that would in its sole discretion prejudice its ability to benefit from any other refunds, credits, reliefs, remissions or repayments to which it may be entitled.</w:t>
      </w:r>
    </w:p>
    <w:p>
      <w:pPr>
        <w:spacing w:after="0" w:line="173" w:lineRule="exact"/>
        <w:rPr>
          <w:sz w:val="20"/>
          <w:szCs w:val="20"/>
          <w:color w:val="auto"/>
        </w:rPr>
      </w:pPr>
    </w:p>
    <w:p>
      <w:pPr>
        <w:ind w:firstLine="921"/>
        <w:spacing w:after="0" w:line="272" w:lineRule="auto"/>
        <w:tabs>
          <w:tab w:leader="none" w:pos="1168" w:val="left"/>
        </w:tabs>
        <w:numPr>
          <w:ilvl w:val="0"/>
          <w:numId w:val="328"/>
        </w:numPr>
        <w:rPr>
          <w:rFonts w:ascii="Arial" w:cs="Arial" w:eastAsia="Arial" w:hAnsi="Arial"/>
          <w:sz w:val="17"/>
          <w:szCs w:val="17"/>
          <w:color w:val="auto"/>
        </w:rPr>
      </w:pPr>
      <w:r>
        <w:rPr>
          <w:rFonts w:ascii="Arial" w:cs="Arial" w:eastAsia="Arial" w:hAnsi="Arial"/>
          <w:sz w:val="17"/>
          <w:szCs w:val="17"/>
          <w:color w:val="auto"/>
        </w:rPr>
        <w:t>Each Lender shall indemnify the Administrative Agent and the Brazilian Administrative Agent (to the extent not reimbursed by or on behalf of the Company if it is required to do so under Section 2.19(a) or 10.5 and without limiting the obligation of the Company under Section 2.19(a) or 10.5 to do so) for the full amount of any taxes, levies, imposts, duties, charges, fees, deductions, withholdings or similar charges imposed by any Governmental Authority that are attributable to such Lender and that are payable or paid by the Administrative Agent or the Brazilian Administrative Agent, as applicable, together with all interest, penalties, reasonable costs and expenses arising therefrom or with respect thereto, as determined by the Administrative Agent or the Brazilian Administrative Agent, as applicable, in good faith. A certificate as to the amount of such payment or liability delivered to any Lender by the Administrative Agent or the Brazilian Administrative Agent shall be conclusive absent manifest error.</w:t>
      </w:r>
    </w:p>
    <w:p>
      <w:pPr>
        <w:spacing w:after="0" w:line="177" w:lineRule="exact"/>
        <w:rPr>
          <w:rFonts w:ascii="Arial" w:cs="Arial" w:eastAsia="Arial" w:hAnsi="Arial"/>
          <w:sz w:val="17"/>
          <w:szCs w:val="17"/>
          <w:color w:val="auto"/>
        </w:rPr>
      </w:pPr>
    </w:p>
    <w:p>
      <w:pPr>
        <w:ind w:left="1140" w:hanging="219"/>
        <w:spacing w:after="0"/>
        <w:tabs>
          <w:tab w:leader="none" w:pos="11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Assignee shall be bound by this Section 2.19.</w:t>
      </w:r>
    </w:p>
    <w:p>
      <w:pPr>
        <w:spacing w:after="0" w:line="225" w:lineRule="exact"/>
        <w:rPr>
          <w:rFonts w:ascii="Arial" w:cs="Arial" w:eastAsia="Arial" w:hAnsi="Arial"/>
          <w:sz w:val="18"/>
          <w:szCs w:val="18"/>
          <w:color w:val="auto"/>
        </w:rPr>
      </w:pPr>
    </w:p>
    <w:p>
      <w:pPr>
        <w:ind w:right="440" w:firstLine="921"/>
        <w:spacing w:after="0" w:line="277" w:lineRule="auto"/>
        <w:tabs>
          <w:tab w:leader="none" w:pos="112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agreements in this Section 2.19 shall survive the termination of this Agreement and the payment of the Loans and all other amounts payable hereunder and the other Loan Documents.</w:t>
      </w:r>
    </w:p>
    <w:p>
      <w:pPr>
        <w:spacing w:after="0" w:line="17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2.22.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3" w:right="279" w:bottom="1440" w:gutter="0" w:footer="0" w:header="0"/>
        </w:sectPr>
      </w:pPr>
    </w:p>
    <w:bookmarkStart w:id="306" w:name="page307"/>
    <w:bookmarkEnd w:id="306"/>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2.20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2.20 shall survive the termination of this Agreement, the repayment of the Loans and all other amounts payable hereunder and the other Loan Documents.</w:t>
      </w:r>
    </w:p>
    <w:p>
      <w:pPr>
        <w:spacing w:after="0" w:line="17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Change of Applicable Lending Office</w:t>
      </w:r>
      <w:r>
        <w:rPr>
          <w:rFonts w:ascii="Arial" w:cs="Arial" w:eastAsia="Arial" w:hAnsi="Arial"/>
          <w:sz w:val="18"/>
          <w:szCs w:val="18"/>
          <w:color w:val="auto"/>
        </w:rPr>
        <w:t xml:space="preserve">. Each Lender agrees that, upon the occurrence of any event giving rise to the operation of Section 2.18 or 2.19(a) with respect to such Lender or its Applicable Lending Office, as applicable, it will, if requested by the Company, use reasonable efforts (subject to overall policy considerations of such Lender) to designate another Applicable Lending Office for any Loans or Letters of Credit affected by such event with the object of avoiding or minimizing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2.21 shall affect or postpone any of the obligations of the Company or the rights of any Lender pursuant to Section 2.18 or 2.19(a).</w:t>
      </w:r>
    </w:p>
    <w:p>
      <w:pPr>
        <w:spacing w:after="0" w:line="189" w:lineRule="exact"/>
        <w:rPr>
          <w:sz w:val="20"/>
          <w:szCs w:val="20"/>
          <w:color w:val="auto"/>
        </w:rPr>
      </w:pPr>
    </w:p>
    <w:p>
      <w:pPr>
        <w:ind w:right="40" w:firstLine="913"/>
        <w:spacing w:after="0" w:line="267"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Replacement/Termination of Lenders</w:t>
      </w:r>
      <w:r>
        <w:rPr>
          <w:rFonts w:ascii="Arial" w:cs="Arial" w:eastAsia="Arial" w:hAnsi="Arial"/>
          <w:sz w:val="17"/>
          <w:szCs w:val="17"/>
          <w:color w:val="auto"/>
        </w:rPr>
        <w:t xml:space="preserve">. The Company shall be permitted (a) to replace with a replacement financial institution or terminate the Commitments under any applicable Facility and repay any outstanding Loans at par under such Facility (and any accrued interest and fees thereon) of a Defaulting Lender or any Lender that (i) requests reimbursement for amounts owing pursuant to Section 2.18 or 2.19(a), (ii) fails to give its consent for any amendment, consent or waiver requiring the consent of 100% of the Lenders or all affected Lenders under such Facility (and such Lender is an affected Lender) and for which the Required Lenders or Majority Facility Lenders under such Facility, as applicable, have consented or (iii) fails to give its consent to an extension of the Termination Date to which the Majority Facility Lenders under such Facility have consented, (b) in the case of any Multicurrency Lender that fails to give its consent to the addition of a new Optional Currency to which the Majority Facility Lenders under such Facility have consented, to reallocate such Lender’s Multicurrency Commitment to a Domestic Commitment pursuant to Section 2.9(b) (regardless of whether the amount of such Commitment is less than the minimum amount required under such section) and (c) in the case of any Multicurrency Lender that fails to give its consent to the addition of a new Borrower pursuant to Section 10.1(d)(i) to which the Administrative Agent has agreed, to reallocate such Lender’s Multicurrency Commitment to a Domestic Commitment pursuant to Section 2.9(b)(regardless of whether the amount of such Commitment is less than the minimum amount required under such section);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2.20 if any Eurocurrency Loan owing to such replaced Lender shall be purchased or repaid other than on the last day of the Interest Period relating thereto, (C) any replacement financial institution, if not a Lender, shall be reasonably satisfactory to the Administrative Agent (and the Brazilian Administrative Agent in the case of any such replacement under the Brazilian Facility) and if a Lender, shall not constitute a Defaulting Lender, (D) any replaced Lender shall be obligated to make such replacement in accordance with the provisions of Section 10.6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otherwise agreed, the Company shall be obligated to pay the registration and processing fee referred to therein), (E) until such time as such replacement shall be consummated, the Company shall pay all additional amounts (if any) required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307" w:name="page308"/>
    <w:bookmarkEnd w:id="30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Section 2.18 or 2.19(a), as the case may be, and (F) any such replacement, termination and/or repayment shall not be deemed to be a waiver of any rights that the Company, any other Loan Party, the Administrative Agent, the Brazilian Administrative Agent or any other Lender shall have against the replaced Lender. Notwithstanding the foregoing, in the event that a Lender being replaced pursuant to this Section 2.22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Defaulting Lender</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1160" w:hanging="239"/>
        <w:spacing w:after="0"/>
        <w:tabs>
          <w:tab w:leader="none" w:pos="116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Facility Fees shall cease to accrue on the unfunded Commitment of such Defaulting Lender pursuant to Section 2.8;</w:t>
      </w:r>
    </w:p>
    <w:p>
      <w:pPr>
        <w:spacing w:after="0" w:line="225" w:lineRule="exact"/>
        <w:rPr>
          <w:rFonts w:ascii="Arial" w:cs="Arial" w:eastAsia="Arial" w:hAnsi="Arial"/>
          <w:sz w:val="18"/>
          <w:szCs w:val="18"/>
          <w:color w:val="auto"/>
        </w:rPr>
      </w:pPr>
    </w:p>
    <w:p>
      <w:pPr>
        <w:ind w:right="80" w:firstLine="921"/>
        <w:spacing w:after="0" w:line="284" w:lineRule="auto"/>
        <w:tabs>
          <w:tab w:leader="none" w:pos="1168" w:val="left"/>
        </w:tabs>
        <w:numPr>
          <w:ilvl w:val="1"/>
          <w:numId w:val="329"/>
        </w:numPr>
        <w:rPr>
          <w:rFonts w:ascii="Arial" w:cs="Arial" w:eastAsia="Arial" w:hAnsi="Arial"/>
          <w:sz w:val="16"/>
          <w:szCs w:val="16"/>
          <w:color w:val="auto"/>
        </w:rPr>
      </w:pPr>
      <w:r>
        <w:rPr>
          <w:rFonts w:ascii="Arial" w:cs="Arial" w:eastAsia="Arial" w:hAnsi="Arial"/>
          <w:sz w:val="16"/>
          <w:szCs w:val="16"/>
          <w:color w:val="auto"/>
        </w:rPr>
        <w:t xml:space="preserve">such Defaulting Lender and the Commitment and Extensions of Credit of such Defaulting Lender shall not be included in determining whether the Lenders, the Required Lenders, Majority Facility Lenders under such Facility or any directly affected Lender under such Facility have taken or may take any action hereunder (including any consent to any amendment, consent, waiver or other modification pursuant to Section 10.1);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or any Reimbursement Obligation owing to such Defaulting Lender, or</w:t>
      </w:r>
    </w:p>
    <w:p>
      <w:pPr>
        <w:spacing w:after="0" w:line="4" w:lineRule="exact"/>
        <w:rPr>
          <w:rFonts w:ascii="Arial" w:cs="Arial" w:eastAsia="Arial" w:hAnsi="Arial"/>
          <w:sz w:val="16"/>
          <w:szCs w:val="16"/>
          <w:color w:val="auto"/>
        </w:rPr>
      </w:pPr>
    </w:p>
    <w:p>
      <w:pPr>
        <w:ind w:right="120" w:firstLine="8"/>
        <w:spacing w:after="0" w:line="255" w:lineRule="auto"/>
        <w:tabs>
          <w:tab w:leader="none" w:pos="31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90" w:lineRule="exact"/>
        <w:rPr>
          <w:rFonts w:ascii="Arial" w:cs="Arial" w:eastAsia="Arial" w:hAnsi="Arial"/>
          <w:sz w:val="18"/>
          <w:szCs w:val="18"/>
          <w:color w:val="auto"/>
        </w:rPr>
      </w:pPr>
    </w:p>
    <w:p>
      <w:pPr>
        <w:ind w:left="1160" w:hanging="239"/>
        <w:spacing w:after="0"/>
        <w:tabs>
          <w:tab w:leader="none" w:pos="11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if any L/C Obligations exist at the time any Domestic Lender becomes a Defaulting Lender then:</w:t>
      </w:r>
    </w:p>
    <w:p>
      <w:pPr>
        <w:spacing w:after="0" w:line="225" w:lineRule="exact"/>
        <w:rPr>
          <w:sz w:val="20"/>
          <w:szCs w:val="20"/>
          <w:color w:val="auto"/>
        </w:rPr>
      </w:pPr>
    </w:p>
    <w:p>
      <w:pPr>
        <w:ind w:right="280" w:firstLine="921"/>
        <w:spacing w:after="0" w:line="257" w:lineRule="auto"/>
        <w:tabs>
          <w:tab w:leader="none" w:pos="112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have occurred and be continuing at such time all or any part of the L/C Obligations of such Defaulting Lender shall be reallocated among the Domestic Lenders that are not Defaulting Lenders in accordance with their respective Domestic Percentages (calculated without regard to such Defaulting Lender) but only to the extent the sum of all non-Defaulting Lenders’ Domestic Extensions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outstanding Domestic Competitive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L/C Obligations does not exceed the total of all Domestic Lenders that are not Defaulting Lenders’ Domestic Commitments;</w:t>
      </w:r>
    </w:p>
    <w:p>
      <w:pPr>
        <w:spacing w:after="0" w:line="188" w:lineRule="exact"/>
        <w:rPr>
          <w:rFonts w:ascii="Arial" w:cs="Arial" w:eastAsia="Arial" w:hAnsi="Arial"/>
          <w:sz w:val="18"/>
          <w:szCs w:val="18"/>
          <w:color w:val="auto"/>
        </w:rPr>
      </w:pPr>
    </w:p>
    <w:p>
      <w:pPr>
        <w:jc w:val="both"/>
        <w:ind w:right="60" w:firstLine="921"/>
        <w:spacing w:after="0" w:line="302" w:lineRule="auto"/>
        <w:tabs>
          <w:tab w:leader="none" w:pos="1178" w:val="left"/>
        </w:tabs>
        <w:numPr>
          <w:ilvl w:val="0"/>
          <w:numId w:val="331"/>
        </w:numPr>
        <w:rPr>
          <w:rFonts w:ascii="Arial" w:cs="Arial" w:eastAsia="Arial" w:hAnsi="Arial"/>
          <w:sz w:val="16"/>
          <w:szCs w:val="16"/>
          <w:color w:val="auto"/>
        </w:rPr>
      </w:pPr>
      <w:r>
        <w:rPr>
          <w:rFonts w:ascii="Arial" w:cs="Arial" w:eastAsia="Arial" w:hAnsi="Arial"/>
          <w:sz w:val="16"/>
          <w:szCs w:val="16"/>
          <w:color w:val="auto"/>
        </w:rPr>
        <w:t>if the reallocation described in clause (i) above cannot, or can only partially, be effected, the Company or any Domestic Subsidiary Borrower shall, at any time and from time to time following notice by the Administrative Agent, Collateralize for the benefit of each Issuing Lender that is not, itself, a Defaulting Lender, the Borrowers’ obligations corresponding to such Defaulting Lender’s L/C Obligations (after giving effect to any partial reallocation pursuant to clause (i) above) for so long as such L/C Obligations are outstanding or, if sooner, so long as such Defaulting Lender remains a</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308" w:name="page309"/>
    <w:bookmarkEnd w:id="308"/>
    <w:p>
      <w:pPr>
        <w:jc w:val="both"/>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Defaulting Lender (it being expressly understood and agreed that all accrued interest on such Collateralization shall be for the account of the Company or such applicable Subsidiary Borrower and shall be paid to the Company or such applicable Subsidiary Borrower at any time and from time to time upon its request therefor; </w:t>
      </w:r>
      <w:r>
        <w:rPr>
          <w:rFonts w:ascii="Arial" w:cs="Arial" w:eastAsia="Arial" w:hAnsi="Arial"/>
          <w:sz w:val="18"/>
          <w:szCs w:val="18"/>
          <w:u w:val="single" w:color="auto"/>
          <w:color w:val="auto"/>
        </w:rPr>
        <w:t>provided</w:t>
      </w:r>
      <w:r>
        <w:rPr>
          <w:rFonts w:ascii="Arial" w:cs="Arial" w:eastAsia="Arial" w:hAnsi="Arial"/>
          <w:sz w:val="18"/>
          <w:szCs w:val="18"/>
          <w:color w:val="auto"/>
        </w:rPr>
        <w:t>, that no Event of Default shall have then occurred and be continuing);</w:t>
      </w:r>
    </w:p>
    <w:p>
      <w:pPr>
        <w:spacing w:after="0" w:line="181" w:lineRule="exact"/>
        <w:rPr>
          <w:sz w:val="20"/>
          <w:szCs w:val="20"/>
          <w:color w:val="auto"/>
        </w:rPr>
      </w:pPr>
    </w:p>
    <w:p>
      <w:pPr>
        <w:ind w:left="1240" w:hanging="319"/>
        <w:spacing w:after="0"/>
        <w:tabs>
          <w:tab w:leader="none" w:pos="124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if the Company or any Subsidiary Borrower Collateralizes any portion of such Defaulting Lender’s L/C Obligations pursuant to clause</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above, neither the Company nor any relevant Subsidiary Borrower shall be required to pay any fees to such Defaulting Lender pursuant to Section 3.3</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with respect to such Defaulting Lender’s L/C Obligations during the period and to the extent such Defaulting Lender’s L/C Obligations are so Collateralized;</w:t>
      </w:r>
    </w:p>
    <w:p>
      <w:pPr>
        <w:spacing w:after="0" w:line="233" w:lineRule="exact"/>
        <w:rPr>
          <w:rFonts w:ascii="Arial" w:cs="Arial" w:eastAsia="Arial" w:hAnsi="Arial"/>
          <w:sz w:val="16"/>
          <w:szCs w:val="16"/>
          <w:color w:val="auto"/>
        </w:rPr>
      </w:pPr>
    </w:p>
    <w:p>
      <w:pPr>
        <w:ind w:right="220" w:firstLine="921"/>
        <w:spacing w:after="0" w:line="312" w:lineRule="auto"/>
        <w:tabs>
          <w:tab w:leader="none" w:pos="1218" w:val="left"/>
        </w:tabs>
        <w:numPr>
          <w:ilvl w:val="1"/>
          <w:numId w:val="333"/>
        </w:numPr>
        <w:rPr>
          <w:rFonts w:ascii="Arial" w:cs="Arial" w:eastAsia="Arial" w:hAnsi="Arial"/>
          <w:sz w:val="16"/>
          <w:szCs w:val="16"/>
          <w:color w:val="auto"/>
        </w:rPr>
      </w:pPr>
      <w:r>
        <w:rPr>
          <w:rFonts w:ascii="Arial" w:cs="Arial" w:eastAsia="Arial" w:hAnsi="Arial"/>
          <w:sz w:val="16"/>
          <w:szCs w:val="16"/>
          <w:color w:val="auto"/>
        </w:rPr>
        <w:t>if the L/C Obligations of the Defaulting Lenders are reallocated pursuant to clause (i) above, then the fees payable to the non-Defaulting Lenders pursuant to Section 2.8 and Section 3.3, as applicable, shall be adjusted in accordance with such non-Defaulting Lenders’ Domestic Percentages of the Domestic Commitments calculated without regard to such Defaulting Lender’s Domestic Percentage of the Domestic Commitments; and</w:t>
      </w:r>
    </w:p>
    <w:p>
      <w:pPr>
        <w:spacing w:after="0" w:line="146" w:lineRule="exact"/>
        <w:rPr>
          <w:rFonts w:ascii="Arial" w:cs="Arial" w:eastAsia="Arial" w:hAnsi="Arial"/>
          <w:sz w:val="16"/>
          <w:szCs w:val="16"/>
          <w:color w:val="auto"/>
        </w:rPr>
      </w:pPr>
    </w:p>
    <w:p>
      <w:pPr>
        <w:jc w:val="both"/>
        <w:ind w:right="140" w:firstLine="921"/>
        <w:spacing w:after="0" w:line="279" w:lineRule="auto"/>
        <w:tabs>
          <w:tab w:leader="none" w:pos="1168" w:val="left"/>
        </w:tabs>
        <w:numPr>
          <w:ilvl w:val="1"/>
          <w:numId w:val="333"/>
        </w:numPr>
        <w:rPr>
          <w:rFonts w:ascii="Arial" w:cs="Arial" w:eastAsia="Arial" w:hAnsi="Arial"/>
          <w:sz w:val="17"/>
          <w:szCs w:val="17"/>
          <w:color w:val="auto"/>
        </w:rPr>
      </w:pPr>
      <w:r>
        <w:rPr>
          <w:rFonts w:ascii="Arial" w:cs="Arial" w:eastAsia="Arial" w:hAnsi="Arial"/>
          <w:sz w:val="17"/>
          <w:szCs w:val="17"/>
          <w:color w:val="auto"/>
        </w:rPr>
        <w:t>if all or any portion of such Defaulting Lender’s L/C Obligations is neither reallocated nor Collateralized pursuant to clause (i) or (ii) above, then, without prejudice to any rights or remedies of the Company or any relevant Subsidiary Borrower, the applicable Issuing Lender or any other Domestic Lender hereunder, all Letter of Credit Fees payable under Section 3.3 with respect to such Defaulting Lender’s L/C Obligations shall be payable to the applicable Issuing Lender until and to the extent that such L/C Obligations are so reallocated and/or Collateralized; and</w:t>
      </w:r>
    </w:p>
    <w:p>
      <w:pPr>
        <w:spacing w:after="0" w:line="171" w:lineRule="exact"/>
        <w:rPr>
          <w:sz w:val="20"/>
          <w:szCs w:val="20"/>
          <w:color w:val="auto"/>
        </w:rPr>
      </w:pPr>
    </w:p>
    <w:p>
      <w:pPr>
        <w:ind w:right="100" w:firstLine="921"/>
        <w:spacing w:after="0" w:line="276" w:lineRule="auto"/>
        <w:tabs>
          <w:tab w:leader="none" w:pos="1168" w:val="left"/>
        </w:tabs>
        <w:numPr>
          <w:ilvl w:val="0"/>
          <w:numId w:val="334"/>
        </w:numPr>
        <w:rPr>
          <w:rFonts w:ascii="Arial" w:cs="Arial" w:eastAsia="Arial" w:hAnsi="Arial"/>
          <w:sz w:val="17"/>
          <w:szCs w:val="17"/>
          <w:color w:val="auto"/>
        </w:rPr>
      </w:pPr>
      <w:r>
        <w:rPr>
          <w:rFonts w:ascii="Arial" w:cs="Arial" w:eastAsia="Arial" w:hAnsi="Arial"/>
          <w:sz w:val="17"/>
          <w:szCs w:val="17"/>
          <w:color w:val="auto"/>
        </w:rPr>
        <w:t>no Issuing Lender shall be required to issue, renew, amend or increase any Letter of Credit unless it is reasonably satisfied that the related exposure and such Defaulting Lender’s then outstanding L/C Obligations will be 100% covered by the Domestic Commitments of the Domestic Lenders that are not Defaulting Lenders and/or Collateralized by the Company or any applicable Subsidiary Borrower in accordance with this Section 2.23 and participating interests in any newly issued or increased Letter of Credit shall be allocated among the Domestic Lenders that are not Defaulting Lenders in a manner consistent with this Section 2.23 (and such Defaulting Lender shall not participate therein).</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(i) either (x) a Lender Insolvency Event with respect to the parent company of any Domestic Lender shall occur following the Closing Date or</w:t>
      </w:r>
    </w:p>
    <w:p>
      <w:pPr>
        <w:spacing w:after="0" w:line="46" w:lineRule="exact"/>
        <w:rPr>
          <w:sz w:val="20"/>
          <w:szCs w:val="20"/>
          <w:color w:val="auto"/>
        </w:rPr>
      </w:pPr>
    </w:p>
    <w:p>
      <w:pPr>
        <w:ind w:firstLine="8"/>
        <w:spacing w:after="0" w:line="253" w:lineRule="auto"/>
        <w:tabs>
          <w:tab w:leader="none" w:pos="25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parent company of any Domestic Lender shall become the subject of a Bail-In Action following the Closing Date and, in each case, for so long as such event shall continue or (ii) any Domestic Lender has defaulted in fulfilling its obligations under one or more other agreements in which such Domestic Lender commits to extend credit, no Issuing Lender shall be required to issue, amend or increase any Letter of Credit, unless such Issuing Lender shall have entered into arrangements with the Company or such Domestic Lender, satisfactory to such Issuing Lender, to defease any risk to it in respect of such Domestic Lender hereunder.</w:t>
      </w:r>
    </w:p>
    <w:p>
      <w:pPr>
        <w:spacing w:after="0" w:line="19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In the event that a Domestic Lender becomes a Defaulting Lender, the Administrative Agent shall give notice to the Company and each affected Issuing Lender stating that such Domestic Lender has become a Defaulting Lender. In the event that each of the Administrative Agent, the Company, each relevant Subsidiary Borrower and each affected Issuing Lender agrees that a Defaulting Lender has adequately remedied all matters that caused such Defaulting Lender to be a Defaulting Lender, then the L/C Obligations of the Domestic Lenders shall be readjusted to reflect the inclusion of such Defaulting Lender’s Domestic Commitment and, on such date, such Domestic Lender shall purchase at par such of the Loans and/or participations in the L/C Obligations of the other Domestic Lenders as the Administrative Agent shall determine may be necessary in order for such Domestic Lender to hold such Domestic Loans and participations in the L/C Obligations in accordance with its Domestic Percentage of the Domestic Commitments.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309" w:name="page310"/>
    <w:bookmarkEnd w:id="309"/>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2.24 </w:t>
      </w:r>
      <w:r>
        <w:rPr>
          <w:rFonts w:ascii="Arial" w:cs="Arial" w:eastAsia="Arial" w:hAnsi="Arial"/>
          <w:sz w:val="16"/>
          <w:szCs w:val="16"/>
          <w:u w:val="single" w:color="auto"/>
          <w:color w:val="auto"/>
        </w:rPr>
        <w:t>Reallocation of Payments for the Account of Defaulting Lenders</w:t>
      </w:r>
      <w:r>
        <w:rPr>
          <w:rFonts w:ascii="Arial" w:cs="Arial" w:eastAsia="Arial" w:hAnsi="Arial"/>
          <w:sz w:val="16"/>
          <w:szCs w:val="16"/>
          <w:color w:val="auto"/>
        </w:rPr>
        <w:t xml:space="preserve">. Any payment of principal, interest, fees or other amounts received by the Administrative Agent or the Brazilian Administrative Agent, as applicable, for the account of any Defaulting Lender under any Facility (whether voluntary or mandatory, at or prior to maturity, or otherwise),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to the payment of any amounts owing by such Defaulting Lender to the Administrative Agent and the Brazilian Administrative Agent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amounts owed by such Defaulting Lender to the Administrative Agent and the Brazilian Administrative Agent);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in the case of the Domestic Facility only, to the payment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of any amounts owing by such Defaulting Lender to each Issuing Lender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Issuing Lenders in accordance with the amounts owed by such Defaulting Lender to each Issuing Lender);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in the case of the Domestic Facility only, if so determined by the Administrative Agent or requested by the Company or an Issuing Lender, to be held as cash collateral for future funding obligations of such Defaulting Lender of any participation in any Letter of Credit;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Company may request (so long as no Event of Default has occurred and is continuing), to the funding of any Loan under the applicable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Company, to be held in an interest bearing deposit account and released from time to time in order to satisfy obligations of such Defaulting Lender to fund Loans under the applicable Facility (it being understood and agreed that the accrued interest thereon shall be held as additional collateral for such obligations);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under such Facility and, in the case of the Domestic Facility only, the Issuing Lenders, as a result of any judgment of a court of competent jurisdiction obtained by any Lender or any Issuing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Reimbursement Obligations in respect of which such Defaulting Lender has not fully funded its appropriate share and (y) such Loans or Reimbursement Obligations were made at a time when the conditions set forth in Section 5.2 were satisfied or waived, such payment shall be applied solely to pay the Loans under the applicable Facility of, and Reimbursement Obligations owed to, all non-Defaulting Lenders under such Facility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prior to being applied to the payment of any Loans of, or Reimbursement Obligations owed to, such Defaulting Lender. Any payments, prepayments or other amounts paid or payable to a Defaulting Lender that are applied (or held) to pay amounts owed by such Defaulting Lender or to post cash collateral pursuant to this Section 2.24 shall be deemed paid to and redirected by such Defaulting Lender, and each Lender under the applicable Facility irrevocably consents hereto.</w:t>
      </w:r>
    </w:p>
    <w:p>
      <w:pPr>
        <w:spacing w:after="0" w:line="393"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New Local Facilities</w:t>
      </w:r>
      <w:r>
        <w:rPr>
          <w:rFonts w:ascii="Arial" w:cs="Arial" w:eastAsia="Arial" w:hAnsi="Arial"/>
          <w:sz w:val="18"/>
          <w:szCs w:val="18"/>
          <w:color w:val="auto"/>
        </w:rPr>
        <w:t>. (a) The Company may at any time or from time to time after the Closing Date, by notice to the Administrative Agent and the Lenders, request the Lenders with Commitments under any Facility to designate a portion of such Commitments to make Extensions of Credit denominated in Dollars and/or any Optional Currency in a jurisdiction outside of the United States pursuant to a newly established sub-facility or sub-facilities under any Facility or a separate revolving facility hereunder (each, a “</w:t>
      </w:r>
      <w:r>
        <w:rPr>
          <w:rFonts w:ascii="Arial" w:cs="Arial" w:eastAsia="Arial" w:hAnsi="Arial"/>
          <w:sz w:val="18"/>
          <w:szCs w:val="18"/>
          <w:u w:val="single" w:color="auto"/>
          <w:color w:val="auto"/>
        </w:rPr>
        <w:t>New Local Facility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both at the time of any such request and upon the effectiveness of any Local Facility Amendment referred to below, no Default or Event of Default shall have occurred and be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Lender shall be required to make Extensions of Credit in excess of its Commitment then in effect, and (ii) after giving effect to any such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3" w:right="239" w:bottom="1440" w:gutter="0" w:footer="0" w:header="0"/>
        </w:sectPr>
      </w:pPr>
    </w:p>
    <w:bookmarkStart w:id="310" w:name="page311"/>
    <w:bookmarkEnd w:id="310"/>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Local Facility, the Total Brazilian Extensions of Credit shall not exceed the Total Brazilian Commitments then in effect, the Total Domestic Extensions of Credit shall not exceed the Total Domestic Commitments then in effect, the Total Multicurrency Extensions of Credit shall not exceed the Total Multicurrency Commitments and the Extensions of Credit under any other Facility shall not exceed the Commitments then in effect under such Facility. Each New Local Facility shall be in a minimum Dollar Equivalent amount of $25 million. Each notice from the Company pursuant to this Section 2.25 shall set forth the requested amount and proposed terms of the relevant New Local Facility and the Facility or Facilities designated by the Company to be reduced as a result of the establishment of such New Local Facility. Lenders wishing to designate a portion of their Commitments under a designated Facility to a New Local Facility (each, a “</w:t>
      </w:r>
      <w:r>
        <w:rPr>
          <w:rFonts w:ascii="Arial" w:cs="Arial" w:eastAsia="Arial" w:hAnsi="Arial"/>
          <w:sz w:val="17"/>
          <w:szCs w:val="17"/>
          <w:u w:val="single" w:color="auto"/>
          <w:color w:val="auto"/>
        </w:rPr>
        <w:t>New Local Facility Lender</w:t>
      </w:r>
      <w:r>
        <w:rPr>
          <w:rFonts w:ascii="Arial" w:cs="Arial" w:eastAsia="Arial" w:hAnsi="Arial"/>
          <w:sz w:val="17"/>
          <w:szCs w:val="17"/>
          <w:color w:val="auto"/>
        </w:rPr>
        <w:t xml:space="preserve">”) shall have such portion of their Commitment under such Facility designated to such New Local Facility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in accordance with the aggregate Commitments of the other New Local Facility Lenders;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may so reallocate its Commitments to a New Local Facility if such reallocation would result in amounts being payable by the Company or any Subsidiary Borrower under Section 2.18 or 2.19 unless such Lender changes its Applicable Lending Office to avoid such a result or the Company otherwise consents. The designation of Commitments to any New Local Facility shall be made pursuant to an amendment (each, a “</w:t>
      </w:r>
      <w:r>
        <w:rPr>
          <w:rFonts w:ascii="Arial" w:cs="Arial" w:eastAsia="Arial" w:hAnsi="Arial"/>
          <w:sz w:val="17"/>
          <w:szCs w:val="17"/>
          <w:u w:val="single" w:color="auto"/>
          <w:color w:val="auto"/>
        </w:rPr>
        <w:t>Local Facility Amendment</w:t>
      </w:r>
      <w:r>
        <w:rPr>
          <w:rFonts w:ascii="Arial" w:cs="Arial" w:eastAsia="Arial" w:hAnsi="Arial"/>
          <w:sz w:val="17"/>
          <w:szCs w:val="17"/>
          <w:color w:val="auto"/>
        </w:rPr>
        <w:t>”) to this Agreement and, as appropriate, the other Loan Documents, executed by the Loan Parties, the Administrative Agent and each New Local Facility Lender. Notwithstanding anything in this Section 2.25 to the contrary, no Lender shall be obligated to transfer any portion of its Commitments to a New Local Facility unless it so agrees.</w:t>
      </w:r>
    </w:p>
    <w:p>
      <w:pPr>
        <w:spacing w:after="0" w:line="185" w:lineRule="exact"/>
        <w:rPr>
          <w:sz w:val="20"/>
          <w:szCs w:val="20"/>
          <w:color w:val="auto"/>
        </w:rPr>
      </w:pPr>
    </w:p>
    <w:p>
      <w:pPr>
        <w:ind w:right="260" w:firstLine="921"/>
        <w:spacing w:after="0" w:line="259" w:lineRule="auto"/>
        <w:tabs>
          <w:tab w:leader="none" w:pos="116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Notwithstanding the terms of Section 10.1(a), any Local Facility Amendment may, without the consent of any Lenders other than the New Local Facility Lenders, effect such amendments to this Agreement and the other Loan Documents as may be necessary or appropriate, in the reasonable opinion of the Administrative Agent and the Company, to implement the provisions of this Section 2.25, a copy of which shall be made available to each Lender.</w:t>
      </w:r>
    </w:p>
    <w:p>
      <w:pPr>
        <w:spacing w:after="0" w:line="18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2.26 </w:t>
      </w:r>
      <w:r>
        <w:rPr>
          <w:rFonts w:ascii="Arial" w:cs="Arial" w:eastAsia="Arial" w:hAnsi="Arial"/>
          <w:sz w:val="17"/>
          <w:szCs w:val="17"/>
          <w:u w:val="single" w:color="auto"/>
          <w:color w:val="auto"/>
        </w:rPr>
        <w:t>Incremental Commitments/Facilities</w:t>
      </w:r>
      <w:r>
        <w:rPr>
          <w:rFonts w:ascii="Arial" w:cs="Arial" w:eastAsia="Arial" w:hAnsi="Arial"/>
          <w:sz w:val="17"/>
          <w:szCs w:val="17"/>
          <w:color w:val="auto"/>
        </w:rPr>
        <w:t>. (a) The Company may from time to time notify the Administrative Agent that certain of the Lenders designated by the Company and/or that additional lenders shall be added to this Agreement as Incremental Lenders with Commitments for the purpose of either increasing the existing Commitments under any Facility (a “</w:t>
      </w:r>
      <w:r>
        <w:rPr>
          <w:rFonts w:ascii="Arial" w:cs="Arial" w:eastAsia="Arial" w:hAnsi="Arial"/>
          <w:sz w:val="17"/>
          <w:szCs w:val="17"/>
          <w:u w:val="single" w:color="auto"/>
          <w:color w:val="auto"/>
        </w:rPr>
        <w:t>Commitment Increase</w:t>
      </w:r>
      <w:r>
        <w:rPr>
          <w:rFonts w:ascii="Arial" w:cs="Arial" w:eastAsia="Arial" w:hAnsi="Arial"/>
          <w:sz w:val="17"/>
          <w:szCs w:val="17"/>
          <w:color w:val="auto"/>
        </w:rPr>
        <w:t xml:space="preserve">”) or establishing an Incremental Facility by executing and delivering to the Administrative Agent an Incremental Loan Activation Notice signed by such Lenders or such additional lenders and specifying (i) the respective Incremental Commitments of such Incremental Lenders, (ii) the applicable Incremental Facility Closing Date or Commitment Increase Date, and (iii) with respect to any Incremental Facility (A) the applicable Incremental Loan Maturity Date, (B) the Currency or Currencies available under such Incremental Facility, (C) the borrower(s) thereunder (which may be the Company and/or any Subsidiary Borrowers), (D) the Applicable Margin and other fees applicable to Incremental Loans and other extensions of credit to be made available under such Incremental Facility, and (E) any additional terms applicable to such Incremental Facility, including the borrowing procedures related thereto (in each case, as agreed between the Company and the Incremental Lenders providing such Incremental Loans), and otherwise duly completed;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Commitment Increase or Incremental Facility (including the incurrence of any Incremental Loans on the applicable Commitment Increase Date or Incremental Facility Closing Date and use of proceeds thereof), (x) except in the case of an Incremental Facility, as otherwise agreed by the Lenders under such Facility, no Default or Event of Default shall be continuing and (y) the sum of the Total Commitments then in effect (including, for the avoidance of doubt, Incremental Commitments), the 3-Year Total Commitments then in effect (including, for the avoidance of doubt, any commitments under incremental facilities under the 3-Year Revolving Credit Agreement) and the aggregate amount of all Ancillary Commitments (under and as defined in the 3-Year Revolving Credit Agreement) then in effect shall not exceed $18 billion.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3" w:right="259" w:bottom="1440" w:gutter="0" w:footer="0" w:header="0"/>
        </w:sectPr>
      </w:pPr>
    </w:p>
    <w:bookmarkStart w:id="311" w:name="page312"/>
    <w:bookmarkEnd w:id="311"/>
    <w:p>
      <w:pPr>
        <w:ind w:firstLine="921"/>
        <w:spacing w:after="0" w:line="273" w:lineRule="auto"/>
        <w:tabs>
          <w:tab w:leader="none" w:pos="1168" w:val="left"/>
        </w:tabs>
        <w:numPr>
          <w:ilvl w:val="0"/>
          <w:numId w:val="3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Incremental Lender that is a signatory to an Incremental Loan Activation Notice severally agrees, on the terms and conditions of this Agreement, to make revolving credit loans (each, an “</w:t>
      </w:r>
      <w:r>
        <w:rPr>
          <w:rFonts w:ascii="Arial" w:cs="Arial" w:eastAsia="Arial" w:hAnsi="Arial"/>
          <w:sz w:val="17"/>
          <w:szCs w:val="17"/>
          <w:u w:val="single" w:color="auto"/>
          <w:color w:val="auto"/>
        </w:rPr>
        <w:t>Incremental Loan</w:t>
      </w:r>
      <w:r>
        <w:rPr>
          <w:rFonts w:ascii="Arial" w:cs="Arial" w:eastAsia="Arial" w:hAnsi="Arial"/>
          <w:sz w:val="17"/>
          <w:szCs w:val="17"/>
          <w:color w:val="auto"/>
        </w:rPr>
        <w:t>”) to the Company and/or the applicable Subsidiary Borrowers from time to time on or after the Incremental Facility Closing Date or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Section 2.26 shall be construed to obligate any Lender to execute an Incremental Loan Activation Notice.</w:t>
      </w:r>
    </w:p>
    <w:p>
      <w:pPr>
        <w:spacing w:after="0" w:line="178" w:lineRule="exact"/>
        <w:rPr>
          <w:rFonts w:ascii="Arial" w:cs="Arial" w:eastAsia="Arial" w:hAnsi="Arial"/>
          <w:sz w:val="17"/>
          <w:szCs w:val="17"/>
          <w:color w:val="auto"/>
        </w:rPr>
      </w:pPr>
    </w:p>
    <w:p>
      <w:pPr>
        <w:ind w:right="40" w:firstLine="921"/>
        <w:spacing w:after="0" w:line="271" w:lineRule="auto"/>
        <w:tabs>
          <w:tab w:leader="none" w:pos="1158" w:val="left"/>
        </w:tabs>
        <w:numPr>
          <w:ilvl w:val="0"/>
          <w:numId w:val="337"/>
        </w:numPr>
        <w:rPr>
          <w:rFonts w:ascii="Arial" w:cs="Arial" w:eastAsia="Arial" w:hAnsi="Arial"/>
          <w:sz w:val="17"/>
          <w:szCs w:val="17"/>
          <w:color w:val="auto"/>
        </w:rPr>
      </w:pPr>
      <w:r>
        <w:rPr>
          <w:rFonts w:ascii="Arial" w:cs="Arial" w:eastAsia="Arial" w:hAnsi="Arial"/>
          <w:sz w:val="17"/>
          <w:szCs w:val="17"/>
          <w:color w:val="auto"/>
        </w:rPr>
        <w:t>On any Commitment Increase Date with respect to any Facility, in the event any Loans under such Facility are then outstanding, (i) each relevant Incremental Lender shall make available to the Administrative Agent (or the Brazilian Administrative Agent in the case of the Brazilian Facility) such amounts in immediately available funds as the Administrative Agent (or the Brazilian Administrative Agent in the case of the Brazilian Facility) shall determine are necessary in order to cause, after giving effect to such increased Commitments and the application of such amounts to prepay Loans under such Facility of other relevant Lenders, the Loans under such Facility to be held ratably by all Lenders with Commitments in such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2.20 as a result of such prepayment.</w:t>
      </w:r>
    </w:p>
    <w:p>
      <w:pPr>
        <w:spacing w:after="0" w:line="179"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u w:val="single" w:color="auto"/>
          <w:color w:val="auto"/>
        </w:rPr>
        <w:t>Termination Date Extension</w:t>
      </w:r>
      <w:r>
        <w:rPr>
          <w:rFonts w:ascii="Arial" w:cs="Arial" w:eastAsia="Arial" w:hAnsi="Arial"/>
          <w:sz w:val="16"/>
          <w:szCs w:val="16"/>
          <w:color w:val="auto"/>
        </w:rPr>
        <w:t>. (a) The Company may at any time and from time to time, by notice to the Administrative Agent and the Brazilian Administrative Agent, if applicable, propose an extension of the Termination Date, which proposal may include a proposal to change the Applicable Margins (including any provision of the Applicable Pricing Grid) for the Lenders as may be specified in such proposal. Upon receipt of any such proposal the Administrative Agent and the Brazilian Administrative Agent, if applicable, shall promptly notify each Lender thereof. Each Lender shall respond to such proposal in writing within 30 calendar days after the date of such proposal and any failure of a Lender to respond within such period shall be deemed to be a rejection of such proposal. If any Lender consents to such proposal (each such consenting Lender,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the Termination Date applicable to each Extending Lender shall be extended to the date specified in the Company’s extension proposal and the Applicable Margin with respect to each such Extending Lender shall be adjusted in the manner specified in such proposal, if any, and each Non-Extending Lender will be treated as provided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Section 2.27(b).</w:t>
      </w:r>
    </w:p>
    <w:p>
      <w:pPr>
        <w:spacing w:after="0" w:line="211" w:lineRule="exact"/>
        <w:rPr>
          <w:sz w:val="20"/>
          <w:szCs w:val="20"/>
          <w:color w:val="auto"/>
        </w:rPr>
      </w:pPr>
    </w:p>
    <w:p>
      <w:pPr>
        <w:ind w:right="20" w:firstLine="921"/>
        <w:spacing w:after="0" w:line="312" w:lineRule="auto"/>
        <w:tabs>
          <w:tab w:leader="none" w:pos="1168"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If any Lender does not consent to any extension request that becomes effective pursuant to Section 2.27(a) (each such Lender, a “</w:t>
      </w:r>
      <w:r>
        <w:rPr>
          <w:rFonts w:ascii="Arial" w:cs="Arial" w:eastAsia="Arial" w:hAnsi="Arial"/>
          <w:sz w:val="16"/>
          <w:szCs w:val="16"/>
          <w:u w:val="single" w:color="auto"/>
          <w:color w:val="auto"/>
        </w:rPr>
        <w:t>Non-Extending Lender</w:t>
      </w:r>
      <w:r>
        <w:rPr>
          <w:rFonts w:ascii="Arial" w:cs="Arial" w:eastAsia="Arial" w:hAnsi="Arial"/>
          <w:sz w:val="16"/>
          <w:szCs w:val="16"/>
          <w:color w:val="auto"/>
        </w:rPr>
        <w:t>”), then the Termination Date for such Non-Extending Lender shall remain unchanged from that applicable prior to the extension and the Commitments of each Non-Extending Lender and the existing Applicable Margins shall, subject to the terms of Section 2.16, continue in full force and effect.</w:t>
      </w:r>
    </w:p>
    <w:p>
      <w:pPr>
        <w:spacing w:after="0" w:line="146" w:lineRule="exact"/>
        <w:rPr>
          <w:rFonts w:ascii="Arial" w:cs="Arial" w:eastAsia="Arial" w:hAnsi="Arial"/>
          <w:sz w:val="16"/>
          <w:szCs w:val="16"/>
          <w:color w:val="auto"/>
        </w:rPr>
      </w:pPr>
    </w:p>
    <w:p>
      <w:pPr>
        <w:jc w:val="both"/>
        <w:ind w:right="80" w:firstLine="921"/>
        <w:spacing w:after="0" w:line="279" w:lineRule="auto"/>
        <w:tabs>
          <w:tab w:leader="none" w:pos="1158" w:val="left"/>
        </w:tabs>
        <w:numPr>
          <w:ilvl w:val="0"/>
          <w:numId w:val="338"/>
        </w:numPr>
        <w:rPr>
          <w:rFonts w:ascii="Arial" w:cs="Arial" w:eastAsia="Arial" w:hAnsi="Arial"/>
          <w:sz w:val="17"/>
          <w:szCs w:val="17"/>
          <w:color w:val="auto"/>
        </w:rPr>
      </w:pPr>
      <w:r>
        <w:rPr>
          <w:rFonts w:ascii="Arial" w:cs="Arial" w:eastAsia="Arial" w:hAnsi="Arial"/>
          <w:sz w:val="17"/>
          <w:szCs w:val="17"/>
          <w:color w:val="auto"/>
        </w:rPr>
        <w:t>Notwithstanding the provisions of Section 10.1(a), the Company and the Administrative Agent and the Brazilian Administrative Agent, if applicable, (and the Extending Lenders) shall be entitled to enter into any amendments to this Agreement that the Administrative Agent and the Brazilian Administrative Agent, if applicable, believe are necessary or appropriate to reflect, or to provide for the integration of, any extension of the Termination Date or change in Applicable Margins pursuant to this Section 2.27 without the consent of any Non-Extending Lender.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312" w:name="page313"/>
    <w:bookmarkEnd w:id="31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LETTERS OF CREDIT</w:t>
      </w:r>
    </w:p>
    <w:p>
      <w:pPr>
        <w:spacing w:after="0" w:line="225"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L/C Commitment</w:t>
      </w:r>
      <w:r>
        <w:rPr>
          <w:rFonts w:ascii="Arial" w:cs="Arial" w:eastAsia="Arial" w:hAnsi="Arial"/>
          <w:sz w:val="16"/>
          <w:szCs w:val="16"/>
          <w:color w:val="auto"/>
        </w:rPr>
        <w:t>. (a) Subject to the terms and conditions hereof, each Issuing Lender, in reliance on the agreements of the Lenders set forth in Section 3.4(a), agrees to issue (or cause its Applicable Lending Office to issue) letters of credit and, with the consent of such Issuing Lender, letters of guarantee (each a “</w:t>
      </w:r>
      <w:r>
        <w:rPr>
          <w:rFonts w:ascii="Arial" w:cs="Arial" w:eastAsia="Arial" w:hAnsi="Arial"/>
          <w:sz w:val="16"/>
          <w:szCs w:val="16"/>
          <w:u w:val="single" w:color="auto"/>
          <w:color w:val="auto"/>
        </w:rPr>
        <w:t>Letter of Credit</w:t>
      </w:r>
      <w:r>
        <w:rPr>
          <w:rFonts w:ascii="Arial" w:cs="Arial" w:eastAsia="Arial" w:hAnsi="Arial"/>
          <w:sz w:val="16"/>
          <w:szCs w:val="16"/>
          <w:color w:val="auto"/>
        </w:rPr>
        <w:t>”) under the Domestic Facility for the account of a Loan Party or a Subsidiary of a Loan Party (the “</w:t>
      </w:r>
      <w:r>
        <w:rPr>
          <w:rFonts w:ascii="Arial" w:cs="Arial" w:eastAsia="Arial" w:hAnsi="Arial"/>
          <w:sz w:val="16"/>
          <w:szCs w:val="16"/>
          <w:u w:val="single" w:color="auto"/>
          <w:color w:val="auto"/>
        </w:rPr>
        <w:t>Applicable Account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xml:space="preserve">”) on any Business Day during the Commitment Period of such Issuing Lender in such form as may be reasonable and customary for the purpose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Applicable Account Party shall request, and no Issuing Lender shall be required to issue (or cause its Applicable Lending Office to issue), any Letter of Credit if, after giving effect to such issuance (and to any concurrent funding or prepayment of a Loan and to the application of proceeds thereof and to any concurrent expiration or termination or amendment or modification of any previously issued Letter of Credit), (A) the Dollar Equivalent of the then Outstanding Amount of all Letters of Credit issued by such Issuing Lender (or any Applicable Lending Office thereof) would exceed such Issuing Lender’s L/C Commitment then in effect, (B) the Dollar Equivalent of the then Outstanding Amount of all Letters of Credit would exceed the L/C Sublimit then in effect or (C) sum of (x) 105% of the Dollar Equivalent of Letters of Credit denominated in Optional Currencies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then Outstanding Amount of the Total Domestic Extensions of Credit other than Letters of Credit denominated in Optional Currencies would exceed the Total Domestic Commitments then in effect and (ii) the Company shall be jointly and severally liable with respect to each Letter of Credit issued for the account of an Applicable Account Party (other than the Company). Each Letter of Credit shall (x) be denominated in Dollars or any Optional Currency and (y) expire no later than the earlier of (A) the date that is one year after the date of issuance of such Letter of Credit and (B) five Business Days prior to the Termination Date of such Issuing Lender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or shorter tenor may (1) provide for the subsequent or successive renewal or automatic renewal thereof for additional one-year or shorter periods (which shall in no event extend beyond the date referred to in foregoing clause (B), unless and to the extent that such Letter of Credit is Collateralized for the period following such date at 100% of the undrawn and unexpired amount of such Letter of Credit if requested by the relevant Issuing Lender) or (2) continue past such date referred to in the foregoing clause (B) to the extent that such Letter of Credit is Collateralized for the period following such date at 100% of the undrawn and unexpired amount of such Letter of Credit if requested by the relevant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upon request of the Company and with the consent of the relevant Issuing Lender, a Letter of Credit may have a tenor of longer than one year so long as such Letter of Credit does not extend beyond the date referred to in clause (B) above (or, to the extent such Letter of Credit does extend beyond such date, it is in compliance with the parenthetical in clause (1) above). Any such Collateralization of a Letter of Credit provided by a Loan Party or Applicable Account Party, as applicable, with respect to a Letter of Credit, together with accrued interest or earnings thereon, shall be terminated and (to the extent not applied to satisfy L/C Obligations) released to such Loan Party or Applicable Account Party, as applicable, as soon as practicable after the expiration or other termination of such Letter of Credit and the reimbursement of any amount drawn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so long as such 100% margin is maintained, the accrued interest or earnings on such Collateralization shall be released to the Loan Party or Applicable Account Party, as applicable, at any time and from time to time upon its request therefor.</w:t>
      </w:r>
    </w:p>
    <w:p>
      <w:pPr>
        <w:spacing w:after="0" w:line="390" w:lineRule="exact"/>
        <w:rPr>
          <w:sz w:val="20"/>
          <w:szCs w:val="20"/>
          <w:color w:val="auto"/>
        </w:rPr>
      </w:pPr>
    </w:p>
    <w:p>
      <w:pPr>
        <w:ind w:right="200" w:firstLine="921"/>
        <w:spacing w:after="0" w:line="264" w:lineRule="auto"/>
        <w:tabs>
          <w:tab w:leader="none" w:pos="116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No Issuing Lender shall at any time be obligated to issue (or cause its Applicable Lending Office to issue) any Letter of Credit if such issuance would conflict with, or cause such Issuing Lender (or any Applicable Lending Office thereof) or any L/C Participant to exceed any limits imposed by, any applicable Requirement of Law.</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Procedure for Issuance of Letters of Credit</w:t>
      </w:r>
      <w:r>
        <w:rPr>
          <w:rFonts w:ascii="Arial" w:cs="Arial" w:eastAsia="Arial" w:hAnsi="Arial"/>
          <w:sz w:val="18"/>
          <w:szCs w:val="18"/>
          <w:color w:val="auto"/>
        </w:rPr>
        <w:t>. Any Applicable Account Party, with (in the case of any such Applicable Account Party other than the Company) the written consent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3" w:right="259" w:bottom="1440" w:gutter="0" w:footer="0" w:header="0"/>
        </w:sectPr>
      </w:pPr>
    </w:p>
    <w:bookmarkStart w:id="313" w:name="page314"/>
    <w:bookmarkEnd w:id="31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may from time to time request that any Issuing Lender issue (or cause its Applicable Lending Office to issue) a Letter of Credit by delivering to such Issuing Lender at its address for notices specified in accordance with the provisions of Section 10.2 an Application therefor, completed to the reasonable satisfaction of such Issuing Lender, and such other certificates, documents and other papers and information as the Issuing Lender may reasonably request consistent with its customary business practices for comparable transactions in the applicable jurisdiction (it being expressly understood and agreed by each Issuing Lender that the terms and provisions of each such Application shall be consistent with the terms and provisions of this Agreement). Upon receipt of any Application, the relevant Issuing Lender will process such Application and the certificates, documents and other papers and information delivered to it in connection therewith in accordance with its customary procedures and shall promptly issue (or cause its Applicable Lending Office to issue) the Letter of Credit requested thereby (but in no event shall any Issuing Lender be required to issue (or cause its Applicable Lending Office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relevant Issuing Lender and the Applicable Account Party. The relevant Issuing Lender shall furnish a copy of such Letter of Credit to the Applicable Account Party promptly following the issuance thereof. The relevant Issuing Lender shall promptly furnish to the Administrative Agent notice of the issuance of each Letter of Credit (including the amount and currency thereof). No Issuing Lender shall issue (or cause its Applicable Lending Office to issue) any Letter of Credit during any period commencing on the first Business Day after it receives written notice from the Administrative Agent that one or more of the conditions precedent contained in Section 5.2 shall not on such date be satisfied or waived, and ending when the Administrative Agent provides written notice to the effect that such conditions are satisfied or waived. The Administrative Agent shall promptly notify the Issuing Lenders upon becoming aware that such conditions in Section 5.2 are thereafter satisfied or waived. The Issuing Lenders shall not otherwise be required to determine that, or take notice whether, the conditions precedent set forth in Section 5.2 have been satisfied or waived in connection with the issuance of any Letter of Credit.</w:t>
      </w:r>
    </w:p>
    <w:p>
      <w:pPr>
        <w:spacing w:after="0" w:line="17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Fees and Other Charges</w:t>
      </w:r>
      <w:r>
        <w:rPr>
          <w:rFonts w:ascii="Arial" w:cs="Arial" w:eastAsia="Arial" w:hAnsi="Arial"/>
          <w:sz w:val="16"/>
          <w:szCs w:val="16"/>
          <w:color w:val="auto"/>
        </w:rPr>
        <w:t>. The Company shall, or shall cause the Applicable Account Party to, pay a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on the average daily undrawn and unexpired amount of all outstanding Letters of Credit during each Fee Payment Period at a per annum rate equal to the Applicable Margin then in effect with respect to Eurocurrency Loans, shared ratably among the Domestic Lenders based on the Domestic Percentages of the Domestic Lenders during the relevant Fee Payment Period and payable in arrears for each Fee Payment Period on the related Fee Payment Date. In addition, the Company shall pay a fronting fee in an amount equal to 0.25% per annum on the average daily undrawn and unexpired amount of each Letter of Credit issued by such Issuing Lender, payable in arrears to the relevant Issuing Lender for each Fee Payment Period on the related Fee Payment Date. For the purposes of the foregoing calculations, the average daily undrawn and unexpired amount of any Letter of Credit denominated in an Optional Currency for any Fee Payment Period shall be calculated by multiplying (i) the average daily undrawn and unexpired amount of such Letter of Credit (expressed in the Optional Currency in which such Letter of Credit giving rise to such fee is denominated) by (ii) the Exchange Rate for each such Optional Currency in effect on the first Business Day of the related Fee Payment Period or by such other method that the Administrative Agent and the Company may agree. In addition to the foregoing fees, the Company shall pay or reimburse each Issuing Lender, for its own account such customary out-of-pocket costs and expenses as are incurred or charged by such Issuing Lender in issuing, negotiating, effecting payment under, amending or otherwise administering any Letter of Credit, to the extent that such costs and expenses have been mutually agreed upon between the Company and such Issuing Lender.</w:t>
      </w:r>
    </w:p>
    <w:p>
      <w:pPr>
        <w:spacing w:after="0" w:line="17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L/C Participations</w:t>
      </w:r>
      <w:r>
        <w:rPr>
          <w:rFonts w:ascii="Arial" w:cs="Arial" w:eastAsia="Arial" w:hAnsi="Arial"/>
          <w:sz w:val="18"/>
          <w:szCs w:val="18"/>
          <w:color w:val="auto"/>
        </w:rPr>
        <w:t>. (a) Each Issuing Lender irrevocably agrees to grant and hereby grants to each L/C Participant, and, to induce such Issuing Lender to issue Letters of Credit,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314" w:name="page315"/>
    <w:bookmarkEnd w:id="314"/>
    <w:p>
      <w:pPr>
        <w:ind w:right="1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L/C Participant irrevocably agrees to accept and purchase and hereby accepts and purchases from such Issuing Lender, on the terms and conditions set forth below, for such L/C Participant’s own account and risk an undivided interest equal to such L/C Participant’s Domestic Percentage in such Issuing Lender’s obligations and rights under and in respect of each Letter of Credit issued, and the amount of each draft or demand paid, by such Issuing Lender thereunder.</w:t>
      </w:r>
    </w:p>
    <w:p>
      <w:pPr>
        <w:spacing w:after="0" w:line="281" w:lineRule="auto"/>
        <w:rPr>
          <w:sz w:val="20"/>
          <w:szCs w:val="20"/>
          <w:color w:val="auto"/>
        </w:rPr>
      </w:pPr>
      <w:r>
        <w:rPr>
          <w:rFonts w:ascii="Arial" w:cs="Arial" w:eastAsia="Arial" w:hAnsi="Arial"/>
          <w:sz w:val="16"/>
          <w:szCs w:val="16"/>
          <w:color w:val="auto"/>
        </w:rPr>
        <w:t xml:space="preserve">Each L/C Participant agrees with each Issuing Lender that, if a draft or demand is paid under any Letter of Credit issued by such Issuing Lender for which the Issuing Lender is not reimbursed in full by the Company or other applicant in accordance with the terms of this Agreement, such L/C Participant shall pay to such Issuing Lender upon demand at such Issuing Lender’s address for notices specified herein an amount equal to such L/C Participant’s Domestic Percentage of the Dollar Equivalent of the amount of such draft or demand, or any part thereof, that is not so reimbursed (calculated, in the case of any Letter of Credit denominated in an Optional Currency, as of the Reimbursement Date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an L/C Participant be obligated to fund an amount that would cause such L/C Participant’s Total Domestic Extensions of Credit to exceed such L/C Participant’s Domestic Commitment. Subject to the foregoing, each L/C Participant’s obligation to pay such amount shall be absolute and unconditional and shall not be affected by any circumstance, including (i) any setoff, counterclaim, recoupment, defense or other right that such L/C Participant may have against any Issuing Lender, the Company, the Applicable Account Party or any other Person for any reason whatsoever, (ii) the occurrence or continuance of a Default or an Event of Default or the failure to satisfy any of the other conditions specified in Section 5, (iii) any adverse change in the condition (financial or otherwise) of any Loan Party,</w:t>
      </w:r>
    </w:p>
    <w:p>
      <w:pPr>
        <w:spacing w:after="0" w:line="7" w:lineRule="exact"/>
        <w:rPr>
          <w:sz w:val="20"/>
          <w:szCs w:val="20"/>
          <w:color w:val="auto"/>
        </w:rPr>
      </w:pPr>
    </w:p>
    <w:p>
      <w:pPr>
        <w:ind w:right="760" w:firstLine="8"/>
        <w:spacing w:after="0" w:line="261" w:lineRule="auto"/>
        <w:tabs>
          <w:tab w:leader="none" w:pos="30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any breach of this Agreement or any other Loan Document by the Company, any other Loan Party or any other L/C Participant or (v) any other circumstance, happening or event whatsoever, whether or not similar to any of the foregoing.</w:t>
      </w:r>
    </w:p>
    <w:p>
      <w:pPr>
        <w:spacing w:after="0" w:line="183" w:lineRule="exact"/>
        <w:rPr>
          <w:rFonts w:ascii="Arial" w:cs="Arial" w:eastAsia="Arial" w:hAnsi="Arial"/>
          <w:sz w:val="18"/>
          <w:szCs w:val="18"/>
          <w:color w:val="auto"/>
        </w:rPr>
      </w:pPr>
    </w:p>
    <w:p>
      <w:pPr>
        <w:ind w:right="180" w:firstLine="921"/>
        <w:spacing w:after="0" w:line="270" w:lineRule="auto"/>
        <w:tabs>
          <w:tab w:leader="none" w:pos="1168" w:val="left"/>
        </w:tabs>
        <w:numPr>
          <w:ilvl w:val="1"/>
          <w:numId w:val="340"/>
        </w:numPr>
        <w:rPr>
          <w:rFonts w:ascii="Arial" w:cs="Arial" w:eastAsia="Arial" w:hAnsi="Arial"/>
          <w:sz w:val="17"/>
          <w:szCs w:val="17"/>
          <w:color w:val="auto"/>
        </w:rPr>
      </w:pPr>
      <w:r>
        <w:rPr>
          <w:rFonts w:ascii="Arial" w:cs="Arial" w:eastAsia="Arial" w:hAnsi="Arial"/>
          <w:sz w:val="17"/>
          <w:szCs w:val="17"/>
          <w:color w:val="auto"/>
        </w:rPr>
        <w:t>If any amount required to be paid by any L/C Participant to any Issuing Lender pursuant to Section 3.4(a) in respect of any unreimbursed portion of any payment made by the Issuing Lender under any Letter of Credit is paid to any Issuing Lender within three Business Days after the date such payment is due, such L/C Participant shall pay to any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A certificate of the relevant Issuing Lender submitted to any L/C Participant with respect to any amounts owing under this Section 3.4 shall be conclusive in the absence of manifest error.</w:t>
      </w:r>
    </w:p>
    <w:p>
      <w:pPr>
        <w:spacing w:after="0" w:line="177" w:lineRule="exact"/>
        <w:rPr>
          <w:rFonts w:ascii="Arial" w:cs="Arial" w:eastAsia="Arial" w:hAnsi="Arial"/>
          <w:sz w:val="17"/>
          <w:szCs w:val="17"/>
          <w:color w:val="auto"/>
        </w:rPr>
      </w:pPr>
    </w:p>
    <w:p>
      <w:pPr>
        <w:ind w:right="20" w:firstLine="921"/>
        <w:spacing w:after="0" w:line="273" w:lineRule="auto"/>
        <w:tabs>
          <w:tab w:leader="none" w:pos="1158" w:val="left"/>
        </w:tabs>
        <w:numPr>
          <w:ilvl w:val="1"/>
          <w:numId w:val="340"/>
        </w:numPr>
        <w:rPr>
          <w:rFonts w:ascii="Arial" w:cs="Arial" w:eastAsia="Arial" w:hAnsi="Arial"/>
          <w:sz w:val="17"/>
          <w:szCs w:val="17"/>
          <w:color w:val="auto"/>
        </w:rPr>
      </w:pPr>
      <w:r>
        <w:rPr>
          <w:rFonts w:ascii="Arial" w:cs="Arial" w:eastAsia="Arial" w:hAnsi="Arial"/>
          <w:sz w:val="17"/>
          <w:szCs w:val="17"/>
          <w:color w:val="auto"/>
        </w:rPr>
        <w:t xml:space="preserve">Whenever, at any time after any Issuing Lender has made payment under any Letter of Credit and has received from any L/C Participant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of such payment in accordance with Section 3.4(a), such Issuing Lender receives any payment related to such Letter of Credit (whether directly from the Company, the Applicable Account Party or otherwise, including proceeds of collateral applied thereto by such Issuing Lender), or any payment of interest on account thereof, such Issuing Lender will distribute to such L/C Participant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78" w:lineRule="exact"/>
        <w:rPr>
          <w:sz w:val="20"/>
          <w:szCs w:val="20"/>
          <w:color w:val="auto"/>
        </w:rPr>
      </w:pPr>
    </w:p>
    <w:p>
      <w:pPr>
        <w:ind w:right="400" w:firstLine="913"/>
        <w:spacing w:after="0" w:line="34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Reimbursement Obligation of the Company and the Applicable Account Party</w:t>
      </w:r>
      <w:r>
        <w:rPr>
          <w:rFonts w:ascii="Arial" w:cs="Arial" w:eastAsia="Arial" w:hAnsi="Arial"/>
          <w:sz w:val="16"/>
          <w:szCs w:val="16"/>
          <w:color w:val="auto"/>
        </w:rPr>
        <w:t>. If any draft or demand is paid under any Letter of Credit issued for the account of an Applicable Account Party, the Company or such Applicable Account Party, on a joint and several basis, shall reimburse the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73" w:right="279" w:bottom="1440" w:gutter="0" w:footer="0" w:header="0"/>
        </w:sectPr>
      </w:pPr>
    </w:p>
    <w:bookmarkStart w:id="315" w:name="page316"/>
    <w:bookmarkEnd w:id="315"/>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Issuing Lender for the amount of the draft or demand so paid, not later than 3:00 P.M., New York City time, on the second Business Day immediately following the day that the Company receives notice of payment of such draft or demand (or if notice of such payment is received after 10:00 A.M., New York City time, on a Business Day, on the third Business Day immediately following such date of receipt) (such date, the “</w:t>
      </w:r>
      <w:r>
        <w:rPr>
          <w:rFonts w:ascii="Arial" w:cs="Arial" w:eastAsia="Arial" w:hAnsi="Arial"/>
          <w:sz w:val="16"/>
          <w:szCs w:val="16"/>
          <w:u w:val="single" w:color="auto"/>
          <w:color w:val="auto"/>
        </w:rPr>
        <w:t>Reimbursement Date</w:t>
      </w:r>
      <w:r>
        <w:rPr>
          <w:rFonts w:ascii="Arial" w:cs="Arial" w:eastAsia="Arial" w:hAnsi="Arial"/>
          <w:sz w:val="16"/>
          <w:szCs w:val="16"/>
          <w:color w:val="auto"/>
        </w:rPr>
        <w:t xml:space="preserve">”). Each such payment shall be made to the relevant Issuing Lender in the currency in which such Letter of Credit is denominated and in immediately available funds;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any Letter of Credit denominated in an Optional Currency, if such payment, or obligation to make such payment, in an Optional Currency would subject the Administrative Agent, the relevant Issuing Lender or any Domestic Lender to any stamp duty, ad valorem charge or any similar Tax that would not be payable if such payment were paid or required to be paid in Dollars, the Company or such Applicable Account Party shall, at its option,</w:t>
      </w:r>
    </w:p>
    <w:p>
      <w:pPr>
        <w:spacing w:after="0" w:line="3" w:lineRule="exact"/>
        <w:rPr>
          <w:sz w:val="20"/>
          <w:szCs w:val="20"/>
          <w:color w:val="auto"/>
        </w:rPr>
      </w:pPr>
    </w:p>
    <w:p>
      <w:pPr>
        <w:ind w:firstLine="8"/>
        <w:spacing w:after="0" w:line="284" w:lineRule="auto"/>
        <w:tabs>
          <w:tab w:leader="none" w:pos="29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pay the amount of such Tax to the Administrative Agent, the relevant Issuing Lender or the relevant Domestic Lender or (B) pay the Dollar Equivalent of such draft or demand (calculated as of the Reimbursement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such payment is not made on the applicable Reimbursement Date the obligation to pay such draft or demand shall be permanently converted into an obligation to pay the Dollar Equivalent amount of such draft or demand (calculated as of such Reimbursement Date). Interest shall be payable on any such amounts from the Reimbursement Date until payment in full at the rate set forth in Section 2.14(c). Notwithstanding any inconsistent provision of this Agreement, unless (x) the Company or such Applicable Account Party gives notice to the Administrative Agent that it has paid its Reimbursement Obligation by 2:00 P.M., New York City time, on the Reimbursement Date or notifies the Administrative Agent that it does not wish to have such Reimbursement Obligation paid with the proceeds of an ABR Loan by such time, or (y) the Administrative Agent has actual knowledge that the conditions precedent to an ABR Loan to be made on such Reimbursement Date which are contained in Section 5.2 have not been satisfied or waived, the Company or such Applicable Account Party shall be deemed to have requested that the Domestic Lenders make an ABR Loan on such Reimbursement Date in an aggregate principal amount equal to the amount of the related Reimbursement Obligation, and such ABR Loan shall be made on such Reimbursement Date. If an ABR Loan is deemed to have been requested as aforesaid, such Reimbursement Obligation shall be paid with the proceeds of such Loan and no Default or Event of Default shall exist or be continuing in respect thereof. Notwithstanding the last sentence of Section 2.2, the proceeds of such ABR Loan shall be made available to the relevant Issuing Lender (and not to the Company or such Applicable Account Party) to the account specified by such Issuing Lender, in like funds as received by the Administrative Agent, and the Issuing Lender may credit its Domestic Percentage of such ABR Loan to the relevant Reimbursement Obligation in lieu of funding such amount to the Administrative Agent.</w:t>
      </w:r>
    </w:p>
    <w:p>
      <w:pPr>
        <w:spacing w:after="0" w:line="17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obligations of the Company and each Applicable Account Party under this Section 3 shall be absolute and unconditional under any and all circumstances and irrespective of any setoff, counterclaim or defense to payment that the Company or any Applicable Account Party may have or have had against any Issuing Lender, any beneficiary of a Letter of Credit or any other Person. The Company and each Applicable Account Party also agrees with each Issuing Lender that such Issuing Lender shall not, absent gross negligence or willful misconduct, be responsible for, and the Reimbursement Obligations under Section 3.5 of the Company and such Applicable Account Party shall not be affected by, among other things, the validity or genuineness of documents or of any endorsements thereon, even though such documents shall in fact prove to be invalid, fraudulent or forged, or any dispute between or among the Company or any Applicable Account Party, and any beneficiary of any Letter of Credit or any other party to which such Letter of Credit may be transferred or any claims whatsoever of the Company or any Applicable Account Party, as the case may be,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resulting from the gross negligence or willful misconduct of such Issuing Lender. The Company and each Applicable Account Party agree that any action taken or omitted by any Issuing Lender under or in connection with any Letter of Credit 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3" w:right="239" w:bottom="1440" w:gutter="0" w:footer="0" w:header="0"/>
        </w:sectPr>
      </w:pPr>
    </w:p>
    <w:bookmarkStart w:id="316" w:name="page317"/>
    <w:bookmarkEnd w:id="316"/>
    <w:p>
      <w:pPr>
        <w:ind w:right="5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related drafts or documents, if done in the absence of gross negligence or willful misconduct, shall be binding on the Company and such Applicable Account Party, as the case may be, and shall not result in any liability of such Issuing Lender to the Company or such Applicable Account Party.</w:t>
      </w:r>
    </w:p>
    <w:p>
      <w:pPr>
        <w:spacing w:after="0" w:line="124"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Letter of Credit Payments</w:t>
      </w:r>
      <w:r>
        <w:rPr>
          <w:rFonts w:ascii="Arial" w:cs="Arial" w:eastAsia="Arial" w:hAnsi="Arial"/>
          <w:sz w:val="16"/>
          <w:szCs w:val="16"/>
          <w:color w:val="auto"/>
        </w:rPr>
        <w:t xml:space="preserve">. If any draft or demand shall be presented for payment under any Letter of Credit, the relevant Issuing Lender shall, within the period stipulated by the terms and conditions of the applicable Letter of Credit, examine such draft or demand presented under such Letter of Credit. After such examination, such Issuing Lender will promptly notify the Applicable Account Party and the Company of the date and amount thereof and whether such Issuing Lender has made or will make the payment under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that any failure to give or delay in giving such notice shall not relieve the Applicable Account Party or the Company of its obligation to reimburse such Issuing Lender with respect to any such payment under such Letter of Credit. The Issuing Lender will act in good faith in exercising its discretion under Section 5-109 of the UCC in honoring or refusing to honor a presentation on a Letter of Credit in cases where material fraud is asserted or alleged. The responsibility of the relevant Issuing Lenders to the Company or any other such Applicable Account Party in connection with any draft or demand presented for payment under any Letter of Credit shall, in addition to any payment obligation expressly provided for in such Letter of Credit, be limited to determining that the documents (including each draft or demand) delivered under such Letter of Credit in connection with such presentment are substantially in conformity with such Letter of Credit.</w:t>
      </w:r>
    </w:p>
    <w:p>
      <w:pPr>
        <w:spacing w:after="0" w:line="169" w:lineRule="exact"/>
        <w:rPr>
          <w:sz w:val="20"/>
          <w:szCs w:val="20"/>
          <w:color w:val="auto"/>
        </w:rPr>
      </w:pPr>
    </w:p>
    <w:p>
      <w:pPr>
        <w:ind w:right="360" w:firstLine="913"/>
        <w:spacing w:after="0" w:line="308"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Applications</w:t>
      </w:r>
      <w:r>
        <w:rPr>
          <w:rFonts w:ascii="Arial" w:cs="Arial" w:eastAsia="Arial" w:hAnsi="Arial"/>
          <w:sz w:val="17"/>
          <w:szCs w:val="17"/>
          <w:color w:val="auto"/>
        </w:rPr>
        <w:t>. To the extent that any provision of any Application related to any Letter of Credit is inconsistent with the provisions of any other Loan Document, including this Section 3, the provisions of such other Loan Document or this Section 3, as the case may be, shall apply.</w:t>
      </w:r>
    </w:p>
    <w:p>
      <w:pPr>
        <w:spacing w:after="0" w:line="14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Collateralization</w:t>
      </w:r>
      <w:r>
        <w:rPr>
          <w:rFonts w:ascii="Arial" w:cs="Arial" w:eastAsia="Arial" w:hAnsi="Arial"/>
          <w:sz w:val="16"/>
          <w:szCs w:val="16"/>
          <w:color w:val="auto"/>
        </w:rPr>
        <w:t>. The Company or any Applicable Account Party may at its option at any time and from time to time Collateralize any Letter of Credit issued for the account of such Applicable Account Party at 100% of the undrawn and unexpired amount of such Letter of Credit. In addition, on or prior to the date that is five Business Days prior to the Termination Date then in effect for any Issuing Lender, the Company or such Applicable Account Party shall Collateralize (or, with the consent of the relevant Issuing Lender, in its sole discretion, enter into alternative arrangements on terms satisfactory to such Issuing Lender in respect of) any Letter of Credit issued for the account of such Applicable Account Party with an expiration date occurring after such Termination Date as provided in Section 3.1. Any Letter of Credit that is Collateralized or subject to such alternative arrangements as provided in this Section 3.9 shall cease to be a “Letter of Credit” outstanding hereunder effective on the date of such Collateralization or guarantee and, accordingly, the rights and obligations of Lenders in respect thereof (including pursuant to Sections 3.3 and 3.4) shall terminate and the Dollar Equivalent of the Outstanding Amount of such Letter of Credit shall no longer be included as an “L/C Obligation” or an “Extension of Credit”.</w:t>
      </w:r>
    </w:p>
    <w:p>
      <w:pPr>
        <w:spacing w:after="0" w:line="167"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New Issuing Lenders; L/C Commitments</w:t>
      </w:r>
      <w:r>
        <w:rPr>
          <w:rFonts w:ascii="Arial" w:cs="Arial" w:eastAsia="Arial" w:hAnsi="Arial"/>
          <w:sz w:val="16"/>
          <w:szCs w:val="16"/>
          <w:color w:val="auto"/>
        </w:rPr>
        <w:t>. (a)The Company may from time to time (i) decrease the L/C Commitment of any Issuing Lender or terminate any Issuing Lender as an Issuing Lender hereunder (on a prospective basis only) for any reason upon written notice to the Administrative Agent and such Issuing Lender, (ii) add additional Issuing Lenders hereunder and (iii) increase (with the consent of the relevant Issuing Lender) the L/C Commitment of any existing Issuing Lender. If the Company shall decide to add a new Issuing Lender under this Agreement, then the Company may appoint from among the Domestic Lenders (or an Applicable Lending Office thereof) a new Issuing Lender, with the consent of the Administrative Agent (such consent not to be unreasonably withheld or delayed) and such Issuing Lender, whereupon such new issuer of Letters of Credit shall be granted the rights, powers and duties of an Issuing Lender hereunder, and the term “Issuing Lender” shall mean such new issuer of Letters of Credit effective upon such appointment. The acceptance of any appointment as an Issuing Lender hereunder in accordance with this Agreement or an increase of the L/C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317" w:name="page318"/>
    <w:bookmarkEnd w:id="317"/>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Commitment of any existing Issuing Lender, shall be evidenced by an agreement entered into by such new issuer of Letters of Credit or existing Issuing Lender, as applicable, in a form reasonably satisfactory to such Issuing Lender, the Company and the Administrative Agent and, from and after the effective date of such agreement, such new issuer of Letters of Credit shall become an “Issuing Lender” hereunder or such increased L/C Commitment shall become effective. Any decrease of an L/C Commitment or termination of an Issuing Lender shall become effective upon the applicable Issuing Lender’s receipt of notice thereof. After the termination of an Issuing Lender hereunder, the terminated Issuing Lender shall remain a party hereto and shall continue to have all the rights and obligations of an Issuing Lender under this Agreement and the other Loan Documents with respect to Letters of Credit issued by it prior to the replacement, termination or Collateralization thereof pursuant to Section 3.9, but shall not issue additional Letters of Credit. The Administrative Agent shall promptly notify the Domestic Lenders of the effectiveness of any replacement or addition of an Issuing Lender, or any changed L/C Commitment pursuant to this Section 3.10.</w:t>
      </w:r>
    </w:p>
    <w:p>
      <w:pPr>
        <w:spacing w:after="0" w:line="182" w:lineRule="exact"/>
        <w:rPr>
          <w:sz w:val="20"/>
          <w:szCs w:val="20"/>
          <w:color w:val="auto"/>
        </w:rPr>
      </w:pPr>
    </w:p>
    <w:p>
      <w:pPr>
        <w:ind w:right="100" w:firstLine="921"/>
        <w:spacing w:after="0" w:line="277" w:lineRule="auto"/>
        <w:tabs>
          <w:tab w:leader="none" w:pos="116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Issuing Lender may, in its discretion, arrange for one or more Letters of Credit to be issued by an Applicable Lending Office thereof, in which case, such Applicable Lending Office shall be an “Issuing Lender” hereunder.</w:t>
      </w:r>
    </w:p>
    <w:p>
      <w:pPr>
        <w:spacing w:after="0" w:line="17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Conflicts</w:t>
      </w:r>
      <w:r>
        <w:rPr>
          <w:rFonts w:ascii="Arial" w:cs="Arial" w:eastAsia="Arial" w:hAnsi="Arial"/>
          <w:sz w:val="17"/>
          <w:szCs w:val="17"/>
          <w:color w:val="auto"/>
        </w:rPr>
        <w:t>. Unless otherwise agreed by the Issuing Lender, the Company and the Applicable Account Party, (i) each Letter of Credit shall be governed by, and shall be construed in accordance with, the laws of the State of New York or such other jurisdiction requested by the beneficiary and acceptable to the Issuing Lender and the Company, provided, that in the case of a Letter of Credit that is issued in a jurisdiction outside of the United States, such Letter of Credit shall be governed by, and shall be construed in accordance with, the laws of a jurisdiction requested by the beneficiary and acceptable to the Issuing Lender and the Company and (ii) to the extent not prohibited by such laws and not materially inconsistent with this agreement, the ISP shall apply to each standby Letter of Credit, the UCP shall apply to each commercial Letter of Credit, and the URDG shall apply to each bank guarantee. The Company or any Applicable Account Party may request that a Letter of Credit contain modifications to, or that modify or exclude the application of specific provisions of, the ISP, the UCP or the URDG.</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4. REPRESENTATIONS AND WARRANTIES</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To induce the Lenders to enter into this Agreement and to make the Loans and issue or participate in the Letters of Credit the Company hereby represents and warrants to each Lender that:</w:t>
      </w:r>
    </w:p>
    <w:p>
      <w:pPr>
        <w:spacing w:after="0" w:line="17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The consolidated financial statements of the Company included in its Annual Report on Form 10-K, for the twelve-month period ended December 31, 2017 (the “</w:t>
      </w:r>
      <w:r>
        <w:rPr>
          <w:rFonts w:ascii="Arial" w:cs="Arial" w:eastAsia="Arial" w:hAnsi="Arial"/>
          <w:sz w:val="18"/>
          <w:szCs w:val="18"/>
          <w:u w:val="single" w:color="auto"/>
          <w:color w:val="auto"/>
        </w:rPr>
        <w:t>2017 10-K</w:t>
      </w:r>
      <w:r>
        <w:rPr>
          <w:rFonts w:ascii="Arial" w:cs="Arial" w:eastAsia="Arial" w:hAnsi="Arial"/>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2017;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89"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Between the date of the financial statements included in the 2017 10-K and the Closing Date, there has been no development or event which has had a Material Adverse Effect.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73" w:right="279" w:bottom="1440" w:gutter="0" w:footer="0" w:header="0"/>
        </w:sectPr>
      </w:pPr>
    </w:p>
    <w:bookmarkStart w:id="318" w:name="page319"/>
    <w:bookmarkEnd w:id="318"/>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Arial" w:cs="Arial" w:eastAsia="Arial" w:hAnsi="Arial"/>
          <w:sz w:val="17"/>
          <w:szCs w:val="17"/>
          <w:u w:val="single" w:color="auto"/>
          <w:color w:val="auto"/>
        </w:rPr>
        <w:t>Existence</w:t>
      </w:r>
      <w:r>
        <w:rPr>
          <w:rFonts w:ascii="Arial" w:cs="Arial" w:eastAsia="Arial" w:hAnsi="Arial"/>
          <w:sz w:val="17"/>
          <w:szCs w:val="17"/>
          <w:color w:val="auto"/>
        </w:rPr>
        <w:t>. Each Loan Party (a) is duly organized, validly existing and in good standing under the laws of its jurisdiction of organization,</w:t>
      </w:r>
    </w:p>
    <w:p>
      <w:pPr>
        <w:spacing w:after="0" w:line="35" w:lineRule="exact"/>
        <w:rPr>
          <w:sz w:val="20"/>
          <w:szCs w:val="20"/>
          <w:color w:val="auto"/>
        </w:rPr>
      </w:pPr>
    </w:p>
    <w:p>
      <w:pPr>
        <w:ind w:right="100" w:firstLine="8"/>
        <w:spacing w:after="0" w:line="255" w:lineRule="auto"/>
        <w:tabs>
          <w:tab w:leader="none" w:pos="25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90"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 (d) 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65"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Agreement and the other Loan Documents by each Loan Party that is party to such documents, the issuance of Letters of Credit,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54"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Litigation</w:t>
      </w:r>
      <w:r>
        <w:rPr>
          <w:rFonts w:ascii="Arial" w:cs="Arial" w:eastAsia="Arial" w:hAnsi="Arial"/>
          <w:sz w:val="16"/>
          <w:szCs w:val="16"/>
          <w:color w:val="auto"/>
        </w:rPr>
        <w:t>. Except as set forth on Schedule 4.6 and except as set forth in the 2017 10-K or on any Current Report on Form 8-K of the Company filed with the SEC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As of the Closing Date no Default or Event of Default has occurred and is continuing.</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Ownership of Property</w:t>
      </w:r>
      <w:r>
        <w:rPr>
          <w:rFonts w:ascii="Arial" w:cs="Arial" w:eastAsia="Arial" w:hAnsi="Arial"/>
          <w:sz w:val="18"/>
          <w:szCs w:val="18"/>
          <w:color w:val="auto"/>
        </w:rPr>
        <w:t xml:space="preserve">. As of the Closing Date, the Company and each Principal Domestic Subsidiary, as applicable, has good title to, or a valid leasehold interest in, all of its other property then owned or leased by it;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92" w:lineRule="exact"/>
        <w:rPr>
          <w:sz w:val="20"/>
          <w:szCs w:val="20"/>
          <w:color w:val="auto"/>
        </w:rPr>
      </w:pPr>
    </w:p>
    <w:p>
      <w:pPr>
        <w:jc w:val="both"/>
        <w:ind w:right="220" w:firstLine="913"/>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319" w:name="page320"/>
    <w:bookmarkEnd w:id="319"/>
    <w:p>
      <w:pPr>
        <w:jc w:val="both"/>
        <w:ind w:right="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4.10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or Letters of Credit, and no other extensions of credit hereunder, will be used for any purpose that violates the provisions of Regulation T, U or X of the Board.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ERISA</w:t>
      </w:r>
      <w:r>
        <w:rPr>
          <w:rFonts w:ascii="Arial" w:cs="Arial" w:eastAsia="Arial" w:hAnsi="Arial"/>
          <w:sz w:val="18"/>
          <w:szCs w:val="18"/>
          <w:color w:val="auto"/>
        </w:rPr>
        <w:t>. No ERISA Default has occurred and is continuing.</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Ownership of the Subsidiary Borrowers</w:t>
      </w:r>
      <w:r>
        <w:rPr>
          <w:rFonts w:ascii="Arial" w:cs="Arial" w:eastAsia="Arial" w:hAnsi="Arial"/>
          <w:sz w:val="18"/>
          <w:szCs w:val="18"/>
          <w:color w:val="auto"/>
        </w:rPr>
        <w:t>. As of the Closing Date, each Subsidiary Borrower is a direct or indirect wholly-owned Subsidiary of the Company.</w:t>
      </w:r>
    </w:p>
    <w:p>
      <w:pPr>
        <w:spacing w:after="0" w:line="170"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and Letters of Credit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81"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or the U.S. Department of State or the European Union (collectively, the “</w:t>
      </w:r>
      <w:r>
        <w:rPr>
          <w:rFonts w:ascii="Arial" w:cs="Arial" w:eastAsia="Arial" w:hAnsi="Arial"/>
          <w:sz w:val="16"/>
          <w:szCs w:val="16"/>
          <w:u w:val="single" w:color="auto"/>
          <w:color w:val="auto"/>
        </w:rPr>
        <w:t>Sanctions Lists</w:t>
      </w:r>
      <w:r>
        <w:rPr>
          <w:rFonts w:ascii="Arial" w:cs="Arial" w:eastAsia="Arial" w:hAnsi="Arial"/>
          <w:sz w:val="16"/>
          <w:szCs w:val="16"/>
          <w:color w:val="auto"/>
        </w:rPr>
        <w:t>”). Neither the Company nor any of its Subsidiaries has a physical place of business, or is organized or resident, in (a) Cuba, Iran, North Korea, Syria or Crimea or (b) in any other Sanctioned Country in violation of U.S. law. The Company and its Subsidiary Borrowers will not knowingly use the proceeds of the Loans or Letters of Credit (i) in violation of any Anti-Corruption Laws or (ii) to fund any activities or business (x) of or with any individual or entity that is included on any Sanctions List or</w:t>
      </w:r>
    </w:p>
    <w:p>
      <w:pPr>
        <w:spacing w:after="0" w:line="1" w:lineRule="exact"/>
        <w:rPr>
          <w:sz w:val="20"/>
          <w:szCs w:val="20"/>
          <w:color w:val="auto"/>
        </w:rPr>
      </w:pPr>
    </w:p>
    <w:p>
      <w:pPr>
        <w:ind w:firstLine="8"/>
        <w:spacing w:after="0" w:line="252" w:lineRule="auto"/>
        <w:tabs>
          <w:tab w:leader="none" w:pos="25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in, or with the government of, any country, region or territory that is the subject or target of comprehensive territorial sanctions administered by OFAC, the U.S. Department of Treasury or the U.S. Department of State (a “</w:t>
      </w:r>
      <w:r>
        <w:rPr>
          <w:rFonts w:ascii="Arial" w:cs="Arial" w:eastAsia="Arial" w:hAnsi="Arial"/>
          <w:sz w:val="18"/>
          <w:szCs w:val="18"/>
          <w:u w:val="single" w:color="auto"/>
          <w:color w:val="auto"/>
        </w:rPr>
        <w:t>Sanctioned Country</w:t>
      </w:r>
      <w:r>
        <w:rPr>
          <w:rFonts w:ascii="Arial" w:cs="Arial" w:eastAsia="Arial" w:hAnsi="Arial"/>
          <w:sz w:val="18"/>
          <w:szCs w:val="18"/>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5. CONDITIONS PRECEDENT</w:t>
      </w:r>
    </w:p>
    <w:p>
      <w:pPr>
        <w:spacing w:after="0" w:line="225"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Closing Date</w:t>
      </w:r>
      <w:r>
        <w:rPr>
          <w:rFonts w:ascii="Arial" w:cs="Arial" w:eastAsia="Arial" w:hAnsi="Arial"/>
          <w:sz w:val="18"/>
          <w:szCs w:val="18"/>
          <w:color w:val="auto"/>
        </w:rPr>
        <w:t xml:space="preserve">. This Agreement and the obligation of each Lender to make extensions of credit requested to be made by it hereunder shall be effective upon (1) the execution and delivery of this Agreement by each of the Administrative Agent, the Brazilian Administrative Agent, the Syndication Agent, the Co-Syndication Agent, the Company, each other Borrower, the Existing Required Lenders, each Person listed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and each other party hereto and (2) written confirmation by the Administrative Agent to the Company and the Lenders confirming that the following conditions have been satisfied (or waived in accordance with the provisions hereof):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4" w:right="279" w:bottom="1440" w:gutter="0" w:footer="0" w:header="0"/>
        </w:sectPr>
      </w:pPr>
    </w:p>
    <w:bookmarkStart w:id="320" w:name="page321"/>
    <w:bookmarkEnd w:id="320"/>
    <w:p>
      <w:pPr>
        <w:ind w:right="40" w:firstLine="921"/>
        <w:spacing w:after="0" w:line="277" w:lineRule="auto"/>
        <w:tabs>
          <w:tab w:leader="none" w:pos="1157" w:val="left"/>
        </w:tabs>
        <w:numPr>
          <w:ilvl w:val="1"/>
          <w:numId w:val="3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Loan Documents</w:t>
      </w:r>
      <w:r>
        <w:rPr>
          <w:rFonts w:ascii="Arial" w:cs="Arial" w:eastAsia="Arial" w:hAnsi="Arial"/>
          <w:sz w:val="18"/>
          <w:szCs w:val="18"/>
          <w:color w:val="auto"/>
        </w:rPr>
        <w:t>. (x) The Company shall have executed and delivered the Guarantee and (y) each Brazilian Bank Certificate shall have been executed and delivered by GMB and/or the relevant Brazilian Subsidiary, as applicable.</w:t>
      </w:r>
    </w:p>
    <w:p>
      <w:pPr>
        <w:spacing w:after="0" w:line="170" w:lineRule="exact"/>
        <w:rPr>
          <w:rFonts w:ascii="Arial" w:cs="Arial" w:eastAsia="Arial" w:hAnsi="Arial"/>
          <w:sz w:val="18"/>
          <w:szCs w:val="18"/>
          <w:color w:val="auto"/>
        </w:rPr>
      </w:pPr>
    </w:p>
    <w:p>
      <w:pPr>
        <w:ind w:right="200" w:firstLine="921"/>
        <w:spacing w:after="0" w:line="342" w:lineRule="auto"/>
        <w:tabs>
          <w:tab w:leader="none" w:pos="1168" w:val="left"/>
        </w:tabs>
        <w:numPr>
          <w:ilvl w:val="1"/>
          <w:numId w:val="345"/>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The Lenders, the Administrative Agent, the Brazilian Administrative Agent and the Arrangers shall have received all fees and out-of-pocket expenses required to be paid hereunder and (with respect to such expenses) invoiced at least three (3) Business Days prior to the Closing Date.</w:t>
      </w:r>
    </w:p>
    <w:p>
      <w:pPr>
        <w:spacing w:after="0" w:line="123" w:lineRule="exact"/>
        <w:rPr>
          <w:rFonts w:ascii="Arial" w:cs="Arial" w:eastAsia="Arial" w:hAnsi="Arial"/>
          <w:sz w:val="16"/>
          <w:szCs w:val="16"/>
          <w:color w:val="auto"/>
        </w:rPr>
      </w:pPr>
    </w:p>
    <w:p>
      <w:pPr>
        <w:ind w:right="80" w:firstLine="921"/>
        <w:spacing w:after="0" w:line="284" w:lineRule="auto"/>
        <w:tabs>
          <w:tab w:leader="none" w:pos="1157" w:val="left"/>
        </w:tabs>
        <w:numPr>
          <w:ilvl w:val="1"/>
          <w:numId w:val="345"/>
        </w:numPr>
        <w:rPr>
          <w:rFonts w:ascii="Arial" w:cs="Arial" w:eastAsia="Arial" w:hAnsi="Arial"/>
          <w:sz w:val="16"/>
          <w:szCs w:val="16"/>
          <w:color w:val="auto"/>
        </w:rPr>
      </w:pPr>
      <w:r>
        <w:rPr>
          <w:rFonts w:ascii="Arial" w:cs="Arial" w:eastAsia="Arial" w:hAnsi="Arial"/>
          <w:sz w:val="16"/>
          <w:szCs w:val="16"/>
          <w:u w:val="single" w:color="auto"/>
          <w:color w:val="auto"/>
        </w:rPr>
        <w:t>Closing Certificate; Certified Certificate of Incorporation; Good Standing Certificates</w:t>
      </w:r>
      <w:r>
        <w:rPr>
          <w:rFonts w:ascii="Arial" w:cs="Arial" w:eastAsia="Arial" w:hAnsi="Arial"/>
          <w:sz w:val="16"/>
          <w:szCs w:val="16"/>
          <w:color w:val="auto"/>
        </w:rPr>
        <w:t>. The Administrative Agent shall have received (i) a certificate of each Loan Party other than GMGTC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(iii) a certificate of the Company, dated the Closing Date, to the effect that the conditions set forth in Section 5.2 have been satisfied or waived and (iv) a certificate from GMGTC (signed by an authorised signatory), with appropriate insertions and attachments, including its constitutional documents, certifying that:</w:t>
      </w:r>
    </w:p>
    <w:p>
      <w:pPr>
        <w:spacing w:after="0" w:line="2" w:lineRule="exact"/>
        <w:rPr>
          <w:rFonts w:ascii="Arial" w:cs="Arial" w:eastAsia="Arial" w:hAnsi="Arial"/>
          <w:sz w:val="16"/>
          <w:szCs w:val="16"/>
          <w:color w:val="auto"/>
        </w:rPr>
      </w:pPr>
    </w:p>
    <w:p>
      <w:pPr>
        <w:ind w:firstLine="8"/>
        <w:spacing w:after="0" w:line="255" w:lineRule="auto"/>
        <w:tabs>
          <w:tab w:leader="none" w:pos="29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borrowing, guaranteeing or securing (as appropriate) under this Agreement would not cause any borrowing, guarantee, security or similar limit binding on it to be exceeded; and (B) each copy document relating to it in this Section 5.1 (including its constitutional documents) is correct, complete and in full force and effect and has not been amended or superseded prior to the date of this Agreement.</w:t>
      </w:r>
    </w:p>
    <w:p>
      <w:pPr>
        <w:spacing w:after="0" w:line="190" w:lineRule="exact"/>
        <w:rPr>
          <w:rFonts w:ascii="Arial" w:cs="Arial" w:eastAsia="Arial" w:hAnsi="Arial"/>
          <w:sz w:val="18"/>
          <w:szCs w:val="18"/>
          <w:color w:val="auto"/>
        </w:rPr>
      </w:pPr>
    </w:p>
    <w:p>
      <w:pPr>
        <w:ind w:right="40" w:firstLine="921"/>
        <w:spacing w:after="0" w:line="286" w:lineRule="auto"/>
        <w:tabs>
          <w:tab w:leader="none" w:pos="1168" w:val="left"/>
        </w:tabs>
        <w:numPr>
          <w:ilvl w:val="1"/>
          <w:numId w:val="346"/>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The Administrative Agent shall have received the executed legal opinion of (i) in-house counsel to the Loan Parties, (ii) Weil Gotshal &amp; Manges LLP, counsel to the Loan Parties, (iii) Demarest Advogados, special Brazil counsel to the Brazilian Administrative Agent and (iv) Weil Gotshal &amp; Manges LLP, special UK counsel to GMGTC, each in form and substance reasonably acceptable to the Administrative Agent.</w:t>
      </w:r>
    </w:p>
    <w:p>
      <w:pPr>
        <w:spacing w:after="0" w:line="165" w:lineRule="exact"/>
        <w:rPr>
          <w:rFonts w:ascii="Arial" w:cs="Arial" w:eastAsia="Arial" w:hAnsi="Arial"/>
          <w:sz w:val="17"/>
          <w:szCs w:val="17"/>
          <w:color w:val="auto"/>
        </w:rPr>
      </w:pPr>
    </w:p>
    <w:p>
      <w:pPr>
        <w:ind w:firstLine="921"/>
        <w:spacing w:after="0" w:line="302" w:lineRule="auto"/>
        <w:tabs>
          <w:tab w:leader="none" w:pos="1157" w:val="left"/>
        </w:tabs>
        <w:numPr>
          <w:ilvl w:val="1"/>
          <w:numId w:val="346"/>
        </w:numPr>
        <w:rPr>
          <w:rFonts w:ascii="Arial" w:cs="Arial" w:eastAsia="Arial" w:hAnsi="Arial"/>
          <w:sz w:val="16"/>
          <w:szCs w:val="16"/>
          <w:color w:val="auto"/>
        </w:rPr>
      </w:pPr>
      <w:r>
        <w:rPr>
          <w:rFonts w:ascii="Arial" w:cs="Arial" w:eastAsia="Arial" w:hAnsi="Arial"/>
          <w:sz w:val="16"/>
          <w:szCs w:val="16"/>
          <w:u w:val="single" w:color="auto"/>
          <w:color w:val="auto"/>
        </w:rPr>
        <w:t>Existing Five-Year Credit Agreement</w:t>
      </w:r>
      <w:r>
        <w:rPr>
          <w:rFonts w:ascii="Arial" w:cs="Arial" w:eastAsia="Arial" w:hAnsi="Arial"/>
          <w:sz w:val="16"/>
          <w:szCs w:val="16"/>
          <w:color w:val="auto"/>
        </w:rPr>
        <w:t>. The Administrative Agent shall have received reasonably satisfactory evidence that all Existing Loans shall be repaid, the commitments of the lenders under the Existing Five Year Credit Agreement that are not Lenders hereunder shall have been terminated (and the Commitments of all continuing Lenders shall be as set forth on Schedule 1.1(A)) and all accrued interest and fees under the Existing Five Year Credit Agreement shall have been paid, or arrangements satisfactory to the Administrative Agent in respect thereof shall have been made.</w:t>
      </w:r>
    </w:p>
    <w:p>
      <w:pPr>
        <w:spacing w:after="0" w:line="154" w:lineRule="exact"/>
        <w:rPr>
          <w:rFonts w:ascii="Arial" w:cs="Arial" w:eastAsia="Arial" w:hAnsi="Arial"/>
          <w:sz w:val="16"/>
          <w:szCs w:val="16"/>
          <w:color w:val="auto"/>
        </w:rPr>
      </w:pPr>
    </w:p>
    <w:p>
      <w:pPr>
        <w:ind w:right="320" w:firstLine="921"/>
        <w:spacing w:after="0" w:line="264" w:lineRule="auto"/>
        <w:tabs>
          <w:tab w:leader="none" w:pos="1138" w:val="left"/>
        </w:tabs>
        <w:numPr>
          <w:ilvl w:val="1"/>
          <w:numId w:val="346"/>
        </w:numPr>
        <w:rPr>
          <w:rFonts w:ascii="Arial" w:cs="Arial" w:eastAsia="Arial" w:hAnsi="Arial"/>
          <w:sz w:val="18"/>
          <w:szCs w:val="18"/>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The Administrative Agent shall have received all documentation and other information reasonably requested by the Administrative Agent or any Lender who is not a lender under the Existing Five Year Credit Agreement under applicable “know your customer” and anti-money-laundering rules and regulations, including the USA Patriot Act.</w:t>
      </w:r>
    </w:p>
    <w:p>
      <w:pPr>
        <w:spacing w:after="0" w:line="18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Each Extension of Credit</w:t>
      </w:r>
      <w:r>
        <w:rPr>
          <w:rFonts w:ascii="Arial" w:cs="Arial" w:eastAsia="Arial" w:hAnsi="Arial"/>
          <w:sz w:val="18"/>
          <w:szCs w:val="18"/>
          <w:color w:val="auto"/>
        </w:rPr>
        <w:t>. The agreement of each Lender to make any Loan (it being expressly understood and agreed that the foregoing shall not apply to any conversion or continuation of an outstanding Loan) and the agreement of any Issuing Lender to issue any Letter of Credit (or to amend any outstanding Letter of Credit increasing the face amount thereof) requested to be made or issued (or amended) by it on any date (including its initial extension of credit) is subject to the Closing Date having occurred and to the satisfaction (or waiver pursuant to Section 10.1) of the following conditions precedent as of the borrowing date for such Loan or the date of any request to issue (or to amend to increase the face amount of) such Letter of Credit: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321" w:name="page322"/>
    <w:bookmarkEnd w:id="321"/>
    <w:p>
      <w:pPr>
        <w:ind w:firstLine="921"/>
        <w:spacing w:after="0" w:line="259" w:lineRule="auto"/>
        <w:tabs>
          <w:tab w:leader="none" w:pos="1157"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w:t>
      </w:r>
      <w:r>
        <w:rPr>
          <w:rFonts w:ascii="Arial" w:cs="Arial" w:eastAsia="Arial" w:hAnsi="Arial"/>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186"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170" w:lineRule="exact"/>
        <w:rPr>
          <w:rFonts w:ascii="Arial" w:cs="Arial" w:eastAsia="Arial" w:hAnsi="Arial"/>
          <w:sz w:val="18"/>
          <w:szCs w:val="18"/>
          <w:color w:val="auto"/>
        </w:rPr>
      </w:pPr>
    </w:p>
    <w:p>
      <w:pPr>
        <w:ind w:right="40" w:firstLine="921"/>
        <w:spacing w:after="0" w:line="290" w:lineRule="auto"/>
        <w:tabs>
          <w:tab w:leader="none" w:pos="1157" w:val="left"/>
        </w:tabs>
        <w:numPr>
          <w:ilvl w:val="0"/>
          <w:numId w:val="347"/>
        </w:numPr>
        <w:rPr>
          <w:rFonts w:ascii="Arial" w:cs="Arial" w:eastAsia="Arial" w:hAnsi="Arial"/>
          <w:sz w:val="16"/>
          <w:szCs w:val="16"/>
          <w:color w:val="auto"/>
        </w:rPr>
      </w:pPr>
      <w:r>
        <w:rPr>
          <w:rFonts w:ascii="Arial" w:cs="Arial" w:eastAsia="Arial" w:hAnsi="Arial"/>
          <w:sz w:val="16"/>
          <w:szCs w:val="16"/>
          <w:u w:val="single" w:color="auto"/>
          <w:color w:val="auto"/>
        </w:rPr>
        <w:t>No Subsidiary Borrower Bankruptcy Events</w:t>
      </w:r>
      <w:r>
        <w:rPr>
          <w:rFonts w:ascii="Arial" w:cs="Arial" w:eastAsia="Arial" w:hAnsi="Arial"/>
          <w:sz w:val="16"/>
          <w:szCs w:val="16"/>
          <w:color w:val="auto"/>
        </w:rPr>
        <w:t>. With respect to any Loan made to or Letter of Credit issued for the account of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w:t>
      </w:r>
    </w:p>
    <w:p>
      <w:pPr>
        <w:spacing w:after="0" w:line="16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Each borrowing, or issuance of a Letter of Credit (or amendment thereof which increases the face amount thereof) hereunder (including, for the avoidance of doubt, any borrowing of Brazilian Loans pursuant to any Brazilian Bank Certificate) shall constitute a representation and warranty by the Company as of the date of such borrowing or the date of such issuance or such amendment, as the case may be, that the conditions contained in this Section 5.2 have been satisfied or waived.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 AFFIRMATIVE COVENANTS</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The Company hereby agrees that, so long as the Commitments remain in effect or any Letter of Credit remains outstanding or any Loan, Reimbursement Obligation, interest or fee payable hereunder or under any other Loan Document is owing to any Lender:</w:t>
      </w:r>
    </w:p>
    <w:p>
      <w:pPr>
        <w:spacing w:after="0" w:line="17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financial statements shall be deemed to be delivered upon the filing with the SEC of its Form 10-K or Form 10-Q for the relevant fiscal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restatement of previously delivered (or deemed delivered) financial statements shall not constitute a breach or violation of this Section 6.1.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322" w:name="page323"/>
    <w:bookmarkEnd w:id="322"/>
    <w:p>
      <w:pPr>
        <w:ind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Business; Existence</w:t>
      </w:r>
      <w:r>
        <w:rPr>
          <w:rFonts w:ascii="Arial" w:cs="Arial" w:eastAsia="Arial" w:hAnsi="Arial"/>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78"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Promptly upon a Financial Officer of the Company obtaining actual knowledge thereof, the Company shall give notice to the Administrative Agent and the Brazilian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Reinstated Guarantors, etc.</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59" w:lineRule="auto"/>
        <w:tabs>
          <w:tab w:leader="none" w:pos="1158" w:val="left"/>
        </w:tabs>
        <w:numPr>
          <w:ilvl w:val="1"/>
          <w:numId w:val="348"/>
        </w:numPr>
        <w:rPr>
          <w:rFonts w:ascii="Arial" w:cs="Arial" w:eastAsia="Arial" w:hAnsi="Arial"/>
          <w:sz w:val="18"/>
          <w:szCs w:val="18"/>
          <w:color w:val="auto"/>
        </w:rPr>
      </w:pPr>
      <w:r>
        <w:rPr>
          <w:rFonts w:ascii="Arial" w:cs="Arial" w:eastAsia="Arial" w:hAnsi="Arial"/>
          <w:sz w:val="18"/>
          <w:szCs w:val="18"/>
          <w:color w:val="auto"/>
        </w:rPr>
        <w:t xml:space="preserve">Within 30 days after any Guarantee Reinstatement Date, the Company shall deliver, or cause to be delivered to the Administrative Agent a Guarantee Joinder, executed and delivered by each Domestic Subsidiary that is a Principal Domestic Subsidiary (other than an Excluded Subsidiary) on such Guarantee Reinstatement Date, together with customary secretary’s certificates, resolutions and legal opinions,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requirements shall not apply to GM Holdings.</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1"/>
          <w:numId w:val="348"/>
        </w:numPr>
        <w:rPr>
          <w:rFonts w:ascii="Arial" w:cs="Arial" w:eastAsia="Arial" w:hAnsi="Arial"/>
          <w:sz w:val="17"/>
          <w:szCs w:val="17"/>
          <w:color w:val="auto"/>
        </w:rPr>
      </w:pPr>
      <w:r>
        <w:rPr>
          <w:rFonts w:ascii="Arial" w:cs="Arial" w:eastAsia="Arial" w:hAnsi="Arial"/>
          <w:sz w:val="17"/>
          <w:szCs w:val="17"/>
          <w:color w:val="auto"/>
        </w:rPr>
        <w:t>During any Reinstated Guarantee Requirement Period, within 90 days after the end of any fiscal quarter of the Company, during which</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Company or one of its Principal Domestic Subsidiaries forms or acquires any Principal Domestic Subsidiary (other than an Excluded Subsidiary),</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3" w:right="239" w:bottom="1440" w:gutter="0" w:footer="0" w:header="0"/>
        </w:sectPr>
      </w:pPr>
    </w:p>
    <w:bookmarkStart w:id="323" w:name="page324"/>
    <w:bookmarkEnd w:id="323"/>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pacing w:after="0" w:line="124" w:lineRule="exact"/>
        <w:rPr>
          <w:sz w:val="20"/>
          <w:szCs w:val="20"/>
          <w:color w:val="auto"/>
        </w:rPr>
      </w:pPr>
    </w:p>
    <w:p>
      <w:pPr>
        <w:ind w:right="360" w:firstLine="921"/>
        <w:spacing w:after="0" w:line="277" w:lineRule="auto"/>
        <w:tabs>
          <w:tab w:leader="none" w:pos="1158"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Books and Records</w:t>
      </w:r>
      <w:r>
        <w:rPr>
          <w:rFonts w:ascii="Arial" w:cs="Arial" w:eastAsia="Arial" w:hAnsi="Arial"/>
          <w:sz w:val="18"/>
          <w:szCs w:val="18"/>
          <w:color w:val="auto"/>
        </w:rPr>
        <w:t xml:space="preserve"> .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81"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Ratings</w:t>
      </w:r>
      <w:r>
        <w:rPr>
          <w:rFonts w:ascii="Arial" w:cs="Arial" w:eastAsia="Arial" w:hAnsi="Arial"/>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Company shall not be required to obtain or maintain, as applicable, a specific Index Debt Rating.</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SECTION 7. NEGATIVE COVENANTS</w:t>
      </w:r>
    </w:p>
    <w:p>
      <w:pPr>
        <w:spacing w:after="0" w:line="225" w:lineRule="exact"/>
        <w:rPr>
          <w:sz w:val="20"/>
          <w:szCs w:val="20"/>
          <w:color w:val="auto"/>
        </w:rPr>
      </w:pPr>
    </w:p>
    <w:p>
      <w:pPr>
        <w:ind w:right="740" w:firstLine="913"/>
        <w:spacing w:after="0" w:line="308" w:lineRule="auto"/>
        <w:rPr>
          <w:sz w:val="20"/>
          <w:szCs w:val="20"/>
          <w:color w:val="auto"/>
        </w:rPr>
      </w:pPr>
      <w:r>
        <w:rPr>
          <w:rFonts w:ascii="Arial" w:cs="Arial" w:eastAsia="Arial" w:hAnsi="Arial"/>
          <w:sz w:val="17"/>
          <w:szCs w:val="17"/>
          <w:color w:val="auto"/>
        </w:rPr>
        <w:t>The Company hereby agrees that, so long as the Commitments remain in effect, any Letter of Credit remains outstanding or any Loan, Reimbursement Obligation, interest or fee payable hereunder or under any other Loan Document is owing to any Lender:</w:t>
      </w:r>
    </w:p>
    <w:p>
      <w:pPr>
        <w:spacing w:after="0" w:line="147" w:lineRule="exact"/>
        <w:rPr>
          <w:sz w:val="20"/>
          <w:szCs w:val="20"/>
          <w:color w:val="auto"/>
        </w:rPr>
      </w:pPr>
    </w:p>
    <w:p>
      <w:pPr>
        <w:ind w:right="800" w:firstLine="913"/>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Company shall not at any time permit the Consolidated Global Liquidity to be less than $4 billion or the Consolidated Domestic Liquidity to be less than $2 billion.</w:t>
      </w:r>
    </w:p>
    <w:p>
      <w:pPr>
        <w:spacing w:after="0" w:line="1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 The Company shall not, and shall not permit any Principal Domestic Subsidiary to, incur Indebtedness that is secured by a Lien on any Previously Pledged Assets other than (A) Indebtedness secured by Permitted Liens on such Previously Pledged Assets and (B) Indebtedness secured by Liens on such Previously Pledged Assets, in an aggregate principal amount, the Dollar Equivalent of which, at the time of the incurrence thereof, does not exceed 7.5% of Consolidated Tangible Assets.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Asset Sale Restrictions</w:t>
      </w:r>
      <w:r>
        <w:rPr>
          <w:rFonts w:ascii="Arial" w:cs="Arial" w:eastAsia="Arial" w:hAnsi="Arial"/>
          <w:sz w:val="18"/>
          <w:szCs w:val="18"/>
          <w:color w:val="auto"/>
        </w:rPr>
        <w:t>.</w:t>
      </w:r>
    </w:p>
    <w:p>
      <w:pPr>
        <w:spacing w:after="0" w:line="225" w:lineRule="exact"/>
        <w:rPr>
          <w:sz w:val="20"/>
          <w:szCs w:val="20"/>
          <w:color w:val="auto"/>
        </w:rPr>
      </w:pPr>
    </w:p>
    <w:p>
      <w:pPr>
        <w:ind w:right="120" w:firstLine="921"/>
        <w:spacing w:after="0" w:line="255" w:lineRule="auto"/>
        <w:tabs>
          <w:tab w:leader="none" w:pos="1157"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All or Substantially All</w:t>
      </w:r>
      <w:r>
        <w:rPr>
          <w:rFonts w:ascii="Arial" w:cs="Arial" w:eastAsia="Arial" w:hAnsi="Arial"/>
          <w:sz w:val="18"/>
          <w:szCs w:val="18"/>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any Reinstated Guarantee Period, any such transfer from a Subsidiary Guarantor shall be to another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the foregoing, the Company or any of its Principal Domestic Subsidiaries may Dispose of all or any portion of an Excluded Subsidiary Business to one or more Excluded Subsidiaries.</w:t>
      </w:r>
    </w:p>
    <w:p>
      <w:pPr>
        <w:spacing w:after="0" w:line="189" w:lineRule="exact"/>
        <w:rPr>
          <w:rFonts w:ascii="Arial" w:cs="Arial" w:eastAsia="Arial" w:hAnsi="Arial"/>
          <w:sz w:val="18"/>
          <w:szCs w:val="18"/>
          <w:color w:val="auto"/>
        </w:rPr>
      </w:pPr>
    </w:p>
    <w:p>
      <w:pPr>
        <w:ind w:right="80" w:firstLine="921"/>
        <w:spacing w:after="0" w:line="277" w:lineRule="auto"/>
        <w:tabs>
          <w:tab w:leader="none" w:pos="1168"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Principal Trade Names</w:t>
      </w:r>
      <w:r>
        <w:rPr>
          <w:rFonts w:ascii="Arial" w:cs="Arial" w:eastAsia="Arial" w:hAnsi="Arial"/>
          <w:sz w:val="18"/>
          <w:szCs w:val="18"/>
          <w:color w:val="auto"/>
        </w:rPr>
        <w:t>. The Company shall not, nor shall it permit any Principal Domestic Subsidiary or Qualified IP Holding Company to, Dispose of any Principal Trade Name, except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273" w:right="319" w:bottom="1440" w:gutter="0" w:footer="0" w:header="0"/>
        </w:sectPr>
      </w:pPr>
    </w:p>
    <w:bookmarkStart w:id="324" w:name="page325"/>
    <w:bookmarkEnd w:id="324"/>
    <w:p>
      <w:pPr>
        <w:jc w:val="both"/>
        <w:ind w:right="180" w:firstLine="8"/>
        <w:spacing w:after="0" w:line="302" w:lineRule="auto"/>
        <w:tabs>
          <w:tab w:leader="none" w:pos="255" w:val="left"/>
        </w:tabs>
        <w:numPr>
          <w:ilvl w:val="0"/>
          <w:numId w:val="3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69" w:lineRule="auto"/>
        <w:tabs>
          <w:tab w:leader="none" w:pos="1158"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that, so long as no Obligations are owed (or in the case of Letters of Credit, as long as such Obligations are Collateralized)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179" w:lineRule="exact"/>
        <w:rPr>
          <w:rFonts w:ascii="Arial" w:cs="Arial" w:eastAsia="Arial" w:hAnsi="Arial"/>
          <w:sz w:val="17"/>
          <w:szCs w:val="17"/>
          <w:color w:val="auto"/>
        </w:rPr>
      </w:pPr>
    </w:p>
    <w:p>
      <w:pPr>
        <w:ind w:firstLine="921"/>
        <w:spacing w:after="0" w:line="270" w:lineRule="auto"/>
        <w:tabs>
          <w:tab w:leader="none" w:pos="1168" w:val="left"/>
        </w:tabs>
        <w:numPr>
          <w:ilvl w:val="0"/>
          <w:numId w:val="353"/>
        </w:numPr>
        <w:rPr>
          <w:rFonts w:ascii="Arial" w:cs="Arial" w:eastAsia="Arial" w:hAnsi="Arial"/>
          <w:sz w:val="17"/>
          <w:szCs w:val="17"/>
          <w:color w:val="auto"/>
        </w:rPr>
      </w:pPr>
      <w:r>
        <w:rPr>
          <w:rFonts w:ascii="Arial" w:cs="Arial" w:eastAsia="Arial" w:hAnsi="Arial"/>
          <w:sz w:val="17"/>
          <w:szCs w:val="17"/>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82"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and its Subsidiary Borrowers shall not, and shall not permit any of its Subsidiaries to, knowingly use the proceeds of the Loans or Letters of Credit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 U.S. Department of Treasury or the U.S. Department of State, then it shall not be considered 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Sanctioned Country for purposes hereof and the provisions of this Section 7.5 shall no longer apply with respect to that country, region or territory.</w:t>
      </w:r>
    </w:p>
    <w:p>
      <w:pPr>
        <w:spacing w:after="0" w:line="1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325" w:name="page326"/>
    <w:bookmarkEnd w:id="325"/>
    <w:p>
      <w:pPr>
        <w:ind w:left="4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 EVENTS OF DEFAULT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225" w:lineRule="exact"/>
        <w:rPr>
          <w:sz w:val="20"/>
          <w:szCs w:val="20"/>
          <w:color w:val="auto"/>
        </w:rPr>
      </w:pPr>
    </w:p>
    <w:p>
      <w:pPr>
        <w:ind w:right="20" w:firstLine="921"/>
        <w:spacing w:after="0" w:line="273" w:lineRule="auto"/>
        <w:tabs>
          <w:tab w:leader="none" w:pos="1158" w:val="left"/>
        </w:tabs>
        <w:numPr>
          <w:ilvl w:val="1"/>
          <w:numId w:val="354"/>
        </w:numPr>
        <w:rPr>
          <w:rFonts w:ascii="Arial" w:cs="Arial" w:eastAsia="Arial" w:hAnsi="Arial"/>
          <w:sz w:val="17"/>
          <w:szCs w:val="17"/>
          <w:color w:val="auto"/>
        </w:rPr>
      </w:pPr>
      <w:r>
        <w:rPr>
          <w:rFonts w:ascii="Arial" w:cs="Arial" w:eastAsia="Arial" w:hAnsi="Arial"/>
          <w:sz w:val="17"/>
          <w:szCs w:val="17"/>
          <w:color w:val="auto"/>
        </w:rPr>
        <w:t>any Borrower shall fail to pay (i) any principal of any Loan at maturity, (ii) any interest, Facility Fee, Letter of Credit Fee or any Reimbursement Obligation hereunder or any fee owing pursuant to any Brazilian Bank Certificate for a period of five Business Days after receipt of notice of such failure by such Borrower and the Company from the Administrative Agent and, in connection with payments in respect of the Brazilian Facility, the Brazilian Administrative Agent or (iii) any other amount due and payable under any Loan Document for 30 days after receipt of notice of such failure by such Borrower and the Company from the Administrative Agent and, in connection with payments in respect of the Brazilian Facility, the Brazilian Administrative Agent (other than, in the case of amounts in this clause (iii), any such amount being disputed by the Company in good faith); or</w:t>
      </w:r>
    </w:p>
    <w:p>
      <w:pPr>
        <w:spacing w:after="0" w:line="178" w:lineRule="exact"/>
        <w:rPr>
          <w:rFonts w:ascii="Arial" w:cs="Arial" w:eastAsia="Arial" w:hAnsi="Arial"/>
          <w:sz w:val="17"/>
          <w:szCs w:val="17"/>
          <w:color w:val="auto"/>
        </w:rPr>
      </w:pPr>
    </w:p>
    <w:p>
      <w:pPr>
        <w:ind w:right="460" w:firstLine="921"/>
        <w:spacing w:after="0" w:line="342" w:lineRule="auto"/>
        <w:tabs>
          <w:tab w:leader="none" w:pos="1168" w:val="left"/>
        </w:tabs>
        <w:numPr>
          <w:ilvl w:val="1"/>
          <w:numId w:val="354"/>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23" w:lineRule="exact"/>
        <w:rPr>
          <w:rFonts w:ascii="Arial" w:cs="Arial" w:eastAsia="Arial" w:hAnsi="Arial"/>
          <w:sz w:val="16"/>
          <w:szCs w:val="16"/>
          <w:color w:val="auto"/>
        </w:rPr>
      </w:pPr>
    </w:p>
    <w:p>
      <w:pPr>
        <w:ind w:right="120" w:firstLine="921"/>
        <w:spacing w:after="0" w:line="291" w:lineRule="auto"/>
        <w:tabs>
          <w:tab w:leader="none" w:pos="1158" w:val="left"/>
        </w:tabs>
        <w:numPr>
          <w:ilvl w:val="1"/>
          <w:numId w:val="354"/>
        </w:numPr>
        <w:rPr>
          <w:rFonts w:ascii="Arial" w:cs="Arial" w:eastAsia="Arial" w:hAnsi="Arial"/>
          <w:sz w:val="16"/>
          <w:szCs w:val="16"/>
          <w:color w:val="auto"/>
        </w:rPr>
      </w:pPr>
      <w:r>
        <w:rPr>
          <w:rFonts w:ascii="Arial" w:cs="Arial" w:eastAsia="Arial" w:hAnsi="Arial"/>
          <w:sz w:val="16"/>
          <w:szCs w:val="16"/>
          <w:color w:val="auto"/>
        </w:rPr>
        <w:t>any Loan Party or any Principal Domestic Subsidiary shall default in the observance or performance of (i) its agreements in Section 7.1 for a period of 20 consecutive days, or (ii) any other agreement contained in this Agreement (limited with respect to any Subsidiary Borrower, to Section 7.4 and</w:t>
      </w: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7.5) or in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183" w:lineRule="exact"/>
        <w:rPr>
          <w:rFonts w:ascii="Arial" w:cs="Arial" w:eastAsia="Arial" w:hAnsi="Arial"/>
          <w:sz w:val="16"/>
          <w:szCs w:val="16"/>
          <w:color w:val="auto"/>
        </w:rPr>
      </w:pPr>
    </w:p>
    <w:p>
      <w:pPr>
        <w:ind w:right="100" w:firstLine="921"/>
        <w:spacing w:after="0" w:line="291" w:lineRule="auto"/>
        <w:tabs>
          <w:tab w:leader="none" w:pos="1168" w:val="left"/>
        </w:tabs>
        <w:numPr>
          <w:ilvl w:val="1"/>
          <w:numId w:val="354"/>
        </w:numPr>
        <w:rPr>
          <w:rFonts w:ascii="Arial" w:cs="Arial" w:eastAsia="Arial" w:hAnsi="Arial"/>
          <w:sz w:val="16"/>
          <w:szCs w:val="16"/>
          <w:color w:val="auto"/>
        </w:rPr>
      </w:pPr>
      <w:r>
        <w:rPr>
          <w:rFonts w:ascii="Arial" w:cs="Arial" w:eastAsia="Arial" w:hAnsi="Arial"/>
          <w:sz w:val="16"/>
          <w:szCs w:val="16"/>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w:t>
      </w:r>
    </w:p>
    <w:p>
      <w:pPr>
        <w:ind w:right="180" w:firstLine="8"/>
        <w:spacing w:after="0" w:line="253" w:lineRule="auto"/>
        <w:tabs>
          <w:tab w:leader="none" w:pos="26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91" w:lineRule="exact"/>
        <w:rPr>
          <w:rFonts w:ascii="Arial" w:cs="Arial" w:eastAsia="Arial" w:hAnsi="Arial"/>
          <w:sz w:val="18"/>
          <w:szCs w:val="18"/>
          <w:color w:val="auto"/>
        </w:rPr>
      </w:pPr>
    </w:p>
    <w:p>
      <w:pPr>
        <w:ind w:firstLine="921"/>
        <w:spacing w:after="0" w:line="272" w:lineRule="auto"/>
        <w:tabs>
          <w:tab w:leader="none" w:pos="1158" w:val="left"/>
        </w:tabs>
        <w:numPr>
          <w:ilvl w:val="1"/>
          <w:numId w:val="355"/>
        </w:numPr>
        <w:rPr>
          <w:rFonts w:ascii="Arial" w:cs="Arial" w:eastAsia="Arial" w:hAnsi="Arial"/>
          <w:sz w:val="17"/>
          <w:szCs w:val="17"/>
          <w:color w:val="auto"/>
        </w:rPr>
      </w:pPr>
      <w:r>
        <w:rPr>
          <w:rFonts w:ascii="Arial" w:cs="Arial" w:eastAsia="Arial" w:hAnsi="Arial"/>
          <w:sz w:val="17"/>
          <w:szCs w:val="17"/>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326" w:name="page327"/>
    <w:bookmarkEnd w:id="326"/>
    <w:p>
      <w:pPr>
        <w:ind w:left="1140" w:hanging="219"/>
        <w:spacing w:after="0"/>
        <w:tabs>
          <w:tab w:leader="none" w:pos="11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occurrence of an ERISA Default; or</w:t>
      </w:r>
    </w:p>
    <w:p>
      <w:pPr>
        <w:spacing w:after="0" w:line="225" w:lineRule="exact"/>
        <w:rPr>
          <w:rFonts w:ascii="Arial" w:cs="Arial" w:eastAsia="Arial" w:hAnsi="Arial"/>
          <w:sz w:val="18"/>
          <w:szCs w:val="18"/>
          <w:color w:val="auto"/>
        </w:rPr>
      </w:pPr>
    </w:p>
    <w:p>
      <w:pPr>
        <w:ind w:right="100" w:firstLine="921"/>
        <w:spacing w:after="0" w:line="259" w:lineRule="auto"/>
        <w:tabs>
          <w:tab w:leader="none" w:pos="1168" w:val="left"/>
        </w:tabs>
        <w:numPr>
          <w:ilvl w:val="0"/>
          <w:numId w:val="356"/>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86"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Guarantee of the Company or, during any Reinstated Guarantee Period, any Subsidiary Guarantor shall cease to be in full force and effect (other than pursuant to or as provided by the terms hereof or any other Loan Document); or</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Company shall at such time deposit in an interest bearing cash collateral account opened by the Administrative Agent an amount equal to 100% of the aggregate then undrawn and unexpired amount of such Letters of Credit (calculated, in the case of Letters of Credit denominated in Optional Currencies, at the Dollar Equivalent thereof on the date of acceleration). Amounts held in such cash collateral account shall be applied by the Administrative Agent to the payment of drafts drawn under such Letters of Credit, and the unused portion thereof after all such Letters of Credit shall have expired or terminated or been fully drawn upon, if any, together with all accrued interest and earnings, if any, shall be applied to repay other obligations of the Borrowers hereunder and under the other Loan Documents. After all such Letters of Credit shall have expired or terminated or been fully drawn upon, all Reimbursement Obligations shall have been satisfied and all other obligations of the Borrowers hereunder and under the other Loan Documents shall have been paid in full, the balance, if any, in such cash collateral account, together with all accrued interest and earnings, if any, shall be returned to the Company (or such other Person as may be lawfully entitled thereto). Except as expressly provided above in this Section 8, presentment, demand, protest and all other notices of any kind are hereby expressly waived by the Borrowers.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 THE AGENTS</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Appointment</w:t>
      </w:r>
      <w:r>
        <w:rPr>
          <w:rFonts w:ascii="Arial" w:cs="Arial" w:eastAsia="Arial" w:hAnsi="Arial"/>
          <w:sz w:val="18"/>
          <w:szCs w:val="18"/>
          <w:color w:val="auto"/>
        </w:rPr>
        <w:t>. Each Lender hereby irrevocably designates and appoints the Administrative Agent and the Brazilian Administrative Agent, as applicable, as the agents of such Lender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327" w:name="page328"/>
    <w:bookmarkEnd w:id="327"/>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this Agreement, the other Loan Documents and (in the case of the Brazilian Administrative Agent) the Brazilian Intercreditor Agreement, and each such Lender irrevocably authorizes the Administrative Agent and the Brazilian Administrative Agent, in such capacities, to take such action on its behalf under the provisions of this Agreement, the other Loan Documents and the Brazilian Intercreditor Agreement and to exercise such powers and perform such duties as are expressly delegated to the Administrative Agent or the Brazilian Administrative Agent, as applicable, by the terms of this Agreement, the other Loan Documents and the Brazilian Intercreditor Agreement, together with such other powers as are reasonably incidental thereto. Notwithstanding any provision to the contrary elsewhere in this Agreement, neither the Administrative Agent nor the Brazilian Administrative Agent shall have any duties or responsibilities, except those expressly set forth herein or in any other Loan Document or the Brazilian Intercreditor Agreement, or any fiduciary relationship with any Lender, and no implied covenants, functions, responsibilities, duties, obligations or liabilities shall be read into this Agreement, any other Loan Document or the Brazilian Intercreditor Agreement or otherwise exist against the Administrative Agent or the Brazilian Administrative Agent.</w:t>
      </w:r>
    </w:p>
    <w:p>
      <w:pPr>
        <w:spacing w:after="0" w:line="167"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Each Agent may execute any of its duties under this Agreement, the other Loan Documents and the Brazilian Intercreditor Agreement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66"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attorneys-in-fact or affiliates shall be (i) liable for any action lawfully taken or omitted to be taken by it or such Person under or in connection with this Agreement, any other Loan Document or the Brazilian Intercreditor Agreement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any other Loan Document or the Brazilian Intercreditor Agreement or for any failure of any Loan Party a party hereto or thereto to perform its obligations hereunder or thereunder. The Agents shall not be under any obligation to any Lender to ascertain or to inquire as to the observance or performance of any of the agreements contained in, or conditions of, this Agreement, any other Loan Document or the Brazilian Intercreditor Agreement, or to inspect the properties, books or records of any Loan Party.</w:t>
      </w:r>
    </w:p>
    <w:p>
      <w:pPr>
        <w:spacing w:after="0" w:line="17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Reliance by Administrative Agent and the Brazilian Administrative Agent</w:t>
      </w:r>
      <w:r>
        <w:rPr>
          <w:rFonts w:ascii="Arial" w:cs="Arial" w:eastAsia="Arial" w:hAnsi="Arial"/>
          <w:sz w:val="17"/>
          <w:szCs w:val="17"/>
          <w:color w:val="auto"/>
        </w:rPr>
        <w:t>. Each of the Administrative Agent and the Brazilian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or the Brazilian Administrative Agent, as applicable. The Administrative Agent and the Brazilian Administrative Agent may deem and treat the payee of any Note as the owner thereof for all purposes unless a written notice of assignment, negotiation or transfer thereof shall have been filed with the Administrative Agent. The Administrative Agent and the Brazilian Administrative Agent shall be fully justified in failing or refusing to take any action under this Agreement, any other Loan Document or the Brazilian Intercreditor Agreement unless it shall first receive such advice or concurrence of the Required Lenders (or, if so specified by this Agreement, all Lenders or any other instructing group of Lenders specified in this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273" w:right="279" w:bottom="1440" w:gutter="0" w:footer="0" w:header="0"/>
        </w:sectPr>
      </w:pPr>
    </w:p>
    <w:bookmarkStart w:id="328" w:name="page329"/>
    <w:bookmarkEnd w:id="32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as it deems appropriate or it shall first be indemnified to its satisfaction by the Lenders against any and all liability and expense that may be incurred by it by reason of taking or continuing to take any such action. The Administrative Agent and the Brazilian Administrative Agent shall in all cases be fully protected in acting, or in refraining from acting, under this Agreement, the other Loan Documents and the Brazilian Intercreditor Agreement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93"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Notice of Default</w:t>
      </w:r>
      <w:r>
        <w:rPr>
          <w:rFonts w:ascii="Arial" w:cs="Arial" w:eastAsia="Arial" w:hAnsi="Arial"/>
          <w:sz w:val="17"/>
          <w:szCs w:val="17"/>
          <w:color w:val="auto"/>
        </w:rPr>
        <w:t>. Neither the Administrative Agent nor the Brazilian Administrative Agent shall be deemed to have knowledge or notice of the occurrence of any Default or Event of Default unless the Administrative Agent or the Brazilian Administrative Agent, as applicable, has received notice from a Lender or the Company referring to this Agreement, describing such Default or Event of Default and stating that such notice is a “notice of default.” In the event that the Administrative Agent or the Brazilian Administrative Agent receives such a notice, the Administrative Agent or the Brazilian Administrative Agent, as applicable, shall give notice thereof to the Lenders as soon as practicable thereafter. The Administrative Agent and the Brazilian Administrative Agent shall take such action with respect to such Default or Event of Default as shall be reasonably directed by the Required Lenders (or, if so specified by this Agreement, all Lenders or any other instructing group of Lenders specified in this Agreement); provided, that unless and until the Administrative Agent or the Brazilian Administrative Agent, as applicable, shall have received such directions, each of the Administrative Agent and the Brazilian Administrative Agent may (but shall not be obligated to) take such action, or refrain from taking such action, with respect to such Default or Event of Default as it shall deem advisable in the best interests of the Lenders.</w:t>
      </w:r>
    </w:p>
    <w:p>
      <w:pPr>
        <w:spacing w:after="0" w:line="178"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none of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the other Loan Documents and the Brazilian Intercreditor Agreement,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or the Brazilian Administrative Agent, as applicable, hereunder, neither the Administrative Agent nor the Brazilian Administrative Agent shall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the Brazilian Administrative Agent or any of their respective officers, directors, employees, agents, attorneys-in-fact or affiliates.</w:t>
      </w:r>
    </w:p>
    <w:p>
      <w:pPr>
        <w:spacing w:after="0" w:line="169"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Lenders agree to indemnify each Agent in its capacity as such (to the extent not reimbursed by or on behalf of the Company if it is required to do so under Section 10.5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3" w:right="239" w:bottom="1440" w:gutter="0" w:footer="0" w:header="0"/>
        </w:sectPr>
      </w:pPr>
    </w:p>
    <w:bookmarkStart w:id="329" w:name="page330"/>
    <w:bookmarkEnd w:id="329"/>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the Brazilian Intercreditor Agreement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9.7 shall survive the payment of the Loans and all other amounts payable hereunder.</w:t>
      </w:r>
    </w:p>
    <w:p>
      <w:pPr>
        <w:spacing w:after="0" w:line="19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as though such Agent were not an Agent. With respect to its Loans made or renewed by it, any Letter of Credit issued or participated in by it and any other extension of credit made by it hereunder, each Agent shall have the same rights and powers under this Agreement, the other Loan Documents and the Brazilian Intercreditor Agreement as any Lender and may exercise the same as though it were not an Agent, and the terms “Lender” and “Lenders” shall include each Agent in its individual capacity.</w:t>
      </w:r>
    </w:p>
    <w:p>
      <w:pPr>
        <w:spacing w:after="0" w:line="18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330" w:name="page331"/>
    <w:bookmarkEnd w:id="330"/>
    <w:p>
      <w:pPr>
        <w:ind w:right="38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9.10 </w:t>
      </w:r>
      <w:r>
        <w:rPr>
          <w:rFonts w:ascii="Arial" w:cs="Arial" w:eastAsia="Arial" w:hAnsi="Arial"/>
          <w:sz w:val="16"/>
          <w:szCs w:val="16"/>
          <w:u w:val="single" w:color="auto"/>
          <w:color w:val="auto"/>
        </w:rPr>
        <w:t>Replacement of Brazilian Administrative Agent</w:t>
      </w:r>
      <w:r>
        <w:rPr>
          <w:rFonts w:ascii="Arial" w:cs="Arial" w:eastAsia="Arial" w:hAnsi="Arial"/>
          <w:sz w:val="16"/>
          <w:szCs w:val="16"/>
          <w:color w:val="auto"/>
        </w:rPr>
        <w:t xml:space="preserve">. The Company may replace the Brazilian Administrative Agent, upon 30 days’ written notice to the Brazilian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any proposed successor agent shall require the consent of (x) the Administrative Agent and</w:t>
      </w:r>
    </w:p>
    <w:p>
      <w:pPr>
        <w:ind w:right="60" w:firstLine="8"/>
        <w:spacing w:after="0" w:line="268" w:lineRule="auto"/>
        <w:tabs>
          <w:tab w:leader="none" w:pos="255" w:val="left"/>
        </w:tabs>
        <w:numPr>
          <w:ilvl w:val="0"/>
          <w:numId w:val="357"/>
        </w:numPr>
        <w:rPr>
          <w:rFonts w:ascii="Arial" w:cs="Arial" w:eastAsia="Arial" w:hAnsi="Arial"/>
          <w:sz w:val="17"/>
          <w:szCs w:val="17"/>
          <w:color w:val="auto"/>
        </w:rPr>
      </w:pPr>
      <w:r>
        <w:rPr>
          <w:rFonts w:ascii="Arial" w:cs="Arial" w:eastAsia="Arial" w:hAnsi="Arial"/>
          <w:sz w:val="17"/>
          <w:szCs w:val="17"/>
          <w:color w:val="auto"/>
        </w:rPr>
        <w:t>the Brazilian Lenders (or, if there are more than two Brazilian Lenders at such time, the Majority Facility Lenders under the Brazilian Facility), whereupon such successor agent shall succeed to the rights, powers and duties of the Brazilian Administrative Agent, and the term “Brazilian Administrative Agent” shall mean such successor agent effective upon such appointment and approval, and the former Brazilian Administrative Agent’s rights, powers and duties as Brazilian Administrative Agent shall be terminated, without any other or further act or deed on the part of such former Brazilian Administrative Agent or any of the parties to this Agreement or any holders of the Loans. Upon such replacement, such successor Brazilian Administrative Agent shall thereupon succeed to and become vested with all the rights, powers, privileges and duties of the retiring Brazilian Administrative Agent, and the replaced Brazilian Administrative Agent shall be discharged from its duties and obligations under this Agreement. After any retiring Brazilian Administrative Agent’s resignation as Brazilian Administrative Agent, the provisions of this Section 9 shall inure to its benefit as to any actions taken or omitted to be taken by it while it was Brazilian Administrative Agent under this Agreement and the other Loan Documents.</w:t>
      </w:r>
    </w:p>
    <w:p>
      <w:pPr>
        <w:spacing w:after="0" w:line="18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Bookrunners, Lead Arrangers, Global and Regional Coordinators, Documentation Agents, Syndication Agent and Co-Syndication Agent</w:t>
      </w:r>
      <w:r>
        <w:rPr>
          <w:rFonts w:ascii="Arial" w:cs="Arial" w:eastAsia="Arial" w:hAnsi="Arial"/>
          <w:sz w:val="18"/>
          <w:szCs w:val="18"/>
          <w:color w:val="auto"/>
        </w:rPr>
        <w: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Arial" w:cs="Arial" w:eastAsia="Arial" w:hAnsi="Arial"/>
          <w:sz w:val="18"/>
          <w:szCs w:val="18"/>
          <w:u w:val="single" w:color="auto"/>
          <w:color w:val="auto"/>
        </w:rPr>
        <w:t>Arrangers</w:t>
      </w:r>
      <w:r>
        <w:rPr>
          <w:rFonts w:ascii="Arial" w:cs="Arial" w:eastAsia="Arial" w:hAnsi="Arial"/>
          <w:sz w:val="18"/>
          <w:szCs w:val="18"/>
          <w:color w:val="auto"/>
        </w:rPr>
        <w:t>”) shall have any duties or responsibilities under this Agreement, the other Loan Documents or the Brazilian Intercreditor Agreement in their respective capacities as such, nor shall the consent of any such Person, in its capacity as such, be required for any amendment, modification or supplement to this Agreement, any other Loan Document or the Brazilian Intercreditor Agreement.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25" w:lineRule="exact"/>
        <w:rPr>
          <w:sz w:val="20"/>
          <w:szCs w:val="20"/>
          <w:color w:val="auto"/>
        </w:rPr>
      </w:pPr>
    </w:p>
    <w:p>
      <w:pPr>
        <w:jc w:val="both"/>
        <w:ind w:right="140" w:firstLine="921"/>
        <w:spacing w:after="0" w:line="259" w:lineRule="auto"/>
        <w:tabs>
          <w:tab w:leader="none" w:pos="1158" w:val="left"/>
        </w:tabs>
        <w:numPr>
          <w:ilvl w:val="0"/>
          <w:numId w:val="358"/>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 at least one of the following is and will be true:</w:t>
      </w:r>
    </w:p>
    <w:p>
      <w:pPr>
        <w:spacing w:after="0" w:line="78" w:lineRule="exact"/>
        <w:rPr>
          <w:rFonts w:ascii="Arial" w:cs="Arial" w:eastAsia="Arial" w:hAnsi="Arial"/>
          <w:sz w:val="18"/>
          <w:szCs w:val="18"/>
          <w:color w:val="auto"/>
        </w:rPr>
      </w:pPr>
    </w:p>
    <w:p>
      <w:pPr>
        <w:ind w:left="920" w:right="220" w:firstLine="421"/>
        <w:spacing w:after="0" w:line="277" w:lineRule="auto"/>
        <w:tabs>
          <w:tab w:leader="none" w:pos="1555" w:val="left"/>
        </w:tabs>
        <w:numPr>
          <w:ilvl w:val="1"/>
          <w:numId w:val="35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Letters of Credit or the Commitments,</w:t>
      </w:r>
    </w:p>
    <w:p>
      <w:pPr>
        <w:spacing w:after="0" w:line="62" w:lineRule="exact"/>
        <w:rPr>
          <w:rFonts w:ascii="Arial" w:cs="Arial" w:eastAsia="Arial" w:hAnsi="Arial"/>
          <w:sz w:val="18"/>
          <w:szCs w:val="18"/>
          <w:color w:val="auto"/>
        </w:rPr>
      </w:pPr>
    </w:p>
    <w:p>
      <w:pPr>
        <w:ind w:left="920" w:right="80" w:firstLine="421"/>
        <w:spacing w:after="0" w:line="273" w:lineRule="auto"/>
        <w:tabs>
          <w:tab w:leader="none" w:pos="1605" w:val="left"/>
        </w:tabs>
        <w:numPr>
          <w:ilvl w:val="1"/>
          <w:numId w:val="358"/>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74" w:right="279" w:bottom="1440" w:gutter="0" w:footer="0" w:header="0"/>
        </w:sectPr>
      </w:pPr>
    </w:p>
    <w:bookmarkStart w:id="331" w:name="page332"/>
    <w:bookmarkEnd w:id="331"/>
    <w:p>
      <w:pPr>
        <w:ind w:left="900" w:right="60" w:firstLine="421"/>
        <w:spacing w:after="0" w:line="255" w:lineRule="auto"/>
        <w:tabs>
          <w:tab w:leader="none" w:pos="1635" w:val="left"/>
        </w:tabs>
        <w:numPr>
          <w:ilvl w:val="1"/>
          <w:numId w:val="3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1" w:lineRule="exact"/>
        <w:rPr>
          <w:rFonts w:ascii="Arial" w:cs="Arial" w:eastAsia="Arial" w:hAnsi="Arial"/>
          <w:sz w:val="18"/>
          <w:szCs w:val="18"/>
          <w:color w:val="auto"/>
        </w:rPr>
      </w:pPr>
    </w:p>
    <w:p>
      <w:pPr>
        <w:ind w:left="900" w:right="80" w:firstLine="421"/>
        <w:spacing w:after="0" w:line="277" w:lineRule="auto"/>
        <w:tabs>
          <w:tab w:leader="none" w:pos="1625" w:val="left"/>
        </w:tabs>
        <w:numPr>
          <w:ilvl w:val="1"/>
          <w:numId w:val="359"/>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20" w:right="60" w:firstLine="921"/>
        <w:spacing w:after="0" w:line="257" w:lineRule="auto"/>
        <w:tabs>
          <w:tab w:leader="none" w:pos="114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w:t>
      </w:r>
    </w:p>
    <w:p>
      <w:pPr>
        <w:spacing w:after="0" w:line="80" w:lineRule="exact"/>
        <w:rPr>
          <w:rFonts w:ascii="Arial" w:cs="Arial" w:eastAsia="Arial" w:hAnsi="Arial"/>
          <w:sz w:val="18"/>
          <w:szCs w:val="18"/>
          <w:color w:val="auto"/>
        </w:rPr>
      </w:pPr>
    </w:p>
    <w:p>
      <w:pPr>
        <w:jc w:val="both"/>
        <w:ind w:left="900" w:right="740" w:firstLine="421"/>
        <w:spacing w:after="0" w:line="264" w:lineRule="auto"/>
        <w:tabs>
          <w:tab w:leader="none" w:pos="1535" w:val="left"/>
        </w:tabs>
        <w:numPr>
          <w:ilvl w:val="1"/>
          <w:numId w:val="360"/>
        </w:numPr>
        <w:rPr>
          <w:rFonts w:ascii="Arial" w:cs="Arial" w:eastAsia="Arial" w:hAnsi="Arial"/>
          <w:sz w:val="18"/>
          <w:szCs w:val="18"/>
          <w:color w:val="auto"/>
        </w:rPr>
      </w:pPr>
      <w:r>
        <w:rPr>
          <w:rFonts w:ascii="Arial" w:cs="Arial" w:eastAsia="Arial" w:hAnsi="Arial"/>
          <w:sz w:val="18"/>
          <w:szCs w:val="18"/>
          <w:color w:val="auto"/>
        </w:rPr>
        <w:t>none of the Agents, or any Arranger or any of their respective Affiliates is a fiduciary with respect to the assets of such Lender (including in connection with the reservation or exercise of any rights by the Agents under this Agreement, any Loan Document or any documents related to hereto or thereto),</w:t>
      </w:r>
    </w:p>
    <w:p>
      <w:pPr>
        <w:spacing w:after="0" w:line="73" w:lineRule="exact"/>
        <w:rPr>
          <w:rFonts w:ascii="Arial" w:cs="Arial" w:eastAsia="Arial" w:hAnsi="Arial"/>
          <w:sz w:val="18"/>
          <w:szCs w:val="18"/>
          <w:color w:val="auto"/>
        </w:rPr>
      </w:pPr>
    </w:p>
    <w:p>
      <w:pPr>
        <w:ind w:left="900" w:firstLine="421"/>
        <w:spacing w:after="0" w:line="291" w:lineRule="auto"/>
        <w:tabs>
          <w:tab w:leader="none" w:pos="1585" w:val="left"/>
        </w:tabs>
        <w:numPr>
          <w:ilvl w:val="1"/>
          <w:numId w:val="360"/>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w:t>
      </w:r>
    </w:p>
    <w:p>
      <w:pPr>
        <w:ind w:left="900"/>
        <w:spacing w:after="0" w:line="323" w:lineRule="auto"/>
        <w:rPr>
          <w:rFonts w:ascii="Arial" w:cs="Arial" w:eastAsia="Arial" w:hAnsi="Arial"/>
          <w:sz w:val="16"/>
          <w:szCs w:val="16"/>
          <w:color w:val="auto"/>
        </w:rPr>
      </w:pPr>
      <w:r>
        <w:rPr>
          <w:rFonts w:ascii="Arial" w:cs="Arial" w:eastAsia="Arial" w:hAnsi="Arial"/>
          <w:sz w:val="16"/>
          <w:szCs w:val="16"/>
          <w:color w:val="auto"/>
        </w:rPr>
        <w:t>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30" w:lineRule="exact"/>
        <w:rPr>
          <w:rFonts w:ascii="Arial" w:cs="Arial" w:eastAsia="Arial" w:hAnsi="Arial"/>
          <w:sz w:val="16"/>
          <w:szCs w:val="16"/>
          <w:color w:val="auto"/>
        </w:rPr>
      </w:pPr>
    </w:p>
    <w:p>
      <w:pPr>
        <w:ind w:left="900" w:right="160" w:firstLine="421"/>
        <w:spacing w:after="0" w:line="312" w:lineRule="auto"/>
        <w:tabs>
          <w:tab w:leader="none" w:pos="1635" w:val="left"/>
        </w:tabs>
        <w:numPr>
          <w:ilvl w:val="1"/>
          <w:numId w:val="360"/>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38" w:lineRule="exact"/>
        <w:rPr>
          <w:rFonts w:ascii="Arial" w:cs="Arial" w:eastAsia="Arial" w:hAnsi="Arial"/>
          <w:sz w:val="16"/>
          <w:szCs w:val="16"/>
          <w:color w:val="auto"/>
        </w:rPr>
      </w:pPr>
    </w:p>
    <w:p>
      <w:pPr>
        <w:jc w:val="both"/>
        <w:ind w:left="900" w:right="80" w:firstLine="421"/>
        <w:spacing w:after="0" w:line="259" w:lineRule="auto"/>
        <w:tabs>
          <w:tab w:leader="none" w:pos="1625"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78" w:lineRule="exact"/>
        <w:rPr>
          <w:rFonts w:ascii="Arial" w:cs="Arial" w:eastAsia="Arial" w:hAnsi="Arial"/>
          <w:sz w:val="18"/>
          <w:szCs w:val="18"/>
          <w:color w:val="auto"/>
        </w:rPr>
      </w:pPr>
    </w:p>
    <w:p>
      <w:pPr>
        <w:ind w:left="900" w:right="440" w:firstLine="421"/>
        <w:spacing w:after="0" w:line="342" w:lineRule="auto"/>
        <w:tabs>
          <w:tab w:leader="none" w:pos="1575" w:val="left"/>
        </w:tabs>
        <w:numPr>
          <w:ilvl w:val="1"/>
          <w:numId w:val="360"/>
        </w:numPr>
        <w:rPr>
          <w:rFonts w:ascii="Arial" w:cs="Arial" w:eastAsia="Arial" w:hAnsi="Arial"/>
          <w:sz w:val="16"/>
          <w:szCs w:val="16"/>
          <w:color w:val="auto"/>
        </w:rPr>
      </w:pPr>
      <w:r>
        <w:rPr>
          <w:rFonts w:ascii="Arial" w:cs="Arial" w:eastAsia="Arial" w:hAnsi="Arial"/>
          <w:sz w:val="16"/>
          <w:szCs w:val="16"/>
          <w:color w:val="auto"/>
        </w:rPr>
        <w:t>no fee or other compensation is being paid directly to the Agents, or any Arranger or any their respective Affiliates for investment advice (as opposed to other services) in connection with the Loans, the Letters of Credit, the Commitments or this Agreement.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60" w:top="274" w:right="259" w:bottom="1440" w:gutter="0" w:footer="0" w:header="0"/>
        </w:sectPr>
      </w:pPr>
    </w:p>
    <w:bookmarkStart w:id="332" w:name="page333"/>
    <w:bookmarkEnd w:id="332"/>
    <w:p>
      <w:pPr>
        <w:ind w:right="20" w:firstLine="921"/>
        <w:spacing w:after="0" w:line="270" w:lineRule="auto"/>
        <w:tabs>
          <w:tab w:leader="none" w:pos="1158" w:val="left"/>
        </w:tabs>
        <w:numPr>
          <w:ilvl w:val="0"/>
          <w:numId w:val="3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Agents,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 MISCELLANEOUS</w:t>
      </w:r>
    </w:p>
    <w:p>
      <w:pPr>
        <w:spacing w:after="0" w:line="225" w:lineRule="exact"/>
        <w:rPr>
          <w:sz w:val="20"/>
          <w:szCs w:val="20"/>
          <w:color w:val="auto"/>
        </w:rPr>
      </w:pPr>
    </w:p>
    <w:p>
      <w:pPr>
        <w:ind w:right="40" w:firstLine="913"/>
        <w:spacing w:after="0" w:line="28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 Subject to Section 2.16,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Brazilian Intercreditor Agreement and the Brazilian Bank Certificates shall be amended, modified, or supplemented in accordance with their individual terms and shall not be subject to the provisions of this Section 10.1 and (ii) any update or revision to any annex or schedule to any Loan Document (other than any amendment or modification to </w:t>
      </w:r>
      <w:r>
        <w:rPr>
          <w:rFonts w:ascii="Arial" w:cs="Arial" w:eastAsia="Arial" w:hAnsi="Arial"/>
          <w:sz w:val="16"/>
          <w:szCs w:val="16"/>
          <w:u w:val="single" w:color="auto"/>
          <w:color w:val="auto"/>
        </w:rPr>
        <w:t>Schedule 1.1C</w:t>
      </w:r>
      <w:r>
        <w:rPr>
          <w:rFonts w:ascii="Arial" w:cs="Arial" w:eastAsia="Arial" w:hAnsi="Arial"/>
          <w:sz w:val="16"/>
          <w:szCs w:val="16"/>
          <w:color w:val="auto"/>
        </w:rPr>
        <w:t xml:space="preserve">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w:t>
      </w:r>
    </w:p>
    <w:p>
      <w:pPr>
        <w:spacing w:after="0" w:line="7" w:lineRule="exact"/>
        <w:rPr>
          <w:sz w:val="20"/>
          <w:szCs w:val="20"/>
          <w:color w:val="auto"/>
        </w:rPr>
      </w:pPr>
    </w:p>
    <w:p>
      <w:pPr>
        <w:ind w:right="200" w:firstLine="8"/>
        <w:spacing w:after="0" w:line="252" w:lineRule="auto"/>
        <w:tabs>
          <w:tab w:leader="none" w:pos="21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enter into written amendments, supplements or modifications hereto and to the other Loan Documents for the purpose of adding any provisions to this Agreement or the other Loan Documents or changing in any manner the rights or obligations of the Agents, the Issuing Lenders,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waiver and no such amendment, supplement or modification shall:</w:t>
      </w:r>
    </w:p>
    <w:p>
      <w:pPr>
        <w:spacing w:after="0" w:line="86" w:lineRule="exact"/>
        <w:rPr>
          <w:rFonts w:ascii="Arial" w:cs="Arial" w:eastAsia="Arial" w:hAnsi="Arial"/>
          <w:sz w:val="18"/>
          <w:szCs w:val="18"/>
          <w:color w:val="auto"/>
        </w:rPr>
      </w:pPr>
    </w:p>
    <w:p>
      <w:pPr>
        <w:ind w:left="920" w:firstLine="421"/>
        <w:spacing w:after="0" w:line="297" w:lineRule="auto"/>
        <w:tabs>
          <w:tab w:leader="none" w:pos="1635" w:val="left"/>
        </w:tabs>
        <w:numPr>
          <w:ilvl w:val="1"/>
          <w:numId w:val="362"/>
        </w:numPr>
        <w:rPr>
          <w:rFonts w:ascii="Arial" w:cs="Arial" w:eastAsia="Arial" w:hAnsi="Arial"/>
          <w:sz w:val="16"/>
          <w:szCs w:val="16"/>
          <w:color w:val="auto"/>
        </w:rPr>
      </w:pPr>
      <w:r>
        <w:rPr>
          <w:rFonts w:ascii="Arial" w:cs="Arial" w:eastAsia="Arial" w:hAnsi="Arial"/>
          <w:sz w:val="16"/>
          <w:szCs w:val="16"/>
          <w:color w:val="auto"/>
        </w:rPr>
        <w:t>forgive or reduce any principal amount or extend the final scheduled date of maturity of any Loan or any Reimbursement Obligation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3" w:right="239" w:bottom="1440" w:gutter="0" w:footer="0" w:header="0"/>
        </w:sectPr>
      </w:pPr>
    </w:p>
    <w:bookmarkStart w:id="333" w:name="page334"/>
    <w:bookmarkEnd w:id="333"/>
    <w:p>
      <w:pPr>
        <w:ind w:left="1620" w:hanging="279"/>
        <w:spacing w:after="0"/>
        <w:tabs>
          <w:tab w:leader="none" w:pos="16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eliminate or reduce the voting rights of any Lender under this Section 10.1 without the written consent of such Lender;</w:t>
      </w:r>
    </w:p>
    <w:p>
      <w:pPr>
        <w:spacing w:after="0" w:line="117" w:lineRule="exact"/>
        <w:rPr>
          <w:rFonts w:ascii="Arial" w:cs="Arial" w:eastAsia="Arial" w:hAnsi="Arial"/>
          <w:sz w:val="18"/>
          <w:szCs w:val="18"/>
          <w:color w:val="auto"/>
        </w:rPr>
      </w:pPr>
    </w:p>
    <w:p>
      <w:pPr>
        <w:jc w:val="both"/>
        <w:ind w:left="920" w:right="40" w:firstLine="421"/>
        <w:spacing w:after="0" w:line="302" w:lineRule="auto"/>
        <w:tabs>
          <w:tab w:leader="none" w:pos="1625" w:val="left"/>
        </w:tabs>
        <w:numPr>
          <w:ilvl w:val="0"/>
          <w:numId w:val="363"/>
        </w:numPr>
        <w:rPr>
          <w:rFonts w:ascii="Arial" w:cs="Arial" w:eastAsia="Arial" w:hAnsi="Arial"/>
          <w:sz w:val="16"/>
          <w:szCs w:val="16"/>
          <w:color w:val="auto"/>
        </w:rPr>
      </w:pPr>
      <w:r>
        <w:rPr>
          <w:rFonts w:ascii="Arial" w:cs="Arial" w:eastAsia="Arial" w:hAnsi="Arial"/>
          <w:sz w:val="16"/>
          <w:szCs w:val="16"/>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46" w:lineRule="exact"/>
        <w:rPr>
          <w:rFonts w:ascii="Arial" w:cs="Arial" w:eastAsia="Arial" w:hAnsi="Arial"/>
          <w:sz w:val="16"/>
          <w:szCs w:val="16"/>
          <w:color w:val="auto"/>
        </w:rPr>
      </w:pPr>
    </w:p>
    <w:p>
      <w:pPr>
        <w:ind w:left="1640" w:hanging="299"/>
        <w:spacing w:after="0"/>
        <w:tabs>
          <w:tab w:leader="none" w:pos="16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without the written consent of all Lenders;</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61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Majority Facility Lenders with respect to any Facility without the written consent of all Lenders under such Facility;</w:t>
      </w:r>
    </w:p>
    <w:p>
      <w:pPr>
        <w:spacing w:after="0" w:line="62" w:lineRule="exact"/>
        <w:rPr>
          <w:rFonts w:ascii="Arial" w:cs="Arial" w:eastAsia="Arial" w:hAnsi="Arial"/>
          <w:sz w:val="18"/>
          <w:szCs w:val="18"/>
          <w:color w:val="auto"/>
        </w:rPr>
      </w:pPr>
    </w:p>
    <w:p>
      <w:pPr>
        <w:ind w:left="920" w:right="140" w:firstLine="421"/>
        <w:spacing w:after="0" w:line="342" w:lineRule="auto"/>
        <w:tabs>
          <w:tab w:leader="none" w:pos="1605" w:val="left"/>
        </w:tabs>
        <w:numPr>
          <w:ilvl w:val="0"/>
          <w:numId w:val="363"/>
        </w:numPr>
        <w:rPr>
          <w:rFonts w:ascii="Arial" w:cs="Arial" w:eastAsia="Arial" w:hAnsi="Arial"/>
          <w:sz w:val="16"/>
          <w:szCs w:val="16"/>
          <w:color w:val="auto"/>
        </w:rPr>
      </w:pPr>
      <w:r>
        <w:rPr>
          <w:rFonts w:ascii="Arial" w:cs="Arial" w:eastAsia="Arial" w:hAnsi="Arial"/>
          <w:sz w:val="16"/>
          <w:szCs w:val="16"/>
          <w:color w:val="auto"/>
        </w:rPr>
        <w:t>amend, modify or waive any provision of Section 9 in a manner adverse to (i) the Administrative Agent without the written consent of the Administrative Agent or (ii) the Brazilian Administrative Agent without the written consent of the Brazilian Administrative Agent;</w:t>
      </w:r>
    </w:p>
    <w:p>
      <w:pPr>
        <w:spacing w:after="0" w:line="15" w:lineRule="exact"/>
        <w:rPr>
          <w:rFonts w:ascii="Arial" w:cs="Arial" w:eastAsia="Arial" w:hAnsi="Arial"/>
          <w:sz w:val="16"/>
          <w:szCs w:val="16"/>
          <w:color w:val="auto"/>
        </w:rPr>
      </w:pPr>
    </w:p>
    <w:p>
      <w:pPr>
        <w:ind w:left="920" w:right="500" w:firstLine="421"/>
        <w:spacing w:after="0" w:line="277" w:lineRule="auto"/>
        <w:tabs>
          <w:tab w:leader="none" w:pos="163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amend, modify or waive any provision of Section 3 in a manner adverse to an Issuing Lender without the written consent of such Issuing Lender;</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amend, modify or waive any provision of Section 2.17(a) or (b) without the written consent of each Lender adversely affected thereby;</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1560" w:hanging="219"/>
        <w:spacing w:after="0"/>
        <w:tabs>
          <w:tab w:leader="none" w:pos="15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add additional available currencies to any Facility without the written consent of each Lender directly affected thereby.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Lenders and shall be binding upon the Loan Parties, the Lenders, the Issuing Lenders, the Administrative Agent, the Brazilian Administrative Agent and all future holders of the Loans. In the case of any waiver, the Loan Parties, the Lenders, the Issuing Lenders, the Administrative Agent and the Brazilian Administrative Agent shall be restored to their former positions and rights hereunder and under the other Loan Documents and the Brazilian Intercreditor Agreement, and any Default or Event of Default waived shall be deemed to be cured and not continuing; but no such waiver shall extend to any subsequent or other Default or Event of Default, or impair any right consequent thereon.</w:t>
      </w:r>
    </w:p>
    <w:p>
      <w:pPr>
        <w:spacing w:after="0" w:line="193" w:lineRule="exact"/>
        <w:rPr>
          <w:sz w:val="20"/>
          <w:szCs w:val="20"/>
          <w:color w:val="auto"/>
        </w:rPr>
      </w:pPr>
    </w:p>
    <w:p>
      <w:pPr>
        <w:ind w:firstLine="921"/>
        <w:spacing w:after="0" w:line="272" w:lineRule="auto"/>
        <w:tabs>
          <w:tab w:leader="none" w:pos="1168" w:val="left"/>
        </w:tabs>
        <w:numPr>
          <w:ilvl w:val="0"/>
          <w:numId w:val="364"/>
        </w:numPr>
        <w:rPr>
          <w:rFonts w:ascii="Arial" w:cs="Arial" w:eastAsia="Arial" w:hAnsi="Arial"/>
          <w:sz w:val="17"/>
          <w:szCs w:val="17"/>
          <w:color w:val="auto"/>
        </w:rPr>
      </w:pPr>
      <w:r>
        <w:rPr>
          <w:rFonts w:ascii="Arial" w:cs="Arial" w:eastAsia="Arial" w:hAnsi="Arial"/>
          <w:sz w:val="17"/>
          <w:szCs w:val="17"/>
          <w:color w:val="auto"/>
        </w:rPr>
        <w:t>Notwithstanding the foregoing paragraph (a), without the consent of the Required Lenders (or, in the case of clauses (i) and (iii) below, any Issuing Lender), but subject to any consent required by paragraphs (A) through (I) above, (i) the terms of any Facility may be amended, modified or waived in any manner that does not adversely affect the rights or obligations of Lenders under any other Facility with the written consent of the Majority Facility Lenders in respect of such Facility, (ii) this Agreement may be amended with only the consent of the Company, the Administrative Agent and each Issuing Lender, if any, as may be necessary in the reasonable opinion of the Company and the Administrative Agent in order to provide that Letters of Credit are to be issued under the Multicurrency Facility rather than the Domestic Facility and (iii) the Administrative Agent (on its own behalf and as agent on behalf of each Lender and Issuing Lender) and the Company (on its own behalf and as agent 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3" w:right="239" w:bottom="1440" w:gutter="0" w:footer="0" w:header="0"/>
        </w:sectPr>
      </w:pPr>
    </w:p>
    <w:bookmarkStart w:id="334" w:name="page335"/>
    <w:bookmarkEnd w:id="334"/>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behalf of any other Loan Party who is a party to the relevant Loan Document) may amend, modify or supplement any provision of this Agreement or any other Loan Document, and the Administrative Agent (on its own behalf and as agent on behalf of each Lender and Issuing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Arial" w:cs="Arial" w:eastAsia="Arial" w:hAnsi="Arial"/>
          <w:sz w:val="16"/>
          <w:szCs w:val="16"/>
          <w:u w:val="single" w:color="auto"/>
          <w:color w:val="auto"/>
        </w:rPr>
        <w:t>provided</w:t>
      </w:r>
      <w:r>
        <w:rPr>
          <w:rFonts w:ascii="Arial" w:cs="Arial" w:eastAsia="Arial" w:hAnsi="Arial"/>
          <w:sz w:val="16"/>
          <w:szCs w:val="16"/>
          <w:color w:val="auto"/>
        </w:rPr>
        <w:t>, that the Administrative Agent shall notify the Lenders and Issuing Lenders of any such amendment, modification, supplement or waiver consummated in accordance with this clause (iii) promptly after consummation thereof.</w:t>
      </w:r>
    </w:p>
    <w:p>
      <w:pPr>
        <w:spacing w:after="0" w:line="166" w:lineRule="exact"/>
        <w:rPr>
          <w:sz w:val="20"/>
          <w:szCs w:val="20"/>
          <w:color w:val="auto"/>
        </w:rPr>
      </w:pPr>
    </w:p>
    <w:p>
      <w:pPr>
        <w:ind w:right="20" w:firstLine="921"/>
        <w:spacing w:after="0" w:line="255" w:lineRule="auto"/>
        <w:tabs>
          <w:tab w:leader="none" w:pos="115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For the avoidance of doubt it is understood that (i) any transaction permitted by Sections 2.9, 2.25, 2.26 and 2.27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93" w:lineRule="exact"/>
        <w:rPr>
          <w:rFonts w:ascii="Arial" w:cs="Arial" w:eastAsia="Arial" w:hAnsi="Arial"/>
          <w:sz w:val="18"/>
          <w:szCs w:val="18"/>
          <w:color w:val="auto"/>
        </w:rPr>
      </w:pPr>
    </w:p>
    <w:p>
      <w:pPr>
        <w:ind w:firstLine="921"/>
        <w:spacing w:after="0" w:line="277" w:lineRule="auto"/>
        <w:tabs>
          <w:tab w:leader="none" w:pos="116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170" w:lineRule="exact"/>
        <w:rPr>
          <w:sz w:val="20"/>
          <w:szCs w:val="20"/>
          <w:color w:val="auto"/>
        </w:rPr>
      </w:pPr>
    </w:p>
    <w:p>
      <w:pPr>
        <w:ind w:firstLine="921"/>
        <w:spacing w:after="0" w:line="284" w:lineRule="auto"/>
        <w:tabs>
          <w:tab w:leader="none" w:pos="1128" w:val="left"/>
        </w:tabs>
        <w:numPr>
          <w:ilvl w:val="1"/>
          <w:numId w:val="366"/>
        </w:numPr>
        <w:rPr>
          <w:rFonts w:ascii="Arial" w:cs="Arial" w:eastAsia="Arial" w:hAnsi="Arial"/>
          <w:sz w:val="16"/>
          <w:szCs w:val="16"/>
          <w:color w:val="auto"/>
        </w:rPr>
      </w:pPr>
      <w:r>
        <w:rPr>
          <w:rFonts w:ascii="Arial" w:cs="Arial" w:eastAsia="Arial" w:hAnsi="Arial"/>
          <w:sz w:val="16"/>
          <w:szCs w:val="16"/>
          <w:color w:val="auto"/>
        </w:rPr>
        <w:t>to designate (v) any Domestic Subsidiary of the Company as a Domestic Subsidiary Borrower, (w) any Foreign Subsidiary incorporated under the laws of England and Wales or Sweden as a Foreign Subsidiary Borrower under the Multicurrency Facility, (x) any Foreign Subsidiary organized or domiciled under the laws of Canada, Germany or any other foreign jurisdiction, in each case with the consent of each Lender under the Multicurrency Facility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Lender may withhold such consent unless it is unable to make extensions of credit or provide Commitments to such Foreign Subsidiary pursuant to any Requirement of Law) and the Administrative Agent (not to be unreasonably withheld), as a Foreign Subsidiary Borrower under the Multicurrency Facility, (y) with the consent of the Brazilian Lenders, any Brazilian Subsidiary as a Brazilian Subsidiary Borrower under the Brazilian Facility and (z) any other Foreign Subsidiary of the Company as a Foreign Subsidiary Borrower under a New Local Facility or any Incremental Facility upon</w:t>
      </w:r>
    </w:p>
    <w:p>
      <w:pPr>
        <w:spacing w:after="0" w:line="2" w:lineRule="exact"/>
        <w:rPr>
          <w:rFonts w:ascii="Arial" w:cs="Arial" w:eastAsia="Arial" w:hAnsi="Arial"/>
          <w:sz w:val="16"/>
          <w:szCs w:val="16"/>
          <w:color w:val="auto"/>
        </w:rPr>
      </w:pPr>
    </w:p>
    <w:p>
      <w:pPr>
        <w:ind w:firstLine="8"/>
        <w:spacing w:after="0" w:line="267" w:lineRule="auto"/>
        <w:tabs>
          <w:tab w:leader="none" w:pos="295" w:val="left"/>
        </w:tabs>
        <w:numPr>
          <w:ilvl w:val="0"/>
          <w:numId w:val="367"/>
        </w:numPr>
        <w:rPr>
          <w:rFonts w:ascii="Arial" w:cs="Arial" w:eastAsia="Arial" w:hAnsi="Arial"/>
          <w:sz w:val="17"/>
          <w:szCs w:val="17"/>
          <w:color w:val="auto"/>
        </w:rPr>
      </w:pPr>
      <w:r>
        <w:rPr>
          <w:rFonts w:ascii="Arial" w:cs="Arial" w:eastAsia="Arial" w:hAnsi="Arial"/>
          <w:sz w:val="17"/>
          <w:szCs w:val="17"/>
          <w:color w:val="auto"/>
        </w:rPr>
        <w:t>ten Business Days’ prior notice to the Administrative Agent (and, in the case of any additional Brazilian Subsidiary Borrower, the Brazilian Administrative Agent) (such notice to contain the name, primary business address and taxpayer identification number of such Subsidiary), (B) the execution and delivery by the Company, such Subsidiary and the Administrative Agent (and, in the case of any additional Brazilian Subsidiary Borrower, the Brazilian Administrative Agent) of a Borrower Joinder Agreement, providing for such Subsidiary to become a Subsidiary Borrower, (C) the agreement and acknowledgment by the Company and, during any Reinstated Guarantee Period, each Subsidiary Guarantor, that the Guarantee covers the Obligations of such Subsidiary, (D) the delivery to the Administrative Agent (and, in the case of any new Brazilian Subsidiary Borrower, the Brazilian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(and, in the case of any new Brazilian Subsidiary Borrower, the Brazilian Administrative Agent) of any documentation or other information reasonably requested by the Administrative Agent (or the Brazilian Administrative Agent, as applicable) and necessary to satisfy obligations of the Lenders described in Section 10.18 or any applicable “know your customer” or other anti-money laundering Requirement of Law;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74" w:right="259" w:bottom="1440" w:gutter="0" w:footer="0" w:header="0"/>
        </w:sectPr>
      </w:pPr>
    </w:p>
    <w:bookmarkStart w:id="335" w:name="page336"/>
    <w:bookmarkEnd w:id="335"/>
    <w:p>
      <w:pPr>
        <w:ind w:right="140" w:firstLine="921"/>
        <w:spacing w:after="0" w:line="272" w:lineRule="auto"/>
        <w:tabs>
          <w:tab w:leader="none" w:pos="1178" w:val="left"/>
        </w:tabs>
        <w:numPr>
          <w:ilvl w:val="0"/>
          <w:numId w:val="3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remove any Subsidiary as a Subsidiary Borrower upon (A) execution and delivery by the Company to the Administrative Agent of a written notification to such effect, (B) repayment in full of all Loans made to such Subsidiary Borrower, (C) repayment in full of all other amounts owing by such Subsidiary Borrower under this Agreement and the other Loan Documents and (D) Collateralization of the then undrawn and unexpired amount of all Letters of Credit issued for the account of such Subsidiary Borrower (calculated, in the case of Letters of Credit denominated in Optional Currencies, at the Dollar Equivalent thereof on the date of removal)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the Brazilian Administrative Agent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1420"/>
          </w:cols>
          <w:pgMar w:left="240" w:top="274"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Any 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482-C26-A68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20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Assistant Treasurer</w:t>
      </w:r>
    </w:p>
    <w:p>
      <w:pPr>
        <w:spacing w:after="0" w:line="20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line="2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Detroit Treasury Office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Mail code: 482-C26-C18</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Attention: Director, Capital Markets</w:t>
      </w:r>
    </w:p>
    <w:p>
      <w:pPr>
        <w:sectPr>
          <w:pgSz w:w="11900" w:h="16838" w:orient="portrait"/>
          <w:cols w:equalWidth="0" w:num="1">
            <w:col w:w="11420"/>
          </w:cols>
          <w:pgMar w:left="240" w:top="274" w:right="239" w:bottom="144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482-C26-B98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Treasury Operations</w:t>
      </w:r>
    </w:p>
    <w:p>
      <w:pPr>
        <w:spacing w:after="0" w:line="18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274" w:right="239" w:bottom="1440" w:gutter="0" w:footer="0" w:header="0"/>
          <w:type w:val="continuous"/>
        </w:sectPr>
      </w:pPr>
    </w:p>
    <w:bookmarkStart w:id="336" w:name="page337"/>
    <w:bookmarkEnd w:id="336"/>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with a further copy to (which shall not constitute notice):</w:t>
            </w: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General Motors Company</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Mail Code 482-C39-B40</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300 Renaissance Center</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P.O. Box 300</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Detroit, MI 48265-3000</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Attention: General Counsel</w:t>
            </w:r>
          </w:p>
        </w:tc>
      </w:tr>
      <w:tr>
        <w:trPr>
          <w:trHeight w:val="230"/>
        </w:trPr>
        <w:tc>
          <w:tcPr>
            <w:tcW w:w="4860" w:type="dxa"/>
            <w:vAlign w:val="bottom"/>
          </w:tcPr>
          <w:p>
            <w:pPr>
              <w:spacing w:after="0"/>
              <w:rPr>
                <w:sz w:val="20"/>
                <w:szCs w:val="20"/>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Email: craig.glidden@gm.com</w:t>
            </w:r>
          </w:p>
        </w:tc>
      </w:tr>
      <w:tr>
        <w:trPr>
          <w:trHeight w:val="431"/>
        </w:trPr>
        <w:tc>
          <w:tcPr>
            <w:tcW w:w="4860" w:type="dxa"/>
            <w:vAlign w:val="bottom"/>
          </w:tcPr>
          <w:p>
            <w:pPr>
              <w:spacing w:after="0"/>
              <w:rPr>
                <w:sz w:val="20"/>
                <w:szCs w:val="20"/>
                <w:color w:val="auto"/>
              </w:rPr>
            </w:pPr>
            <w:r>
              <w:rPr>
                <w:rFonts w:ascii="Arial" w:cs="Arial" w:eastAsia="Arial" w:hAnsi="Arial"/>
                <w:sz w:val="18"/>
                <w:szCs w:val="18"/>
                <w:color w:val="auto"/>
              </w:rPr>
              <w:t>with a further copy to (which shall not constitute notice):</w:t>
            </w: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General Motors Company</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Mail Code 482-C24-A68</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300 Renaissance Center</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P.O. Box 300</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Detroit, MI 48265-3000</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w w:val="95"/>
              </w:rPr>
              <w:t>Attention: Assistant General Counsel &amp; Corporate Secretary Email:</w:t>
            </w:r>
          </w:p>
        </w:tc>
      </w:tr>
      <w:tr>
        <w:trPr>
          <w:trHeight w:val="230"/>
        </w:trPr>
        <w:tc>
          <w:tcPr>
            <w:tcW w:w="4860" w:type="dxa"/>
            <w:vAlign w:val="bottom"/>
          </w:tcPr>
          <w:p>
            <w:pPr>
              <w:spacing w:after="0"/>
              <w:rPr>
                <w:sz w:val="20"/>
                <w:szCs w:val="20"/>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rick.hansen@gm.com</w:t>
            </w:r>
          </w:p>
        </w:tc>
      </w:tr>
      <w:tr>
        <w:trPr>
          <w:trHeight w:val="431"/>
        </w:trPr>
        <w:tc>
          <w:tcPr>
            <w:tcW w:w="4860" w:type="dxa"/>
            <w:vAlign w:val="bottom"/>
          </w:tcPr>
          <w:p>
            <w:pPr>
              <w:spacing w:after="0"/>
              <w:rPr>
                <w:sz w:val="20"/>
                <w:szCs w:val="20"/>
                <w:color w:val="auto"/>
              </w:rPr>
            </w:pPr>
            <w:r>
              <w:rPr>
                <w:rFonts w:ascii="Arial" w:cs="Arial" w:eastAsia="Arial" w:hAnsi="Arial"/>
                <w:sz w:val="18"/>
                <w:szCs w:val="18"/>
                <w:color w:val="auto"/>
              </w:rPr>
              <w:t>Administrative Agent for all notices:</w:t>
            </w: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JPMorgan Chase Bank, N.A., as Administrative Agent</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Investment Bank Loan Operations North America</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500 Stanton Christiana Road, NCC5, Floor 01</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Newark, DE, 19713-2107, United States</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Email: Meghan.Roberts@chase.com</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Facsimile: 302-634-4733</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Telephone: 302-634-4670</w:t>
            </w:r>
          </w:p>
        </w:tc>
      </w:tr>
      <w:tr>
        <w:trPr>
          <w:trHeight w:val="230"/>
        </w:trPr>
        <w:tc>
          <w:tcPr>
            <w:tcW w:w="4860" w:type="dxa"/>
            <w:vAlign w:val="bottom"/>
          </w:tcPr>
          <w:p>
            <w:pPr>
              <w:spacing w:after="0"/>
              <w:rPr>
                <w:sz w:val="20"/>
                <w:szCs w:val="20"/>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Attention: Meghan Roberts</w:t>
            </w:r>
          </w:p>
        </w:tc>
      </w:tr>
      <w:tr>
        <w:trPr>
          <w:trHeight w:val="431"/>
        </w:trPr>
        <w:tc>
          <w:tcPr>
            <w:tcW w:w="4860" w:type="dxa"/>
            <w:vAlign w:val="bottom"/>
          </w:tcPr>
          <w:p>
            <w:pPr>
              <w:spacing w:after="0"/>
              <w:rPr>
                <w:sz w:val="20"/>
                <w:szCs w:val="20"/>
                <w:color w:val="auto"/>
              </w:rPr>
            </w:pPr>
            <w:r>
              <w:rPr>
                <w:rFonts w:ascii="Arial" w:cs="Arial" w:eastAsia="Arial" w:hAnsi="Arial"/>
                <w:sz w:val="18"/>
                <w:szCs w:val="18"/>
                <w:color w:val="auto"/>
              </w:rPr>
              <w:t>with a copy to:</w:t>
            </w: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JPMorgan Chase Bank, N.A.</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383 Madison Avenue, Floor 24</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New York, NY, 10179, United States</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Email: RICHARD.DUKER@jpmorgan.com</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Facsimile: 212-270-5100</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Telephone: 212-270-3057</w:t>
            </w:r>
          </w:p>
        </w:tc>
      </w:tr>
      <w:tr>
        <w:trPr>
          <w:trHeight w:val="230"/>
        </w:trPr>
        <w:tc>
          <w:tcPr>
            <w:tcW w:w="4860" w:type="dxa"/>
            <w:vAlign w:val="bottom"/>
          </w:tcPr>
          <w:p>
            <w:pPr>
              <w:spacing w:after="0"/>
              <w:rPr>
                <w:sz w:val="20"/>
                <w:szCs w:val="20"/>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Attention: Richard W. Duker</w:t>
            </w:r>
          </w:p>
        </w:tc>
      </w:tr>
      <w:tr>
        <w:trPr>
          <w:trHeight w:val="431"/>
        </w:trPr>
        <w:tc>
          <w:tcPr>
            <w:tcW w:w="4860" w:type="dxa"/>
            <w:vAlign w:val="bottom"/>
          </w:tcPr>
          <w:p>
            <w:pPr>
              <w:spacing w:after="0"/>
              <w:rPr>
                <w:sz w:val="20"/>
                <w:szCs w:val="20"/>
                <w:color w:val="auto"/>
              </w:rPr>
            </w:pPr>
            <w:r>
              <w:rPr>
                <w:rFonts w:ascii="Arial" w:cs="Arial" w:eastAsia="Arial" w:hAnsi="Arial"/>
                <w:sz w:val="18"/>
                <w:szCs w:val="18"/>
                <w:color w:val="auto"/>
              </w:rPr>
              <w:t>with a further copy (with respect to</w:t>
            </w: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J.P. Morgan Europe Limited</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any notices in connection with the</w:t>
            </w: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Loans Agency 6</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Multicurrency Facility) to:</w:t>
            </w: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25 Bank Street, Canary Wharf</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London E14 5JP</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United Kingdom</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Attention: Loans Agency</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Facsimile: +44 20 7777 2360</w:t>
            </w:r>
          </w:p>
        </w:tc>
      </w:tr>
      <w:tr>
        <w:trPr>
          <w:trHeight w:val="190"/>
        </w:trPr>
        <w:tc>
          <w:tcPr>
            <w:tcW w:w="4860" w:type="dxa"/>
            <w:vAlign w:val="bottom"/>
          </w:tcPr>
          <w:p>
            <w:pPr>
              <w:spacing w:after="0"/>
              <w:rPr>
                <w:sz w:val="16"/>
                <w:szCs w:val="16"/>
                <w:color w:val="auto"/>
              </w:rPr>
            </w:pPr>
          </w:p>
        </w:tc>
        <w:tc>
          <w:tcPr>
            <w:tcW w:w="6320" w:type="dxa"/>
            <w:vAlign w:val="bottom"/>
            <w:gridSpan w:val="3"/>
          </w:tcPr>
          <w:p>
            <w:pPr>
              <w:ind w:left="1200"/>
              <w:spacing w:after="0" w:line="190" w:lineRule="exact"/>
              <w:rPr>
                <w:sz w:val="20"/>
                <w:szCs w:val="20"/>
                <w:color w:val="auto"/>
              </w:rPr>
            </w:pPr>
            <w:r>
              <w:rPr>
                <w:rFonts w:ascii="Arial" w:cs="Arial" w:eastAsia="Arial" w:hAnsi="Arial"/>
                <w:sz w:val="18"/>
                <w:szCs w:val="18"/>
                <w:color w:val="auto"/>
              </w:rPr>
              <w:t>Email: loan_and_agency_london@jpmorgan.com</w:t>
            </w:r>
          </w:p>
        </w:tc>
      </w:tr>
      <w:tr>
        <w:trPr>
          <w:trHeight w:val="20"/>
        </w:trPr>
        <w:tc>
          <w:tcPr>
            <w:tcW w:w="4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52"/>
        </w:trPr>
        <w:tc>
          <w:tcPr>
            <w:tcW w:w="4860" w:type="dxa"/>
            <w:vAlign w:val="bottom"/>
          </w:tcPr>
          <w:p>
            <w:pPr>
              <w:spacing w:after="0"/>
              <w:rPr>
                <w:sz w:val="20"/>
                <w:szCs w:val="20"/>
                <w:color w:val="auto"/>
              </w:rPr>
            </w:pPr>
            <w:r>
              <w:rPr>
                <w:rFonts w:ascii="Arial" w:cs="Arial" w:eastAsia="Arial" w:hAnsi="Arial"/>
                <w:sz w:val="18"/>
                <w:szCs w:val="18"/>
                <w:color w:val="auto"/>
              </w:rPr>
              <w:t>Brazilian Administrative Agent:</w:t>
            </w: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Banco do Brasil S.A.</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w w:val="90"/>
              </w:rPr>
              <w:t>Avenida Paulista, 2300, 2º Andar, 2659-Large Corporate Automotivo e</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Transportes</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Bela Vista</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CEP 01310-300</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Sao Paulo - SP</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Attention: Leonardo Tadeu Biondo Silva – Global Officer</w:t>
            </w:r>
          </w:p>
        </w:tc>
      </w:tr>
      <w:tr>
        <w:trPr>
          <w:trHeight w:val="216"/>
        </w:trPr>
        <w:tc>
          <w:tcPr>
            <w:tcW w:w="4860" w:type="dxa"/>
            <w:vAlign w:val="bottom"/>
          </w:tcPr>
          <w:p>
            <w:pPr>
              <w:spacing w:after="0"/>
              <w:rPr>
                <w:sz w:val="18"/>
                <w:szCs w:val="18"/>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E-mail: leonardo.silva@bb.com.br</w:t>
            </w:r>
          </w:p>
        </w:tc>
      </w:tr>
      <w:tr>
        <w:trPr>
          <w:trHeight w:val="230"/>
        </w:trPr>
        <w:tc>
          <w:tcPr>
            <w:tcW w:w="4860" w:type="dxa"/>
            <w:vAlign w:val="bottom"/>
          </w:tcPr>
          <w:p>
            <w:pPr>
              <w:spacing w:after="0"/>
              <w:rPr>
                <w:sz w:val="20"/>
                <w:szCs w:val="20"/>
                <w:color w:val="auto"/>
              </w:rPr>
            </w:pPr>
          </w:p>
        </w:tc>
        <w:tc>
          <w:tcPr>
            <w:tcW w:w="6320" w:type="dxa"/>
            <w:vAlign w:val="bottom"/>
            <w:gridSpan w:val="3"/>
          </w:tcPr>
          <w:p>
            <w:pPr>
              <w:ind w:left="1200"/>
              <w:spacing w:after="0"/>
              <w:rPr>
                <w:sz w:val="20"/>
                <w:szCs w:val="20"/>
                <w:color w:val="auto"/>
              </w:rPr>
            </w:pPr>
            <w:r>
              <w:rPr>
                <w:rFonts w:ascii="Arial" w:cs="Arial" w:eastAsia="Arial" w:hAnsi="Arial"/>
                <w:sz w:val="18"/>
                <w:szCs w:val="18"/>
                <w:color w:val="auto"/>
              </w:rPr>
              <w:t>Phone: +55 11 2128-7103</w:t>
            </w:r>
          </w:p>
        </w:tc>
      </w:tr>
      <w:tr>
        <w:trPr>
          <w:trHeight w:val="378"/>
        </w:trPr>
        <w:tc>
          <w:tcPr>
            <w:tcW w:w="4860" w:type="dxa"/>
            <w:vAlign w:val="bottom"/>
          </w:tcPr>
          <w:p>
            <w:pPr>
              <w:spacing w:after="0"/>
              <w:rPr>
                <w:sz w:val="24"/>
                <w:szCs w:val="24"/>
                <w:color w:val="auto"/>
              </w:rPr>
            </w:pPr>
          </w:p>
        </w:tc>
        <w:tc>
          <w:tcPr>
            <w:tcW w:w="1720" w:type="dxa"/>
            <w:vAlign w:val="bottom"/>
          </w:tcPr>
          <w:p>
            <w:pPr>
              <w:ind w:left="760"/>
              <w:spacing w:after="0"/>
              <w:rPr>
                <w:sz w:val="20"/>
                <w:szCs w:val="20"/>
                <w:color w:val="auto"/>
              </w:rPr>
            </w:pPr>
            <w:r>
              <w:rPr>
                <w:rFonts w:ascii="Arial" w:cs="Arial" w:eastAsia="Arial" w:hAnsi="Arial"/>
                <w:sz w:val="18"/>
                <w:szCs w:val="18"/>
                <w:color w:val="auto"/>
              </w:rPr>
              <w:t>86</w:t>
            </w:r>
          </w:p>
        </w:tc>
        <w:tc>
          <w:tcPr>
            <w:tcW w:w="30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37" w:name="page338"/>
    <w:bookmarkEnd w:id="337"/>
    <w:p>
      <w:pPr>
        <w:ind w:right="2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that any notice, request or demand to or upon the Administrative Agent, Brazilian Administrative Agent or the Lenders pursuant to Section 2.2, 2.4, 2.5, 2.6, 2.7, 2.9, 2.10, or 2.12 shall not be effective until received.</w:t>
      </w:r>
    </w:p>
    <w:p>
      <w:pPr>
        <w:spacing w:after="0" w:line="170" w:lineRule="exact"/>
        <w:rPr>
          <w:sz w:val="20"/>
          <w:szCs w:val="20"/>
          <w:color w:val="auto"/>
        </w:rPr>
      </w:pPr>
    </w:p>
    <w:p>
      <w:pPr>
        <w:ind w:right="320" w:firstLine="921"/>
        <w:spacing w:after="0" w:line="259" w:lineRule="auto"/>
        <w:tabs>
          <w:tab w:leader="none" w:pos="116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and the Brazilian Administrative Agent may, but shall not be obligated to, make any notices or other Communications available to the Lenders and the Issuing Lenders by posting such Communications on IntraLinks™ or a substantially similar electronic platform chosen by the Administrative Agent or the Brazilian Administrative Agent, as applicable,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921"/>
        <w:spacing w:after="0" w:line="271" w:lineRule="auto"/>
        <w:tabs>
          <w:tab w:leader="none" w:pos="1158" w:val="left"/>
        </w:tabs>
        <w:numPr>
          <w:ilvl w:val="0"/>
          <w:numId w:val="369"/>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or the Brazilian Administrative Agent, as applicable,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78" w:lineRule="exact"/>
        <w:rPr>
          <w:rFonts w:ascii="Arial" w:cs="Arial" w:eastAsia="Arial" w:hAnsi="Arial"/>
          <w:sz w:val="17"/>
          <w:szCs w:val="17"/>
          <w:color w:val="auto"/>
        </w:rPr>
      </w:pPr>
    </w:p>
    <w:p>
      <w:pPr>
        <w:ind w:right="60" w:firstLine="921"/>
        <w:spacing w:after="0" w:line="271" w:lineRule="auto"/>
        <w:tabs>
          <w:tab w:leader="none" w:pos="1168" w:val="left"/>
        </w:tabs>
        <w:numPr>
          <w:ilvl w:val="0"/>
          <w:numId w:val="369"/>
        </w:numPr>
        <w:rPr>
          <w:rFonts w:ascii="Arial" w:cs="Arial" w:eastAsia="Arial" w:hAnsi="Arial"/>
          <w:sz w:val="17"/>
          <w:szCs w:val="17"/>
          <w:color w:val="auto"/>
        </w:rPr>
      </w:pPr>
      <w:r>
        <w:rPr>
          <w:rFonts w:ascii="Arial" w:cs="Arial" w:eastAsia="Arial" w:hAnsi="Arial"/>
          <w:sz w:val="17"/>
          <w:szCs w:val="17"/>
          <w:color w:val="auto"/>
        </w:rPr>
        <w:t>THE APPROVED ELECTRONIC PLATFORM AND THE COMMUNICATIONS ARE PROVIDED “AS IS” AND “AS AVAILABLE”. NONE OF THE ADMINISTRATIVE AGENT, THE BRAZILIAN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OR THE BRAZILIAN ADMINISTRATIVE AGENT IN CONNECTION WITH THE COMMUNICATIONS OR THE APPROVED ELECTRONIC PLATFORM.</w:t>
      </w:r>
    </w:p>
    <w:p>
      <w:pPr>
        <w:spacing w:after="0" w:line="178" w:lineRule="exact"/>
        <w:rPr>
          <w:rFonts w:ascii="Arial" w:cs="Arial" w:eastAsia="Arial" w:hAnsi="Arial"/>
          <w:sz w:val="17"/>
          <w:szCs w:val="17"/>
          <w:color w:val="auto"/>
        </w:rPr>
      </w:pPr>
    </w:p>
    <w:p>
      <w:pPr>
        <w:ind w:firstLine="921"/>
        <w:spacing w:after="0" w:line="264" w:lineRule="auto"/>
        <w:tabs>
          <w:tab w:leader="none" w:pos="115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and the Brazilian Administrative Agent may, but (except as may be required by applicable law) shall not be obligated to, store the Communications on the Approved Electronic Platform in accordance with the Administrative Agent’s or the Brazilian Administrative Agent’s, as applicable, generally-applicable document retention procedures and policies.</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Agent or any Lender, any right, remedy, power or privilege hereunder or under the other Loan Documents or the Brazilian Intercreditor Agreement shall operate as a waiver thereof; nor shall any single or partial exercise of any right, remedy, power or privilege hereunder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3" w:right="259" w:bottom="1440" w:gutter="0" w:footer="0" w:header="0"/>
        </w:sectPr>
      </w:pPr>
    </w:p>
    <w:bookmarkStart w:id="338" w:name="page339"/>
    <w:bookmarkEnd w:id="338"/>
    <w:p>
      <w:pPr>
        <w:ind w:right="4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47"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81"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agrees (a) to pay or reimburse the Administrative Agent, the Brazilian Administrative Agent and the Arrangers for all their reasonable out-of-pocket costs and expenses incurred in connection with the development, preparation and execution of, and any amendment, supplement or modification to, this Agreement, the other Loan Documents and the Brazilian Intercreditor Agreement and any other documents prepared in connection herewith or therewith, the syndication of the Facilities,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to be shared by the Administrative Agent and the Brazilian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and the Brazilian Administrative Agent for all their reasonable out-of-pocket costs and expenses incurred in connection with the enforcement or preservation of any rights under this Agreement, the other Loan Documents and the Brazilian Intercreditor Agreement, including the reasonable fees and out-of-pocket disbursements and other charges of one primary counsel to the Administrative Agent and the Brazilian Administrative Agent, one additional local counsel in each relevant jurisdiction which counsel shall act on behalf of all Lenders to be shared by the Administrative Agent and the Brazilian Administrative Agent and, in the event of a conflict, one separate counsel (and one local counsel in each relevant jurisdiction) for all persons similarly situated as required to address such conflict, (c) to pay, indemnify or reimburse each Lender, each Issuing Lender, the Brazilian Administrative Agent and the Administrative Agent for, and hold each Lender, each Issuing Lender, the Brazilian Administrative Agent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the Brazilian Intercreditor Agreement, and (d) to pay, indemnify or reimburse each Lender, each Issuing Lender, the Brazilian Administrative Agent, the Administrative Agent, their respective affiliates, and their respective officers, directors, partners, employees, advisors, agents, controlling persons and trustees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2.19 or with respect to the costs, losses or expenses which are of the type covered by Section 2.18 or Section 2.20) in respect of the financing contemplated by this Agreement or the use or the proposed use of proceeds thereof, the other Loan Documents and the Brazilian Intercreditor Agreement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or the Brazilian Intercreditor Agreement, by, such Indemnitee, any of its affiliates or its or their respective officers, directors, partners, employees, advisors, agents, controlling persons or trustees as determined by a court of competent jurisdiction in a final and non-appealable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3" w:right="239" w:bottom="1440" w:gutter="0" w:footer="0" w:header="0"/>
        </w:sectPr>
      </w:pPr>
    </w:p>
    <w:bookmarkStart w:id="339" w:name="page340"/>
    <w:bookmarkEnd w:id="33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judgment or (iii) any dispute solely among Indemnitees not arising out of any act or omission of the Company or any of its affiliates (other than disputes involving claims against any Indemnitee in its capacity as, or fulfilling its role as, the Administrative Agent, the Brazilian Administrative Agent or an Arranger or similar role in respect of the 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or the Brazilian Intercreditor Agreement by, such Indemnitee, any of its affiliates or its or their respective officers, directors, partners, employees, advisors, agents, controlling persons or trustees as determined by a court of competent jurisdiction in a final and non-appealable judgment.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The agreements in this Section 10.5 shall survive the repayment of the Loans and all other amounts payable hereunder. In no event shall any party hereto or any other Loan Party be liable for any special, indirect, consequential or punitive damages (including any loss of profits, business or anticipated savings); </w:t>
      </w:r>
      <w:r>
        <w:rPr>
          <w:rFonts w:ascii="Arial" w:cs="Arial" w:eastAsia="Arial" w:hAnsi="Arial"/>
          <w:sz w:val="16"/>
          <w:szCs w:val="16"/>
          <w:u w:val="single" w:color="auto"/>
          <w:color w:val="auto"/>
        </w:rPr>
        <w:t>provided</w:t>
      </w:r>
      <w:r>
        <w:rPr>
          <w:rFonts w:ascii="Arial" w:cs="Arial" w:eastAsia="Arial" w:hAnsi="Arial"/>
          <w:sz w:val="16"/>
          <w:szCs w:val="16"/>
          <w:color w:val="auto"/>
        </w:rPr>
        <w:t>, that this sentence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39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Successors and Assigns; Participations and Assignments</w:t>
      </w:r>
      <w:r>
        <w:rPr>
          <w:rFonts w:ascii="Arial" w:cs="Arial" w:eastAsia="Arial" w:hAnsi="Arial"/>
          <w:sz w:val="18"/>
          <w:szCs w:val="18"/>
          <w:color w:val="auto"/>
        </w:rPr>
        <w:t>. (a) The provisions of this Agreement shall be binding upon and inure to the benefit of the parties hereto and their respective successors and assigns permitted hereby (including any affiliate of an Issuing Lender that issues any Letter of Credit),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w:t>
      </w:r>
    </w:p>
    <w:p>
      <w:pPr>
        <w:spacing w:after="0" w:line="193" w:lineRule="exact"/>
        <w:rPr>
          <w:sz w:val="20"/>
          <w:szCs w:val="20"/>
          <w:color w:val="auto"/>
        </w:rPr>
      </w:pPr>
    </w:p>
    <w:p>
      <w:pPr>
        <w:ind w:right="80" w:firstLine="921"/>
        <w:spacing w:after="0" w:line="264" w:lineRule="auto"/>
        <w:tabs>
          <w:tab w:leader="none" w:pos="116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74" w:right="25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Loans at the time owing to it) with the prior written consent (in each case, not to be unreasonably withheld or delayed) of:</w:t>
      </w:r>
    </w:p>
    <w:p>
      <w:pPr>
        <w:spacing w:after="0" w:line="117" w:lineRule="exact"/>
        <w:rPr>
          <w:sz w:val="20"/>
          <w:szCs w:val="20"/>
          <w:color w:val="auto"/>
        </w:rPr>
      </w:pPr>
    </w:p>
    <w:p>
      <w:pPr>
        <w:ind w:left="920" w:firstLine="421"/>
        <w:spacing w:after="0" w:line="342" w:lineRule="auto"/>
        <w:tabs>
          <w:tab w:leader="none" w:pos="1595"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w:t>
      </w:r>
    </w:p>
    <w:p>
      <w:pPr>
        <w:spacing w:after="0" w:line="15" w:lineRule="exact"/>
        <w:rPr>
          <w:rFonts w:ascii="Arial" w:cs="Arial" w:eastAsia="Arial" w:hAnsi="Arial"/>
          <w:sz w:val="16"/>
          <w:szCs w:val="16"/>
          <w:color w:val="auto"/>
        </w:rPr>
      </w:pPr>
    </w:p>
    <w:p>
      <w:pPr>
        <w:ind w:left="1600" w:hanging="259"/>
        <w:spacing w:after="0"/>
        <w:tabs>
          <w:tab w:leader="none" w:pos="16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17" w:lineRule="exact"/>
        <w:rPr>
          <w:rFonts w:ascii="Arial" w:cs="Arial" w:eastAsia="Arial" w:hAnsi="Arial"/>
          <w:sz w:val="18"/>
          <w:szCs w:val="18"/>
          <w:color w:val="auto"/>
        </w:rPr>
      </w:pPr>
    </w:p>
    <w:p>
      <w:pPr>
        <w:ind w:left="920" w:right="260" w:firstLine="421"/>
        <w:spacing w:after="0" w:line="277" w:lineRule="auto"/>
        <w:tabs>
          <w:tab w:leader="none" w:pos="159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in the case of any assignment of any rights or interest under the Domestic Facility, each Material Issuing Lender at such time (unless such assignment is to a Lender who has an investment grade rating from two of S&amp;P, Moody’s and Fitch); and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Brazilian Administrative Agent (in the case of any assignment of Brazilian Loans);</w:t>
      </w:r>
    </w:p>
    <w:p>
      <w:pPr>
        <w:spacing w:after="0" w:line="117" w:lineRule="exact"/>
        <w:rPr>
          <w:sz w:val="20"/>
          <w:szCs w:val="20"/>
          <w:color w:val="auto"/>
        </w:rPr>
      </w:pPr>
    </w:p>
    <w:p>
      <w:pPr>
        <w:jc w:val="both"/>
        <w:ind w:left="920" w:right="200"/>
        <w:spacing w:after="0" w:line="31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(x) no consent provided for in clause (2) above shall be required for an assignment to a Lender or an affiliate thereof and (y) no consents provided for in clause (3) above shall be required for an assignment to a Domestic Lender or an affiliate thereof and (z) no consent of the Company provided for in clause (1) above shall be required if an Event of Default under Section 8(a) or (e) has occurred and is continuing.</w:t>
      </w:r>
    </w:p>
    <w:p>
      <w:pPr>
        <w:spacing w:after="0" w:line="14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81" w:lineRule="exact"/>
        <w:rPr>
          <w:sz w:val="20"/>
          <w:szCs w:val="20"/>
          <w:color w:val="auto"/>
        </w:rPr>
      </w:pPr>
    </w:p>
    <w:p>
      <w:pPr>
        <w:ind w:left="1180" w:hanging="259"/>
        <w:spacing w:after="0"/>
        <w:tabs>
          <w:tab w:leader="none" w:pos="11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920" w:right="80" w:firstLine="421"/>
        <w:spacing w:after="0" w:line="293" w:lineRule="auto"/>
        <w:tabs>
          <w:tab w:leader="none" w:pos="1635" w:val="left"/>
        </w:tabs>
        <w:numPr>
          <w:ilvl w:val="1"/>
          <w:numId w:val="372"/>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56" w:lineRule="exact"/>
        <w:rPr>
          <w:rFonts w:ascii="Arial" w:cs="Arial" w:eastAsia="Arial" w:hAnsi="Arial"/>
          <w:sz w:val="16"/>
          <w:szCs w:val="16"/>
          <w:color w:val="auto"/>
        </w:rPr>
      </w:pPr>
    </w:p>
    <w:p>
      <w:pPr>
        <w:ind w:left="1620" w:hanging="279"/>
        <w:spacing w:after="0"/>
        <w:tabs>
          <w:tab w:leader="none" w:pos="1620" w:val="left"/>
        </w:tabs>
        <w:numPr>
          <w:ilvl w:val="1"/>
          <w:numId w:val="372"/>
        </w:numPr>
        <w:rPr>
          <w:rFonts w:ascii="Arial" w:cs="Arial" w:eastAsia="Arial" w:hAnsi="Arial"/>
          <w:sz w:val="17"/>
          <w:szCs w:val="17"/>
          <w:color w:val="auto"/>
        </w:rPr>
      </w:pPr>
      <w:r>
        <w:rPr>
          <w:rFonts w:ascii="Arial" w:cs="Arial" w:eastAsia="Arial" w:hAnsi="Arial"/>
          <w:sz w:val="17"/>
          <w:szCs w:val="17"/>
          <w:color w:val="auto"/>
        </w:rPr>
        <w:t>the parties to each assignment (or, in the case of an assignment made pursuant to the exercise of the Company’s rights under</w:t>
      </w:r>
    </w:p>
    <w:p>
      <w:pPr>
        <w:spacing w:after="0" w:line="35" w:lineRule="exact"/>
        <w:rPr>
          <w:sz w:val="20"/>
          <w:szCs w:val="20"/>
          <w:color w:val="auto"/>
        </w:rPr>
      </w:pPr>
    </w:p>
    <w:p>
      <w:pPr>
        <w:ind w:left="920" w:right="40"/>
        <w:spacing w:after="0" w:line="254" w:lineRule="auto"/>
        <w:rPr>
          <w:sz w:val="20"/>
          <w:szCs w:val="20"/>
          <w:color w:val="auto"/>
        </w:rPr>
      </w:pPr>
      <w:r>
        <w:rPr>
          <w:rFonts w:ascii="Arial" w:cs="Arial" w:eastAsia="Arial" w:hAnsi="Arial"/>
          <w:sz w:val="18"/>
          <w:szCs w:val="18"/>
          <w:color w:val="auto"/>
        </w:rPr>
        <w:t>Section 2.22,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2.22, by the assigning Lender, the Assignee, or the Company); and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341" w:name="page342"/>
    <w:bookmarkEnd w:id="341"/>
    <w:p>
      <w:pPr>
        <w:ind w:left="1780" w:hanging="288"/>
        <w:spacing w:after="0"/>
        <w:tabs>
          <w:tab w:leader="none" w:pos="1780" w:val="left"/>
        </w:tabs>
        <w:numPr>
          <w:ilvl w:val="1"/>
          <w:numId w:val="3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Assignee, if it shall not be a Lender, shall deliver to the Administrative Agent and the Company an administrative questionnaire.</w:t>
      </w:r>
    </w:p>
    <w:p>
      <w:pPr>
        <w:spacing w:after="0" w:line="248" w:lineRule="exact"/>
        <w:rPr>
          <w:rFonts w:ascii="Arial" w:cs="Arial" w:eastAsia="Arial" w:hAnsi="Arial"/>
          <w:sz w:val="16"/>
          <w:szCs w:val="16"/>
          <w:color w:val="auto"/>
        </w:rPr>
      </w:pPr>
    </w:p>
    <w:p>
      <w:pPr>
        <w:ind w:right="40" w:firstLine="921"/>
        <w:spacing w:after="0" w:line="290" w:lineRule="auto"/>
        <w:tabs>
          <w:tab w:leader="none" w:pos="1228" w:val="left"/>
        </w:tabs>
        <w:numPr>
          <w:ilvl w:val="0"/>
          <w:numId w:val="374"/>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2.18, 2.19, 2.20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166" w:lineRule="exact"/>
        <w:rPr>
          <w:rFonts w:ascii="Arial" w:cs="Arial" w:eastAsia="Arial" w:hAnsi="Arial"/>
          <w:sz w:val="16"/>
          <w:szCs w:val="16"/>
          <w:color w:val="auto"/>
        </w:rPr>
      </w:pPr>
    </w:p>
    <w:p>
      <w:pPr>
        <w:ind w:right="20" w:firstLine="921"/>
        <w:spacing w:after="0" w:line="270" w:lineRule="auto"/>
        <w:tabs>
          <w:tab w:leader="none" w:pos="1218"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Subject to the last sentence of (b)(iii) above, the entries in the Register shall be conclusive in the absence of manifest error, and the Company,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Register shall be available for inspection by any Issuing Lender at any reasonable time and from time to time upon reasonable prior notice. The Administrative Agent shall provide a copy of the Register to the Company upon its request at any time and from time to time by electronic communication.</w:t>
      </w:r>
    </w:p>
    <w:p>
      <w:pPr>
        <w:spacing w:after="0" w:line="181" w:lineRule="exact"/>
        <w:rPr>
          <w:rFonts w:ascii="Arial" w:cs="Arial" w:eastAsia="Arial" w:hAnsi="Arial"/>
          <w:sz w:val="17"/>
          <w:szCs w:val="17"/>
          <w:color w:val="auto"/>
        </w:rPr>
      </w:pPr>
    </w:p>
    <w:p>
      <w:pPr>
        <w:ind w:firstLine="921"/>
        <w:spacing w:after="0" w:line="273" w:lineRule="auto"/>
        <w:tabs>
          <w:tab w:leader="none" w:pos="1168" w:val="left"/>
        </w:tabs>
        <w:numPr>
          <w:ilvl w:val="0"/>
          <w:numId w:val="374"/>
        </w:numPr>
        <w:rPr>
          <w:rFonts w:ascii="Arial" w:cs="Arial" w:eastAsia="Arial" w:hAnsi="Arial"/>
          <w:sz w:val="17"/>
          <w:szCs w:val="17"/>
          <w:color w:val="auto"/>
        </w:rPr>
      </w:pPr>
      <w:r>
        <w:rPr>
          <w:rFonts w:ascii="Arial" w:cs="Arial" w:eastAsia="Arial" w:hAnsi="Arial"/>
          <w:sz w:val="17"/>
          <w:szCs w:val="17"/>
          <w:color w:val="auto"/>
        </w:rPr>
        <w:t>Upon its receipt of a duly completed Assignment and Assumption executed by an assigning Lender (or, in the case of an assignment made pursuant to the exercise of the Company’s rights under Section 2.22,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78" w:lineRule="exact"/>
        <w:rPr>
          <w:sz w:val="20"/>
          <w:szCs w:val="20"/>
          <w:color w:val="auto"/>
        </w:rPr>
      </w:pPr>
    </w:p>
    <w:p>
      <w:pPr>
        <w:ind w:right="20" w:firstLine="921"/>
        <w:spacing w:after="0" w:line="284" w:lineRule="auto"/>
        <w:tabs>
          <w:tab w:leader="none" w:pos="1158" w:val="left"/>
        </w:tabs>
        <w:numPr>
          <w:ilvl w:val="1"/>
          <w:numId w:val="375"/>
        </w:numPr>
        <w:rPr>
          <w:rFonts w:ascii="Arial" w:cs="Arial" w:eastAsia="Arial" w:hAnsi="Arial"/>
          <w:sz w:val="16"/>
          <w:szCs w:val="16"/>
          <w:color w:val="auto"/>
        </w:rPr>
      </w:pPr>
      <w:r>
        <w:rPr>
          <w:rFonts w:ascii="Arial" w:cs="Arial" w:eastAsia="Arial" w:hAnsi="Arial"/>
          <w:sz w:val="16"/>
          <w:szCs w:val="16"/>
          <w:color w:val="auto"/>
        </w:rPr>
        <w:t>(i) Any Lender may, without the consent of the Company, any Issuing Lender, the Brazilian Administrative Agent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that (A) such Lender’s obligations under this Agreement shall remain unchanged, (B) such Lender shall remain solely responsible to the other parties hereto for the performance of such obligations, (C) the Loan Parties, the Administrative Agent, the Brazilian Administrative Agent, the Issuing Lenders and the other Lenders shall continue to deal solely and directly with such Lender in connection with such Lender’s rights and obligations under this Agreement, the other Loan Documents and the Brazilian Intercreditor Agreement,</w:t>
      </w:r>
    </w:p>
    <w:p>
      <w:pPr>
        <w:spacing w:after="0" w:line="4" w:lineRule="exact"/>
        <w:rPr>
          <w:rFonts w:ascii="Arial" w:cs="Arial" w:eastAsia="Arial" w:hAnsi="Arial"/>
          <w:sz w:val="16"/>
          <w:szCs w:val="16"/>
          <w:color w:val="auto"/>
        </w:rPr>
      </w:pPr>
    </w:p>
    <w:p>
      <w:pPr>
        <w:ind w:right="540" w:firstLine="8"/>
        <w:spacing w:after="0" w:line="261" w:lineRule="auto"/>
        <w:tabs>
          <w:tab w:leader="none" w:pos="29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such Participant shall not be an Ineligible Participant, and (E) no later than January 31 of each year, such Lender shall provide the Company with a written description of each participation of Loans, and/or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342" w:name="page343"/>
    <w:bookmarkEnd w:id="34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Commitments by such Lender during the prior year (it being understood that any failure to provide notice shall not render the participation invalid). 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pursuant to which a Lender sells such a participation shall provide that such Lender shall retain the sole right to enforce this Agreement and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agreement may provide that such Lender will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without the consent of the Participant, agree to any amendment, modification or waiver that (1) requires the consent of each Lender directly and adversely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affected thereby pursuant to clause (A) of the proviso to the second sentence of Section 10.1(a) and (2) directly and adversely affects such Participant.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paragraph (c)(ii) of this Section 10.6, the Company agrees that each Participant shall be entitled to the benefits of Sections 2.18, 2.19, and 2.20 to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as if it were a Lender and had acquired its interest by assignment pursuant to paragraph (b) of this Section 10.6. Each Lender that sells a participation,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acting solely for this purpose as a non-fiduciary agent of the Company, shall maintain a register on which it enters the name and address of each Participant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principal amounts (and stated interest) of each Participant’s interest in the Loans or other obligations under this Agreement (the “</w:t>
      </w:r>
      <w:r>
        <w:rPr>
          <w:rFonts w:ascii="Arial" w:cs="Arial" w:eastAsia="Arial" w:hAnsi="Arial"/>
          <w:sz w:val="17"/>
          <w:szCs w:val="17"/>
          <w:u w:val="single" w:color="auto"/>
          <w:color w:val="auto"/>
        </w:rPr>
        <w:t>Participant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to any Person (including the identity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Participant or any information relating to a Participant’s interest in any Loans, Letters of Credit or its other obligations under this Agreement) except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that such disclosure is necessary to establish that such Loan, Letter of Credit or other obligation is in registered form under Section 5f.103-1(c)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United States Treasury Regulations. The entries in the Participant Register shall be conclusive in the absence of manifest error, and such Lender,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the Brazilian Administrative Agent and the Administrative Agent shall treat each person whose name is recorded in the Participant Register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hereof as the owner of such participation for all purposes of this Agreement, notwithstanding notice to the contrary.</w:t>
      </w:r>
    </w:p>
    <w:p>
      <w:pPr>
        <w:spacing w:after="0" w:line="211" w:lineRule="exact"/>
        <w:rPr>
          <w:sz w:val="20"/>
          <w:szCs w:val="20"/>
          <w:color w:val="auto"/>
        </w:rPr>
      </w:pPr>
    </w:p>
    <w:p>
      <w:pPr>
        <w:ind w:right="40" w:firstLine="921"/>
        <w:spacing w:after="0" w:line="255" w:lineRule="auto"/>
        <w:tabs>
          <w:tab w:leader="none" w:pos="1178"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2.18 or 2.19 than the applicable Lender would have been entitled to receive with respect to the participation sold to such Participant. A Participant shall not be entitled to receive any funds directly from the Company in respect of Sections 2.18, 2.19, 2.20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2.19 unless such Participant complies with Sections 2.19(c), 2.19(d) and 2.19(e) as though it were a Lender.</w:t>
      </w:r>
    </w:p>
    <w:p>
      <w:pPr>
        <w:spacing w:after="0" w:line="193" w:lineRule="exact"/>
        <w:rPr>
          <w:sz w:val="20"/>
          <w:szCs w:val="20"/>
          <w:color w:val="auto"/>
        </w:rPr>
      </w:pPr>
    </w:p>
    <w:p>
      <w:pPr>
        <w:ind w:right="120" w:firstLine="921"/>
        <w:spacing w:after="0" w:line="297" w:lineRule="auto"/>
        <w:tabs>
          <w:tab w:leader="none" w:pos="1168"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Any Lender may, without the consent of the Company, the Brazilian Administrative Agent, the Administrative Agent or any Issuing Lender,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pledge or assignment of a security interest shall release a Lender from any of its obligations hereunder or substitute any such pledgee or Assignee for such Lender as a party hereto.</w:t>
      </w:r>
    </w:p>
    <w:p>
      <w:pPr>
        <w:spacing w:after="0" w:line="158" w:lineRule="exact"/>
        <w:rPr>
          <w:rFonts w:ascii="Arial" w:cs="Arial" w:eastAsia="Arial" w:hAnsi="Arial"/>
          <w:sz w:val="16"/>
          <w:szCs w:val="16"/>
          <w:color w:val="auto"/>
        </w:rPr>
      </w:pPr>
    </w:p>
    <w:p>
      <w:pPr>
        <w:ind w:right="20" w:firstLine="921"/>
        <w:spacing w:after="0" w:line="255" w:lineRule="auto"/>
        <w:tabs>
          <w:tab w:leader="none" w:pos="115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73" w:right="259" w:bottom="1440" w:gutter="0" w:footer="0" w:header="0"/>
        </w:sectPr>
      </w:pPr>
    </w:p>
    <w:bookmarkStart w:id="343" w:name="page344"/>
    <w:bookmarkEnd w:id="343"/>
    <w:p>
      <w:pPr>
        <w:ind w:right="40" w:firstLine="91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10.7 </w:t>
      </w:r>
      <w:r>
        <w:rPr>
          <w:rFonts w:ascii="Arial" w:cs="Arial" w:eastAsia="Arial" w:hAnsi="Arial"/>
          <w:sz w:val="17"/>
          <w:szCs w:val="17"/>
          <w:u w:val="single" w:color="auto"/>
          <w:color w:val="auto"/>
        </w:rPr>
        <w:t>Adjustments</w:t>
      </w:r>
      <w:r>
        <w:rPr>
          <w:rFonts w:ascii="Arial" w:cs="Arial" w:eastAsia="Arial" w:hAnsi="Arial"/>
          <w:sz w:val="17"/>
          <w:szCs w:val="17"/>
          <w:color w:val="auto"/>
        </w:rPr>
        <w:t>. If any Lender (a “</w:t>
      </w:r>
      <w:r>
        <w:rPr>
          <w:rFonts w:ascii="Arial" w:cs="Arial" w:eastAsia="Arial" w:hAnsi="Arial"/>
          <w:sz w:val="17"/>
          <w:szCs w:val="17"/>
          <w:u w:val="single" w:color="auto"/>
          <w:color w:val="auto"/>
        </w:rPr>
        <w:t>Benefitted Lender</w:t>
      </w:r>
      <w:r>
        <w:rPr>
          <w:rFonts w:ascii="Arial" w:cs="Arial" w:eastAsia="Arial" w:hAnsi="Arial"/>
          <w:sz w:val="17"/>
          <w:szCs w:val="17"/>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(calculated, in the case of any Obligation denominated in an Optional Currency, at the Dollar Equivalent thereof as of the date such Obligations became due and payable)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payments in respect of Obligations owing by any Foreign Subsidiary Borrower shall be utilized to satisfy any Obligations owing by the Company or any Domestic Subsidiary Borrower.</w:t>
      </w:r>
    </w:p>
    <w:p>
      <w:pPr>
        <w:spacing w:after="0" w:line="18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87" w:lineRule="exact"/>
        <w:rPr>
          <w:sz w:val="20"/>
          <w:szCs w:val="20"/>
          <w:color w:val="auto"/>
        </w:rPr>
      </w:pPr>
    </w:p>
    <w:p>
      <w:pPr>
        <w:ind w:right="620" w:firstLine="913"/>
        <w:spacing w:after="0" w:line="286"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the other Loan Documents and the Brazilian Intercreditor Agreement represent the entire agreement of the Borrowers, the Administrative Agent, the Brazilian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in the other Loan Documents or in the Brazilian Intercreditor Agreement (other than agreements between any Borrower and any Issuing Lender contemplated by this Agreement).</w:t>
      </w:r>
    </w:p>
    <w:p>
      <w:pPr>
        <w:spacing w:after="0" w:line="188"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UNDER THIS AGREEMENT SHALL BE GOVERNED BY, AND CONSTRUED AND INTERPRETED IN ACCORDANCE WITH, THE LAW OF THE STATE OF NEW YORK.</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225" w:lineRule="exact"/>
        <w:rPr>
          <w:sz w:val="20"/>
          <w:szCs w:val="20"/>
          <w:color w:val="auto"/>
        </w:rPr>
      </w:pPr>
    </w:p>
    <w:p>
      <w:pPr>
        <w:ind w:right="480" w:firstLine="921"/>
        <w:spacing w:after="0" w:line="277" w:lineRule="auto"/>
        <w:tabs>
          <w:tab w:leader="none" w:pos="115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Each of the Administrative Agent, the Brazilian Administrative Agent, the Lenders, the Issuing Lenders, the Company, each Subsidiary Borrower and each other Loan Party hereby irrevocably and unconditionally: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3" w:right="239" w:bottom="1440" w:gutter="0" w:footer="0" w:header="0"/>
        </w:sectPr>
      </w:pPr>
    </w:p>
    <w:bookmarkStart w:id="344" w:name="page345"/>
    <w:bookmarkEnd w:id="344"/>
    <w:p>
      <w:pPr>
        <w:ind w:right="60" w:firstLine="921"/>
        <w:spacing w:after="0" w:line="259" w:lineRule="auto"/>
        <w:tabs>
          <w:tab w:leader="none" w:pos="1128" w:val="left"/>
        </w:tabs>
        <w:numPr>
          <w:ilvl w:val="0"/>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submits for itself and its property in any legal action or proceeding relating to this Agreement, the other Loan Documents and the Brazilian Intercreditor Agreement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186" w:lineRule="exact"/>
        <w:rPr>
          <w:rFonts w:ascii="Arial" w:cs="Arial" w:eastAsia="Arial" w:hAnsi="Arial"/>
          <w:sz w:val="18"/>
          <w:szCs w:val="18"/>
          <w:color w:val="auto"/>
        </w:rPr>
      </w:pPr>
    </w:p>
    <w:p>
      <w:pPr>
        <w:ind w:right="100" w:firstLine="921"/>
        <w:spacing w:after="0" w:line="264" w:lineRule="auto"/>
        <w:tabs>
          <w:tab w:leader="none" w:pos="1178" w:val="left"/>
        </w:tabs>
        <w:numPr>
          <w:ilvl w:val="0"/>
          <w:numId w:val="380"/>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181" w:lineRule="exact"/>
        <w:rPr>
          <w:rFonts w:ascii="Arial" w:cs="Arial" w:eastAsia="Arial" w:hAnsi="Arial"/>
          <w:sz w:val="18"/>
          <w:szCs w:val="18"/>
          <w:color w:val="auto"/>
        </w:rPr>
      </w:pPr>
    </w:p>
    <w:p>
      <w:pPr>
        <w:ind w:right="100" w:firstLine="921"/>
        <w:spacing w:after="0" w:line="277" w:lineRule="auto"/>
        <w:tabs>
          <w:tab w:leader="none" w:pos="1228" w:val="left"/>
        </w:tabs>
        <w:numPr>
          <w:ilvl w:val="0"/>
          <w:numId w:val="380"/>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170" w:lineRule="exact"/>
        <w:rPr>
          <w:sz w:val="20"/>
          <w:szCs w:val="20"/>
          <w:color w:val="auto"/>
        </w:rPr>
      </w:pPr>
    </w:p>
    <w:p>
      <w:pPr>
        <w:ind w:firstLine="921"/>
        <w:spacing w:after="0" w:line="270" w:lineRule="auto"/>
        <w:tabs>
          <w:tab w:leader="none" w:pos="1168" w:val="left"/>
        </w:tabs>
        <w:numPr>
          <w:ilvl w:val="0"/>
          <w:numId w:val="381"/>
        </w:numPr>
        <w:rPr>
          <w:rFonts w:ascii="Arial" w:cs="Arial" w:eastAsia="Arial" w:hAnsi="Arial"/>
          <w:sz w:val="17"/>
          <w:szCs w:val="17"/>
          <w:color w:val="auto"/>
        </w:rPr>
      </w:pPr>
      <w:r>
        <w:rPr>
          <w:rFonts w:ascii="Arial" w:cs="Arial" w:eastAsia="Arial" w:hAnsi="Arial"/>
          <w:sz w:val="17"/>
          <w:szCs w:val="17"/>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10.12.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177" w:lineRule="exact"/>
        <w:rPr>
          <w:rFonts w:ascii="Arial" w:cs="Arial" w:eastAsia="Arial" w:hAnsi="Arial"/>
          <w:sz w:val="17"/>
          <w:szCs w:val="17"/>
          <w:color w:val="auto"/>
        </w:rPr>
      </w:pPr>
    </w:p>
    <w:p>
      <w:pPr>
        <w:ind w:right="60" w:firstLine="921"/>
        <w:spacing w:after="0" w:line="302" w:lineRule="auto"/>
        <w:tabs>
          <w:tab w:leader="none" w:pos="1158"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54"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Judgment</w:t>
      </w:r>
      <w:r>
        <w:rPr>
          <w:rFonts w:ascii="Arial" w:cs="Arial" w:eastAsia="Arial" w:hAnsi="Arial"/>
          <w:sz w:val="16"/>
          <w:szCs w:val="16"/>
          <w:color w:val="auto"/>
        </w:rPr>
        <w:t>. The obligations of the Company or any Subsidiary Borrower in respect of this Agreement and the other Loan Documents due to any party hereto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the currency in which the sum originally due to such party is denominated (the “</w:t>
      </w:r>
      <w:r>
        <w:rPr>
          <w:rFonts w:ascii="Arial" w:cs="Arial" w:eastAsia="Arial" w:hAnsi="Arial"/>
          <w:sz w:val="16"/>
          <w:szCs w:val="16"/>
          <w:u w:val="single" w:color="auto"/>
          <w:color w:val="auto"/>
        </w:rPr>
        <w:t>Original Currency</w:t>
      </w:r>
      <w:r>
        <w:rPr>
          <w:rFonts w:ascii="Arial" w:cs="Arial" w:eastAsia="Arial" w:hAnsi="Arial"/>
          <w:sz w:val="16"/>
          <w:szCs w:val="16"/>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the Reimbursement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74" w:right="259" w:bottom="1440" w:gutter="0" w:footer="0" w:header="0"/>
        </w:sectPr>
      </w:pPr>
    </w:p>
    <w:bookmarkStart w:id="345" w:name="page346"/>
    <w:bookmarkEnd w:id="34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interest, Facility Fees, Letter of Credit Fees, and Letter of Credit fronting fees payable hereunder or under any other Loan Document.</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Acknowledgments</w:t>
      </w:r>
      <w:r>
        <w:rPr>
          <w:rFonts w:ascii="Arial" w:cs="Arial" w:eastAsia="Arial" w:hAnsi="Arial"/>
          <w:sz w:val="18"/>
          <w:szCs w:val="18"/>
          <w:color w:val="auto"/>
        </w:rPr>
        <w:t>. Each of the Company and the Subsidiary Borrowers hereby acknowledges that:</w:t>
      </w:r>
    </w:p>
    <w:p>
      <w:pPr>
        <w:spacing w:after="0" w:line="225" w:lineRule="exact"/>
        <w:rPr>
          <w:sz w:val="20"/>
          <w:szCs w:val="20"/>
          <w:color w:val="auto"/>
        </w:rPr>
      </w:pPr>
    </w:p>
    <w:p>
      <w:pPr>
        <w:ind w:left="1160" w:hanging="239"/>
        <w:spacing w:after="0"/>
        <w:tabs>
          <w:tab w:leader="none" w:pos="11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225" w:lineRule="exact"/>
        <w:rPr>
          <w:rFonts w:ascii="Arial" w:cs="Arial" w:eastAsia="Arial" w:hAnsi="Arial"/>
          <w:sz w:val="18"/>
          <w:szCs w:val="18"/>
          <w:color w:val="auto"/>
        </w:rPr>
      </w:pPr>
    </w:p>
    <w:p>
      <w:pPr>
        <w:ind w:right="20" w:firstLine="921"/>
        <w:spacing w:after="0" w:line="259" w:lineRule="auto"/>
        <w:tabs>
          <w:tab w:leader="none" w:pos="116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none of the Administrative Agent, the Brazilian Administrative Agent or any Lender has any fiduciary relationship with or duty to the Company or any Subsidiary arising out of or in connection with this Agreement, any of the other Loan Documents or the Brazilian Intercreditor Agreement, and the relationship between Administrative Agent, the Brazilian Administrative Agent and the Lenders, on one hand, and the Company or any Subsidiary, on the other hand, in connection herewith or therewith is solely that of debtor and creditor; and</w:t>
      </w:r>
    </w:p>
    <w:p>
      <w:pPr>
        <w:spacing w:after="0" w:line="186" w:lineRule="exact"/>
        <w:rPr>
          <w:rFonts w:ascii="Arial" w:cs="Arial" w:eastAsia="Arial" w:hAnsi="Arial"/>
          <w:sz w:val="18"/>
          <w:szCs w:val="18"/>
          <w:color w:val="auto"/>
        </w:rPr>
      </w:pPr>
    </w:p>
    <w:p>
      <w:pPr>
        <w:ind w:right="240" w:firstLine="921"/>
        <w:spacing w:after="0" w:line="277" w:lineRule="auto"/>
        <w:tabs>
          <w:tab w:leader="none" w:pos="115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the Brazilian Intercreditor Agreement or otherwise exists by virtue of the transactions contemplated hereby among the Lenders or among the Company or any Subsidiary and the Lenders.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Releases of Guarantees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5" w:lineRule="auto"/>
        <w:tabs>
          <w:tab w:leader="none" w:pos="1158" w:val="left"/>
        </w:tabs>
        <w:numPr>
          <w:ilvl w:val="0"/>
          <w:numId w:val="38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Loan Document or the Brazilian Intercreditor Agreement, the Administrative Agent is hereby irrevocably authorized by each Lender and each Issuing Lender (without requirement of notice to or consent of any Lender or any Issuing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93" w:lineRule="exact"/>
        <w:rPr>
          <w:rFonts w:ascii="Arial" w:cs="Arial" w:eastAsia="Arial" w:hAnsi="Arial"/>
          <w:sz w:val="18"/>
          <w:szCs w:val="18"/>
          <w:color w:val="auto"/>
        </w:rPr>
      </w:pPr>
    </w:p>
    <w:p>
      <w:pPr>
        <w:jc w:val="both"/>
        <w:ind w:right="140" w:firstLine="921"/>
        <w:spacing w:after="0" w:line="259" w:lineRule="auto"/>
        <w:tabs>
          <w:tab w:leader="none" w:pos="1168"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At such time as the Loans, the Reimbursement Obligations and interest and fees owing hereunder and under any other Loan Document shall have been paid in full, the Commitments have been terminated and no Letters of Credit shall be outstanding (or such Letters of Credit are Collateralized), all obligations (other than as expressly provided therein) of each Guarantor under the Guarantee shall terminate, all without delivery of any instrument or performance of any act by any person.</w:t>
      </w:r>
    </w:p>
    <w:p>
      <w:pPr>
        <w:spacing w:after="0" w:line="186" w:lineRule="exact"/>
        <w:rPr>
          <w:rFonts w:ascii="Arial" w:cs="Arial" w:eastAsia="Arial" w:hAnsi="Arial"/>
          <w:sz w:val="18"/>
          <w:szCs w:val="18"/>
          <w:color w:val="auto"/>
        </w:rPr>
      </w:pPr>
    </w:p>
    <w:p>
      <w:pPr>
        <w:ind w:right="40" w:firstLine="921"/>
        <w:spacing w:after="0" w:line="293" w:lineRule="auto"/>
        <w:tabs>
          <w:tab w:leader="none" w:pos="1158" w:val="left"/>
        </w:tabs>
        <w:numPr>
          <w:ilvl w:val="0"/>
          <w:numId w:val="383"/>
        </w:numPr>
        <w:rPr>
          <w:rFonts w:ascii="Arial" w:cs="Arial" w:eastAsia="Arial" w:hAnsi="Arial"/>
          <w:sz w:val="16"/>
          <w:szCs w:val="16"/>
          <w:color w:val="auto"/>
        </w:rPr>
      </w:pPr>
      <w:r>
        <w:rPr>
          <w:rFonts w:ascii="Arial" w:cs="Arial" w:eastAsia="Arial" w:hAnsi="Arial"/>
          <w:sz w:val="16"/>
          <w:szCs w:val="16"/>
          <w:color w:val="auto"/>
        </w:rPr>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and the Brazilian Administrative Agent are hereby irrevocably authorized by each Lender and each Issuing Lender (without requirement of notice to or consent of any Lender or any Issuing Lender except as expressly required by Section 10.1) to take, and the Administrative Agent and the Brazilian Administrative Agent hereby agree to take, promptly, any action reasonably requested by the Company having the effect of releasing, or evidencing the release of, the obligations of each Subsidiary Guarantor under the Guarantee.</w:t>
      </w:r>
    </w:p>
    <w:p>
      <w:pPr>
        <w:spacing w:after="0" w:line="164" w:lineRule="exact"/>
        <w:rPr>
          <w:rFonts w:ascii="Arial" w:cs="Arial" w:eastAsia="Arial" w:hAnsi="Arial"/>
          <w:sz w:val="16"/>
          <w:szCs w:val="16"/>
          <w:color w:val="auto"/>
        </w:rPr>
      </w:pPr>
    </w:p>
    <w:p>
      <w:pPr>
        <w:ind w:right="300" w:firstLine="921"/>
        <w:spacing w:after="0" w:line="264" w:lineRule="auto"/>
        <w:tabs>
          <w:tab w:leader="none" w:pos="1168"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sectPr>
      </w:pPr>
    </w:p>
    <w:bookmarkStart w:id="346" w:name="page347"/>
    <w:bookmarkEnd w:id="346"/>
    <w:p>
      <w:pPr>
        <w:ind w:right="20"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10.16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Brazilian Administrative Agent, each Issuing Lender, each Lender and each Transferee (each a “</w:t>
      </w:r>
      <w:r>
        <w:rPr>
          <w:rFonts w:ascii="Arial" w:cs="Arial" w:eastAsia="Arial" w:hAnsi="Arial"/>
          <w:sz w:val="16"/>
          <w:szCs w:val="16"/>
          <w:u w:val="single" w:color="auto"/>
          <w:color w:val="auto"/>
        </w:rPr>
        <w:t>Receiving Party</w:t>
      </w:r>
      <w:r>
        <w:rPr>
          <w:rFonts w:ascii="Arial" w:cs="Arial" w:eastAsia="Arial" w:hAnsi="Arial"/>
          <w:sz w:val="16"/>
          <w:szCs w:val="16"/>
          <w:color w:val="auto"/>
        </w:rPr>
        <w:t xml:space="preserve">”) agrees to keep confidential all non-public information provided to it by or on behalf of any Loan Party or any of its respective Subsidiaries, the Administrative Agent, the Brazilian Administrative Agent, an Issuing Lender or any Lender pursuant to or in connection with any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prevent a Receiving Party from disclosing any such information (a) to the Administrative Agent, the Brazilian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directors, trustees, agents, attorneys, accountants and other professional advisors or those of any of its affiliates for performing the purposes of a Loan Document or the Brazilian Intercreditor Agreement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the Brazilian Intercreditor Agreement or (j) with the consent of the Borrower.</w:t>
      </w:r>
    </w:p>
    <w:p>
      <w:pPr>
        <w:spacing w:after="0" w:line="173"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THE COMPANY, EACH SUBSIDIARY BORROWER, THE ADMINISTRATIVE AGENT, THE BRAZILIAN ADMINISTRATIVE AGENT, THE ISSUING LENDERS AND THE LENDERS HEREBY IRREVOCABLY AND UNCONDITIONALLY WAIVE TRIAL BY JURY IN ANY LEGAL ACTION OR PROCEEDING RELATING TO THIS AGREEMENT OR ANY OTHER LOAN DOCUMENT OR THE BRAZILIAN INTERCREDITOR AGREEMENT AND FOR ANY COUNTERCLAIM THEREIN.</w:t>
      </w:r>
    </w:p>
    <w:p>
      <w:pPr>
        <w:spacing w:after="0" w:line="18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Company and each Subsidiary Borrower that pursuant to the requirements of the USA Patriot Act (Title III of Pub. L. 107-56 (signed into law October 26, 2001)) (the “</w:t>
      </w:r>
      <w:r>
        <w:rPr>
          <w:rFonts w:ascii="Arial" w:cs="Arial" w:eastAsia="Arial" w:hAnsi="Arial"/>
          <w:sz w:val="16"/>
          <w:szCs w:val="16"/>
          <w:u w:val="single" w:color="auto"/>
          <w:color w:val="auto"/>
        </w:rPr>
        <w:t>USA Patriot Act</w:t>
      </w:r>
      <w:r>
        <w:rPr>
          <w:rFonts w:ascii="Arial" w:cs="Arial" w:eastAsia="Arial" w:hAnsi="Arial"/>
          <w:sz w:val="16"/>
          <w:szCs w:val="16"/>
          <w:color w:val="auto"/>
        </w:rPr>
        <w:t>”),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w:t>
      </w:r>
    </w:p>
    <w:p>
      <w:pPr>
        <w:spacing w:after="0" w:line="154"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No Novation</w:t>
      </w:r>
      <w:r>
        <w:rPr>
          <w:rFonts w:ascii="Arial" w:cs="Arial" w:eastAsia="Arial" w:hAnsi="Arial"/>
          <w:sz w:val="18"/>
          <w:szCs w:val="18"/>
          <w:color w:val="auto"/>
        </w:rPr>
        <w:t xml:space="preserve"> . The terms and conditions of the Existing Five Year Credit Agreement are amended as set forth in, and restated in their entirety and superseded by, this Agreement. Nothing in this Agreement shall be deemed to be a novation of any of the Obligations as defined in the Existing Five Year Credit Agreement. Notwithstanding any provision of this Agreement or any other Loan Document or instrument executed in connection herewith, the execution and delivery of this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274" w:right="259" w:bottom="1440" w:gutter="0" w:footer="0" w:header="0"/>
        </w:sectPr>
      </w:pPr>
    </w:p>
    <w:bookmarkStart w:id="347" w:name="page348"/>
    <w:bookmarkEnd w:id="347"/>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the incurrence of Obligations hereunder shall be in substitution for, but not in payment of, the Obligations owed by the Loan Parties under the Existing Five Year Credit Agreement. From and after the Closing Date, each reference to the “Agreement”, “Credit Agreement” or other reference originally applicable to the Existing Five Year Credit Agreement contained in any Loan Document or the Brazilian Intercreditor Agreement shall be a reference to this Agreement, as amended, supplemented, restated or otherwise modified from time to time.</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87" w:lineRule="exact"/>
        <w:rPr>
          <w:sz w:val="20"/>
          <w:szCs w:val="20"/>
          <w:color w:val="auto"/>
        </w:rPr>
      </w:pPr>
    </w:p>
    <w:p>
      <w:pPr>
        <w:ind w:right="200" w:firstLine="921"/>
        <w:spacing w:after="0" w:line="277" w:lineRule="auto"/>
        <w:tabs>
          <w:tab w:leader="none" w:pos="1158"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sz w:val="20"/>
          <w:szCs w:val="20"/>
          <w:color w:val="auto"/>
        </w:rPr>
      </w:pPr>
    </w:p>
    <w:p>
      <w:pPr>
        <w:ind w:left="1140" w:hanging="219"/>
        <w:spacing w:after="0"/>
        <w:tabs>
          <w:tab w:leader="none" w:pos="11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firstLine="921"/>
        <w:spacing w:after="0" w:line="264" w:lineRule="auto"/>
        <w:tabs>
          <w:tab w:leader="none" w:pos="1178"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1" w:lineRule="exact"/>
        <w:rPr>
          <w:rFonts w:ascii="Arial" w:cs="Arial" w:eastAsia="Arial" w:hAnsi="Arial"/>
          <w:sz w:val="18"/>
          <w:szCs w:val="18"/>
          <w:color w:val="auto"/>
        </w:rPr>
      </w:pPr>
    </w:p>
    <w:p>
      <w:pPr>
        <w:ind w:left="1240" w:hanging="319"/>
        <w:spacing w:after="0"/>
        <w:tabs>
          <w:tab w:leader="none" w:pos="124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 EEA Resolution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73" w:right="259" w:bottom="1440" w:gutter="0" w:footer="0" w:header="0"/>
        </w:sectPr>
      </w:pPr>
    </w:p>
    <w:bookmarkStart w:id="348" w:name="page349"/>
    <w:bookmarkEnd w:id="348"/>
    <w:p>
      <w:pPr>
        <w:ind w:right="1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 /s/ Rick Westenberg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Rick Westenberg</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GENERAL MOTORS FINANCIAL COMPANY, INC.</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 /s/ Susan B. Sheffield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Susan B. Sheffield</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GM GLOBAL TREASURY CENTRE LIMITED</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 /s/ Vikas Khare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Vikas Khare</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GENERAL MOTORS DO BRASIL LTDA.</w:t>
      </w:r>
    </w:p>
    <w:p>
      <w:pPr>
        <w:spacing w:after="0" w:line="11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Felipe Augusto Marioto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Felipe Augusto Marioto</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Treasury Supervisor (Attorney-in-fact)</w:t>
      </w:r>
    </w:p>
    <w:p>
      <w:pPr>
        <w:spacing w:after="0" w:line="10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Neville Tosoni Junior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Neville Tosoni Junior</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 Treasury Manager (Attorney-in-fact)</w:t>
      </w:r>
    </w:p>
    <w:p>
      <w:pPr>
        <w:spacing w:after="0" w:line="13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1420"/>
          </w:cols>
          <w:pgMar w:left="240" w:top="274" w:right="239" w:bottom="1440" w:gutter="0" w:footer="0" w:header="0"/>
        </w:sectPr>
      </w:pPr>
    </w:p>
    <w:bookmarkStart w:id="349" w:name="page350"/>
    <w:bookmarkEnd w:id="34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Administrative Agent and as Lender</w:t>
      </w:r>
    </w:p>
    <w:p>
      <w:pPr>
        <w:spacing w:after="0" w:line="2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Gene R. Riego De Dios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Name: Gene R. Riego De 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-123190</wp:posOffset>
            </wp:positionV>
            <wp:extent cx="271843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4" w:right="1440" w:bottom="1440" w:gutter="0" w:footer="0" w:header="0"/>
        </w:sectPr>
      </w:pPr>
    </w:p>
    <w:bookmarkStart w:id="350" w:name="page351"/>
    <w:bookmarkEnd w:id="35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DO BRASIL S.A., as Brazilian Administrative Agent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as Lender in the BRL Tranche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Valdir Recalde de Oliveira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Valdir Recalde de Oliveira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Gerente Geral UN</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200"/>
          </w:cols>
          <w:pgMar w:left="1440" w:top="274" w:right="259" w:bottom="1440" w:gutter="0" w:footer="0" w:header="0"/>
        </w:sectPr>
      </w:pPr>
    </w:p>
    <w:bookmarkStart w:id="351" w:name="page352"/>
    <w:bookmarkEnd w:id="35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 as Syndication Agent and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Susan Olsen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640"/>
          </w:cols>
          <w:pgMar w:left="1440" w:top="274" w:right="819" w:bottom="1440" w:gutter="0" w:footer="0" w:header="0"/>
        </w:sectPr>
      </w:pPr>
    </w:p>
    <w:bookmarkStart w:id="352" w:name="page353"/>
    <w:bookmarkEnd w:id="35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AGRICULTURAL BANK OF CHINA LTD., NEW YORK</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Nelson Chou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SVP</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960"/>
          </w:cols>
          <w:pgMar w:left="1440" w:top="273" w:right="499" w:bottom="1440" w:gutter="0" w:footer="0" w:header="0"/>
        </w:sectPr>
      </w:pPr>
    </w:p>
    <w:bookmarkStart w:id="353" w:name="page354"/>
    <w:bookmarkEnd w:id="35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BILBAO VIZCAYA ARGENTARIA, S.A. NEW</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Miriam Trautmann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Crowley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880"/>
          </w:cols>
          <w:pgMar w:left="1440" w:top="274" w:right="579" w:bottom="1440" w:gutter="0" w:footer="0" w:header="0"/>
        </w:sectPr>
      </w:pPr>
    </w:p>
    <w:bookmarkStart w:id="354" w:name="page355"/>
    <w:bookmarkEnd w:id="35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BRADESCO S.A.,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Fabiana Guglielmi Paes de Barros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Fabiana Guglielmi Paes de Barros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BANCO BRADESCO S.A.,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Marcio Martins Bonilha Neto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Marcio Martins Bonilha Neto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Coordinator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20"/>
          </w:cols>
          <w:pgMar w:left="1440" w:top="274" w:right="1439" w:bottom="1440" w:gutter="0" w:footer="0" w:header="0"/>
        </w:sectPr>
      </w:pPr>
    </w:p>
    <w:bookmarkStart w:id="355" w:name="page356"/>
    <w:bookmarkEnd w:id="35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BANCO DO BRASIL S.A., acting through its New York</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 as Lender in the Multicurrency Tranche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Joao Fruet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Joao Fruet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General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Mauricio C. Azambuja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Mauricio C. Azambuja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Deputy General Manager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780"/>
          </w:cols>
          <w:pgMar w:left="1440" w:top="273" w:right="679" w:bottom="1440" w:gutter="0" w:footer="0" w:header="0"/>
        </w:sectPr>
      </w:pPr>
    </w:p>
    <w:bookmarkStart w:id="356" w:name="page357"/>
    <w:bookmarkEnd w:id="35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BANGKOK BANK PUBLIC COMPANY LIMITED, NEW</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Thitipong Prasertsilp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Thitipong Prasertsilp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 &amp; Branch Manager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000"/>
          </w:cols>
          <w:pgMar w:left="1440" w:top="274" w:right="459" w:bottom="1440" w:gutter="0" w:footer="0" w:header="0"/>
        </w:sectPr>
      </w:pPr>
    </w:p>
    <w:bookmarkStart w:id="357" w:name="page358"/>
    <w:bookmarkEnd w:id="35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Lukehart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4" w:right="1440" w:bottom="1440" w:gutter="0" w:footer="0" w:header="0"/>
        </w:sectPr>
      </w:pPr>
    </w:p>
    <w:bookmarkStart w:id="358" w:name="page359"/>
    <w:bookmarkEnd w:id="35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CHINA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Raymond Qiao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660"/>
          </w:cols>
          <w:pgMar w:left="1440" w:top="274" w:right="799" w:bottom="1440" w:gutter="0" w:footer="0" w:header="0"/>
        </w:sectPr>
      </w:pPr>
    </w:p>
    <w:bookmarkStart w:id="359" w:name="page360"/>
    <w:bookmarkEnd w:id="35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MONTREAL, CHICAGO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L. Banke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L. Banke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980"/>
          </w:cols>
          <w:pgMar w:left="1440" w:top="274" w:right="479" w:bottom="1440" w:gutter="0" w:footer="0" w:header="0"/>
        </w:sectPr>
      </w:pPr>
    </w:p>
    <w:bookmarkStart w:id="360" w:name="page361"/>
    <w:bookmarkEnd w:id="36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Craig Malloy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3" w:right="1440" w:bottom="1440" w:gutter="0" w:footer="0" w:header="0"/>
        </w:sectPr>
      </w:pPr>
    </w:p>
    <w:bookmarkStart w:id="361" w:name="page362"/>
    <w:bookmarkEnd w:id="36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BNP PARIBAS,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A Kowalczuk</w:t>
      </w:r>
    </w:p>
    <w:p>
      <w:pPr>
        <w:spacing w:after="0" w:line="23"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Name: Michael A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Melissa Dyki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Melissa Dyki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4" w:right="1440" w:bottom="1440" w:gutter="0" w:footer="0" w:header="0"/>
        </w:sectPr>
      </w:pPr>
    </w:p>
    <w:bookmarkStart w:id="362" w:name="page363"/>
    <w:bookmarkEnd w:id="36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CANADIAN IMPERIAL BANK OF COMMERCE, NEW</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Dominic Sorresso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Dominic Sorresso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Melissa Brown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Melissa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920"/>
          </w:cols>
          <w:pgMar w:left="1440" w:top="274" w:right="539" w:bottom="1440" w:gutter="0" w:footer="0" w:header="0"/>
        </w:sectPr>
      </w:pPr>
    </w:p>
    <w:bookmarkStart w:id="363" w:name="page364"/>
    <w:bookmarkEnd w:id="36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CHINA CONSTRUCTION BANK CORPORATION, NEW</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Jun Bi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Jun 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DGM</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020"/>
          </w:cols>
          <w:pgMar w:left="1440" w:top="274" w:right="439" w:bottom="1440" w:gutter="0" w:footer="0" w:header="0"/>
        </w:sectPr>
      </w:pPr>
    </w:p>
    <w:bookmarkStart w:id="364" w:name="page365"/>
    <w:bookmarkEnd w:id="36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CITIZENS BANK, N.A.,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Jonathan Gleit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Jonathan Gleit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SVP</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4" w:right="1440" w:bottom="1440" w:gutter="0" w:footer="0" w:header="0"/>
        </w:sectPr>
      </w:pPr>
    </w:p>
    <w:bookmarkStart w:id="365" w:name="page366"/>
    <w:bookmarkEnd w:id="36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COMMERZBANK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Ravelo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Michael Ravelo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Tak Cheng</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Tak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Assistant 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020"/>
          </w:cols>
          <w:pgMar w:left="1440" w:top="273" w:right="439" w:bottom="1440" w:gutter="0" w:footer="0" w:header="0"/>
        </w:sectPr>
      </w:pPr>
    </w:p>
    <w:bookmarkStart w:id="366" w:name="page367"/>
    <w:bookmarkEnd w:id="36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AGRICOLE CORPORATE AND INVESTMENT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Jill Wong</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Gordon Yip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980"/>
          </w:cols>
          <w:pgMar w:left="1440" w:top="273" w:right="479" w:bottom="1440" w:gutter="0" w:footer="0" w:header="0"/>
        </w:sectPr>
      </w:pPr>
    </w:p>
    <w:bookmarkStart w:id="367" w:name="page368"/>
    <w:bookmarkEnd w:id="36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DBS BANK LTD.,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Yeo How Ngee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Yeo How Ngee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Managing Director</w:t>
      </w:r>
    </w:p>
    <w:p>
      <w:pPr>
        <w:spacing w:after="0" w:line="162"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4" w:right="1440" w:bottom="1440" w:gutter="0" w:footer="0" w:header="0"/>
        </w:sectPr>
      </w:pPr>
    </w:p>
    <w:bookmarkStart w:id="368" w:name="page369"/>
    <w:bookmarkEnd w:id="36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Ming K. Chu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Virginia Cosenza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060"/>
          </w:cols>
          <w:pgMar w:left="1440" w:top="274" w:right="399" w:bottom="1440" w:gutter="0" w:footer="0" w:header="0"/>
        </w:sectPr>
      </w:pPr>
    </w:p>
    <w:bookmarkStart w:id="369" w:name="page370"/>
    <w:bookmarkEnd w:id="36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Fifth Third bank,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Mike Gifford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Mike Gifford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Director, Corporate Banking</w:t>
      </w:r>
    </w:p>
    <w:p>
      <w:pPr>
        <w:spacing w:after="0" w:line="162"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4" w:right="1440" w:bottom="1440" w:gutter="0" w:footer="0" w:header="0"/>
        </w:sectPr>
      </w:pPr>
    </w:p>
    <w:bookmarkStart w:id="370" w:name="page371"/>
    <w:bookmarkEnd w:id="37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Ryan Durkin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3" w:right="1440" w:bottom="1440" w:gutter="0" w:footer="0" w:header="0"/>
        </w:sectPr>
      </w:pPr>
    </w:p>
    <w:bookmarkStart w:id="371" w:name="page372"/>
    <w:bookmarkEnd w:id="37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INDUSTRIAL AND COMMERCIAL BANK OF CHINA</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NEW 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Jing Qu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Jing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Gang Duan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Gang Duan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880"/>
          </w:cols>
          <w:pgMar w:left="1440" w:top="273" w:right="579" w:bottom="1440" w:gutter="0" w:footer="0" w:header="0"/>
        </w:sectPr>
      </w:pPr>
    </w:p>
    <w:bookmarkStart w:id="372" w:name="page373"/>
    <w:bookmarkEnd w:id="37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ING BANK N.V., DUBLIN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Sean Hassett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Barry Fehily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Barry Fehily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Country Manager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260"/>
          </w:cols>
          <w:pgMar w:left="1440" w:top="274" w:right="1199" w:bottom="1440" w:gutter="0" w:footer="0" w:header="0"/>
        </w:sectPr>
      </w:pPr>
    </w:p>
    <w:bookmarkStart w:id="373" w:name="page374"/>
    <w:bookmarkEnd w:id="37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INTESA SANPAOLO S.P.A. - NEW YORK BRANCH,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Francesco Calcara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Francesco Calcara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VP-Senior Relationship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Francesco Di Mario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Francesco Di Mario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FVP-Head of Credit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920"/>
          </w:cols>
          <w:pgMar w:left="1440" w:top="274" w:right="539" w:bottom="1440" w:gutter="0" w:footer="0" w:header="0"/>
        </w:sectPr>
      </w:pPr>
    </w:p>
    <w:bookmarkStart w:id="374" w:name="page375"/>
    <w:bookmarkEnd w:id="37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ITAU UNIBANCO S.A.,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Claudia Lopes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Claudia Lopes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Deputy General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Jorge I. Vega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Jorge I.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Middle Office Manager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080"/>
          </w:cols>
          <w:pgMar w:left="1440" w:top="274" w:right="379" w:bottom="1440" w:gutter="0" w:footer="0" w:header="0"/>
        </w:sectPr>
      </w:pPr>
    </w:p>
    <w:bookmarkStart w:id="375" w:name="page376"/>
    <w:bookmarkEnd w:id="37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LLOYDS BANK PLC,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Daven Popat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Daven Popat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Cheryl Wilson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Cheryl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Head of Operations, North America</w:t>
      </w:r>
    </w:p>
    <w:p>
      <w:pPr>
        <w:spacing w:after="0" w:line="162"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40"/>
          </w:cols>
          <w:pgMar w:left="1440" w:top="273" w:right="1419" w:bottom="1440" w:gutter="0" w:footer="0" w:header="0"/>
        </w:sectPr>
      </w:pPr>
    </w:p>
    <w:bookmarkStart w:id="376" w:name="page377"/>
    <w:bookmarkEnd w:id="37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MIZUHO BANK, LTD.,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Tracy Rahn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4" w:right="1440" w:bottom="1440" w:gutter="0" w:footer="0" w:header="0"/>
        </w:sectPr>
      </w:pPr>
    </w:p>
    <w:bookmarkStart w:id="377" w:name="page378"/>
    <w:bookmarkEnd w:id="37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BANK NORTH AMERICA,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Kenya Yamamoto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Kenya Yamamoto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180"/>
          </w:cols>
          <w:pgMar w:left="1440" w:top="273" w:right="279" w:bottom="1440" w:gutter="0" w:footer="0" w:header="0"/>
        </w:sectPr>
      </w:pPr>
    </w:p>
    <w:bookmarkStart w:id="378" w:name="page379"/>
    <w:bookmarkEnd w:id="37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SENIOR FUNDING, INC.,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Kenya Yamamoto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Kenya Yamamoto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100"/>
          </w:cols>
          <w:pgMar w:left="1440" w:top="274" w:right="359" w:bottom="1440" w:gutter="0" w:footer="0" w:header="0"/>
        </w:sectPr>
      </w:pPr>
    </w:p>
    <w:bookmarkStart w:id="379" w:name="page380"/>
    <w:bookmarkEnd w:id="37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MUFG BANK, LTD.,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Eric Hill</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Eric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Authorized Signatory</w:t>
      </w:r>
    </w:p>
    <w:p>
      <w:pPr>
        <w:spacing w:after="0" w:line="162"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4" w:right="1440" w:bottom="1440" w:gutter="0" w:footer="0" w:header="0"/>
        </w:sectPr>
      </w:pPr>
    </w:p>
    <w:bookmarkStart w:id="380" w:name="page381"/>
    <w:bookmarkEnd w:id="38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NBAD AMERICAS N.V.,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Husam Arabiat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Husam Arabiat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center"/>
        <w:ind w:left="382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Pamela Sigda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Pamela Sigda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CFO</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3" w:right="1440" w:bottom="1440" w:gutter="0" w:footer="0" w:header="0"/>
        </w:sectPr>
      </w:pPr>
    </w:p>
    <w:bookmarkStart w:id="381" w:name="page382"/>
    <w:bookmarkEnd w:id="38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PNC BANK, NATIONAL ASSOCIATION,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Scott Neiderheide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Scott Neiderheide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580"/>
          </w:cols>
          <w:pgMar w:left="1440" w:top="274" w:right="879" w:bottom="1440" w:gutter="0" w:footer="0" w:header="0"/>
        </w:sectPr>
      </w:pPr>
    </w:p>
    <w:bookmarkStart w:id="382" w:name="page383"/>
    <w:bookmarkEnd w:id="38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 BANK OF CANADA,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Benjamin Lennon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3" w:right="1440" w:bottom="1440" w:gutter="0" w:footer="0" w:header="0"/>
        </w:sectPr>
      </w:pPr>
    </w:p>
    <w:bookmarkStart w:id="383" w:name="page384"/>
    <w:bookmarkEnd w:id="38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SANTANDER BANK, N.A.,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Xavier Ruiz Sena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Xavier Ruiz Sena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4" w:right="1440" w:bottom="1440" w:gutter="0" w:footer="0" w:header="0"/>
        </w:sectPr>
      </w:pPr>
    </w:p>
    <w:bookmarkStart w:id="384" w:name="page385"/>
    <w:bookmarkEnd w:id="38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SOCIETE GENERALE,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Hogan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4" w:right="1440" w:bottom="1440" w:gutter="0" w:footer="0" w:header="0"/>
        </w:sectPr>
      </w:pPr>
    </w:p>
    <w:bookmarkStart w:id="385" w:name="page386"/>
    <w:bookmarkEnd w:id="38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Standard Chartered BANK,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Daniel Mattern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Daniel Mattern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Associate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3" w:right="1440" w:bottom="1440" w:gutter="0" w:footer="0" w:header="0"/>
        </w:sectPr>
      </w:pPr>
    </w:p>
    <w:bookmarkStart w:id="386" w:name="page387"/>
    <w:bookmarkEnd w:id="38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STREET BANK AND TRUST COMPANY,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Mary H. Carey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Mary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200"/>
          </w:cols>
          <w:pgMar w:left="1440" w:top="274" w:right="259" w:bottom="1440" w:gutter="0" w:footer="0" w:header="0"/>
        </w:sectPr>
      </w:pPr>
    </w:p>
    <w:bookmarkStart w:id="387" w:name="page388"/>
    <w:bookmarkEnd w:id="38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SUMITOMO MITSUI BANKING CORPORATION,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Katsuyuki Kubo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Katsuyuki Kubo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720"/>
          </w:cols>
          <w:pgMar w:left="1440" w:top="273" w:right="739" w:bottom="1440" w:gutter="0" w:footer="0" w:header="0"/>
        </w:sectPr>
      </w:pPr>
    </w:p>
    <w:bookmarkStart w:id="388" w:name="page389"/>
    <w:bookmarkEnd w:id="38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Lisa Garling</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Lisa Garling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4" w:right="1440" w:bottom="1440" w:gutter="0" w:footer="0" w:header="0"/>
        </w:sectPr>
      </w:pPr>
    </w:p>
    <w:bookmarkStart w:id="389" w:name="page390"/>
    <w:bookmarkEnd w:id="38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T. Smathers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-130810</wp:posOffset>
            </wp:positionV>
            <wp:extent cx="272732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440"/>
          </w:cols>
          <w:pgMar w:left="1440" w:top="274" w:right="1019" w:bottom="1440" w:gutter="0" w:footer="0" w:header="0"/>
        </w:sectPr>
      </w:pPr>
    </w:p>
    <w:bookmarkStart w:id="390" w:name="page391"/>
    <w:bookmarkEnd w:id="39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NOVA SCOTIA,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Bradley Walker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Bradley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4" w:right="1440" w:bottom="1440" w:gutter="0" w:footer="0" w:header="0"/>
        </w:sectPr>
      </w:pPr>
    </w:p>
    <w:bookmarkStart w:id="391" w:name="page392"/>
    <w:bookmarkEnd w:id="39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ROYAL BANK OF SCOTLAND PLC,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Jonathan Eady</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-130810</wp:posOffset>
            </wp:positionV>
            <wp:extent cx="272732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660"/>
          </w:cols>
          <w:pgMar w:left="1440" w:top="274" w:right="799" w:bottom="1440" w:gutter="0" w:footer="0" w:header="0"/>
        </w:sectPr>
      </w:pPr>
    </w:p>
    <w:bookmarkStart w:id="392" w:name="page393"/>
    <w:bookmarkEnd w:id="39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TORONTO-DOMINION BANK, NEW YORK</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Savo Bozic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Savo Bozic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500"/>
          </w:cols>
          <w:pgMar w:left="1440" w:top="273" w:right="959" w:bottom="1440" w:gutter="0" w:footer="0" w:header="0"/>
        </w:sectPr>
      </w:pPr>
    </w:p>
    <w:bookmarkStart w:id="393" w:name="page394"/>
    <w:bookmarkEnd w:id="39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Jeffrey S. Johnson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500"/>
          </w:cols>
          <w:pgMar w:left="1440" w:top="274" w:right="959" w:bottom="1440" w:gutter="0" w:footer="0" w:header="0"/>
        </w:sectPr>
      </w:pPr>
    </w:p>
    <w:bookmarkStart w:id="394" w:name="page395"/>
    <w:bookmarkEnd w:id="39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UNICREDIT 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Ken Hamilton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Ken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Kelly Minton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Kelly 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120"/>
          </w:cols>
          <w:pgMar w:left="1440" w:top="274" w:right="339" w:bottom="1440" w:gutter="0" w:footer="0" w:header="0"/>
        </w:sectPr>
      </w:pPr>
    </w:p>
    <w:bookmarkStart w:id="395" w:name="page396"/>
    <w:bookmarkEnd w:id="39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Overseas BANK LIMITED, NEW YORK AGENCY,</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Eriberto De Guzman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 &amp; Country Manager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Ike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First 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10060"/>
          </w:cols>
          <w:pgMar w:left="1440" w:top="274" w:right="399" w:bottom="1440" w:gutter="0" w:footer="0" w:header="0"/>
        </w:sectPr>
      </w:pPr>
    </w:p>
    <w:bookmarkStart w:id="396" w:name="page397"/>
    <w:bookmarkEnd w:id="39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Matt J. Perrizo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Matt J. Perrizo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019"/>
          </w:cols>
          <w:pgMar w:left="1440" w:top="274" w:right="1440" w:bottom="1440" w:gutter="0" w:footer="0" w:header="0"/>
        </w:sectPr>
      </w:pPr>
    </w:p>
    <w:bookmarkStart w:id="397" w:name="page398"/>
    <w:bookmarkEnd w:id="39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WESTPAC BANKING CORPORATION,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Su-Lin Watson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Su-Lin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-130810</wp:posOffset>
            </wp:positionV>
            <wp:extent cx="272732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 Page to 5-Year Revolving Credit Agreement</w:t>
      </w:r>
    </w:p>
    <w:p>
      <w:pPr>
        <w:sectPr>
          <w:pgSz w:w="11900" w:h="16838" w:orient="portrait"/>
          <w:cols w:equalWidth="0" w:num="1">
            <w:col w:w="9460"/>
          </w:cols>
          <w:pgMar w:left="1440" w:top="273" w:right="999" w:bottom="1440" w:gutter="0" w:footer="0" w:header="0"/>
        </w:sectPr>
      </w:pPr>
    </w:p>
    <w:bookmarkStart w:id="398" w:name="page399"/>
    <w:bookmarkEnd w:id="398"/>
    <w:p>
      <w:pPr>
        <w:jc w:val="center"/>
        <w:ind w:left="9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1.1A</w:t>
      </w:r>
    </w:p>
    <w:p>
      <w:pPr>
        <w:spacing w:after="0" w:line="35" w:lineRule="exact"/>
        <w:rPr>
          <w:sz w:val="20"/>
          <w:szCs w:val="20"/>
          <w:color w:val="auto"/>
        </w:rPr>
      </w:pPr>
    </w:p>
    <w:p>
      <w:pPr>
        <w:jc w:val="center"/>
        <w:ind w:left="99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Credit Agreement</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OMMITMENTS</w:t>
      </w:r>
      <w:r>
        <w:rPr>
          <w:rFonts w:ascii="Arial" w:cs="Arial" w:eastAsia="Arial" w:hAnsi="Arial"/>
          <w:sz w:val="18"/>
          <w:szCs w:val="18"/>
          <w:b w:val="1"/>
          <w:bCs w:val="1"/>
          <w:u w:val="single" w:color="auto"/>
          <w:color w:val="auto"/>
        </w:rPr>
        <w:t>/DDTP I</w:t>
      </w:r>
      <w:r>
        <w:rPr>
          <w:rFonts w:ascii="Arial" w:cs="Arial" w:eastAsia="Arial" w:hAnsi="Arial"/>
          <w:sz w:val="15"/>
          <w:szCs w:val="15"/>
          <w:b w:val="1"/>
          <w:bCs w:val="1"/>
          <w:u w:val="single" w:color="auto"/>
          <w:color w:val="auto"/>
        </w:rPr>
        <w:t>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gridSpan w:val="2"/>
          </w:tcPr>
          <w:p>
            <w:pPr>
              <w:ind w:left="1840"/>
              <w:spacing w:after="0"/>
              <w:rPr>
                <w:sz w:val="20"/>
                <w:szCs w:val="20"/>
                <w:color w:val="auto"/>
              </w:rPr>
            </w:pPr>
            <w:r>
              <w:rPr>
                <w:rFonts w:ascii="Arial" w:cs="Arial" w:eastAsia="Arial" w:hAnsi="Arial"/>
                <w:sz w:val="14"/>
                <w:szCs w:val="14"/>
                <w:b w:val="1"/>
                <w:bCs w:val="1"/>
                <w:color w:val="auto"/>
              </w:rPr>
              <w:t>Lender</w:t>
            </w:r>
          </w:p>
        </w:tc>
        <w:tc>
          <w:tcPr>
            <w:tcW w:w="21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Commitment</w:t>
            </w:r>
          </w:p>
        </w:tc>
      </w:tr>
      <w:tr>
        <w:trPr>
          <w:trHeight w:val="216"/>
        </w:trPr>
        <w:tc>
          <w:tcPr>
            <w:tcW w:w="18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State Street Bank and Trust Company</w:t>
            </w:r>
          </w:p>
        </w:tc>
        <w:tc>
          <w:tcPr>
            <w:tcW w:w="15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Overseas Bank Limited, New York Agency</w:t>
            </w:r>
          </w:p>
        </w:tc>
        <w:tc>
          <w:tcPr>
            <w:tcW w:w="1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Bangkok Bank Public Company Limited, New York Branch</w:t>
            </w:r>
          </w:p>
        </w:tc>
        <w:tc>
          <w:tcPr>
            <w:tcW w:w="15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r>
      <w:tr>
        <w:trPr>
          <w:trHeight w:val="228"/>
        </w:trPr>
        <w:tc>
          <w:tcPr>
            <w:tcW w:w="7440" w:type="dxa"/>
            <w:vAlign w:val="bottom"/>
            <w:gridSpan w:val="2"/>
          </w:tcPr>
          <w:p>
            <w:pPr>
              <w:ind w:left="1840"/>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427"/>
        </w:trPr>
        <w:tc>
          <w:tcPr>
            <w:tcW w:w="184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7440" w:type="dxa"/>
            <w:vAlign w:val="bottom"/>
            <w:gridSpan w:val="2"/>
          </w:tcPr>
          <w:p>
            <w:pPr>
              <w:ind w:left="1840"/>
              <w:spacing w:after="0"/>
              <w:rPr>
                <w:sz w:val="20"/>
                <w:szCs w:val="20"/>
                <w:color w:val="auto"/>
              </w:rPr>
            </w:pPr>
            <w:r>
              <w:rPr>
                <w:rFonts w:ascii="Arial" w:cs="Arial" w:eastAsia="Arial" w:hAnsi="Arial"/>
                <w:sz w:val="14"/>
                <w:szCs w:val="14"/>
                <w:b w:val="1"/>
                <w:bCs w:val="1"/>
                <w:color w:val="auto"/>
              </w:rPr>
              <w:t>Lender</w:t>
            </w:r>
          </w:p>
        </w:tc>
        <w:tc>
          <w:tcPr>
            <w:tcW w:w="21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Commitment</w:t>
            </w:r>
          </w:p>
        </w:tc>
      </w:tr>
      <w:tr>
        <w:trPr>
          <w:trHeight w:val="216"/>
        </w:trPr>
        <w:tc>
          <w:tcPr>
            <w:tcW w:w="18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Banco do Brasil S.A.</w:t>
            </w:r>
          </w:p>
        </w:tc>
        <w:tc>
          <w:tcPr>
            <w:tcW w:w="15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r>
      <w:tr>
        <w:trPr>
          <w:trHeight w:val="228"/>
        </w:trPr>
        <w:tc>
          <w:tcPr>
            <w:tcW w:w="7440" w:type="dxa"/>
            <w:vAlign w:val="bottom"/>
            <w:gridSpan w:val="2"/>
          </w:tcPr>
          <w:p>
            <w:pPr>
              <w:ind w:left="1840"/>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4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15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Commitment</w:t>
            </w:r>
          </w:p>
        </w:tc>
        <w:tc>
          <w:tcPr>
            <w:tcW w:w="2140" w:type="dxa"/>
            <w:vAlign w:val="bottom"/>
          </w:tcPr>
          <w:p>
            <w:pPr>
              <w:jc w:val="right"/>
              <w:ind w:right="437"/>
              <w:spacing w:after="0"/>
              <w:rPr>
                <w:sz w:val="20"/>
                <w:szCs w:val="20"/>
                <w:color w:val="auto"/>
              </w:rPr>
            </w:pPr>
            <w:r>
              <w:rPr>
                <w:rFonts w:ascii="Arial" w:cs="Arial" w:eastAsia="Arial" w:hAnsi="Arial"/>
                <w:sz w:val="14"/>
                <w:szCs w:val="14"/>
                <w:b w:val="1"/>
                <w:bCs w:val="1"/>
                <w:color w:val="auto"/>
              </w:rPr>
              <w:t>Scheme Reference</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76"/>
        </w:trPr>
        <w:tc>
          <w:tcPr>
            <w:tcW w:w="462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140" w:type="dxa"/>
            <w:vAlign w:val="bottom"/>
          </w:tcPr>
          <w:p>
            <w:pPr>
              <w:jc w:val="right"/>
              <w:ind w:right="757"/>
              <w:spacing w:after="0"/>
              <w:rPr>
                <w:sz w:val="20"/>
                <w:szCs w:val="20"/>
                <w:color w:val="auto"/>
              </w:rPr>
            </w:pPr>
            <w:r>
              <w:rPr>
                <w:rFonts w:ascii="Arial" w:cs="Arial" w:eastAsia="Arial" w:hAnsi="Arial"/>
                <w:sz w:val="14"/>
                <w:szCs w:val="14"/>
                <w:b w:val="1"/>
                <w:bCs w:val="1"/>
                <w:color w:val="auto"/>
              </w:rPr>
              <w:t>Number</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Tax Residence</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21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13/M/0268710/DTTP</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Citibank, N.A.</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2140" w:type="dxa"/>
            <w:vAlign w:val="bottom"/>
          </w:tcPr>
          <w:p>
            <w:pPr>
              <w:jc w:val="right"/>
              <w:ind w:right="197"/>
              <w:spacing w:after="0"/>
              <w:rPr>
                <w:sz w:val="20"/>
                <w:szCs w:val="20"/>
                <w:color w:val="auto"/>
              </w:rPr>
            </w:pPr>
            <w:r>
              <w:rPr>
                <w:rFonts w:ascii="Arial" w:cs="Arial" w:eastAsia="Arial" w:hAnsi="Arial"/>
                <w:sz w:val="18"/>
                <w:szCs w:val="18"/>
                <w:color w:val="auto"/>
              </w:rPr>
              <w:t>13/C/62301/DTTP</w:t>
            </w:r>
          </w:p>
        </w:tc>
        <w:tc>
          <w:tcPr>
            <w:tcW w:w="124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Banco Bilbao Vizcaya Argentaria, S.A. New York Branch</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21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9/B/75354/DTTP</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right="680" w:hanging="572"/>
        <w:spacing w:after="0" w:line="277" w:lineRule="auto"/>
        <w:tabs>
          <w:tab w:leader="none" w:pos="5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360"/>
          </w:cols>
          <w:pgMar w:left="240" w:top="273" w:right="299" w:bottom="1440" w:gutter="0" w:footer="0" w:header="0"/>
        </w:sectPr>
      </w:pPr>
    </w:p>
    <w:bookmarkStart w:id="399" w:name="page400"/>
    <w:bookmarkEnd w:id="399"/>
    <w:tbl>
      <w:tblPr>
        <w:tblLayout w:type="fixed"/>
        <w:tblInd w:w="92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14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Commitment</w:t>
            </w:r>
          </w:p>
        </w:tc>
        <w:tc>
          <w:tcPr>
            <w:tcW w:w="2120" w:type="dxa"/>
            <w:vAlign w:val="bottom"/>
          </w:tcPr>
          <w:p>
            <w:pPr>
              <w:jc w:val="right"/>
              <w:ind w:right="432"/>
              <w:spacing w:after="0"/>
              <w:rPr>
                <w:sz w:val="20"/>
                <w:szCs w:val="20"/>
                <w:color w:val="auto"/>
              </w:rPr>
            </w:pPr>
            <w:r>
              <w:rPr>
                <w:rFonts w:ascii="Arial" w:cs="Arial" w:eastAsia="Arial" w:hAnsi="Arial"/>
                <w:sz w:val="14"/>
                <w:szCs w:val="14"/>
                <w:b w:val="1"/>
                <w:bCs w:val="1"/>
                <w:color w:val="auto"/>
              </w:rPr>
              <w:t>Scheme Reference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120" w:type="dxa"/>
            <w:vAlign w:val="bottom"/>
          </w:tcPr>
          <w:p>
            <w:pPr>
              <w:jc w:val="right"/>
              <w:ind w:right="732"/>
              <w:spacing w:after="0"/>
              <w:rPr>
                <w:sz w:val="20"/>
                <w:szCs w:val="20"/>
                <w:color w:val="auto"/>
              </w:rPr>
            </w:pPr>
            <w:r>
              <w:rPr>
                <w:rFonts w:ascii="Arial" w:cs="Arial" w:eastAsia="Arial" w:hAnsi="Arial"/>
                <w:sz w:val="14"/>
                <w:szCs w:val="14"/>
                <w:b w:val="1"/>
                <w:bCs w:val="1"/>
                <w:color w:val="auto"/>
              </w:rPr>
              <w:t>Number</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Tax Residence</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Bank of America, N.A. </w:t>
            </w:r>
            <w:r>
              <w:rPr>
                <w:rFonts w:ascii="Arial" w:cs="Arial" w:eastAsia="Arial" w:hAnsi="Arial"/>
                <w:sz w:val="15"/>
                <w:szCs w:val="15"/>
                <w:color w:val="auto"/>
              </w:rPr>
              <w:t>1</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13/B/7418/DTTP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Barclays Bank PLC</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tcPr>
          <w:p>
            <w:pPr>
              <w:jc w:val="right"/>
              <w:ind w:right="152"/>
              <w:spacing w:after="0"/>
              <w:rPr>
                <w:sz w:val="20"/>
                <w:szCs w:val="20"/>
                <w:color w:val="auto"/>
              </w:rPr>
            </w:pPr>
            <w:r>
              <w:rPr>
                <w:rFonts w:ascii="Arial" w:cs="Arial" w:eastAsia="Arial" w:hAnsi="Arial"/>
                <w:sz w:val="18"/>
                <w:szCs w:val="18"/>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BNP Paribas</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5/B/255139/DTTP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Commerzbank AG New York Branch</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tcPr>
          <w:p>
            <w:pPr>
              <w:jc w:val="right"/>
              <w:ind w:right="152"/>
              <w:spacing w:after="0"/>
              <w:rPr>
                <w:sz w:val="20"/>
                <w:szCs w:val="20"/>
                <w:color w:val="auto"/>
              </w:rPr>
            </w:pPr>
            <w:r>
              <w:rPr>
                <w:rFonts w:ascii="Arial" w:cs="Arial" w:eastAsia="Arial" w:hAnsi="Arial"/>
                <w:sz w:val="18"/>
                <w:szCs w:val="18"/>
                <w:color w:val="auto"/>
              </w:rPr>
              <w:t>7/C/25382/DTTP</w:t>
            </w:r>
          </w:p>
        </w:tc>
        <w:tc>
          <w:tcPr>
            <w:tcW w:w="1200" w:type="dxa"/>
            <w:vAlign w:val="bottom"/>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Credit Agricole Corporate and Investment Bank</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5/C/0222082/DTTP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tcPr>
          <w:p>
            <w:pPr>
              <w:jc w:val="right"/>
              <w:ind w:right="152"/>
              <w:spacing w:after="0"/>
              <w:rPr>
                <w:sz w:val="20"/>
                <w:szCs w:val="20"/>
                <w:color w:val="auto"/>
              </w:rPr>
            </w:pPr>
            <w:r>
              <w:rPr>
                <w:rFonts w:ascii="Arial" w:cs="Arial" w:eastAsia="Arial" w:hAnsi="Arial"/>
                <w:sz w:val="18"/>
                <w:szCs w:val="18"/>
                <w:color w:val="auto"/>
              </w:rPr>
              <w:t>07/D/70006/DTTP</w:t>
            </w:r>
          </w:p>
        </w:tc>
        <w:tc>
          <w:tcPr>
            <w:tcW w:w="1200" w:type="dxa"/>
            <w:vAlign w:val="bottom"/>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13/G/0351779/DTTP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Industrial and Commercial Bank of China Limited, New York</w:t>
            </w:r>
          </w:p>
        </w:tc>
        <w:tc>
          <w:tcPr>
            <w:tcW w:w="600" w:type="dxa"/>
            <w:vAlign w:val="bottom"/>
          </w:tcPr>
          <w:p>
            <w:pPr>
              <w:spacing w:after="0"/>
              <w:rPr>
                <w:sz w:val="17"/>
                <w:szCs w:val="17"/>
                <w:color w:val="auto"/>
              </w:rPr>
            </w:pPr>
          </w:p>
        </w:tc>
        <w:tc>
          <w:tcPr>
            <w:tcW w:w="8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Branch</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40" w:type="dxa"/>
            <w:vAlign w:val="bottom"/>
            <w:vMerge w:val="continue"/>
          </w:tcPr>
          <w:p>
            <w:pPr>
              <w:spacing w:after="0"/>
              <w:rPr>
                <w:sz w:val="20"/>
                <w:szCs w:val="20"/>
                <w:color w:val="auto"/>
              </w:rPr>
            </w:pPr>
          </w:p>
        </w:tc>
        <w:tc>
          <w:tcPr>
            <w:tcW w:w="2120" w:type="dxa"/>
            <w:vAlign w:val="bottom"/>
          </w:tcPr>
          <w:p>
            <w:pPr>
              <w:jc w:val="right"/>
              <w:ind w:right="152"/>
              <w:spacing w:after="0"/>
              <w:rPr>
                <w:sz w:val="20"/>
                <w:szCs w:val="20"/>
                <w:color w:val="auto"/>
              </w:rPr>
            </w:pPr>
            <w:r>
              <w:rPr>
                <w:rFonts w:ascii="Arial" w:cs="Arial" w:eastAsia="Arial" w:hAnsi="Arial"/>
                <w:sz w:val="18"/>
                <w:szCs w:val="18"/>
                <w:color w:val="auto"/>
              </w:rPr>
              <w:t>23/I/358686/DTTP</w:t>
            </w:r>
          </w:p>
        </w:tc>
        <w:tc>
          <w:tcPr>
            <w:tcW w:w="1200" w:type="dxa"/>
            <w:vAlign w:val="bottom"/>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Lloyds Bank plc</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N/A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Mizuho Bank, Ltd.</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tcPr>
          <w:p>
            <w:pPr>
              <w:jc w:val="right"/>
              <w:ind w:right="152"/>
              <w:spacing w:after="0"/>
              <w:rPr>
                <w:sz w:val="20"/>
                <w:szCs w:val="20"/>
                <w:color w:val="auto"/>
              </w:rPr>
            </w:pPr>
            <w:r>
              <w:rPr>
                <w:rFonts w:ascii="Arial" w:cs="Arial" w:eastAsia="Arial" w:hAnsi="Arial"/>
                <w:sz w:val="18"/>
                <w:szCs w:val="18"/>
                <w:color w:val="auto"/>
              </w:rPr>
              <w:t>43/M/274822/DTTP</w:t>
            </w:r>
          </w:p>
        </w:tc>
        <w:tc>
          <w:tcPr>
            <w:tcW w:w="1200" w:type="dxa"/>
            <w:vAlign w:val="bottom"/>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13/M/307216/DTTP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Morgan Stanley Senior Funding, Inc.</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tcPr>
          <w:p>
            <w:pPr>
              <w:jc w:val="right"/>
              <w:ind w:right="152"/>
              <w:spacing w:after="0"/>
              <w:rPr>
                <w:sz w:val="20"/>
                <w:szCs w:val="20"/>
                <w:color w:val="auto"/>
              </w:rPr>
            </w:pPr>
            <w:r>
              <w:rPr>
                <w:rFonts w:ascii="Arial" w:cs="Arial" w:eastAsia="Arial" w:hAnsi="Arial"/>
                <w:sz w:val="18"/>
                <w:szCs w:val="18"/>
                <w:color w:val="auto"/>
              </w:rPr>
              <w:t>13/M/227953/DTTP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3/R/70780/DTTP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Societe Generale</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tcPr>
          <w:p>
            <w:pPr>
              <w:jc w:val="right"/>
              <w:ind w:right="152"/>
              <w:spacing w:after="0"/>
              <w:rPr>
                <w:sz w:val="20"/>
                <w:szCs w:val="20"/>
                <w:color w:val="auto"/>
              </w:rPr>
            </w:pPr>
            <w:r>
              <w:rPr>
                <w:rFonts w:ascii="Arial" w:cs="Arial" w:eastAsia="Arial" w:hAnsi="Arial"/>
                <w:sz w:val="18"/>
                <w:szCs w:val="18"/>
                <w:color w:val="auto"/>
              </w:rPr>
              <w:t>5/S/70085/DTTP</w:t>
            </w:r>
          </w:p>
        </w:tc>
        <w:tc>
          <w:tcPr>
            <w:tcW w:w="120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43/S/274647/DTTP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The Bank of Nova Scotia</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tcPr>
          <w:p>
            <w:pPr>
              <w:jc w:val="right"/>
              <w:ind w:right="152"/>
              <w:spacing w:after="0"/>
              <w:rPr>
                <w:sz w:val="20"/>
                <w:szCs w:val="20"/>
                <w:color w:val="auto"/>
              </w:rPr>
            </w:pPr>
            <w:r>
              <w:rPr>
                <w:rFonts w:ascii="Arial" w:cs="Arial" w:eastAsia="Arial" w:hAnsi="Arial"/>
                <w:sz w:val="18"/>
                <w:szCs w:val="18"/>
                <w:color w:val="auto"/>
              </w:rPr>
              <w:t>003/T/0366714/DTTP</w:t>
            </w:r>
          </w:p>
        </w:tc>
        <w:tc>
          <w:tcPr>
            <w:tcW w:w="120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The Royal Bank of Scotland plc</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N/A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Arial" w:cs="Arial" w:eastAsia="Arial" w:hAnsi="Arial"/>
                <w:sz w:val="18"/>
                <w:szCs w:val="18"/>
                <w:color w:val="auto"/>
              </w:rPr>
              <w:t>The Toronto-Dominion Bank, New York Branch</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120" w:type="dxa"/>
            <w:vAlign w:val="bottom"/>
          </w:tcPr>
          <w:p>
            <w:pPr>
              <w:jc w:val="right"/>
              <w:ind w:right="152"/>
              <w:spacing w:after="0"/>
              <w:rPr>
                <w:sz w:val="20"/>
                <w:szCs w:val="20"/>
                <w:color w:val="auto"/>
              </w:rPr>
            </w:pPr>
            <w:r>
              <w:rPr>
                <w:rFonts w:ascii="Arial" w:cs="Arial" w:eastAsia="Arial" w:hAnsi="Arial"/>
                <w:sz w:val="18"/>
                <w:szCs w:val="18"/>
                <w:color w:val="auto"/>
              </w:rPr>
              <w:t>3/T/80000/DTTP</w:t>
            </w:r>
          </w:p>
        </w:tc>
        <w:tc>
          <w:tcPr>
            <w:tcW w:w="120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line="254" w:lineRule="auto"/>
        <w:tabs>
          <w:tab w:leader="none" w:pos="460" w:val="left"/>
        </w:tabs>
        <w:numPr>
          <w:ilvl w:val="0"/>
          <w:numId w:val="387"/>
        </w:numPr>
        <w:rPr>
          <w:rFonts w:ascii="Arial" w:cs="Arial" w:eastAsia="Arial" w:hAnsi="Arial"/>
          <w:sz w:val="15"/>
          <w:szCs w:val="15"/>
          <w:color w:val="auto"/>
        </w:rPr>
      </w:pPr>
      <w:r>
        <w:rPr>
          <w:rFonts w:ascii="Arial" w:cs="Arial" w:eastAsia="Arial" w:hAnsi="Arial"/>
          <w:sz w:val="18"/>
          <w:szCs w:val="18"/>
          <w:color w:val="auto"/>
        </w:rPr>
        <w:t>Bank of America Merrill Lynch International is a designated Affiliate of Bank of America, N.A. for the purpose of lending to certain Foreign Subsidiary Borrowers. Any reference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Chapter II, Title II of Directive (EU) 2017/1132 (which repeals and codifies the Cross-Border Mergers Directive (2005/56/EC)), as implemented in the United Kingdom and Ireland. Notwithstanding anything to the contrary in any Loan Document, a transfer of rights and obligations from Bank of America Merrill Lynch International Limited to Bank of America Merrill Lynch International Designated Activity Company pursuant to such merger shall be permitted.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80" w:right="660" w:hanging="572"/>
        <w:spacing w:after="0" w:line="277" w:lineRule="auto"/>
        <w:tabs>
          <w:tab w:leader="none" w:pos="5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340"/>
          </w:cols>
          <w:pgMar w:left="240" w:top="262" w:right="319" w:bottom="1440" w:gutter="0" w:footer="0" w:header="0"/>
        </w:sectPr>
      </w:pPr>
    </w:p>
    <w:bookmarkStart w:id="400" w:name="page401"/>
    <w:bookmarkEnd w:id="400"/>
    <w:tbl>
      <w:tblPr>
        <w:tblLayout w:type="fixed"/>
        <w:tblInd w:w="920" w:type="dxa"/>
        <w:tblCellMar>
          <w:top w:w="0" w:type="dxa"/>
          <w:left w:w="0" w:type="dxa"/>
          <w:bottom w:w="0" w:type="dxa"/>
          <w:right w:w="0" w:type="dxa"/>
        </w:tblCellMar>
      </w:tblPr>
      <w:tr>
        <w:trPr>
          <w:trHeight w:val="161"/>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16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Commitment</w:t>
            </w:r>
          </w:p>
        </w:tc>
        <w:tc>
          <w:tcPr>
            <w:tcW w:w="2040" w:type="dxa"/>
            <w:vAlign w:val="bottom"/>
          </w:tcPr>
          <w:p>
            <w:pPr>
              <w:jc w:val="right"/>
              <w:ind w:right="391"/>
              <w:spacing w:after="0"/>
              <w:rPr>
                <w:sz w:val="20"/>
                <w:szCs w:val="20"/>
                <w:color w:val="auto"/>
              </w:rPr>
            </w:pPr>
            <w:r>
              <w:rPr>
                <w:rFonts w:ascii="Arial" w:cs="Arial" w:eastAsia="Arial" w:hAnsi="Arial"/>
                <w:sz w:val="14"/>
                <w:szCs w:val="14"/>
                <w:b w:val="1"/>
                <w:bCs w:val="1"/>
                <w:color w:val="auto"/>
              </w:rPr>
              <w:t>Scheme Reference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76"/>
        </w:trPr>
        <w:tc>
          <w:tcPr>
            <w:tcW w:w="4720" w:type="dxa"/>
            <w:vAlign w:val="bottom"/>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2040" w:type="dxa"/>
            <w:vAlign w:val="bottom"/>
          </w:tcPr>
          <w:p>
            <w:pPr>
              <w:jc w:val="right"/>
              <w:ind w:right="691"/>
              <w:spacing w:after="0"/>
              <w:rPr>
                <w:sz w:val="20"/>
                <w:szCs w:val="20"/>
                <w:color w:val="auto"/>
              </w:rPr>
            </w:pPr>
            <w:r>
              <w:rPr>
                <w:rFonts w:ascii="Arial" w:cs="Arial" w:eastAsia="Arial" w:hAnsi="Arial"/>
                <w:sz w:val="14"/>
                <w:szCs w:val="14"/>
                <w:b w:val="1"/>
                <w:bCs w:val="1"/>
                <w:color w:val="auto"/>
              </w:rPr>
              <w:t>Number</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Tax Residence</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Intesa Sanpaolo S.p.A.—New York Branch</w:t>
            </w: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171"/>
              <w:spacing w:after="0" w:line="201" w:lineRule="exact"/>
              <w:rPr>
                <w:sz w:val="20"/>
                <w:szCs w:val="20"/>
                <w:color w:val="auto"/>
              </w:rPr>
            </w:pPr>
            <w:r>
              <w:rPr>
                <w:rFonts w:ascii="Arial" w:cs="Arial" w:eastAsia="Arial" w:hAnsi="Arial"/>
                <w:sz w:val="18"/>
                <w:szCs w:val="18"/>
                <w:color w:val="auto"/>
              </w:rPr>
              <w:t>N/A (with respect to</w:t>
            </w: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Intesa Sanpaolo</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S.p.A., London</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Branch as applicable</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vMerge w:val="continue"/>
            <w:shd w:val="clear" w:color="auto" w:fill="CCEEFF"/>
          </w:tcPr>
          <w:p>
            <w:pPr>
              <w:spacing w:after="0"/>
              <w:rPr>
                <w:sz w:val="20"/>
                <w:szCs w:val="20"/>
                <w:color w:val="auto"/>
              </w:rPr>
            </w:pP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lending office)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Banco Bradesco S.A.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Canadian Imperial Bank of Commerce, New York Branch</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3/C/80001/DTTP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UniCredit Bank AG, New York Branch</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171"/>
              <w:spacing w:after="0"/>
              <w:rPr>
                <w:sz w:val="20"/>
                <w:szCs w:val="20"/>
                <w:color w:val="auto"/>
              </w:rPr>
            </w:pPr>
            <w:r>
              <w:rPr>
                <w:rFonts w:ascii="Arial" w:cs="Arial" w:eastAsia="Arial" w:hAnsi="Arial"/>
                <w:sz w:val="18"/>
                <w:szCs w:val="18"/>
                <w:color w:val="auto"/>
              </w:rPr>
              <w:t>7/U/237605/DTTP</w:t>
            </w:r>
          </w:p>
        </w:tc>
        <w:tc>
          <w:tcPr>
            <w:tcW w:w="1200" w:type="dxa"/>
            <w:vAlign w:val="bottom"/>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DBS Bank Ltd.</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67/D/363894/DTTP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171"/>
              <w:spacing w:after="0"/>
              <w:rPr>
                <w:sz w:val="20"/>
                <w:szCs w:val="20"/>
                <w:color w:val="auto"/>
              </w:rPr>
            </w:pPr>
            <w:r>
              <w:rPr>
                <w:rFonts w:ascii="Arial" w:cs="Arial" w:eastAsia="Arial" w:hAnsi="Arial"/>
                <w:sz w:val="18"/>
                <w:szCs w:val="18"/>
                <w:color w:val="auto"/>
              </w:rPr>
              <w:t>13/U/62184/DTTP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Bank of China New York Branch</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23/B/368424/DTTP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Bank of Montreal, Chicago Branch</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171"/>
              <w:spacing w:after="0"/>
              <w:rPr>
                <w:sz w:val="20"/>
                <w:szCs w:val="20"/>
                <w:color w:val="auto"/>
              </w:rPr>
            </w:pPr>
            <w:r>
              <w:rPr>
                <w:rFonts w:ascii="Arial" w:cs="Arial" w:eastAsia="Arial" w:hAnsi="Arial"/>
                <w:sz w:val="18"/>
                <w:szCs w:val="18"/>
                <w:color w:val="auto"/>
              </w:rPr>
              <w:t>3/M/270436/DTTP</w:t>
            </w:r>
          </w:p>
        </w:tc>
        <w:tc>
          <w:tcPr>
            <w:tcW w:w="1200" w:type="dxa"/>
            <w:vAlign w:val="bottom"/>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Santander Bank, N.A.</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013/S/357603/DTTP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MUFG Bank, Ltd.</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171"/>
              <w:spacing w:after="0"/>
              <w:rPr>
                <w:sz w:val="20"/>
                <w:szCs w:val="20"/>
                <w:color w:val="auto"/>
              </w:rPr>
            </w:pPr>
            <w:r>
              <w:rPr>
                <w:rFonts w:ascii="Arial" w:cs="Arial" w:eastAsia="Arial" w:hAnsi="Arial"/>
                <w:sz w:val="18"/>
                <w:szCs w:val="18"/>
                <w:color w:val="auto"/>
              </w:rPr>
              <w:t>43/B/322072/DTTP</w:t>
            </w:r>
          </w:p>
        </w:tc>
        <w:tc>
          <w:tcPr>
            <w:tcW w:w="1200" w:type="dxa"/>
            <w:vAlign w:val="bottom"/>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13/B/357401/DTTP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Agricultural Bank of China Ltd., New York Branch</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Itau Unibanco S.A., New York Branch</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171"/>
              <w:spacing w:after="0"/>
              <w:rPr>
                <w:sz w:val="20"/>
                <w:szCs w:val="20"/>
                <w:color w:val="auto"/>
              </w:rPr>
            </w:pPr>
            <w:r>
              <w:rPr>
                <w:rFonts w:ascii="Arial" w:cs="Arial" w:eastAsia="Arial" w:hAnsi="Arial"/>
                <w:sz w:val="18"/>
                <w:szCs w:val="18"/>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ING Bank N.V., Dublin Branch</w:t>
            </w: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171"/>
              <w:spacing w:after="0" w:line="201" w:lineRule="exact"/>
              <w:rPr>
                <w:sz w:val="20"/>
                <w:szCs w:val="20"/>
                <w:color w:val="auto"/>
              </w:rPr>
            </w:pPr>
            <w:r>
              <w:rPr>
                <w:rFonts w:ascii="Arial" w:cs="Arial" w:eastAsia="Arial" w:hAnsi="Arial"/>
                <w:sz w:val="18"/>
                <w:szCs w:val="18"/>
                <w:color w:val="auto"/>
              </w:rPr>
              <w:t>12-I-371270-DTTP</w:t>
            </w: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(with respect to ING</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Ireland DAC as</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applicable lending</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vMerge w:val="continue"/>
            <w:shd w:val="clear" w:color="auto" w:fill="CCEEFF"/>
          </w:tcPr>
          <w:p>
            <w:pPr>
              <w:spacing w:after="0"/>
              <w:rPr>
                <w:sz w:val="20"/>
                <w:szCs w:val="20"/>
                <w:color w:val="auto"/>
              </w:rPr>
            </w:pP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office)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Wells Fargo Bank, National Association</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171"/>
              <w:spacing w:after="0"/>
              <w:rPr>
                <w:sz w:val="20"/>
                <w:szCs w:val="20"/>
                <w:color w:val="auto"/>
              </w:rPr>
            </w:pPr>
            <w:r>
              <w:rPr>
                <w:rFonts w:ascii="Arial" w:cs="Arial" w:eastAsia="Arial" w:hAnsi="Arial"/>
                <w:sz w:val="18"/>
                <w:szCs w:val="18"/>
                <w:color w:val="auto"/>
              </w:rPr>
              <w:t>13/W/61173/DTTP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Citizens Bank, N.A.</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13/C/356159/DTTP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SunTrust Bank</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171"/>
              <w:spacing w:after="0"/>
              <w:rPr>
                <w:sz w:val="20"/>
                <w:szCs w:val="20"/>
                <w:color w:val="auto"/>
              </w:rPr>
            </w:pPr>
            <w:r>
              <w:rPr>
                <w:rFonts w:ascii="Arial" w:cs="Arial" w:eastAsia="Arial" w:hAnsi="Arial"/>
                <w:sz w:val="18"/>
                <w:szCs w:val="18"/>
                <w:color w:val="auto"/>
              </w:rPr>
              <w:t>13S/67712/DTTP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China Construction Bank Corporation, New York Branch</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Credit Agreement Schedule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hanging="572"/>
        <w:spacing w:after="0" w:line="277" w:lineRule="auto"/>
        <w:tabs>
          <w:tab w:leader="none" w:pos="5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0680"/>
          </w:cols>
          <w:pgMar w:left="240" w:top="262" w:right="979" w:bottom="1440" w:gutter="0" w:footer="0" w:header="0"/>
        </w:sectPr>
      </w:pPr>
    </w:p>
    <w:bookmarkStart w:id="401" w:name="page402"/>
    <w:bookmarkEnd w:id="401"/>
    <w:tbl>
      <w:tblPr>
        <w:tblLayout w:type="fixed"/>
        <w:tblInd w:w="92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Commitment</w:t>
            </w:r>
          </w:p>
        </w:tc>
        <w:tc>
          <w:tcPr>
            <w:tcW w:w="2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Scheme Reference</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Number</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Tax Residence</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Standard Chartered Bank</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Westpac Banking Corporation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jc w:val="right"/>
              <w:ind w:right="560"/>
              <w:spacing w:after="0"/>
              <w:rPr>
                <w:sz w:val="20"/>
                <w:szCs w:val="20"/>
                <w:color w:val="auto"/>
              </w:rPr>
            </w:pPr>
            <w:r>
              <w:rPr>
                <w:rFonts w:ascii="Arial" w:cs="Arial" w:eastAsia="Arial" w:hAnsi="Arial"/>
                <w:sz w:val="18"/>
                <w:szCs w:val="18"/>
                <w:color w:val="auto"/>
                <w:w w:val="96"/>
              </w:rPr>
              <w:t>2/W/313837/DTTP</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13/F/24267/DTTP</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NBAD Americas N.V.</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Curacao</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Banco do Brasil S.A.</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8"/>
        </w:trPr>
        <w:tc>
          <w:tcPr>
            <w:tcW w:w="5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Credit Agreement Schedule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hanging="572"/>
        <w:spacing w:after="0" w:line="277" w:lineRule="auto"/>
        <w:tabs>
          <w:tab w:leader="none" w:pos="5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0680"/>
          </w:cols>
          <w:pgMar w:left="240" w:top="262" w:right="979" w:bottom="1440" w:gutter="0" w:footer="0" w:header="0"/>
        </w:sectPr>
      </w:pPr>
    </w:p>
    <w:bookmarkStart w:id="402" w:name="page403"/>
    <w:bookmarkEnd w:id="402"/>
    <w:p>
      <w:pPr>
        <w:jc w:val="center"/>
        <w:ind w:left="9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1.1B</w:t>
      </w:r>
    </w:p>
    <w:p>
      <w:pPr>
        <w:spacing w:after="0" w:line="46"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Credit Agreement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0" w:type="dxa"/>
            <w:vAlign w:val="bottom"/>
            <w:gridSpan w:val="3"/>
          </w:tcPr>
          <w:p>
            <w:pPr>
              <w:jc w:val="right"/>
              <w:ind w:right="2493"/>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NITIAL</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XCLUDED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UBSIDIARIES</w:t>
            </w:r>
          </w:p>
        </w:tc>
        <w:tc>
          <w:tcPr>
            <w:tcW w:w="0" w:type="dxa"/>
            <w:vAlign w:val="bottom"/>
          </w:tcPr>
          <w:p>
            <w:pPr>
              <w:spacing w:after="0"/>
              <w:rPr>
                <w:sz w:val="1"/>
                <w:szCs w:val="1"/>
                <w:color w:val="auto"/>
              </w:rPr>
            </w:pPr>
          </w:p>
        </w:tc>
      </w:tr>
      <w:tr>
        <w:trPr>
          <w:trHeight w:val="389"/>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w w:val="95"/>
              </w:rPr>
              <w:t>Jurisdiction</w:t>
            </w:r>
          </w:p>
        </w:tc>
        <w:tc>
          <w:tcPr>
            <w:tcW w:w="0" w:type="dxa"/>
            <w:vAlign w:val="bottom"/>
          </w:tcPr>
          <w:p>
            <w:pPr>
              <w:spacing w:after="0"/>
              <w:rPr>
                <w:sz w:val="1"/>
                <w:szCs w:val="1"/>
                <w:color w:val="auto"/>
              </w:rPr>
            </w:pPr>
          </w:p>
        </w:tc>
      </w:tr>
      <w:tr>
        <w:trPr>
          <w:trHeight w:val="149"/>
        </w:trPr>
        <w:tc>
          <w:tcPr>
            <w:tcW w:w="4400" w:type="dxa"/>
            <w:vAlign w:val="bottom"/>
            <w:gridSpan w:val="3"/>
            <w:vMerge w:val="restart"/>
          </w:tcPr>
          <w:p>
            <w:pPr>
              <w:ind w:left="1840"/>
              <w:spacing w:after="0"/>
              <w:rPr>
                <w:sz w:val="20"/>
                <w:szCs w:val="20"/>
                <w:color w:val="auto"/>
              </w:rPr>
            </w:pPr>
            <w:r>
              <w:rPr>
                <w:rFonts w:ascii="Arial" w:cs="Arial" w:eastAsia="Arial" w:hAnsi="Arial"/>
                <w:sz w:val="14"/>
                <w:szCs w:val="14"/>
                <w:b w:val="1"/>
                <w:bCs w:val="1"/>
                <w:color w:val="auto"/>
              </w:rPr>
              <w:t>Name of Entity</w:t>
            </w:r>
          </w:p>
        </w:tc>
        <w:tc>
          <w:tcPr>
            <w:tcW w:w="2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8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71"/>
        </w:trPr>
        <w:tc>
          <w:tcPr>
            <w:tcW w:w="4400" w:type="dxa"/>
            <w:vAlign w:val="bottom"/>
            <w:gridSpan w:val="3"/>
            <w:vMerge w:val="continue"/>
          </w:tcPr>
          <w:p>
            <w:pPr>
              <w:spacing w:after="0"/>
              <w:rPr>
                <w:sz w:val="14"/>
                <w:szCs w:val="14"/>
                <w:color w:val="auto"/>
              </w:rPr>
            </w:pPr>
          </w:p>
        </w:tc>
        <w:tc>
          <w:tcPr>
            <w:tcW w:w="262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Cruise LLC</w:t>
            </w:r>
          </w:p>
        </w:tc>
        <w:tc>
          <w:tcPr>
            <w:tcW w:w="2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2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Motors Ventures LLC</w:t>
            </w:r>
          </w:p>
        </w:tc>
        <w:tc>
          <w:tcPr>
            <w:tcW w:w="2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2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Canada Holdings LLC</w:t>
            </w:r>
          </w:p>
        </w:tc>
        <w:tc>
          <w:tcPr>
            <w:tcW w:w="2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2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GMGP Holdings LLC</w:t>
            </w:r>
          </w:p>
        </w:tc>
        <w:tc>
          <w:tcPr>
            <w:tcW w:w="2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2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OnStar LLC</w:t>
            </w:r>
          </w:p>
        </w:tc>
        <w:tc>
          <w:tcPr>
            <w:tcW w:w="2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65"/>
        </w:trPr>
        <w:tc>
          <w:tcPr>
            <w:tcW w:w="4400" w:type="dxa"/>
            <w:vAlign w:val="bottom"/>
            <w:gridSpan w:val="3"/>
          </w:tcPr>
          <w:p>
            <w:pPr>
              <w:spacing w:after="0"/>
              <w:rPr>
                <w:sz w:val="20"/>
                <w:szCs w:val="20"/>
                <w:color w:val="auto"/>
              </w:rPr>
            </w:pPr>
            <w:r>
              <w:rPr>
                <w:rFonts w:ascii="Arial" w:cs="Arial" w:eastAsia="Arial" w:hAnsi="Arial"/>
                <w:sz w:val="18"/>
                <w:szCs w:val="18"/>
                <w:color w:val="auto"/>
              </w:rPr>
              <w:t>Credit Agreement Schedule 1.1B</w:t>
            </w:r>
          </w:p>
        </w:tc>
        <w:tc>
          <w:tcPr>
            <w:tcW w:w="2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3" w:right="319" w:bottom="1440" w:gutter="0" w:footer="0" w:header="0"/>
        </w:sectPr>
      </w:pPr>
    </w:p>
    <w:bookmarkStart w:id="403" w:name="page404"/>
    <w:bookmarkEnd w:id="4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92"/>
              </w:rPr>
              <w:t>SCHEDULE 1.1C</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2"/>
              </w:rPr>
              <w:t>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Credit Agreement</w:t>
            </w:r>
          </w:p>
        </w:tc>
        <w:tc>
          <w:tcPr>
            <w:tcW w:w="0" w:type="dxa"/>
            <w:vAlign w:val="bottom"/>
          </w:tcPr>
          <w:p>
            <w:pPr>
              <w:spacing w:after="0"/>
              <w:rPr>
                <w:sz w:val="1"/>
                <w:szCs w:val="1"/>
                <w:color w:val="auto"/>
              </w:rPr>
            </w:pPr>
          </w:p>
        </w:tc>
      </w:tr>
      <w:tr>
        <w:trPr>
          <w:trHeight w:val="608"/>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RICING</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RID</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6"/>
              </w:rPr>
              <w:t>Applicable Margin</w:t>
            </w: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Applicable</w:t>
            </w:r>
          </w:p>
        </w:tc>
        <w:tc>
          <w:tcPr>
            <w:tcW w:w="36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All-in Spread</w:t>
            </w: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S&amp;P / Moody’s / Fitch</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4360" w:type="dxa"/>
            <w:vAlign w:val="bottom"/>
            <w:gridSpan w:val="2"/>
            <w:vMerge w:val="continue"/>
          </w:tcPr>
          <w:p>
            <w:pPr>
              <w:spacing w:after="0"/>
              <w:rPr>
                <w:sz w:val="12"/>
                <w:szCs w:val="12"/>
                <w:color w:val="auto"/>
              </w:rPr>
            </w:pPr>
          </w:p>
        </w:tc>
        <w:tc>
          <w:tcPr>
            <w:tcW w:w="17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92"/>
              </w:rPr>
              <w:t>Facility Fee Rate</w:t>
            </w:r>
          </w:p>
        </w:tc>
        <w:tc>
          <w:tcPr>
            <w:tcW w:w="18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for Eurocurrency</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Margin</w:t>
            </w:r>
          </w:p>
        </w:tc>
        <w:tc>
          <w:tcPr>
            <w:tcW w:w="36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Eurocurrency</w:t>
            </w:r>
          </w:p>
        </w:tc>
        <w:tc>
          <w:tcPr>
            <w:tcW w:w="0" w:type="dxa"/>
            <w:vAlign w:val="bottom"/>
          </w:tcPr>
          <w:p>
            <w:pPr>
              <w:spacing w:after="0"/>
              <w:rPr>
                <w:sz w:val="1"/>
                <w:szCs w:val="1"/>
                <w:color w:val="auto"/>
              </w:rPr>
            </w:pPr>
          </w:p>
        </w:tc>
      </w:tr>
      <w:tr>
        <w:trPr>
          <w:trHeight w:val="171"/>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Company’s Rating</w:t>
            </w:r>
          </w:p>
        </w:tc>
        <w:tc>
          <w:tcPr>
            <w:tcW w:w="1720" w:type="dxa"/>
            <w:vAlign w:val="bottom"/>
            <w:gridSpan w:val="4"/>
            <w:vMerge w:val="continue"/>
          </w:tcPr>
          <w:p>
            <w:pPr>
              <w:spacing w:after="0"/>
              <w:rPr>
                <w:sz w:val="14"/>
                <w:szCs w:val="14"/>
                <w:color w:val="auto"/>
              </w:rPr>
            </w:pPr>
          </w:p>
        </w:tc>
        <w:tc>
          <w:tcPr>
            <w:tcW w:w="18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Loans</w:t>
            </w: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for ABR Loans</w:t>
            </w:r>
          </w:p>
        </w:tc>
        <w:tc>
          <w:tcPr>
            <w:tcW w:w="36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10"/>
        </w:trPr>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³ A/A2/A</w:t>
            </w:r>
          </w:p>
        </w:tc>
        <w:tc>
          <w:tcPr>
            <w:tcW w:w="3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center"/>
              <w:ind w:left="34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A-/A3/A-</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 / Baa1 / BBB+</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BBB / Baa2 / BBB</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 / Baa3 / BBB-</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 xml:space="preserve">BB+ / Ba1 </w:t>
            </w:r>
            <w:r>
              <w:rPr>
                <w:rFonts w:ascii="Arial" w:cs="Arial" w:eastAsia="Arial" w:hAnsi="Arial"/>
                <w:sz w:val="18"/>
                <w:szCs w:val="18"/>
                <w:b w:val="1"/>
                <w:bCs w:val="1"/>
                <w:color w:val="auto"/>
              </w:rPr>
              <w:t>/</w:t>
            </w:r>
            <w:r>
              <w:rPr>
                <w:rFonts w:ascii="Arial" w:cs="Arial" w:eastAsia="Arial" w:hAnsi="Arial"/>
                <w:sz w:val="18"/>
                <w:szCs w:val="18"/>
                <w:color w:val="auto"/>
              </w:rPr>
              <w:t xml:space="preserve"> BB+</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BB / Ba2 / BB</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Changes in the Applicable Margin and Facility Fee Rate shall become effective on the date on which S&amp;P, Moody’s and/or Fitch changes the rating it has issued with respect to the Company’s Applicable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right="720" w:hanging="572"/>
        <w:spacing w:after="0" w:line="277" w:lineRule="auto"/>
        <w:tabs>
          <w:tab w:leader="none" w:pos="5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400"/>
          </w:cols>
          <w:pgMar w:left="240" w:top="273" w:right="259" w:bottom="1440" w:gutter="0" w:footer="0" w:header="0"/>
        </w:sectPr>
      </w:pPr>
    </w:p>
    <w:bookmarkStart w:id="404" w:name="page405"/>
    <w:bookmarkEnd w:id="404"/>
    <w:p>
      <w:pPr>
        <w:jc w:val="center"/>
        <w:ind w:left="9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1.1D</w:t>
      </w:r>
    </w:p>
    <w:p>
      <w:pPr>
        <w:spacing w:after="0" w:line="35" w:lineRule="exact"/>
        <w:rPr>
          <w:sz w:val="20"/>
          <w:szCs w:val="20"/>
          <w:color w:val="auto"/>
        </w:rPr>
      </w:pPr>
    </w:p>
    <w:p>
      <w:pPr>
        <w:jc w:val="center"/>
        <w:ind w:left="99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Credit Agreement</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XISTING</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IENS</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Liens reflected in the lien search results, dated as of May 17, 2016 delivered to the Administrative Agent in connection with the Existing Five Year Credit Agreement as modified and supplemented by those lien search results, dated as of April 9, 2018 delivered to the Administrative Agent prior to the Closing Date.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1.1D</w:t>
      </w:r>
    </w:p>
    <w:p>
      <w:pPr>
        <w:sectPr>
          <w:pgSz w:w="11900" w:h="16838" w:orient="portrait"/>
          <w:cols w:equalWidth="0" w:num="1">
            <w:col w:w="11360"/>
          </w:cols>
          <w:pgMar w:left="240" w:top="274" w:right="299" w:bottom="1440" w:gutter="0" w:footer="0" w:header="0"/>
        </w:sectPr>
      </w:pPr>
    </w:p>
    <w:bookmarkStart w:id="405" w:name="page406"/>
    <w:bookmarkEnd w:id="405"/>
    <w:p>
      <w:pPr>
        <w:jc w:val="center"/>
        <w:ind w:left="9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1.1E</w:t>
      </w:r>
    </w:p>
    <w:p>
      <w:pPr>
        <w:spacing w:after="0" w:line="46"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Credit Agreement</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XCLUDED</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UBSIDIARY</w:t>
      </w:r>
      <w:r>
        <w:rPr>
          <w:rFonts w:ascii="Arial" w:cs="Arial" w:eastAsia="Arial" w:hAnsi="Arial"/>
          <w:sz w:val="18"/>
          <w:szCs w:val="18"/>
          <w:b w:val="1"/>
          <w:bCs w:val="1"/>
          <w:u w:val="single" w:color="auto"/>
          <w:color w:val="auto"/>
        </w:rPr>
        <w:t xml:space="preserve"> B</w:t>
      </w:r>
      <w:r>
        <w:rPr>
          <w:rFonts w:ascii="Arial" w:cs="Arial" w:eastAsia="Arial" w:hAnsi="Arial"/>
          <w:sz w:val="15"/>
          <w:szCs w:val="15"/>
          <w:b w:val="1"/>
          <w:bCs w:val="1"/>
          <w:u w:val="single" w:color="auto"/>
          <w:color w:val="auto"/>
        </w:rPr>
        <w:t>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right="660" w:hanging="572"/>
        <w:spacing w:after="0" w:line="277" w:lineRule="auto"/>
        <w:tabs>
          <w:tab w:leader="none" w:pos="58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340"/>
          </w:cols>
          <w:pgMar w:left="240" w:top="274" w:right="319" w:bottom="1440" w:gutter="0" w:footer="0" w:header="0"/>
        </w:sectPr>
      </w:pPr>
    </w:p>
    <w:bookmarkStart w:id="406" w:name="page407"/>
    <w:bookmarkEnd w:id="406"/>
    <w:p>
      <w:pPr>
        <w:jc w:val="center"/>
        <w:ind w:left="99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4.6</w:t>
      </w:r>
    </w:p>
    <w:p>
      <w:pPr>
        <w:spacing w:after="0" w:line="35"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4.6</w:t>
      </w:r>
    </w:p>
    <w:p>
      <w:pPr>
        <w:sectPr>
          <w:pgSz w:w="11900" w:h="16838" w:orient="portrait"/>
          <w:cols w:equalWidth="0" w:num="1">
            <w:col w:w="11320"/>
          </w:cols>
          <w:pgMar w:left="240" w:top="274" w:right="339" w:bottom="1440" w:gutter="0" w:footer="0" w:header="0"/>
        </w:sectPr>
      </w:pPr>
    </w:p>
    <w:bookmarkStart w:id="407" w:name="page408"/>
    <w:bookmarkEnd w:id="407"/>
    <w:p>
      <w:pPr>
        <w:ind w:left="9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91440</wp:posOffset>
            </wp:positionV>
            <wp:extent cx="724662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134620</wp:posOffset>
            </wp:positionV>
            <wp:extent cx="72466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THIRD AMENDED AND RESTATED GUARANTEE AGREEMENT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 xml:space="preserve">AND CERTAIN OTHER PERSONS FROM TIME TO TIME PARTIES HERETO, </w:t>
      </w:r>
      <w:r>
        <w:rPr>
          <w:rFonts w:ascii="Arial" w:cs="Arial" w:eastAsia="Arial" w:hAnsi="Arial"/>
          <w:sz w:val="16"/>
          <w:szCs w:val="16"/>
          <w:i w:val="1"/>
          <w:iCs w:val="1"/>
          <w:color w:val="auto"/>
        </w:rPr>
        <w:t>as the Guarantors</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April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229235</wp:posOffset>
            </wp:positionV>
            <wp:extent cx="724662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272415</wp:posOffset>
            </wp:positionV>
            <wp:extent cx="724662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69" w:right="239" w:bottom="1440" w:gutter="0" w:footer="0" w:header="0"/>
        </w:sectPr>
      </w:pPr>
    </w:p>
    <w:bookmarkStart w:id="408" w:name="page409"/>
    <w:bookmarkEnd w:id="408"/>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7620" w:type="dxa"/>
            <w:vAlign w:val="bottom"/>
          </w:tcPr>
          <w:p>
            <w:pPr>
              <w:ind w:left="3580"/>
              <w:spacing w:after="0"/>
              <w:rPr>
                <w:sz w:val="20"/>
                <w:szCs w:val="20"/>
                <w:color w:val="auto"/>
              </w:rPr>
            </w:pPr>
            <w:r>
              <w:rPr>
                <w:rFonts w:ascii="Arial" w:cs="Arial" w:eastAsia="Arial" w:hAnsi="Arial"/>
                <w:sz w:val="18"/>
                <w:szCs w:val="18"/>
                <w:color w:val="auto"/>
              </w:rPr>
              <w:t>TABLE OF CONTENTS</w:t>
            </w: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11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80"/>
        </w:trPr>
        <w:tc>
          <w:tcPr>
            <w:tcW w:w="1120" w:type="dxa"/>
            <w:vAlign w:val="bottom"/>
          </w:tcPr>
          <w:p>
            <w:pPr>
              <w:jc w:val="right"/>
              <w:ind w:right="90"/>
              <w:spacing w:after="0"/>
              <w:rPr>
                <w:sz w:val="20"/>
                <w:szCs w:val="20"/>
                <w:color w:val="auto"/>
              </w:rPr>
            </w:pPr>
            <w:r>
              <w:rPr>
                <w:rFonts w:ascii="Arial" w:cs="Arial" w:eastAsia="Arial" w:hAnsi="Arial"/>
                <w:sz w:val="18"/>
                <w:szCs w:val="18"/>
                <w:color w:val="auto"/>
                <w:w w:val="91"/>
              </w:rPr>
              <w:t>SECTION 1.</w:t>
            </w:r>
          </w:p>
        </w:tc>
        <w:tc>
          <w:tcPr>
            <w:tcW w:w="7620" w:type="dxa"/>
            <w:vAlign w:val="bottom"/>
          </w:tcPr>
          <w:p>
            <w:pPr>
              <w:ind w:left="180"/>
              <w:spacing w:after="0"/>
              <w:rPr>
                <w:sz w:val="20"/>
                <w:szCs w:val="20"/>
                <w:color w:val="auto"/>
              </w:rPr>
            </w:pPr>
            <w:r>
              <w:rPr>
                <w:rFonts w:ascii="Arial" w:cs="Arial" w:eastAsia="Arial" w:hAnsi="Arial"/>
                <w:sz w:val="18"/>
                <w:szCs w:val="18"/>
                <w:color w:val="auto"/>
              </w:rPr>
              <w:t>DEFINED TERMS</w:t>
            </w:r>
          </w:p>
        </w:tc>
        <w:tc>
          <w:tcPr>
            <w:tcW w:w="224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762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7620" w:type="dxa"/>
            <w:vAlign w:val="bottom"/>
          </w:tcPr>
          <w:p>
            <w:pPr>
              <w:ind w:left="180"/>
              <w:spacing w:after="0"/>
              <w:rPr>
                <w:sz w:val="20"/>
                <w:szCs w:val="20"/>
                <w:color w:val="auto"/>
              </w:rPr>
            </w:pPr>
            <w:r>
              <w:rPr>
                <w:rFonts w:ascii="Arial" w:cs="Arial" w:eastAsia="Arial" w:hAnsi="Arial"/>
                <w:sz w:val="18"/>
                <w:szCs w:val="18"/>
                <w:color w:val="auto"/>
              </w:rPr>
              <w:t>Other Definitional Provisions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20" w:type="dxa"/>
            <w:vAlign w:val="bottom"/>
          </w:tcPr>
          <w:p>
            <w:pPr>
              <w:jc w:val="right"/>
              <w:ind w:right="90"/>
              <w:spacing w:after="0"/>
              <w:rPr>
                <w:sz w:val="20"/>
                <w:szCs w:val="20"/>
                <w:color w:val="auto"/>
              </w:rPr>
            </w:pPr>
            <w:r>
              <w:rPr>
                <w:rFonts w:ascii="Arial" w:cs="Arial" w:eastAsia="Arial" w:hAnsi="Arial"/>
                <w:sz w:val="18"/>
                <w:szCs w:val="18"/>
                <w:color w:val="auto"/>
                <w:w w:val="91"/>
              </w:rPr>
              <w:t>SECTION 2.</w:t>
            </w:r>
          </w:p>
        </w:tc>
        <w:tc>
          <w:tcPr>
            <w:tcW w:w="7620" w:type="dxa"/>
            <w:vAlign w:val="bottom"/>
          </w:tcPr>
          <w:p>
            <w:pPr>
              <w:ind w:left="180"/>
              <w:spacing w:after="0"/>
              <w:rPr>
                <w:sz w:val="20"/>
                <w:szCs w:val="20"/>
                <w:color w:val="auto"/>
              </w:rPr>
            </w:pPr>
            <w:r>
              <w:rPr>
                <w:rFonts w:ascii="Arial" w:cs="Arial" w:eastAsia="Arial" w:hAnsi="Arial"/>
                <w:sz w:val="18"/>
                <w:szCs w:val="18"/>
                <w:color w:val="auto"/>
              </w:rPr>
              <w:t>GUARANTEE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7620" w:type="dxa"/>
            <w:vAlign w:val="bottom"/>
          </w:tcPr>
          <w:p>
            <w:pPr>
              <w:ind w:left="180"/>
              <w:spacing w:after="0"/>
              <w:rPr>
                <w:sz w:val="20"/>
                <w:szCs w:val="20"/>
                <w:color w:val="auto"/>
              </w:rPr>
            </w:pPr>
            <w:r>
              <w:rPr>
                <w:rFonts w:ascii="Arial" w:cs="Arial" w:eastAsia="Arial" w:hAnsi="Arial"/>
                <w:sz w:val="18"/>
                <w:szCs w:val="18"/>
                <w:color w:val="auto"/>
              </w:rPr>
              <w:t>Guarantee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7620" w:type="dxa"/>
            <w:vAlign w:val="bottom"/>
          </w:tcPr>
          <w:p>
            <w:pPr>
              <w:ind w:left="180"/>
              <w:spacing w:after="0"/>
              <w:rPr>
                <w:sz w:val="20"/>
                <w:szCs w:val="20"/>
                <w:color w:val="auto"/>
              </w:rPr>
            </w:pPr>
            <w:r>
              <w:rPr>
                <w:rFonts w:ascii="Arial" w:cs="Arial" w:eastAsia="Arial" w:hAnsi="Arial"/>
                <w:sz w:val="18"/>
                <w:szCs w:val="18"/>
                <w:color w:val="auto"/>
              </w:rPr>
              <w:t>Right of Contribution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7620" w:type="dxa"/>
            <w:vAlign w:val="bottom"/>
          </w:tcPr>
          <w:p>
            <w:pPr>
              <w:ind w:left="180"/>
              <w:spacing w:after="0"/>
              <w:rPr>
                <w:sz w:val="20"/>
                <w:szCs w:val="20"/>
                <w:color w:val="auto"/>
              </w:rPr>
            </w:pPr>
            <w:r>
              <w:rPr>
                <w:rFonts w:ascii="Arial" w:cs="Arial" w:eastAsia="Arial" w:hAnsi="Arial"/>
                <w:sz w:val="18"/>
                <w:szCs w:val="18"/>
                <w:color w:val="auto"/>
              </w:rPr>
              <w:t>No Subrogation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7620" w:type="dxa"/>
            <w:vAlign w:val="bottom"/>
          </w:tcPr>
          <w:p>
            <w:pPr>
              <w:ind w:left="180"/>
              <w:spacing w:after="0"/>
              <w:rPr>
                <w:sz w:val="20"/>
                <w:szCs w:val="20"/>
                <w:color w:val="auto"/>
              </w:rPr>
            </w:pPr>
            <w:r>
              <w:rPr>
                <w:rFonts w:ascii="Arial" w:cs="Arial" w:eastAsia="Arial" w:hAnsi="Arial"/>
                <w:sz w:val="18"/>
                <w:szCs w:val="18"/>
                <w:color w:val="auto"/>
              </w:rPr>
              <w:t>Amendments, etc. with respect to the Guaranteed Obligations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7620" w:type="dxa"/>
            <w:vAlign w:val="bottom"/>
          </w:tcPr>
          <w:p>
            <w:pPr>
              <w:ind w:left="180"/>
              <w:spacing w:after="0"/>
              <w:rPr>
                <w:sz w:val="20"/>
                <w:szCs w:val="20"/>
                <w:color w:val="auto"/>
              </w:rPr>
            </w:pPr>
            <w:r>
              <w:rPr>
                <w:rFonts w:ascii="Arial" w:cs="Arial" w:eastAsia="Arial" w:hAnsi="Arial"/>
                <w:sz w:val="18"/>
                <w:szCs w:val="18"/>
                <w:color w:val="auto"/>
              </w:rPr>
              <w:t>Guarantee Absolute and Unconditional</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7620" w:type="dxa"/>
            <w:vAlign w:val="bottom"/>
          </w:tcPr>
          <w:p>
            <w:pPr>
              <w:ind w:left="180"/>
              <w:spacing w:after="0"/>
              <w:rPr>
                <w:sz w:val="20"/>
                <w:szCs w:val="20"/>
                <w:color w:val="auto"/>
              </w:rPr>
            </w:pPr>
            <w:r>
              <w:rPr>
                <w:rFonts w:ascii="Arial" w:cs="Arial" w:eastAsia="Arial" w:hAnsi="Arial"/>
                <w:sz w:val="18"/>
                <w:szCs w:val="18"/>
                <w:color w:val="auto"/>
              </w:rPr>
              <w:t>Reinstatement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762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20" w:type="dxa"/>
            <w:vAlign w:val="bottom"/>
          </w:tcPr>
          <w:p>
            <w:pPr>
              <w:jc w:val="right"/>
              <w:ind w:right="90"/>
              <w:spacing w:after="0"/>
              <w:rPr>
                <w:sz w:val="20"/>
                <w:szCs w:val="20"/>
                <w:color w:val="auto"/>
              </w:rPr>
            </w:pPr>
            <w:r>
              <w:rPr>
                <w:rFonts w:ascii="Arial" w:cs="Arial" w:eastAsia="Arial" w:hAnsi="Arial"/>
                <w:sz w:val="18"/>
                <w:szCs w:val="18"/>
                <w:color w:val="auto"/>
                <w:w w:val="91"/>
              </w:rPr>
              <w:t>SECTION 3.</w:t>
            </w:r>
          </w:p>
        </w:tc>
        <w:tc>
          <w:tcPr>
            <w:tcW w:w="762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7620" w:type="dxa"/>
            <w:vAlign w:val="bottom"/>
          </w:tcPr>
          <w:p>
            <w:pPr>
              <w:ind w:left="180"/>
              <w:spacing w:after="0"/>
              <w:rPr>
                <w:sz w:val="20"/>
                <w:szCs w:val="20"/>
                <w:color w:val="auto"/>
              </w:rPr>
            </w:pPr>
            <w:r>
              <w:rPr>
                <w:rFonts w:ascii="Arial" w:cs="Arial" w:eastAsia="Arial" w:hAnsi="Arial"/>
                <w:sz w:val="18"/>
                <w:szCs w:val="18"/>
                <w:color w:val="auto"/>
              </w:rPr>
              <w:t>Authority of Administrative Agent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7620" w:type="dxa"/>
            <w:vAlign w:val="bottom"/>
          </w:tcPr>
          <w:p>
            <w:pPr>
              <w:ind w:left="180"/>
              <w:spacing w:after="0"/>
              <w:rPr>
                <w:sz w:val="20"/>
                <w:szCs w:val="20"/>
                <w:color w:val="auto"/>
              </w:rPr>
            </w:pPr>
            <w:r>
              <w:rPr>
                <w:rFonts w:ascii="Arial" w:cs="Arial" w:eastAsia="Arial" w:hAnsi="Arial"/>
                <w:sz w:val="18"/>
                <w:szCs w:val="18"/>
                <w:color w:val="auto"/>
              </w:rPr>
              <w:t>Amendments in Writing</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7620" w:type="dxa"/>
            <w:vAlign w:val="bottom"/>
          </w:tcPr>
          <w:p>
            <w:pPr>
              <w:ind w:left="180"/>
              <w:spacing w:after="0"/>
              <w:rPr>
                <w:sz w:val="20"/>
                <w:szCs w:val="20"/>
                <w:color w:val="auto"/>
              </w:rPr>
            </w:pPr>
            <w:r>
              <w:rPr>
                <w:rFonts w:ascii="Arial" w:cs="Arial" w:eastAsia="Arial" w:hAnsi="Arial"/>
                <w:sz w:val="18"/>
                <w:szCs w:val="18"/>
                <w:color w:val="auto"/>
              </w:rPr>
              <w:t>Notices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7620" w:type="dxa"/>
            <w:vAlign w:val="bottom"/>
          </w:tcPr>
          <w:p>
            <w:pPr>
              <w:ind w:left="180"/>
              <w:spacing w:after="0"/>
              <w:rPr>
                <w:sz w:val="20"/>
                <w:szCs w:val="20"/>
                <w:color w:val="auto"/>
              </w:rPr>
            </w:pPr>
            <w:r>
              <w:rPr>
                <w:rFonts w:ascii="Arial" w:cs="Arial" w:eastAsia="Arial" w:hAnsi="Arial"/>
                <w:sz w:val="18"/>
                <w:szCs w:val="18"/>
                <w:color w:val="auto"/>
              </w:rPr>
              <w:t>No Waiver by Course of Conduct; Cumulative Remedies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7620" w:type="dxa"/>
            <w:vAlign w:val="bottom"/>
          </w:tcPr>
          <w:p>
            <w:pPr>
              <w:ind w:left="180"/>
              <w:spacing w:after="0"/>
              <w:rPr>
                <w:sz w:val="20"/>
                <w:szCs w:val="20"/>
                <w:color w:val="auto"/>
              </w:rPr>
            </w:pPr>
            <w:r>
              <w:rPr>
                <w:rFonts w:ascii="Arial" w:cs="Arial" w:eastAsia="Arial" w:hAnsi="Arial"/>
                <w:sz w:val="18"/>
                <w:szCs w:val="18"/>
                <w:color w:val="auto"/>
              </w:rPr>
              <w:t>Enforcement Expenses; Indemnification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7620" w:type="dxa"/>
            <w:vAlign w:val="bottom"/>
          </w:tcPr>
          <w:p>
            <w:pPr>
              <w:ind w:left="180"/>
              <w:spacing w:after="0"/>
              <w:rPr>
                <w:sz w:val="20"/>
                <w:szCs w:val="20"/>
                <w:color w:val="auto"/>
              </w:rPr>
            </w:pPr>
            <w:r>
              <w:rPr>
                <w:rFonts w:ascii="Arial" w:cs="Arial" w:eastAsia="Arial" w:hAnsi="Arial"/>
                <w:sz w:val="18"/>
                <w:szCs w:val="18"/>
                <w:color w:val="auto"/>
              </w:rPr>
              <w:t>Successors and Assigns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762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762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7620" w:type="dxa"/>
            <w:vAlign w:val="bottom"/>
          </w:tcPr>
          <w:p>
            <w:pPr>
              <w:ind w:left="180"/>
              <w:spacing w:after="0"/>
              <w:rPr>
                <w:sz w:val="20"/>
                <w:szCs w:val="20"/>
                <w:color w:val="auto"/>
              </w:rPr>
            </w:pPr>
            <w:r>
              <w:rPr>
                <w:rFonts w:ascii="Arial" w:cs="Arial" w:eastAsia="Arial" w:hAnsi="Arial"/>
                <w:sz w:val="18"/>
                <w:szCs w:val="18"/>
                <w:color w:val="auto"/>
              </w:rPr>
              <w:t>Section Headings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2"/>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3.10</w:t>
            </w:r>
          </w:p>
        </w:tc>
        <w:tc>
          <w:tcPr>
            <w:tcW w:w="7620" w:type="dxa"/>
            <w:vAlign w:val="bottom"/>
          </w:tcPr>
          <w:p>
            <w:pPr>
              <w:ind w:left="180"/>
              <w:spacing w:after="0"/>
              <w:rPr>
                <w:sz w:val="20"/>
                <w:szCs w:val="20"/>
                <w:color w:val="auto"/>
              </w:rPr>
            </w:pPr>
            <w:r>
              <w:rPr>
                <w:rFonts w:ascii="Arial" w:cs="Arial" w:eastAsia="Arial" w:hAnsi="Arial"/>
                <w:sz w:val="18"/>
                <w:szCs w:val="18"/>
                <w:color w:val="auto"/>
              </w:rPr>
              <w:t>Integration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20"/>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3.11</w:t>
            </w:r>
          </w:p>
        </w:tc>
        <w:tc>
          <w:tcPr>
            <w:tcW w:w="7620" w:type="dxa"/>
            <w:vAlign w:val="bottom"/>
          </w:tcPr>
          <w:p>
            <w:pPr>
              <w:ind w:left="180"/>
              <w:spacing w:after="0"/>
              <w:rPr>
                <w:sz w:val="20"/>
                <w:szCs w:val="20"/>
                <w:color w:val="auto"/>
              </w:rPr>
            </w:pPr>
            <w:r>
              <w:rPr>
                <w:rFonts w:ascii="Arial" w:cs="Arial" w:eastAsia="Arial" w:hAnsi="Arial"/>
                <w:sz w:val="18"/>
                <w:szCs w:val="18"/>
                <w:b w:val="1"/>
                <w:bCs w:val="1"/>
                <w:color w:val="auto"/>
              </w:rPr>
              <w:t>GOVERNING LAW</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7620" w:type="dxa"/>
            <w:vAlign w:val="bottom"/>
          </w:tcPr>
          <w:p>
            <w:pPr>
              <w:ind w:left="180"/>
              <w:spacing w:after="0"/>
              <w:rPr>
                <w:sz w:val="20"/>
                <w:szCs w:val="20"/>
                <w:color w:val="auto"/>
              </w:rPr>
            </w:pPr>
            <w:r>
              <w:rPr>
                <w:rFonts w:ascii="Arial" w:cs="Arial" w:eastAsia="Arial" w:hAnsi="Arial"/>
                <w:sz w:val="18"/>
                <w:szCs w:val="18"/>
                <w:color w:val="auto"/>
              </w:rPr>
              <w:t>Submission To Jurisdiction; Waivers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3.13</w:t>
            </w:r>
          </w:p>
        </w:tc>
        <w:tc>
          <w:tcPr>
            <w:tcW w:w="7620" w:type="dxa"/>
            <w:vAlign w:val="bottom"/>
          </w:tcPr>
          <w:p>
            <w:pPr>
              <w:ind w:left="180"/>
              <w:spacing w:after="0"/>
              <w:rPr>
                <w:sz w:val="20"/>
                <w:szCs w:val="20"/>
                <w:color w:val="auto"/>
              </w:rPr>
            </w:pPr>
            <w:r>
              <w:rPr>
                <w:rFonts w:ascii="Arial" w:cs="Arial" w:eastAsia="Arial" w:hAnsi="Arial"/>
                <w:sz w:val="18"/>
                <w:szCs w:val="18"/>
                <w:color w:val="auto"/>
              </w:rPr>
              <w:t>Judgment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3.14</w:t>
            </w:r>
          </w:p>
        </w:tc>
        <w:tc>
          <w:tcPr>
            <w:tcW w:w="7620" w:type="dxa"/>
            <w:vAlign w:val="bottom"/>
          </w:tcPr>
          <w:p>
            <w:pPr>
              <w:ind w:left="180"/>
              <w:spacing w:after="0"/>
              <w:rPr>
                <w:sz w:val="20"/>
                <w:szCs w:val="20"/>
                <w:color w:val="auto"/>
              </w:rPr>
            </w:pPr>
            <w:r>
              <w:rPr>
                <w:rFonts w:ascii="Arial" w:cs="Arial" w:eastAsia="Arial" w:hAnsi="Arial"/>
                <w:sz w:val="18"/>
                <w:szCs w:val="18"/>
                <w:color w:val="auto"/>
              </w:rPr>
              <w:t>Additional Guarantors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3.15</w:t>
            </w:r>
          </w:p>
        </w:tc>
        <w:tc>
          <w:tcPr>
            <w:tcW w:w="7620" w:type="dxa"/>
            <w:vAlign w:val="bottom"/>
          </w:tcPr>
          <w:p>
            <w:pPr>
              <w:ind w:left="180"/>
              <w:spacing w:after="0"/>
              <w:rPr>
                <w:sz w:val="20"/>
                <w:szCs w:val="20"/>
                <w:color w:val="auto"/>
              </w:rPr>
            </w:pPr>
            <w:r>
              <w:rPr>
                <w:rFonts w:ascii="Arial" w:cs="Arial" w:eastAsia="Arial" w:hAnsi="Arial"/>
                <w:sz w:val="18"/>
                <w:szCs w:val="18"/>
                <w:color w:val="auto"/>
              </w:rPr>
              <w:t>Releases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34"/>
        </w:trPr>
        <w:tc>
          <w:tcPr>
            <w:tcW w:w="1120" w:type="dxa"/>
            <w:vAlign w:val="bottom"/>
          </w:tcPr>
          <w:p>
            <w:pPr>
              <w:jc w:val="right"/>
              <w:ind w:right="90"/>
              <w:spacing w:after="0"/>
              <w:rPr>
                <w:sz w:val="20"/>
                <w:szCs w:val="20"/>
                <w:color w:val="auto"/>
              </w:rPr>
            </w:pPr>
            <w:r>
              <w:rPr>
                <w:rFonts w:ascii="Arial" w:cs="Arial" w:eastAsia="Arial" w:hAnsi="Arial"/>
                <w:sz w:val="18"/>
                <w:szCs w:val="18"/>
                <w:color w:val="auto"/>
              </w:rPr>
              <w:t>3.16</w:t>
            </w:r>
          </w:p>
        </w:tc>
        <w:tc>
          <w:tcPr>
            <w:tcW w:w="7620" w:type="dxa"/>
            <w:vAlign w:val="bottom"/>
          </w:tcPr>
          <w:p>
            <w:pPr>
              <w:ind w:left="180"/>
              <w:spacing w:after="0"/>
              <w:rPr>
                <w:sz w:val="20"/>
                <w:szCs w:val="20"/>
                <w:color w:val="auto"/>
              </w:rPr>
            </w:pPr>
            <w:r>
              <w:rPr>
                <w:rFonts w:ascii="Arial" w:cs="Arial" w:eastAsia="Arial" w:hAnsi="Arial"/>
                <w:sz w:val="18"/>
                <w:szCs w:val="18"/>
                <w:b w:val="1"/>
                <w:bCs w:val="1"/>
                <w:color w:val="auto"/>
              </w:rPr>
              <w:t>WAIVER OF JURY TRIAL</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ANNEX</w:t>
      </w:r>
    </w:p>
    <w:p>
      <w:pPr>
        <w:spacing w:after="0" w:line="117"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color w:val="auto"/>
        </w:rPr>
        <w:t>Annex I</w:t>
      </w:r>
      <w:r>
        <w:rPr>
          <w:sz w:val="20"/>
          <w:szCs w:val="20"/>
          <w:color w:val="auto"/>
        </w:rPr>
        <w:tab/>
      </w:r>
      <w:r>
        <w:rPr>
          <w:rFonts w:ascii="Arial" w:cs="Arial" w:eastAsia="Arial" w:hAnsi="Arial"/>
          <w:sz w:val="16"/>
          <w:szCs w:val="16"/>
          <w:color w:val="auto"/>
        </w:rPr>
        <w:t>Form of Joinder Agreement</w:t>
      </w:r>
    </w:p>
    <w:p>
      <w:pPr>
        <w:sectPr>
          <w:pgSz w:w="11900" w:h="16838" w:orient="portrait"/>
          <w:cols w:equalWidth="0" w:num="1">
            <w:col w:w="11320"/>
          </w:cols>
          <w:pgMar w:left="340" w:top="273" w:right="239" w:bottom="1440" w:gutter="0" w:footer="0" w:header="0"/>
        </w:sectPr>
      </w:pPr>
    </w:p>
    <w:bookmarkStart w:id="409" w:name="page410"/>
    <w:bookmarkEnd w:id="409"/>
    <w:p>
      <w:pPr>
        <w:ind w:right="140"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AMENDED AND RESTATED GUARANTEE AGREEMENT, dated as of April 18, 2018 (this “</w:t>
      </w:r>
      <w:r>
        <w:rPr>
          <w:rFonts w:ascii="Arial" w:cs="Arial" w:eastAsia="Arial" w:hAnsi="Arial"/>
          <w:sz w:val="16"/>
          <w:szCs w:val="16"/>
          <w:u w:val="single" w:color="auto"/>
          <w:color w:val="auto"/>
        </w:rPr>
        <w:t>Agreement</w:t>
      </w:r>
      <w:r>
        <w:rPr>
          <w:rFonts w:ascii="Arial" w:cs="Arial" w:eastAsia="Arial" w:hAnsi="Arial"/>
          <w:sz w:val="16"/>
          <w:szCs w:val="16"/>
          <w:color w:val="auto"/>
        </w:rPr>
        <w:t>”), made by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each of the Subsidiary Guarantors (such term and certain other capitalized terms used herein being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from time to time party hereto, and each of the Other Guarantors from time to time party hereto (together with the Company and the Subsidiary Guarantors,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party to the Third Amended and Restated Five Year Revolving Credit Agreement, dated as of the date hereof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General Motors Financial Company, Inc., a Texas Corporation, GM Global Treasury Centre Limited, a corporation organized under the laws of England and Wales (“GMGTC”), General Motors do Brasil Ltda., a Brazilian limited liability company, the other Subsidiary Borrowers from time to time parties thereto, the Lenders, the Administrative Agent, Banco do Brasil S.A., as Brazilian Administrative Agent (the “</w:t>
      </w:r>
      <w:r>
        <w:rPr>
          <w:rFonts w:ascii="Arial" w:cs="Arial" w:eastAsia="Arial" w:hAnsi="Arial"/>
          <w:sz w:val="16"/>
          <w:szCs w:val="16"/>
          <w:u w:val="single" w:color="auto"/>
          <w:color w:val="auto"/>
        </w:rPr>
        <w:t>Brazilian Administrative Agent</w:t>
      </w:r>
      <w:r>
        <w:rPr>
          <w:rFonts w:ascii="Arial" w:cs="Arial" w:eastAsia="Arial" w:hAnsi="Arial"/>
          <w:sz w:val="16"/>
          <w:szCs w:val="16"/>
          <w:color w:val="auto"/>
        </w:rPr>
        <w: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Bank of America, N.A., as co-syndication agent (in such capacity, the “</w:t>
      </w:r>
      <w:r>
        <w:rPr>
          <w:rFonts w:ascii="Arial" w:cs="Arial" w:eastAsia="Arial" w:hAnsi="Arial"/>
          <w:sz w:val="16"/>
          <w:szCs w:val="16"/>
          <w:u w:val="single" w:color="auto"/>
          <w:color w:val="auto"/>
        </w:rPr>
        <w:t>Co-Syndication Agent</w:t>
      </w:r>
      <w:r>
        <w:rPr>
          <w:rFonts w:ascii="Arial" w:cs="Arial" w:eastAsia="Arial" w:hAnsi="Arial"/>
          <w:sz w:val="16"/>
          <w:szCs w:val="16"/>
          <w:color w:val="auto"/>
        </w:rPr>
        <w:t>”), and the other agents named therein.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WHEREAS, each of the Company, the Subsidiary Borrowers and any Applicable Account Party is a member of an affiliated group of companies that includes each other Guarantor;</w:t>
      </w:r>
    </w:p>
    <w:p>
      <w:pPr>
        <w:spacing w:after="0" w:line="170"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WHEREAS, each Guarantor will derive substantial direct and indirect benefit from the making of the extensions of credit made by the Lenders to or for the account of the Company, any Subsidiary Borrower or any Applicable Account Party, as applicable, under the Credit Agreement; and</w:t>
      </w:r>
    </w:p>
    <w:p>
      <w:pPr>
        <w:spacing w:after="0" w:line="124"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WHEREAS, it is a condition precedent to the obligation of the Lenders to make their respective extensions of credit to or for the account of the Company, any Subsidiary Borrower or any Applicable Account Party, as applicable, under the Credit Agreement that each Guarantor shall have executed and delivered this Agreement to the Administrative Agent;</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NOW, THEREFORE, in consideration of the premises and to induce the Administrative Agent, the Brazilian Administrative Agent and the Lenders to enter into the Credit Agreement and to induce the Lenders to make their respective extensions of credit to or for the account of the Company, any Subsidiary Borrower or any Applicable Account Party, as applicable, under the Credit Agreement, each Guarantor hereby agrees with the Administrative Agent, for the benefit of the Guaranteed Parties, as follows: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 DEFINED TERMS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 Unless otherwise defined herein, terms defined in the Credit Agreement and used herein shall have the meanings assigned to such terms in the Credit Agreement.</w:t>
      </w:r>
    </w:p>
    <w:p>
      <w:pPr>
        <w:spacing w:after="0" w:line="197" w:lineRule="exact"/>
        <w:rPr>
          <w:sz w:val="20"/>
          <w:szCs w:val="20"/>
          <w:color w:val="auto"/>
        </w:rPr>
      </w:pPr>
    </w:p>
    <w:p>
      <w:pPr>
        <w:ind w:left="900" w:hanging="446"/>
        <w:spacing w:after="0"/>
        <w:tabs>
          <w:tab w:leader="none" w:pos="9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10" w:name="page411"/>
    <w:bookmarkEnd w:id="41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means, collectively, the unpaid principal of and interest on the Loans, Reimbursement Obligations and all other obligations and liabilities of the Company, the Subsidiary Borrowers and any Applicable Account Party (including interest on such other obligations or liabilities accruing at the then applicable rate provided in the Credit Agreement after the maturity of the Loans and Reimbursement Obligations, and interest accruing on the Loans, Reimbursement Obligations and such other obligations and liabilities at the then applicable rate provided in the Credit Agreement after the filing of any petition in bankruptcy, or the commencement of any insolvency, reorganization or like proceeding, relating to the Company, any Subsidiary Borrower or any Applicable Account Party, whether or not a claim for post-filing or post-petition interest is allowed in such proceeding) to the Administrative Agent, the Brazilian Administrative Agent, any Lender or any Issuing Lender thereunder, whether direct or indirect, absolute or contingent, due or to become due, or now existing or hereafter incurred, which may arise under, out of, or in connection with, the Loan Documents to which the Company, any Subsidiary Borrower or any Applicable Account Party is a party, in each case whether on account of principal, interest, reimbursement obligations, fees, prepayment premiums, indemnities, costs, expenses or otherwise (including all reasonable fees and out-of-pocket disbursements of external counsel to the Administrative Agent, the Brazilian Administrative Agent, the Lenders or the Issuing Lenders that are required to be paid by the Company, any Subsidiary Borrower or any Applicable Account Party pursuant to the terms of any of the Loan Documents).</w:t>
      </w:r>
    </w:p>
    <w:p>
      <w:pPr>
        <w:spacing w:after="0" w:line="18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Parties</w:t>
      </w:r>
      <w:r>
        <w:rPr>
          <w:rFonts w:ascii="Arial" w:cs="Arial" w:eastAsia="Arial" w:hAnsi="Arial"/>
          <w:sz w:val="18"/>
          <w:szCs w:val="18"/>
          <w:color w:val="auto"/>
        </w:rPr>
        <w:t>” means, collectively, the Administrative Agent, the Brazilian Administrative Agent, the Lenders and each other Person that holds a Guaranteed Obligation.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Guarantors</w:t>
      </w:r>
      <w:r>
        <w:rPr>
          <w:rFonts w:ascii="Arial" w:cs="Arial" w:eastAsia="Arial" w:hAnsi="Arial"/>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170"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paid in full</w:t>
      </w:r>
      <w:r>
        <w:rPr>
          <w:rFonts w:ascii="Arial" w:cs="Arial" w:eastAsia="Arial" w:hAnsi="Arial"/>
          <w:sz w:val="18"/>
          <w:szCs w:val="18"/>
          <w:color w:val="auto"/>
        </w:rPr>
        <w:t>” or “</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with respect to the Guaranteed Obligations, the payment in full in cash of the principal of and accrued (but unpaid) interest (including post-petition interest) and premium, if any, on, all such Guaranteed Obligations and, with respect to Letters of Credit outstanding thereunder, delivery of cash collateral or backstop letters of credit in respect thereof in compliance with the Loan Documents, in each case, after or concurrently with termination of all commitments thereunder and payment in full in cash of all fees payable with respect to a Guaranteed Obligation at or prior to the time such principal and interest are paid.</w:t>
      </w:r>
    </w:p>
    <w:p>
      <w:pPr>
        <w:spacing w:after="0" w:line="188"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means during any Reinstated Guarantee Period, each Domestic Subsidiary that was a Principal Domestic Subsidiary on the applicable Guarantee Reinstatement Date or that became a party to this Agreement after such Guarantee Reinstatement Date pursuant to Section 6.6(b)</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11" w:name="page412"/>
    <w:bookmarkEnd w:id="4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10.1(b) of the Credit Agreement; provided, however, that the term “Subsidiary Guarantor” shall not include (i) GM Holdings, (ii) any Excluded Subsidiary,</w:t>
      </w:r>
    </w:p>
    <w:p>
      <w:pPr>
        <w:spacing w:after="0" w:line="46" w:lineRule="exact"/>
        <w:rPr>
          <w:sz w:val="20"/>
          <w:szCs w:val="20"/>
          <w:color w:val="auto"/>
        </w:rPr>
      </w:pPr>
    </w:p>
    <w:p>
      <w:pPr>
        <w:ind w:right="200" w:firstLine="8"/>
        <w:spacing w:after="0" w:line="255" w:lineRule="auto"/>
        <w:tabs>
          <w:tab w:leader="none" w:pos="31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any Foreign Subsidiary Holding Company and (iv) any such Person from and after the date such Person ceases to be a party to this Agreement in accordance with the terms hereof until the date such Person becomes or is required to become a party to this Agreement. It is understood and agreed that, as of the date hereof, no “Subsidiary Guarantors” are party to this Agreement.</w:t>
      </w:r>
    </w:p>
    <w:p>
      <w:pPr>
        <w:spacing w:after="0" w:line="19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181" w:lineRule="exact"/>
        <w:rPr>
          <w:sz w:val="20"/>
          <w:szCs w:val="20"/>
          <w:color w:val="auto"/>
        </w:rPr>
      </w:pPr>
    </w:p>
    <w:p>
      <w:pPr>
        <w:ind w:left="720" w:hanging="256"/>
        <w:spacing w:after="0"/>
        <w:tabs>
          <w:tab w:leader="none" w:pos="7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25" w:lineRule="exact"/>
        <w:rPr>
          <w:rFonts w:ascii="Arial" w:cs="Arial" w:eastAsia="Arial" w:hAnsi="Arial"/>
          <w:sz w:val="18"/>
          <w:szCs w:val="18"/>
          <w:color w:val="auto"/>
        </w:rPr>
      </w:pPr>
    </w:p>
    <w:p>
      <w:pPr>
        <w:ind w:right="60" w:firstLine="464"/>
        <w:spacing w:after="0" w:line="302" w:lineRule="auto"/>
        <w:tabs>
          <w:tab w:leader="none" w:pos="701" w:val="left"/>
        </w:tabs>
        <w:numPr>
          <w:ilvl w:val="0"/>
          <w:numId w:val="395"/>
        </w:numPr>
        <w:rPr>
          <w:rFonts w:ascii="Arial" w:cs="Arial" w:eastAsia="Arial" w:hAnsi="Arial"/>
          <w:sz w:val="16"/>
          <w:szCs w:val="16"/>
          <w:color w:val="auto"/>
        </w:rPr>
      </w:pPr>
      <w:r>
        <w:rPr>
          <w:rFonts w:ascii="Arial" w:cs="Arial" w:eastAsia="Arial" w:hAnsi="Arial"/>
          <w:sz w:val="16"/>
          <w:szCs w:val="16"/>
          <w:color w:val="auto"/>
        </w:rPr>
        <w:t xml:space="preserve">References to agreements defined in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 GUARANTEE</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Guarantee</w:t>
      </w:r>
      <w:r>
        <w:rPr>
          <w:rFonts w:ascii="Arial" w:cs="Arial" w:eastAsia="Arial" w:hAnsi="Arial"/>
          <w:sz w:val="18"/>
          <w:szCs w:val="18"/>
          <w:color w:val="auto"/>
        </w:rPr>
        <w:t>. (a) 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each Subsidiary Borrower and each Applicable Account Party, as applicable, when due (whether at the stated maturity, by acceleration or otherwise) and at all times thereafter, of all Guaranteed Obligations.</w:t>
      </w:r>
    </w:p>
    <w:p>
      <w:pPr>
        <w:spacing w:after="0" w:line="187" w:lineRule="exact"/>
        <w:rPr>
          <w:sz w:val="20"/>
          <w:szCs w:val="20"/>
          <w:color w:val="auto"/>
        </w:rPr>
      </w:pPr>
    </w:p>
    <w:p>
      <w:pPr>
        <w:ind w:firstLine="464"/>
        <w:spacing w:after="0" w:line="264" w:lineRule="auto"/>
        <w:tabs>
          <w:tab w:leader="none" w:pos="711"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20" w:firstLine="464"/>
        <w:spacing w:after="0" w:line="342" w:lineRule="auto"/>
        <w:tabs>
          <w:tab w:leader="none" w:pos="701" w:val="left"/>
        </w:tabs>
        <w:numPr>
          <w:ilvl w:val="0"/>
          <w:numId w:val="396"/>
        </w:numPr>
        <w:rPr>
          <w:rFonts w:ascii="Arial" w:cs="Arial" w:eastAsia="Arial" w:hAnsi="Arial"/>
          <w:sz w:val="16"/>
          <w:szCs w:val="16"/>
          <w:color w:val="auto"/>
        </w:rPr>
      </w:pPr>
      <w:r>
        <w:rPr>
          <w:rFonts w:ascii="Arial" w:cs="Arial" w:eastAsia="Arial" w:hAnsi="Arial"/>
          <w:sz w:val="16"/>
          <w:szCs w:val="16"/>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affecting the rights and remedies of the Guaranteed Parties hereunder.</w:t>
      </w:r>
    </w:p>
    <w:p>
      <w:pPr>
        <w:spacing w:after="0" w:line="123" w:lineRule="exact"/>
        <w:rPr>
          <w:rFonts w:ascii="Arial" w:cs="Arial" w:eastAsia="Arial" w:hAnsi="Arial"/>
          <w:sz w:val="16"/>
          <w:szCs w:val="16"/>
          <w:color w:val="auto"/>
        </w:rPr>
      </w:pPr>
    </w:p>
    <w:p>
      <w:pPr>
        <w:ind w:right="480" w:firstLine="464"/>
        <w:spacing w:after="0" w:line="264" w:lineRule="auto"/>
        <w:tabs>
          <w:tab w:leader="none" w:pos="711"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or any Applicable Account Party may be free from any Guaranteed Obligations.</w:t>
      </w:r>
    </w:p>
    <w:p>
      <w:pPr>
        <w:spacing w:after="0" w:line="181" w:lineRule="exact"/>
        <w:rPr>
          <w:rFonts w:ascii="Arial" w:cs="Arial" w:eastAsia="Arial" w:hAnsi="Arial"/>
          <w:sz w:val="18"/>
          <w:szCs w:val="18"/>
          <w:color w:val="auto"/>
        </w:rPr>
      </w:pPr>
    </w:p>
    <w:p>
      <w:pPr>
        <w:ind w:right="260" w:firstLine="464"/>
        <w:spacing w:after="0" w:line="259" w:lineRule="auto"/>
        <w:tabs>
          <w:tab w:leader="none" w:pos="701"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 payment made by the Company, any Subsidiary Borrower, any Applicable Account Party, any of the Guarantors, any other guarantor or any other Person or received or collected by any Guaranteed Party from the Company, any Subsidiary Borrower, any Applicable Account Party, any of the Guarantors, any other guarantor or any other Person by virtue of any action or proceeding or any set-off or appropriation or application at any time or from time to time in reduction of or in payment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12" w:name="page413"/>
    <w:bookmarkEnd w:id="41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87" w:lineRule="exact"/>
        <w:rPr>
          <w:sz w:val="20"/>
          <w:szCs w:val="20"/>
          <w:color w:val="auto"/>
        </w:rPr>
      </w:pPr>
    </w:p>
    <w:p>
      <w:pPr>
        <w:ind w:right="320" w:firstLine="456"/>
        <w:spacing w:after="0" w:line="27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Right of Contribution</w:t>
      </w:r>
      <w:r>
        <w:rPr>
          <w:rFonts w:ascii="Arial" w:cs="Arial" w:eastAsia="Arial" w:hAnsi="Arial"/>
          <w:sz w:val="17"/>
          <w:szCs w:val="17"/>
          <w:color w:val="auto"/>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7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 Subrogation</w:t>
      </w:r>
      <w:r>
        <w:rPr>
          <w:rFonts w:ascii="Arial" w:cs="Arial" w:eastAsia="Arial" w:hAnsi="Arial"/>
          <w:sz w:val="16"/>
          <w:szCs w:val="16"/>
          <w:color w:val="auto"/>
        </w:rPr>
        <w:t xml:space="preserve"> 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any Applicable Account Party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any Applicable Account Party or any other Guarantor in respect of payments made by such Guarantor hereunder, until all amounts owing to the Guaranteed Parties by the Company, the Subsidiary Borrowers and any Applicable Account Party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Amendments, etc. with respect to the Guaranteed Obligations</w:t>
      </w:r>
      <w:r>
        <w:rPr>
          <w:rFonts w:ascii="Arial" w:cs="Arial" w:eastAsia="Arial" w:hAnsi="Arial"/>
          <w:sz w:val="16"/>
          <w:szCs w:val="16"/>
          <w:color w:val="auto"/>
        </w:rPr>
        <w:t xml:space="preserve">. Other than as expressly contemplated by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and the other Loan Documents and any other documents executed and delivered in connection therewith may be amended, modified, supplemented or terminated, in whole or in part, as the Administrative Agent (or the Required Lenders, the Majority Facility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any property subject thereto.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413" w:name="page414"/>
    <w:bookmarkEnd w:id="413"/>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 xml:space="preserve">. 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 any Applicable Account Party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any Applicable Account Party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any Applicable Account Party or any other Person against any Guaranteed Party, (c) any law or regulation of any jurisdiction or any other event affecting any term of the Guaranteed Obligations or (d) any other circumstance whatsoever (with or without notice to or knowledge of the Company, any Subsidiary Borrower, any Applicable Account Party or such Guarantor) which constitutes, or might be construed to constitute, an equitable or legal discharge or defense of a surety or guarantor or any other obligor on any obligation of the Company, any Subsidiary Borrower or any Applicable Account Party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occurrence of any Guarantee Release Date, but subject to any release of such obligations hereunder to the extent provided in, and pursuant to the terms of,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and (y) each of the other Guarantors shall be released from its obligations hereunder to the extent provided in, and pursuant to the terms of, </w:t>
      </w:r>
      <w:r>
        <w:rPr>
          <w:rFonts w:ascii="Arial" w:cs="Arial" w:eastAsia="Arial" w:hAnsi="Arial"/>
          <w:sz w:val="16"/>
          <w:szCs w:val="16"/>
          <w:u w:val="single" w:color="auto"/>
          <w:color w:val="auto"/>
        </w:rPr>
        <w:t>Section 3.15</w:t>
      </w:r>
      <w:r>
        <w:rPr>
          <w:rFonts w:ascii="Arial" w:cs="Arial" w:eastAsia="Arial" w:hAnsi="Arial"/>
          <w:sz w:val="16"/>
          <w:szCs w:val="16"/>
          <w:color w:val="auto"/>
        </w:rPr>
        <w:t>.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Applicable Account Party,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Applicable Account Party, any other Guarantor or any other Person or to realize upon any such collateral security or guarantee or to exercise any such right of offset, or any release of the Company, any Subsidiary Borrower, any Applicable Account Party,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38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Reinstatement</w:t>
      </w:r>
      <w:r>
        <w:rPr>
          <w:rFonts w:ascii="Arial" w:cs="Arial" w:eastAsia="Arial" w:hAnsi="Arial"/>
          <w:sz w:val="16"/>
          <w:szCs w:val="16"/>
          <w:color w:val="auto"/>
        </w:rPr>
        <w:t>. 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any Applicable Account Party or any Guarantor, or upon or as a result of the appointment of a receiver, intervenor or conservator of, or trustee or similar officer for, the Company, any Subsidiary Borrower, any Applicable Account Party or any Guarantor or any substantial part of its property, or otherwise, all as though such payments had not been made.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414" w:name="page415"/>
    <w:bookmarkEnd w:id="414"/>
    <w:p>
      <w:pPr>
        <w:jc w:val="both"/>
        <w:ind w:right="1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2.7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guarantees that payments hereunder will be paid to the Administrative Agent without set-off or counterclaim in Dollars or the Currency in which the relevant Guaranteed Obligations are required to be paid, at the Funding Office. All payments made hereunder shall be made in accordance with Sections 1.3 and 2.19 of the Credit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 MISCELLANEOUS</w:t>
      </w:r>
    </w:p>
    <w:p>
      <w:pPr>
        <w:spacing w:after="0" w:line="22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Authority of Administrative Agent</w:t>
      </w:r>
      <w:r>
        <w:rPr>
          <w:rFonts w:ascii="Arial" w:cs="Arial" w:eastAsia="Arial" w:hAnsi="Arial"/>
          <w:sz w:val="16"/>
          <w:szCs w:val="16"/>
          <w:color w:val="auto"/>
        </w:rPr>
        <w:t>. 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xml:space="preserve">. None of the terms or provisions of this Agreement may be waived, amended, supplemented or otherwise modified except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and demands to or upon the Administrative Agent or any Guarantor hereunder shall be effected in the manner provided for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request or demand to or upon any Guarantor shall be addressed to the Company at the addresses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(or such other address as the Company may at any time or from time to time provide for purposes of the Credit Agreement and this Agreement).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No Waiver by Course of Conduct; Cumulative Remedies</w:t>
      </w:r>
      <w:r>
        <w:rPr>
          <w:rFonts w:ascii="Arial" w:cs="Arial" w:eastAsia="Arial" w:hAnsi="Arial"/>
          <w:sz w:val="17"/>
          <w:szCs w:val="17"/>
          <w:color w:val="auto"/>
        </w:rPr>
        <w:t xml:space="preserve">. 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 xml:space="preserve">. (a) Without intending to duplicate the obligations of the Guarantors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if and to the extent that the Company is required to pay or reimburse the Guaranteed Parties (or any of them), for various costs and expenses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each Guarantor, jointly and severally, hereby agrees to make such payments or reimbursements and to provide such indemnification.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15" w:name="page416"/>
    <w:bookmarkEnd w:id="415"/>
    <w:p>
      <w:pPr>
        <w:ind w:right="220" w:firstLine="464"/>
        <w:spacing w:after="0" w:line="277" w:lineRule="auto"/>
        <w:tabs>
          <w:tab w:leader="none" w:pos="711" w:val="left"/>
        </w:tabs>
        <w:numPr>
          <w:ilvl w:val="0"/>
          <w:numId w:val="3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agreements of each Guarantor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survive repayment of the Guaranteed Obligations and all other amounts payable under the Credit Agreement.</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the parties hereto and their respective successors and assigns and shall inure to the benefit of the Guaranteed Parties and their permitted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166"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jc w:val="both"/>
        <w:ind w:right="140" w:firstLine="456"/>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AGREEMENT AND THE RIGHTS AND OBLIGATIONS OF THE PARTIES UNDER THIS AGREEMENT</w:t>
      </w:r>
    </w:p>
    <w:p>
      <w:pPr>
        <w:spacing w:after="0" w:line="2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color w:val="auto"/>
        </w:rPr>
        <w:t>SHALL BE GOVERNED BY, AND CONSTRUED AND INTERPRETED IN ACCORDANCE WITH, THE LAW OF THE STATE OF NEW YORK.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Guarantor hereby irrevocably and unconditionally:</w:t>
      </w:r>
    </w:p>
    <w:p>
      <w:pPr>
        <w:spacing w:after="0" w:line="225" w:lineRule="exact"/>
        <w:rPr>
          <w:sz w:val="20"/>
          <w:szCs w:val="20"/>
          <w:color w:val="auto"/>
        </w:rPr>
      </w:pPr>
    </w:p>
    <w:p>
      <w:pPr>
        <w:jc w:val="both"/>
        <w:ind w:right="160" w:firstLine="464"/>
        <w:spacing w:after="0" w:line="312" w:lineRule="auto"/>
        <w:tabs>
          <w:tab w:leader="none" w:pos="701" w:val="left"/>
        </w:tabs>
        <w:numPr>
          <w:ilvl w:val="0"/>
          <w:numId w:val="398"/>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w:t>
      </w:r>
    </w:p>
    <w:p>
      <w:pPr>
        <w:spacing w:after="0" w:line="146" w:lineRule="exact"/>
        <w:rPr>
          <w:rFonts w:ascii="Arial" w:cs="Arial" w:eastAsia="Arial" w:hAnsi="Arial"/>
          <w:sz w:val="16"/>
          <w:szCs w:val="16"/>
          <w:color w:val="auto"/>
        </w:rPr>
      </w:pPr>
    </w:p>
    <w:p>
      <w:pPr>
        <w:ind w:right="40" w:firstLine="464"/>
        <w:spacing w:after="0" w:line="264" w:lineRule="auto"/>
        <w:tabs>
          <w:tab w:leader="none" w:pos="71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416" w:name="page417"/>
    <w:bookmarkEnd w:id="416"/>
    <w:p>
      <w:pPr>
        <w:ind w:right="320" w:firstLine="464"/>
        <w:spacing w:after="0" w:line="264" w:lineRule="auto"/>
        <w:tabs>
          <w:tab w:leader="none" w:pos="701" w:val="left"/>
        </w:tabs>
        <w:numPr>
          <w:ilvl w:val="0"/>
          <w:numId w:val="3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170" w:lineRule="exact"/>
        <w:rPr>
          <w:rFonts w:ascii="Arial" w:cs="Arial" w:eastAsia="Arial" w:hAnsi="Arial"/>
          <w:sz w:val="18"/>
          <w:szCs w:val="18"/>
          <w:color w:val="auto"/>
        </w:rPr>
      </w:pPr>
    </w:p>
    <w:p>
      <w:pPr>
        <w:ind w:firstLine="464"/>
        <w:spacing w:after="0" w:line="277" w:lineRule="auto"/>
        <w:tabs>
          <w:tab w:leader="none" w:pos="70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70" w:lineRule="exact"/>
        <w:rPr>
          <w:rFonts w:ascii="Arial" w:cs="Arial" w:eastAsia="Arial" w:hAnsi="Arial"/>
          <w:sz w:val="18"/>
          <w:szCs w:val="18"/>
          <w:color w:val="auto"/>
        </w:rPr>
      </w:pPr>
    </w:p>
    <w:p>
      <w:pPr>
        <w:ind w:right="120" w:firstLine="464"/>
        <w:spacing w:after="0" w:line="277" w:lineRule="auto"/>
        <w:tabs>
          <w:tab w:leader="none" w:pos="68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Judgment</w:t>
      </w:r>
      <w:r>
        <w:rPr>
          <w:rFonts w:ascii="Arial" w:cs="Arial" w:eastAsia="Arial" w:hAnsi="Arial"/>
          <w:sz w:val="18"/>
          <w:szCs w:val="18"/>
          <w:color w:val="auto"/>
        </w:rPr>
        <w:t xml:space="preserve">. The parties hereto agree that Section 10.13 of the Credit Agreement shall apply to the obligations of the Guarantors hereunder,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Additional Guarantors</w:t>
      </w:r>
      <w:r>
        <w:rPr>
          <w:rFonts w:ascii="Arial" w:cs="Arial" w:eastAsia="Arial" w:hAnsi="Arial"/>
          <w:sz w:val="17"/>
          <w:szCs w:val="17"/>
          <w:color w:val="auto"/>
        </w:rPr>
        <w:t xml:space="preserve">. Each Subsidiary of the Company that is required to become a party to this Agreement pursuant to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of the Credit Agreement, and each other Person (whether or not a Subsidiary of the Company) that the Company desires to become a party to this Agreement pursuant to </w:t>
      </w:r>
      <w:r>
        <w:rPr>
          <w:rFonts w:ascii="Arial" w:cs="Arial" w:eastAsia="Arial" w:hAnsi="Arial"/>
          <w:sz w:val="17"/>
          <w:szCs w:val="17"/>
          <w:u w:val="single" w:color="auto"/>
          <w:color w:val="auto"/>
        </w:rPr>
        <w:t>Section 10.1(b)</w:t>
      </w:r>
      <w:r>
        <w:rPr>
          <w:rFonts w:ascii="Arial" w:cs="Arial" w:eastAsia="Arial" w:hAnsi="Arial"/>
          <w:sz w:val="17"/>
          <w:szCs w:val="17"/>
          <w:color w:val="auto"/>
        </w:rPr>
        <w:t xml:space="preserve"> of the Credit Agreement or otherwise, shall become a Guarantor for all purposes of this Agreement upon execution and delivery by such Subsidiary or other Person of a Joinder Agreement in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hereto (a “</w:t>
      </w:r>
      <w:r>
        <w:rPr>
          <w:rFonts w:ascii="Arial" w:cs="Arial" w:eastAsia="Arial" w:hAnsi="Arial"/>
          <w:sz w:val="17"/>
          <w:szCs w:val="17"/>
          <w:u w:val="single" w:color="auto"/>
          <w:color w:val="auto"/>
        </w:rPr>
        <w:t>Joinder Agreement</w:t>
      </w:r>
      <w:r>
        <w:rPr>
          <w:rFonts w:ascii="Arial" w:cs="Arial" w:eastAsia="Arial" w:hAnsi="Arial"/>
          <w:sz w:val="17"/>
          <w:szCs w:val="17"/>
          <w:color w:val="auto"/>
        </w:rPr>
        <w:t>”).</w:t>
      </w:r>
    </w:p>
    <w:p>
      <w:pPr>
        <w:spacing w:after="0" w:line="17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Releases</w:t>
      </w:r>
      <w:r>
        <w:rPr>
          <w:rFonts w:ascii="Arial" w:cs="Arial" w:eastAsia="Arial" w:hAnsi="Arial"/>
          <w:sz w:val="18"/>
          <w:szCs w:val="18"/>
          <w:color w:val="auto"/>
        </w:rPr>
        <w:t xml:space="preserve">. (a) Upon the satisfaction of the conditions set forth in </w:t>
      </w:r>
      <w:r>
        <w:rPr>
          <w:rFonts w:ascii="Arial" w:cs="Arial" w:eastAsia="Arial" w:hAnsi="Arial"/>
          <w:sz w:val="18"/>
          <w:szCs w:val="18"/>
          <w:u w:val="single" w:color="auto"/>
          <w:color w:val="auto"/>
        </w:rPr>
        <w:t>Section 10.15(b)</w:t>
      </w:r>
      <w:r>
        <w:rPr>
          <w:rFonts w:ascii="Arial" w:cs="Arial" w:eastAsia="Arial" w:hAnsi="Arial"/>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81" w:lineRule="exact"/>
        <w:rPr>
          <w:sz w:val="20"/>
          <w:szCs w:val="20"/>
          <w:color w:val="auto"/>
        </w:rPr>
      </w:pPr>
    </w:p>
    <w:p>
      <w:pPr>
        <w:ind w:firstLine="464"/>
        <w:spacing w:after="0" w:line="264" w:lineRule="auto"/>
        <w:tabs>
          <w:tab w:leader="none" w:pos="711" w:val="left"/>
        </w:tabs>
        <w:numPr>
          <w:ilvl w:val="0"/>
          <w:numId w:val="400"/>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10.15(c)</w:t>
      </w:r>
      <w:r>
        <w:rPr>
          <w:rFonts w:ascii="Arial" w:cs="Arial" w:eastAsia="Arial" w:hAnsi="Arial"/>
          <w:sz w:val="18"/>
          <w:szCs w:val="18"/>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ind w:right="40" w:firstLine="464"/>
        <w:spacing w:after="0" w:line="264" w:lineRule="auto"/>
        <w:tabs>
          <w:tab w:leader="none" w:pos="701" w:val="left"/>
        </w:tabs>
        <w:numPr>
          <w:ilvl w:val="0"/>
          <w:numId w:val="400"/>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10.15(d)</w:t>
      </w:r>
      <w:r>
        <w:rPr>
          <w:rFonts w:ascii="Arial" w:cs="Arial" w:eastAsia="Arial" w:hAnsi="Arial"/>
          <w:sz w:val="18"/>
          <w:szCs w:val="18"/>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81"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400"/>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417" w:name="page418"/>
    <w:bookmarkEnd w:id="417"/>
    <w:p>
      <w:pPr>
        <w:ind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3.16 </w:t>
      </w:r>
      <w:r>
        <w:rPr>
          <w:rFonts w:ascii="Arial" w:cs="Arial" w:eastAsia="Arial" w:hAnsi="Arial"/>
          <w:sz w:val="18"/>
          <w:szCs w:val="18"/>
          <w:b w:val="1"/>
          <w:bCs w:val="1"/>
          <w:u w:val="single" w:color="auto"/>
          <w:color w:val="auto"/>
        </w:rPr>
        <w:t>WAIVER OF JURY TRIAL</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EACH GUARANTOR AND THE ADMINISTRATIVE AGENT HEREBY IRREVOCABLY AND</w:t>
      </w:r>
      <w:r>
        <w:rPr>
          <w:rFonts w:ascii="Arial" w:cs="Arial" w:eastAsia="Arial" w:hAnsi="Arial"/>
          <w:sz w:val="18"/>
          <w:szCs w:val="18"/>
          <w:color w:val="auto"/>
        </w:rPr>
        <w:t xml:space="preserve"> </w:t>
      </w:r>
      <w:r>
        <w:rPr>
          <w:rFonts w:ascii="Arial" w:cs="Arial" w:eastAsia="Arial" w:hAnsi="Arial"/>
          <w:sz w:val="18"/>
          <w:szCs w:val="18"/>
          <w:b w:val="1"/>
          <w:bCs w:val="1"/>
          <w:color w:val="auto"/>
        </w:rPr>
        <w:t>UNCONDITIONALLY WAIVE TRIAL BY JURY IN ANY LEGAL ACTION OR PROCEEDING RELATING TO THIS AGREEMENT OR ANY OTHER LOAN DOCUMENT AND FOR ANY COUNTERCLAIM THEREIN.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Remainder of this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69" w:right="319" w:bottom="1440" w:gutter="0" w:footer="0" w:header="0"/>
        </w:sectPr>
      </w:pPr>
    </w:p>
    <w:bookmarkStart w:id="418" w:name="page419"/>
    <w:bookmarkEnd w:id="41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359"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GENERAL MOTORS COMPANY</w:t>
      </w:r>
      <w:r>
        <w:rPr>
          <w:rFonts w:ascii="Arial" w:cs="Arial" w:eastAsia="Arial" w:hAnsi="Arial"/>
          <w:sz w:val="16"/>
          <w:szCs w:val="16"/>
          <w:i w:val="1"/>
          <w:iCs w:val="1"/>
          <w:color w:val="auto"/>
        </w:rPr>
        <w:t>, as the Company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-1905</wp:posOffset>
            </wp:positionV>
            <wp:extent cx="231521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-1905</wp:posOffset>
            </wp:positionV>
            <wp:extent cx="237553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Signature Page to 5-Year Guarantee Agreement</w:t>
      </w:r>
    </w:p>
    <w:p>
      <w:pPr>
        <w:sectPr>
          <w:pgSz w:w="11900" w:h="16838" w:orient="portrait"/>
          <w:cols w:equalWidth="0" w:num="1">
            <w:col w:w="10880"/>
          </w:cols>
          <w:pgMar w:left="240" w:top="274" w:right="779" w:bottom="1440" w:gutter="0" w:footer="0" w:header="0"/>
        </w:sectPr>
      </w:pPr>
    </w:p>
    <w:bookmarkStart w:id="419" w:name="page420"/>
    <w:bookmarkEnd w:id="4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right"/>
        <w:ind w:right="2679"/>
        <w:spacing w:after="0"/>
        <w:rPr>
          <w:sz w:val="20"/>
          <w:szCs w:val="20"/>
          <w:color w:val="auto"/>
        </w:rPr>
      </w:pPr>
      <w:r>
        <w:rPr>
          <w:rFonts w:ascii="Arial" w:cs="Arial" w:eastAsia="Arial" w:hAnsi="Arial"/>
          <w:sz w:val="18"/>
          <w:szCs w:val="18"/>
          <w:b w:val="1"/>
          <w:bCs w:val="1"/>
          <w:color w:val="auto"/>
        </w:rPr>
        <w:t>Signature Page to 5-Year Guarantee Agreement</w:t>
      </w:r>
    </w:p>
    <w:p>
      <w:pPr>
        <w:sectPr>
          <w:pgSz w:w="11900" w:h="16838" w:orient="portrait"/>
          <w:cols w:equalWidth="0" w:num="1">
            <w:col w:w="10219"/>
          </w:cols>
          <w:pgMar w:left="240" w:top="274" w:right="1440" w:bottom="1440" w:gutter="0" w:footer="0" w:header="0"/>
        </w:sectPr>
      </w:pPr>
    </w:p>
    <w:bookmarkStart w:id="420" w:name="page421"/>
    <w:bookmarkEnd w:id="420"/>
    <w:p>
      <w:pPr>
        <w:ind w:left="10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3"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Guarantee Agreement</w:t>
      </w:r>
    </w:p>
    <w:p>
      <w:pPr>
        <w:spacing w:after="0" w:line="211" w:lineRule="exact"/>
        <w:rPr>
          <w:sz w:val="20"/>
          <w:szCs w:val="20"/>
          <w:color w:val="auto"/>
        </w:rPr>
      </w:pPr>
    </w:p>
    <w:p>
      <w:pPr>
        <w:ind w:left="920"/>
        <w:spacing w:after="0"/>
        <w:tabs>
          <w:tab w:leader="none" w:pos="4420" w:val="left"/>
          <w:tab w:leader="none" w:pos="4920" w:val="left"/>
          <w:tab w:leader="none" w:pos="8840" w:val="left"/>
        </w:tabs>
        <w:rPr>
          <w:sz w:val="20"/>
          <w:szCs w:val="20"/>
          <w:color w:val="auto"/>
        </w:rPr>
      </w:pPr>
      <w:r>
        <w:rPr>
          <w:rFonts w:ascii="Arial" w:cs="Arial" w:eastAsia="Arial" w:hAnsi="Arial"/>
          <w:sz w:val="18"/>
          <w:szCs w:val="18"/>
          <w:color w:val="auto"/>
        </w:rPr>
        <w:t>JOINDER AGREEMENT, dated as of</w:t>
      </w:r>
      <w:r>
        <w:rPr>
          <w:sz w:val="20"/>
          <w:szCs w:val="20"/>
          <w:color w:val="auto"/>
        </w:rPr>
        <w:tab/>
      </w:r>
      <w:r>
        <w:rPr>
          <w:rFonts w:ascii="Arial" w:cs="Arial" w:eastAsia="Arial" w:hAnsi="Arial"/>
          <w:sz w:val="18"/>
          <w:szCs w:val="18"/>
          <w:color w:val="auto"/>
        </w:rPr>
        <w:t>, 20</w:t>
        <w:tab/>
        <w:t>(the “</w:t>
      </w:r>
      <w:r>
        <w:rPr>
          <w:rFonts w:ascii="Arial" w:cs="Arial" w:eastAsia="Arial" w:hAnsi="Arial"/>
          <w:sz w:val="18"/>
          <w:szCs w:val="18"/>
          <w:u w:val="single" w:color="auto"/>
          <w:color w:val="auto"/>
        </w:rPr>
        <w:t>Joinder Agreement</w:t>
      </w:r>
      <w:r>
        <w:rPr>
          <w:rFonts w:ascii="Arial" w:cs="Arial" w:eastAsia="Arial" w:hAnsi="Arial"/>
          <w:sz w:val="18"/>
          <w:szCs w:val="18"/>
          <w:color w:val="auto"/>
        </w:rPr>
        <w:t>”), made by</w:t>
      </w:r>
      <w:r>
        <w:rPr>
          <w:sz w:val="20"/>
          <w:szCs w:val="20"/>
          <w:color w:val="auto"/>
        </w:rPr>
        <w:tab/>
      </w:r>
      <w:r>
        <w:rPr>
          <w:rFonts w:ascii="Arial" w:cs="Arial" w:eastAsia="Arial" w:hAnsi="Arial"/>
          <w:sz w:val="17"/>
          <w:szCs w:val="17"/>
          <w:color w:val="auto"/>
        </w:rPr>
        <w:t>(the “</w:t>
      </w:r>
      <w:r>
        <w:rPr>
          <w:rFonts w:ascii="Arial" w:cs="Arial" w:eastAsia="Arial" w:hAnsi="Arial"/>
          <w:sz w:val="17"/>
          <w:szCs w:val="17"/>
          <w:u w:val="single" w:color="auto"/>
          <w:color w:val="auto"/>
        </w:rPr>
        <w:t>Additional Guarantor</w:t>
      </w:r>
      <w:r>
        <w:rPr>
          <w:rFonts w:ascii="Arial" w:cs="Arial" w:eastAsia="Arial" w:hAnsi="Arial"/>
          <w:sz w:val="17"/>
          <w:szCs w:val="17"/>
          <w:color w:val="auto"/>
        </w:rPr>
        <w: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-10160</wp:posOffset>
            </wp:positionV>
            <wp:extent cx="74295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42950" cy="8890"/>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-10160</wp:posOffset>
            </wp:positionV>
            <wp:extent cx="8001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WHEREAS, pursuant to the terms of the certain Third Amended and Restated Five Year Revolving Credit Agreement, dated as of April 18, 2018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GM Global Treasury Centre Limited, a corporation organized under the laws of England and Wales (“</w:t>
      </w:r>
      <w:r>
        <w:rPr>
          <w:rFonts w:ascii="Arial" w:cs="Arial" w:eastAsia="Arial" w:hAnsi="Arial"/>
          <w:sz w:val="17"/>
          <w:szCs w:val="17"/>
          <w:u w:val="single" w:color="auto"/>
          <w:color w:val="auto"/>
        </w:rPr>
        <w:t>GMGTC</w:t>
      </w:r>
      <w:r>
        <w:rPr>
          <w:rFonts w:ascii="Arial" w:cs="Arial" w:eastAsia="Arial" w:hAnsi="Arial"/>
          <w:sz w:val="17"/>
          <w:szCs w:val="17"/>
          <w:color w:val="auto"/>
        </w:rPr>
        <w:t>”), General Motors do Brasil Ltda., a Brazilian limited liability company (“</w:t>
      </w:r>
      <w:r>
        <w:rPr>
          <w:rFonts w:ascii="Arial" w:cs="Arial" w:eastAsia="Arial" w:hAnsi="Arial"/>
          <w:sz w:val="17"/>
          <w:szCs w:val="17"/>
          <w:u w:val="single" w:color="auto"/>
          <w:color w:val="auto"/>
        </w:rPr>
        <w:t>GMB</w:t>
      </w:r>
      <w:r>
        <w:rPr>
          <w:rFonts w:ascii="Arial" w:cs="Arial" w:eastAsia="Arial" w:hAnsi="Arial"/>
          <w:sz w:val="17"/>
          <w:szCs w:val="17"/>
          <w:color w:val="auto"/>
        </w:rPr>
        <w:t>), the other Subsidiary Borrowers from time to time parties thereto, the Lenders, the Administrative Agent, Banco do Brasil S.A., as Brazilian Administrative Agent, Citibank, N.A., as syndication agent, Bank of America, N.A., as co-syndication agent, and the other agents named therein, the Company [has][and certain of its Subsidiaries (collectively, the “</w:t>
      </w:r>
      <w:r>
        <w:rPr>
          <w:rFonts w:ascii="Arial" w:cs="Arial" w:eastAsia="Arial" w:hAnsi="Arial"/>
          <w:sz w:val="17"/>
          <w:szCs w:val="17"/>
          <w:u w:val="single" w:color="auto"/>
          <w:color w:val="auto"/>
        </w:rPr>
        <w:t>Subsidiary Guarantors</w:t>
      </w:r>
      <w:r>
        <w:rPr>
          <w:rFonts w:ascii="Arial" w:cs="Arial" w:eastAsia="Arial" w:hAnsi="Arial"/>
          <w:sz w:val="17"/>
          <w:szCs w:val="17"/>
          <w:color w:val="auto"/>
        </w:rPr>
        <w:t>”; and, together with the Company and the other Persons party to the Guarantee Agreement (as defined below) as guarantors,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have] entered into the Third Amended and Restated Guarantee Agreement, dated as of April 18, 2018 (as amended, restated, amended and restated, renewed, supplemented or otherwise modified from time to time, the “</w:t>
      </w:r>
      <w:r>
        <w:rPr>
          <w:rFonts w:ascii="Arial" w:cs="Arial" w:eastAsia="Arial" w:hAnsi="Arial"/>
          <w:sz w:val="17"/>
          <w:szCs w:val="17"/>
          <w:u w:val="single" w:color="auto"/>
          <w:color w:val="auto"/>
        </w:rPr>
        <w:t>Guarantee Agreement</w:t>
      </w:r>
      <w:r>
        <w:rPr>
          <w:rFonts w:ascii="Arial" w:cs="Arial" w:eastAsia="Arial" w:hAnsi="Arial"/>
          <w:sz w:val="17"/>
          <w:szCs w:val="17"/>
          <w:color w:val="auto"/>
        </w:rPr>
        <w:t>”); and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WHEREAS, the Additional Guarantor desires to become a party to the Guarantee Agreement in accordance with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of the Guarantee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right="220" w:firstLine="921"/>
        <w:spacing w:after="0" w:line="259" w:lineRule="auto"/>
        <w:tabs>
          <w:tab w:leader="none" w:pos="1093"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By executing and delivering this Joinder Agreement, the Additional Guarantor, as provided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82" w:lineRule="exact"/>
        <w:rPr>
          <w:rFonts w:ascii="Arial" w:cs="Arial" w:eastAsia="Arial" w:hAnsi="Arial"/>
          <w:sz w:val="18"/>
          <w:szCs w:val="18"/>
          <w:color w:val="auto"/>
        </w:rPr>
      </w:pPr>
    </w:p>
    <w:p>
      <w:pPr>
        <w:ind w:right="440" w:firstLine="921"/>
        <w:spacing w:after="0" w:line="266" w:lineRule="auto"/>
        <w:tabs>
          <w:tab w:leader="none" w:pos="1093" w:val="left"/>
        </w:tabs>
        <w:numPr>
          <w:ilvl w:val="0"/>
          <w:numId w:val="40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420"/>
          </w:cols>
          <w:pgMar w:left="240" w:top="273" w:right="239" w:bottom="1440" w:gutter="0" w:footer="0" w:header="0"/>
        </w:sectPr>
      </w:pPr>
    </w:p>
    <w:bookmarkStart w:id="421" w:name="page422"/>
    <w:bookmarkEnd w:id="42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3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[ADDITIONAL GUARANTOR]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00"/>
          </w:cols>
          <w:pgMar w:left="240" w:top="274" w:right="759" w:bottom="1440" w:gutter="0" w:footer="0" w:header="0"/>
        </w:sectPr>
      </w:pPr>
    </w:p>
    <w:bookmarkStart w:id="422" w:name="page423"/>
    <w:bookmarkEnd w:id="4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JPMORGAN CHASE BANK, N.A., </w:t>
      </w:r>
      <w:r>
        <w:rPr>
          <w:rFonts w:ascii="Arial" w:cs="Arial" w:eastAsia="Arial" w:hAnsi="Arial"/>
          <w:sz w:val="17"/>
          <w:szCs w:val="17"/>
          <w:i w:val="1"/>
          <w:iCs w:val="1"/>
          <w:color w:val="auto"/>
        </w:rPr>
        <w:t>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3" w:right="1440" w:bottom="1440" w:gutter="0" w:footer="0" w:header="0"/>
        </w:sectPr>
      </w:pPr>
    </w:p>
    <w:bookmarkStart w:id="423" w:name="page424"/>
    <w:bookmarkEnd w:id="423"/>
    <w:p>
      <w:pPr>
        <w:ind w:left="10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COMPETITIVE BID REQUEST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6394450</wp:posOffset>
            </wp:positionH>
            <wp:positionV relativeFrom="paragraph">
              <wp:posOffset>-10160</wp:posOffset>
            </wp:positionV>
            <wp:extent cx="85725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The undersigned, [INSERT NAME OF 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[and General Motors Company, a Delaware corporation (“</w:t>
      </w:r>
      <w:r>
        <w:rPr>
          <w:rFonts w:ascii="Arial" w:cs="Arial" w:eastAsia="Arial" w:hAnsi="Arial"/>
          <w:sz w:val="16"/>
          <w:szCs w:val="16"/>
          <w:u w:val="single" w:color="auto"/>
          <w:color w:val="auto"/>
        </w:rPr>
        <w:t>Company/Applicable Borrower”)]</w:t>
      </w:r>
      <w:r>
        <w:rPr>
          <w:rFonts w:ascii="Arial" w:cs="Arial" w:eastAsia="Arial" w:hAnsi="Arial"/>
          <w:sz w:val="13"/>
          <w:szCs w:val="13"/>
          <w:color w:val="auto"/>
        </w:rPr>
        <w:t>1</w:t>
      </w:r>
      <w:r>
        <w:rPr>
          <w:rFonts w:ascii="Arial" w:cs="Arial" w:eastAsia="Arial" w:hAnsi="Arial"/>
          <w:sz w:val="16"/>
          <w:szCs w:val="16"/>
          <w:color w:val="auto"/>
        </w:rPr>
        <w:t>, refer[s] to the Third Amended and Restated Five Year Revolving Credit Agreement, dated as of April 18, 2018,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Company/the Applicable Borrower,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 2.7(a) of the Credit Agreement that it requests a Competitive Loan under the Credit Agreement, and in that connection sets forth below the terms on which such Competitive Loan is requested to be made:</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[(A)  Currency of Competitive Loan</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r>
    </w:tbl>
    <w:p>
      <w:pPr>
        <w:spacing w:after="0" w:line="107" w:lineRule="exact"/>
        <w:rPr>
          <w:sz w:val="20"/>
          <w:szCs w:val="20"/>
          <w:color w:val="auto"/>
        </w:rPr>
      </w:pPr>
    </w:p>
    <w:p>
      <w:pPr>
        <w:ind w:left="680" w:right="8040" w:hanging="456"/>
        <w:spacing w:after="0" w:line="277" w:lineRule="auto"/>
        <w:tabs>
          <w:tab w:leader="none" w:pos="661" w:val="left"/>
        </w:tabs>
        <w:numPr>
          <w:ilvl w:val="0"/>
          <w:numId w:val="402"/>
        </w:numPr>
        <w:rPr>
          <w:rFonts w:ascii="Arial" w:cs="Arial" w:eastAsia="Arial" w:hAnsi="Arial"/>
          <w:sz w:val="18"/>
          <w:szCs w:val="18"/>
          <w:color w:val="auto"/>
        </w:rPr>
      </w:pPr>
      <w:r>
        <w:rPr>
          <w:rFonts w:ascii="Arial" w:cs="Arial" w:eastAsia="Arial" w:hAnsi="Arial"/>
          <w:sz w:val="18"/>
          <w:szCs w:val="18"/>
          <w:color w:val="auto"/>
        </w:rPr>
        <w:t>Date of Competitive Loan (which is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-36195</wp:posOffset>
            </wp:positionV>
            <wp:extent cx="208407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084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220" w:hanging="212"/>
        <w:spacing w:after="0"/>
        <w:tabs>
          <w:tab w:leader="none" w:pos="220" w:val="left"/>
        </w:tabs>
        <w:numPr>
          <w:ilvl w:val="0"/>
          <w:numId w:val="403"/>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220" w:hanging="212"/>
        <w:spacing w:after="0"/>
        <w:tabs>
          <w:tab w:leader="none" w:pos="220" w:val="left"/>
        </w:tabs>
        <w:numPr>
          <w:ilvl w:val="0"/>
          <w:numId w:val="404"/>
        </w:numPr>
        <w:rPr>
          <w:rFonts w:ascii="Arial" w:cs="Arial" w:eastAsia="Arial" w:hAnsi="Arial"/>
          <w:sz w:val="15"/>
          <w:szCs w:val="15"/>
          <w:color w:val="auto"/>
        </w:rPr>
      </w:pPr>
      <w:r>
        <w:rPr>
          <w:rFonts w:ascii="Arial" w:cs="Arial" w:eastAsia="Arial" w:hAnsi="Arial"/>
          <w:sz w:val="18"/>
          <w:szCs w:val="18"/>
          <w:color w:val="auto"/>
        </w:rPr>
        <w:t>In the case of Multicurrency Competitive Loan only.</w:t>
      </w:r>
    </w:p>
    <w:p>
      <w:pPr>
        <w:sectPr>
          <w:pgSz w:w="11900" w:h="16838" w:orient="portrait"/>
          <w:cols w:equalWidth="0" w:num="1">
            <w:col w:w="11420"/>
          </w:cols>
          <w:pgMar w:left="240" w:top="270" w:right="239" w:bottom="1440" w:gutter="0" w:footer="0" w:header="0"/>
        </w:sectPr>
      </w:pPr>
    </w:p>
    <w:bookmarkStart w:id="424" w:name="page425"/>
    <w:bookmarkEnd w:id="424"/>
    <w:p>
      <w:pPr>
        <w:ind w:left="920" w:hanging="439"/>
        <w:spacing w:after="0"/>
        <w:tabs>
          <w:tab w:leader="none" w:pos="9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Amount of Competitive Loan</w:t>
      </w:r>
      <w:r>
        <w:rPr>
          <w:rFonts w:ascii="Arial" w:cs="Arial" w:eastAsia="Arial" w:hAnsi="Arial"/>
          <w:sz w:val="15"/>
          <w:szCs w:val="15"/>
          <w:color w:val="auto"/>
        </w:rPr>
        <w:t>3</w:t>
      </w:r>
    </w:p>
    <w:p>
      <w:pPr>
        <w:spacing w:after="0" w:line="144" w:lineRule="exact"/>
        <w:rPr>
          <w:rFonts w:ascii="Arial" w:cs="Arial" w:eastAsia="Arial" w:hAnsi="Arial"/>
          <w:sz w:val="18"/>
          <w:szCs w:val="18"/>
          <w:color w:val="auto"/>
        </w:rPr>
      </w:pPr>
    </w:p>
    <w:p>
      <w:pPr>
        <w:ind w:left="920" w:hanging="439"/>
        <w:spacing w:after="0"/>
        <w:tabs>
          <w:tab w:leader="none" w:pos="9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Interest rate basis</w:t>
      </w:r>
      <w:r>
        <w:rPr>
          <w:rFonts w:ascii="Arial" w:cs="Arial" w:eastAsia="Arial" w:hAnsi="Arial"/>
          <w:sz w:val="15"/>
          <w:szCs w:val="15"/>
          <w:color w:val="auto"/>
        </w:rPr>
        <w:t>4</w:t>
      </w:r>
    </w:p>
    <w:p>
      <w:pPr>
        <w:spacing w:after="0" w:line="144" w:lineRule="exact"/>
        <w:rPr>
          <w:rFonts w:ascii="Arial" w:cs="Arial" w:eastAsia="Arial" w:hAnsi="Arial"/>
          <w:sz w:val="18"/>
          <w:szCs w:val="18"/>
          <w:color w:val="auto"/>
        </w:rPr>
      </w:pPr>
    </w:p>
    <w:p>
      <w:pPr>
        <w:ind w:left="920" w:hanging="439"/>
        <w:spacing w:after="0"/>
        <w:tabs>
          <w:tab w:leader="none" w:pos="9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5</w:t>
      </w:r>
    </w:p>
    <w:p>
      <w:pPr>
        <w:spacing w:after="0" w:line="144" w:lineRule="exact"/>
        <w:rPr>
          <w:rFonts w:ascii="Arial" w:cs="Arial" w:eastAsia="Arial" w:hAnsi="Arial"/>
          <w:sz w:val="18"/>
          <w:szCs w:val="18"/>
          <w:color w:val="auto"/>
        </w:rPr>
      </w:pPr>
    </w:p>
    <w:p>
      <w:pPr>
        <w:ind w:left="920" w:hanging="439"/>
        <w:spacing w:after="0"/>
        <w:tabs>
          <w:tab w:leader="none" w:pos="9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-653415</wp:posOffset>
            </wp:positionV>
            <wp:extent cx="260731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-430530</wp:posOffset>
            </wp:positionV>
            <wp:extent cx="260731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-207645</wp:posOffset>
            </wp:positionV>
            <wp:extent cx="260731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32"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APPLICABLE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898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406"/>
        </w:numPr>
        <w:rPr>
          <w:rFonts w:ascii="Arial" w:cs="Arial" w:eastAsia="Arial" w:hAnsi="Arial"/>
          <w:sz w:val="15"/>
          <w:szCs w:val="15"/>
          <w:color w:val="auto"/>
        </w:rPr>
      </w:pPr>
      <w:r>
        <w:rPr>
          <w:rFonts w:ascii="Arial" w:cs="Arial" w:eastAsia="Arial" w:hAnsi="Arial"/>
          <w:sz w:val="18"/>
          <w:szCs w:val="18"/>
          <w:color w:val="auto"/>
        </w:rPr>
        <w:t>Not less than $25,000,000 or Dollar Equivalent thereof.</w:t>
      </w:r>
    </w:p>
    <w:p>
      <w:pPr>
        <w:spacing w:after="0" w:line="22" w:lineRule="exact"/>
        <w:rPr>
          <w:sz w:val="20"/>
          <w:szCs w:val="20"/>
          <w:color w:val="auto"/>
        </w:rPr>
      </w:pPr>
    </w:p>
    <w:p>
      <w:pPr>
        <w:ind w:left="220" w:hanging="212"/>
        <w:spacing w:after="0"/>
        <w:tabs>
          <w:tab w:leader="none" w:pos="220" w:val="left"/>
        </w:tabs>
        <w:numPr>
          <w:ilvl w:val="0"/>
          <w:numId w:val="407"/>
        </w:numPr>
        <w:rPr>
          <w:rFonts w:ascii="Arial" w:cs="Arial" w:eastAsia="Arial" w:hAnsi="Arial"/>
          <w:sz w:val="15"/>
          <w:szCs w:val="15"/>
          <w:color w:val="auto"/>
        </w:rPr>
      </w:pPr>
      <w:r>
        <w:rPr>
          <w:rFonts w:ascii="Arial" w:cs="Arial" w:eastAsia="Arial" w:hAnsi="Arial"/>
          <w:sz w:val="18"/>
          <w:szCs w:val="18"/>
          <w:color w:val="auto"/>
        </w:rPr>
        <w:t>Eurocurrency Competitive Loan or Fixed Rate Loan.</w:t>
      </w:r>
    </w:p>
    <w:p>
      <w:pPr>
        <w:spacing w:after="0" w:line="9" w:lineRule="exact"/>
        <w:rPr>
          <w:sz w:val="20"/>
          <w:szCs w:val="20"/>
          <w:color w:val="auto"/>
        </w:rPr>
      </w:pPr>
    </w:p>
    <w:p>
      <w:pPr>
        <w:ind w:left="220" w:hanging="212"/>
        <w:spacing w:after="0"/>
        <w:tabs>
          <w:tab w:leader="none" w:pos="220" w:val="left"/>
        </w:tabs>
        <w:numPr>
          <w:ilvl w:val="0"/>
          <w:numId w:val="408"/>
        </w:numPr>
        <w:rPr>
          <w:rFonts w:ascii="Arial" w:cs="Arial" w:eastAsia="Arial" w:hAnsi="Arial"/>
          <w:sz w:val="14"/>
          <w:szCs w:val="14"/>
          <w:color w:val="auto"/>
        </w:rPr>
      </w:pPr>
      <w:r>
        <w:rPr>
          <w:rFonts w:ascii="Arial" w:cs="Arial" w:eastAsia="Arial" w:hAnsi="Arial"/>
          <w:sz w:val="16"/>
          <w:szCs w:val="16"/>
          <w:color w:val="auto"/>
        </w:rPr>
        <w:t>Which shall be subject to the definition of “Interest Period” and end on or before the Termination Date applicable to such Facility for such Lender.</w:t>
      </w:r>
    </w:p>
    <w:p>
      <w:pPr>
        <w:sectPr>
          <w:pgSz w:w="11900" w:h="16838" w:orient="portrait"/>
          <w:cols w:equalWidth="0" w:num="1">
            <w:col w:w="11020"/>
          </w:cols>
          <w:pgMar w:left="240" w:top="382" w:right="639" w:bottom="1440" w:gutter="0" w:footer="0" w:header="0"/>
        </w:sectPr>
      </w:pPr>
    </w:p>
    <w:bookmarkStart w:id="425" w:name="page426"/>
    <w:bookmarkEnd w:id="425"/>
    <w:p>
      <w:pPr>
        <w:ind w:left="10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7"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COMPETITIVE BID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6394450</wp:posOffset>
            </wp:positionH>
            <wp:positionV relativeFrom="paragraph">
              <wp:posOffset>-10160</wp:posOffset>
            </wp:positionV>
            <wp:extent cx="85725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The undersigned, [Name of Lender], refers to the Third Amended and Restated Five Year Revolving Credit Agreement, dated as of April 18, 2018,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Citibank, N.A., as syndication agent, Bank of America, N.A., as co-syndication agent,]</w:t>
      </w:r>
      <w:r>
        <w:rPr>
          <w:rFonts w:ascii="Arial" w:cs="Arial" w:eastAsia="Arial" w:hAnsi="Arial"/>
          <w:sz w:val="13"/>
          <w:szCs w:val="13"/>
          <w:color w:val="auto"/>
        </w:rPr>
        <w:t>1</w:t>
      </w:r>
      <w:r>
        <w:rPr>
          <w:rFonts w:ascii="Arial" w:cs="Arial" w:eastAsia="Arial" w:hAnsi="Arial"/>
          <w:sz w:val="16"/>
          <w:szCs w:val="16"/>
          <w:color w:val="auto"/>
        </w:rPr>
        <w:t xml:space="preserve"> and the other agents party thereto. Capitalized terms used herein and not otherwise defined herein shall have the meanings assigned to such terms in the Credit Agreement. The undersigned hereby makes a Competitive Bid pursuant to Section 2.7(c) of the Credit Agreement, in response to the</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Competitive Bid Request made by [INSERT NAME OF APPLICABLE BORROWER]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on , 20 , and in that connection sets forth below the terms on which such Competitive Bid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5528310</wp:posOffset>
            </wp:positionH>
            <wp:positionV relativeFrom="paragraph">
              <wp:posOffset>-173990</wp:posOffset>
            </wp:positionV>
            <wp:extent cx="85725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91"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[(A)  Currency of Competitive Loan</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r>
    </w:tbl>
    <w:p>
      <w:pPr>
        <w:spacing w:after="0" w:line="107" w:lineRule="exact"/>
        <w:rPr>
          <w:sz w:val="20"/>
          <w:szCs w:val="20"/>
          <w:color w:val="auto"/>
        </w:rPr>
      </w:pPr>
    </w:p>
    <w:p>
      <w:pPr>
        <w:ind w:left="920" w:hanging="439"/>
        <w:spacing w:after="0"/>
        <w:tabs>
          <w:tab w:leader="none" w:pos="9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Date of Competitive Loan</w:t>
      </w:r>
    </w:p>
    <w:p>
      <w:pPr>
        <w:spacing w:after="0" w:line="144" w:lineRule="exact"/>
        <w:rPr>
          <w:rFonts w:ascii="Arial" w:cs="Arial" w:eastAsia="Arial" w:hAnsi="Arial"/>
          <w:sz w:val="18"/>
          <w:szCs w:val="18"/>
          <w:color w:val="auto"/>
        </w:rPr>
      </w:pPr>
    </w:p>
    <w:p>
      <w:pPr>
        <w:ind w:left="920" w:hanging="439"/>
        <w:spacing w:after="0"/>
        <w:tabs>
          <w:tab w:leader="none" w:pos="9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Principal Amount</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-207645</wp:posOffset>
            </wp:positionV>
            <wp:extent cx="216979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898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0" w:hanging="212"/>
        <w:spacing w:after="0"/>
        <w:tabs>
          <w:tab w:leader="none" w:pos="220" w:val="left"/>
        </w:tabs>
        <w:numPr>
          <w:ilvl w:val="0"/>
          <w:numId w:val="410"/>
        </w:numPr>
        <w:rPr>
          <w:rFonts w:ascii="Arial" w:cs="Arial" w:eastAsia="Arial" w:hAnsi="Arial"/>
          <w:sz w:val="15"/>
          <w:szCs w:val="15"/>
          <w:color w:val="auto"/>
        </w:rPr>
      </w:pPr>
      <w:r>
        <w:rPr>
          <w:rFonts w:ascii="Arial" w:cs="Arial" w:eastAsia="Arial" w:hAnsi="Arial"/>
          <w:sz w:val="18"/>
          <w:szCs w:val="18"/>
          <w:color w:val="auto"/>
        </w:rPr>
        <w:t>To be confirmed.</w:t>
      </w:r>
    </w:p>
    <w:p>
      <w:pPr>
        <w:spacing w:after="0" w:line="22" w:lineRule="exact"/>
        <w:rPr>
          <w:sz w:val="20"/>
          <w:szCs w:val="20"/>
          <w:color w:val="auto"/>
        </w:rPr>
      </w:pPr>
    </w:p>
    <w:p>
      <w:pPr>
        <w:ind w:left="220" w:hanging="212"/>
        <w:spacing w:after="0"/>
        <w:tabs>
          <w:tab w:leader="none" w:pos="220" w:val="left"/>
        </w:tabs>
        <w:numPr>
          <w:ilvl w:val="0"/>
          <w:numId w:val="411"/>
        </w:numPr>
        <w:rPr>
          <w:rFonts w:ascii="Arial" w:cs="Arial" w:eastAsia="Arial" w:hAnsi="Arial"/>
          <w:sz w:val="15"/>
          <w:szCs w:val="15"/>
          <w:color w:val="auto"/>
        </w:rPr>
      </w:pPr>
      <w:r>
        <w:rPr>
          <w:rFonts w:ascii="Arial" w:cs="Arial" w:eastAsia="Arial" w:hAnsi="Arial"/>
          <w:sz w:val="18"/>
          <w:szCs w:val="18"/>
          <w:color w:val="auto"/>
        </w:rPr>
        <w:t>In the case of Multicurrency Competitive Loan only.</w:t>
      </w:r>
    </w:p>
    <w:p>
      <w:pPr>
        <w:spacing w:after="0" w:line="9" w:lineRule="exact"/>
        <w:rPr>
          <w:sz w:val="20"/>
          <w:szCs w:val="20"/>
          <w:color w:val="auto"/>
        </w:rPr>
      </w:pPr>
    </w:p>
    <w:p>
      <w:pPr>
        <w:ind w:left="220" w:right="840" w:hanging="212"/>
        <w:spacing w:after="0" w:line="262" w:lineRule="auto"/>
        <w:tabs>
          <w:tab w:leader="none" w:pos="220" w:val="left"/>
        </w:tabs>
        <w:numPr>
          <w:ilvl w:val="0"/>
          <w:numId w:val="412"/>
        </w:numPr>
        <w:rPr>
          <w:rFonts w:ascii="Arial" w:cs="Arial" w:eastAsia="Arial" w:hAnsi="Arial"/>
          <w:sz w:val="15"/>
          <w:szCs w:val="15"/>
          <w:color w:val="auto"/>
        </w:rPr>
      </w:pPr>
      <w:r>
        <w:rPr>
          <w:rFonts w:ascii="Arial" w:cs="Arial" w:eastAsia="Arial" w:hAnsi="Arial"/>
          <w:sz w:val="18"/>
          <w:szCs w:val="18"/>
          <w:color w:val="auto"/>
        </w:rPr>
        <w:t>Not less than $5,000,000 or the Dollar Equivalent thereof (or greater than the requested Competitive Bid). Multiple bids will be accepted by the Administrative Agent (including up to 5 bids from any single Lender).</w:t>
      </w:r>
    </w:p>
    <w:p>
      <w:pPr>
        <w:sectPr>
          <w:pgSz w:w="11900" w:h="16838" w:orient="portrait"/>
          <w:cols w:equalWidth="0" w:num="1">
            <w:col w:w="11420"/>
          </w:cols>
          <w:pgMar w:left="240" w:top="269" w:right="239" w:bottom="1440" w:gutter="0" w:footer="0" w:header="0"/>
        </w:sectPr>
      </w:pPr>
    </w:p>
    <w:bookmarkStart w:id="426" w:name="page427"/>
    <w:bookmarkEnd w:id="426"/>
    <w:p>
      <w:pPr>
        <w:ind w:left="920" w:hanging="439"/>
        <w:spacing w:after="0"/>
        <w:tabs>
          <w:tab w:leader="none" w:pos="9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Competitive Bid Rate</w:t>
      </w:r>
      <w:r>
        <w:rPr>
          <w:rFonts w:ascii="Arial" w:cs="Arial" w:eastAsia="Arial" w:hAnsi="Arial"/>
          <w:sz w:val="15"/>
          <w:szCs w:val="15"/>
          <w:color w:val="auto"/>
        </w:rPr>
        <w:t>4</w:t>
      </w:r>
    </w:p>
    <w:p>
      <w:pPr>
        <w:spacing w:after="0" w:line="144" w:lineRule="exact"/>
        <w:rPr>
          <w:rFonts w:ascii="Arial" w:cs="Arial" w:eastAsia="Arial" w:hAnsi="Arial"/>
          <w:sz w:val="18"/>
          <w:szCs w:val="18"/>
          <w:color w:val="auto"/>
        </w:rPr>
      </w:pPr>
    </w:p>
    <w:p>
      <w:pPr>
        <w:ind w:left="920" w:hanging="439"/>
        <w:spacing w:after="0"/>
        <w:tabs>
          <w:tab w:leader="none" w:pos="9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Interest Period and last day thereof</w:t>
      </w:r>
    </w:p>
    <w:p>
      <w:pPr>
        <w:spacing w:after="0" w:line="144" w:lineRule="exact"/>
        <w:rPr>
          <w:rFonts w:ascii="Arial" w:cs="Arial" w:eastAsia="Arial" w:hAnsi="Arial"/>
          <w:sz w:val="18"/>
          <w:szCs w:val="18"/>
          <w:color w:val="auto"/>
        </w:rPr>
      </w:pPr>
    </w:p>
    <w:p>
      <w:pPr>
        <w:ind w:left="920" w:hanging="439"/>
        <w:spacing w:after="0"/>
        <w:tabs>
          <w:tab w:leader="none" w:pos="9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-430530</wp:posOffset>
            </wp:positionV>
            <wp:extent cx="216979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-207645</wp:posOffset>
            </wp:positionV>
            <wp:extent cx="216979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undersigned hereby confirms that it is prepared, subject to the conditions set forth in the Credit Agreement, to extend credit to the Applicable Borrower upon acceptance by the Applicable Borrower of this bid in accordance with Section 2.7(c) of the Credit Agreement.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898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0" w:lineRule="exact"/>
        <w:rPr>
          <w:sz w:val="20"/>
          <w:szCs w:val="20"/>
          <w:color w:val="auto"/>
        </w:rPr>
      </w:pPr>
    </w:p>
    <w:p>
      <w:pPr>
        <w:ind w:left="220" w:right="640" w:hanging="219"/>
        <w:spacing w:after="0" w:line="277" w:lineRule="auto"/>
        <w:tabs>
          <w:tab w:leader="none" w:pos="200" w:val="left"/>
        </w:tabs>
        <w:rPr>
          <w:sz w:val="20"/>
          <w:szCs w:val="20"/>
          <w:color w:val="auto"/>
        </w:rPr>
      </w:pPr>
      <w:r>
        <w:rPr>
          <w:rFonts w:ascii="Arial" w:cs="Arial" w:eastAsia="Arial" w:hAnsi="Arial"/>
          <w:sz w:val="15"/>
          <w:szCs w:val="15"/>
          <w:color w:val="auto"/>
        </w:rPr>
        <w:t>4</w:t>
      </w:r>
      <w:r>
        <w:rPr>
          <w:sz w:val="20"/>
          <w:szCs w:val="20"/>
          <w:color w:val="auto"/>
        </w:rPr>
        <w:tab/>
      </w:r>
      <w:r>
        <w:rPr>
          <w:rFonts w:ascii="Arial" w:cs="Arial" w:eastAsia="Arial" w:hAnsi="Arial"/>
          <w:sz w:val="18"/>
          <w:szCs w:val="18"/>
          <w:i w:val="1"/>
          <w:iCs w:val="1"/>
          <w:color w:val="auto"/>
        </w:rPr>
        <w:t>i.e.</w:t>
      </w:r>
      <w:r>
        <w:rPr>
          <w:rFonts w:ascii="Arial" w:cs="Arial" w:eastAsia="Arial" w:hAnsi="Arial"/>
          <w:sz w:val="18"/>
          <w:szCs w:val="18"/>
          <w:color w:val="auto"/>
        </w:rPr>
        <w:t>, Eurocurrency Rate + or - %, in the case of Eurocurrency Competitive Loans or %, in the case of Fixed Rate Loans, in each expressed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per annum in the form of a decimal to no more than four decimal places.</w:t>
      </w:r>
    </w:p>
    <w:p>
      <w:pPr>
        <w:sectPr>
          <w:pgSz w:w="11900" w:h="16838" w:orient="portrait"/>
          <w:cols w:equalWidth="0" w:num="1">
            <w:col w:w="11400"/>
          </w:cols>
          <w:pgMar w:left="240" w:top="274" w:right="259" w:bottom="1440" w:gutter="0" w:footer="0" w:header="0"/>
        </w:sectPr>
      </w:pPr>
    </w:p>
    <w:bookmarkStart w:id="427" w:name="page428"/>
    <w:bookmarkEnd w:id="427"/>
    <w:p>
      <w:pPr>
        <w:ind w:left="10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7"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FORM OF COMPETITIVE BID ACCEPT/REJECT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6394450</wp:posOffset>
            </wp:positionH>
            <wp:positionV relativeFrom="paragraph">
              <wp:posOffset>-10160</wp:posOffset>
            </wp:positionV>
            <wp:extent cx="85725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xml:space="preserve">”) [and General Motors Company, a Delaware corporation (the “Company/Applicable Borrower”)] </w:t>
      </w:r>
      <w:r>
        <w:rPr>
          <w:rFonts w:ascii="Arial" w:cs="Arial" w:eastAsia="Arial" w:hAnsi="Arial"/>
          <w:sz w:val="14"/>
          <w:szCs w:val="14"/>
          <w:color w:val="auto"/>
        </w:rPr>
        <w:t>1</w:t>
      </w:r>
      <w:r>
        <w:rPr>
          <w:rFonts w:ascii="Arial" w:cs="Arial" w:eastAsia="Arial" w:hAnsi="Arial"/>
          <w:sz w:val="17"/>
          <w:szCs w:val="17"/>
          <w:color w:val="auto"/>
        </w:rPr>
        <w:t>, refer[s] to the Third Amended and Restated Five Year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[Company/Applicable Borrower]</w:t>
      </w:r>
      <w:r>
        <w:rPr>
          <w:rFonts w:ascii="Arial" w:cs="Arial" w:eastAsia="Arial" w:hAnsi="Arial"/>
          <w:sz w:val="14"/>
          <w:szCs w:val="14"/>
          <w:color w:val="auto"/>
        </w:rPr>
        <w:t>2</w:t>
      </w:r>
      <w:r>
        <w:rPr>
          <w:rFonts w:ascii="Arial" w:cs="Arial" w:eastAsia="Arial" w:hAnsi="Arial"/>
          <w:sz w:val="17"/>
          <w:szCs w:val="17"/>
          <w:color w:val="auto"/>
        </w:rPr>
        <w:t>,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Citibank, N.A., as syndication agent, Bank of America, N.A., as co-syndication agent, and the other agents named therein. Unless otherwise defined herein, terms defined in the Credit Agreement and used herein shall have the meanings given to them therein.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0960" w:type="dxa"/>
            <w:vAlign w:val="bottom"/>
            <w:gridSpan w:val="4"/>
          </w:tcPr>
          <w:p>
            <w:pPr>
              <w:ind w:left="480"/>
              <w:spacing w:after="0"/>
              <w:rPr>
                <w:sz w:val="20"/>
                <w:szCs w:val="20"/>
                <w:color w:val="auto"/>
              </w:rPr>
            </w:pPr>
            <w:r>
              <w:rPr>
                <w:rFonts w:ascii="Arial" w:cs="Arial" w:eastAsia="Arial" w:hAnsi="Arial"/>
                <w:sz w:val="18"/>
                <w:szCs w:val="18"/>
                <w:color w:val="auto"/>
                <w:w w:val="91"/>
              </w:rPr>
              <w:t>In accordance with Section 2.7(d) of the Credit Agreement, we have received a summary of bids in connection with our Competitive Bid Request</w:t>
            </w:r>
          </w:p>
        </w:tc>
      </w:tr>
      <w:tr>
        <w:trPr>
          <w:trHeight w:val="190"/>
        </w:trPr>
        <w:tc>
          <w:tcPr>
            <w:tcW w:w="440" w:type="dxa"/>
            <w:vAlign w:val="bottom"/>
          </w:tcPr>
          <w:p>
            <w:pPr>
              <w:spacing w:after="0" w:line="190" w:lineRule="exact"/>
              <w:rPr>
                <w:sz w:val="20"/>
                <w:szCs w:val="20"/>
                <w:color w:val="auto"/>
              </w:rPr>
            </w:pPr>
            <w:r>
              <w:rPr>
                <w:rFonts w:ascii="Arial" w:cs="Arial" w:eastAsia="Arial" w:hAnsi="Arial"/>
                <w:sz w:val="18"/>
                <w:szCs w:val="18"/>
                <w:color w:val="auto"/>
                <w:w w:val="93"/>
              </w:rPr>
              <w:t>dated</w:t>
            </w:r>
          </w:p>
        </w:tc>
        <w:tc>
          <w:tcPr>
            <w:tcW w:w="720" w:type="dxa"/>
            <w:vAlign w:val="bottom"/>
          </w:tcPr>
          <w:p>
            <w:pPr>
              <w:spacing w:after="0"/>
              <w:rPr>
                <w:sz w:val="16"/>
                <w:szCs w:val="16"/>
                <w:color w:val="auto"/>
              </w:rPr>
            </w:pPr>
          </w:p>
        </w:tc>
        <w:tc>
          <w:tcPr>
            <w:tcW w:w="10240" w:type="dxa"/>
            <w:vAlign w:val="bottom"/>
            <w:gridSpan w:val="3"/>
          </w:tcPr>
          <w:p>
            <w:pPr>
              <w:spacing w:after="0" w:line="190" w:lineRule="exact"/>
              <w:rPr>
                <w:sz w:val="20"/>
                <w:szCs w:val="20"/>
                <w:color w:val="auto"/>
              </w:rPr>
            </w:pPr>
            <w:r>
              <w:rPr>
                <w:rFonts w:ascii="Arial" w:cs="Arial" w:eastAsia="Arial" w:hAnsi="Arial"/>
                <w:sz w:val="18"/>
                <w:szCs w:val="18"/>
                <w:color w:val="auto"/>
              </w:rPr>
              <w:t>, 20   and in accordance with Section 2.7(e) of the Credit Agreement, we hereby accept the following bids:</w:t>
            </w:r>
          </w:p>
        </w:tc>
      </w:tr>
      <w:tr>
        <w:trPr>
          <w:trHeight w:val="20"/>
        </w:trPr>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23"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-19050</wp:posOffset>
            </wp:positionV>
            <wp:extent cx="1143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220" w:hanging="212"/>
        <w:spacing w:after="0"/>
        <w:tabs>
          <w:tab w:leader="none" w:pos="220" w:val="left"/>
        </w:tabs>
        <w:numPr>
          <w:ilvl w:val="0"/>
          <w:numId w:val="414"/>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220" w:hanging="212"/>
        <w:spacing w:after="0"/>
        <w:tabs>
          <w:tab w:leader="none" w:pos="220" w:val="left"/>
        </w:tabs>
        <w:numPr>
          <w:ilvl w:val="0"/>
          <w:numId w:val="415"/>
        </w:numPr>
        <w:rPr>
          <w:rFonts w:ascii="Arial" w:cs="Arial" w:eastAsia="Arial" w:hAnsi="Arial"/>
          <w:sz w:val="15"/>
          <w:szCs w:val="15"/>
          <w:color w:val="auto"/>
        </w:rPr>
      </w:pPr>
      <w:r>
        <w:rPr>
          <w:rFonts w:ascii="Arial" w:cs="Arial" w:eastAsia="Arial" w:hAnsi="Arial"/>
          <w:sz w:val="18"/>
          <w:szCs w:val="18"/>
          <w:color w:val="auto"/>
        </w:rPr>
        <w:t>If Bid Requested by the Company, it is the “Applicable Borrower”.</w:t>
      </w:r>
    </w:p>
    <w:p>
      <w:pPr>
        <w:sectPr>
          <w:pgSz w:w="11900" w:h="16838" w:orient="portrait"/>
          <w:cols w:equalWidth="0" w:num="1">
            <w:col w:w="11420"/>
          </w:cols>
          <w:pgMar w:left="240" w:top="269" w:right="239" w:bottom="1440" w:gutter="0" w:footer="0" w:header="0"/>
        </w:sectPr>
      </w:pPr>
    </w:p>
    <w:bookmarkStart w:id="428" w:name="page429"/>
    <w:bookmarkEnd w:id="42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hereby reject the following bids: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 and Currency</w:t>
      </w:r>
      <w:r>
        <w:rPr>
          <w:rFonts w:ascii="Arial" w:cs="Arial" w:eastAsia="Arial" w:hAnsi="Arial"/>
          <w:sz w:val="18"/>
          <w:szCs w:val="18"/>
          <w:color w:val="auto"/>
        </w:rPr>
        <w:t xml:space="preserve"> [$]</w:t>
      </w:r>
    </w:p>
    <w:p>
      <w:pPr>
        <w:spacing w:after="0" w:line="9"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1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The [$]</w:t>
      </w:r>
      <w:r>
        <w:rPr>
          <w:sz w:val="20"/>
          <w:szCs w:val="20"/>
          <w:color w:val="auto"/>
        </w:rPr>
        <w:tab/>
      </w:r>
      <w:r>
        <w:rPr>
          <w:rFonts w:ascii="Arial" w:cs="Arial" w:eastAsia="Arial" w:hAnsi="Arial"/>
          <w:sz w:val="16"/>
          <w:szCs w:val="16"/>
          <w:color w:val="auto"/>
        </w:rPr>
        <w:t>should be made available to the Applicable Borrower in immediately available funds by crediting the following account: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5715</wp:posOffset>
            </wp:positionV>
            <wp:extent cx="222123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14605</wp:posOffset>
            </wp:positionV>
            <wp:extent cx="222123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14605</wp:posOffset>
            </wp:positionV>
            <wp:extent cx="222123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[INSERT NAME OF APPLICABLE BORROWER]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640"/>
          </w:cols>
          <w:pgMar w:left="240" w:top="274" w:right="1019" w:bottom="1440" w:gutter="0" w:footer="0" w:header="0"/>
        </w:sectPr>
      </w:pPr>
    </w:p>
    <w:bookmarkStart w:id="429" w:name="page430"/>
    <w:bookmarkEnd w:id="429"/>
    <w:p>
      <w:pPr>
        <w:ind w:left="10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7"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FORM OF INCREMENTAL LOAN ACTIVATION NOTICE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Chase Bank, N.A., as Administrative Agent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Credit Agreement referred to below</w:t>
      </w:r>
    </w:p>
    <w:p>
      <w:pPr>
        <w:spacing w:after="0" w:line="21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Reference is made to the Third Amended and Restated Five Year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79"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This notice is an Incremental Loan Activation Notice referred to in the Credit Agreement, and the Company and each of the lenders party hereto (each, an “</w:t>
      </w:r>
      <w:r>
        <w:rPr>
          <w:rFonts w:ascii="Arial" w:cs="Arial" w:eastAsia="Arial" w:hAnsi="Arial"/>
          <w:sz w:val="18"/>
          <w:szCs w:val="18"/>
          <w:u w:val="single" w:color="auto"/>
          <w:color w:val="auto"/>
        </w:rPr>
        <w:t>Incremental Lender</w:t>
      </w:r>
      <w:r>
        <w:rPr>
          <w:rFonts w:ascii="Arial" w:cs="Arial" w:eastAsia="Arial" w:hAnsi="Arial"/>
          <w:sz w:val="18"/>
          <w:szCs w:val="18"/>
          <w:color w:val="auto"/>
        </w:rPr>
        <w:t>”) hereby notify you that:</w:t>
      </w:r>
    </w:p>
    <w:p>
      <w:pPr>
        <w:spacing w:after="0" w:line="170" w:lineRule="exact"/>
        <w:rPr>
          <w:sz w:val="20"/>
          <w:szCs w:val="20"/>
          <w:color w:val="auto"/>
        </w:rPr>
      </w:pPr>
    </w:p>
    <w:p>
      <w:pPr>
        <w:ind w:right="20" w:firstLine="921"/>
        <w:spacing w:after="0" w:line="264" w:lineRule="auto"/>
        <w:tabs>
          <w:tab w:leader="none" w:pos="1093" w:val="left"/>
        </w:tabs>
        <w:numPr>
          <w:ilvl w:val="0"/>
          <w:numId w:val="416"/>
        </w:numPr>
        <w:rPr>
          <w:rFonts w:ascii="Arial" w:cs="Arial" w:eastAsia="Arial" w:hAnsi="Arial"/>
          <w:sz w:val="18"/>
          <w:szCs w:val="18"/>
          <w:color w:val="auto"/>
        </w:rPr>
      </w:pPr>
      <w:r>
        <w:rPr>
          <w:rFonts w:ascii="Arial" w:cs="Arial" w:eastAsia="Arial" w:hAnsi="Arial"/>
          <w:sz w:val="18"/>
          <w:szCs w:val="18"/>
          <w:color w:val="auto"/>
        </w:rPr>
        <w:t>Each Incremental Lender party hereto agrees to commit to an Incremental Facility or increase the amount of its existing [Brazilian] [Domestic] [Multicurrency] Commitment in the amount set forth opposite such Incremental Lender’s name on the signature pages hereof under the caption “Incremental Commitment”.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5220" w:type="dxa"/>
            <w:vAlign w:val="bottom"/>
            <w:gridSpan w:val="5"/>
          </w:tcPr>
          <w:p>
            <w:pPr>
              <w:ind w:left="20"/>
              <w:spacing w:after="0"/>
              <w:rPr>
                <w:sz w:val="20"/>
                <w:szCs w:val="20"/>
                <w:color w:val="auto"/>
              </w:rPr>
            </w:pPr>
            <w:r>
              <w:rPr>
                <w:rFonts w:ascii="Arial" w:cs="Arial" w:eastAsia="Arial" w:hAnsi="Arial"/>
                <w:sz w:val="18"/>
                <w:szCs w:val="18"/>
                <w:color w:val="auto"/>
                <w:w w:val="93"/>
              </w:rPr>
              <w:t>The [Incremental Facility Closing Date][Commitment Increase Date] is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7"/>
                <w:szCs w:val="17"/>
                <w:color w:val="auto"/>
              </w:rPr>
            </w:pPr>
          </w:p>
        </w:tc>
      </w:tr>
      <w:tr>
        <w:trPr>
          <w:trHeight w:val="412"/>
        </w:trPr>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940" w:type="dxa"/>
            <w:vAlign w:val="bottom"/>
            <w:gridSpan w:val="2"/>
          </w:tcPr>
          <w:p>
            <w:pPr>
              <w:ind w:left="20"/>
              <w:spacing w:after="0"/>
              <w:rPr>
                <w:sz w:val="20"/>
                <w:szCs w:val="20"/>
                <w:color w:val="auto"/>
              </w:rPr>
            </w:pPr>
            <w:r>
              <w:rPr>
                <w:rFonts w:ascii="Arial" w:cs="Arial" w:eastAsia="Arial" w:hAnsi="Arial"/>
                <w:sz w:val="18"/>
                <w:szCs w:val="18"/>
                <w:color w:val="auto"/>
                <w:w w:val="93"/>
              </w:rPr>
              <w:t>[The Incremental Loan Maturity Date is</w:t>
            </w:r>
          </w:p>
        </w:tc>
        <w:tc>
          <w:tcPr>
            <w:tcW w:w="1440" w:type="dxa"/>
            <w:vAlign w:val="bottom"/>
            <w:tcBorders>
              <w:bottom w:val="single" w:sz="8" w:color="auto"/>
            </w:tcBorders>
            <w:gridSpan w:val="2"/>
          </w:tcPr>
          <w:p>
            <w:pPr>
              <w:spacing w:after="0"/>
              <w:rPr>
                <w:sz w:val="24"/>
                <w:szCs w:val="24"/>
                <w:color w:val="auto"/>
              </w:rPr>
            </w:pPr>
          </w:p>
        </w:tc>
        <w:tc>
          <w:tcPr>
            <w:tcW w:w="840" w:type="dxa"/>
            <w:vAlign w:val="bottom"/>
          </w:tcPr>
          <w:p>
            <w:pPr>
              <w:jc w:val="right"/>
              <w:ind w:right="690"/>
              <w:spacing w:after="0"/>
              <w:rPr>
                <w:sz w:val="20"/>
                <w:szCs w:val="20"/>
                <w:color w:val="auto"/>
              </w:rPr>
            </w:pPr>
            <w:r>
              <w:rPr>
                <w:rFonts w:ascii="Arial" w:cs="Arial" w:eastAsia="Arial" w:hAnsi="Arial"/>
                <w:sz w:val="18"/>
                <w:szCs w:val="18"/>
                <w:color w:val="auto"/>
                <w:w w:val="78"/>
              </w:rPr>
              <w:t>.</w:t>
            </w: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12"/>
        </w:trPr>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5720" w:type="dxa"/>
            <w:vAlign w:val="bottom"/>
            <w:gridSpan w:val="8"/>
          </w:tcPr>
          <w:p>
            <w:pPr>
              <w:ind w:left="20"/>
              <w:spacing w:after="0"/>
              <w:rPr>
                <w:sz w:val="20"/>
                <w:szCs w:val="20"/>
                <w:color w:val="auto"/>
              </w:rPr>
            </w:pPr>
            <w:r>
              <w:rPr>
                <w:rFonts w:ascii="Arial" w:cs="Arial" w:eastAsia="Arial" w:hAnsi="Arial"/>
                <w:sz w:val="18"/>
                <w:szCs w:val="18"/>
                <w:color w:val="auto"/>
                <w:w w:val="93"/>
              </w:rPr>
              <w:t>[The [Currency] [Currencies] available under the Incremental Facility [is][are]</w:t>
            </w:r>
          </w:p>
        </w:tc>
        <w:tc>
          <w:tcPr>
            <w:tcW w:w="4140" w:type="dxa"/>
            <w:vAlign w:val="bottom"/>
            <w:gridSpan w:val="3"/>
          </w:tcPr>
          <w:p>
            <w:pPr>
              <w:jc w:val="right"/>
              <w:ind w:right="2060"/>
              <w:spacing w:after="0"/>
              <w:rPr>
                <w:sz w:val="20"/>
                <w:szCs w:val="20"/>
                <w:color w:val="auto"/>
              </w:rPr>
            </w:pPr>
            <w:r>
              <w:rPr>
                <w:rFonts w:ascii="Arial" w:cs="Arial" w:eastAsia="Arial" w:hAnsi="Arial"/>
                <w:sz w:val="18"/>
                <w:szCs w:val="18"/>
                <w:color w:val="auto"/>
              </w:rPr>
              <w:t>.</w:t>
            </w:r>
          </w:p>
        </w:tc>
      </w:tr>
      <w:tr>
        <w:trPr>
          <w:trHeight w:val="412"/>
        </w:trPr>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4140" w:type="dxa"/>
            <w:vAlign w:val="bottom"/>
            <w:gridSpan w:val="3"/>
          </w:tcPr>
          <w:p>
            <w:pPr>
              <w:ind w:left="20"/>
              <w:spacing w:after="0"/>
              <w:rPr>
                <w:sz w:val="20"/>
                <w:szCs w:val="20"/>
                <w:color w:val="auto"/>
              </w:rPr>
            </w:pPr>
            <w:r>
              <w:rPr>
                <w:rFonts w:ascii="Arial" w:cs="Arial" w:eastAsia="Arial" w:hAnsi="Arial"/>
                <w:sz w:val="18"/>
                <w:szCs w:val="18"/>
                <w:color w:val="auto"/>
                <w:w w:val="93"/>
              </w:rPr>
              <w:t>[The borrower[s] under the Incremental Facility [is][are]</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gridSpan w:val="2"/>
          </w:tcPr>
          <w:p>
            <w:pPr>
              <w:jc w:val="right"/>
              <w:ind w:right="20"/>
              <w:spacing w:after="0"/>
              <w:rPr>
                <w:sz w:val="20"/>
                <w:szCs w:val="20"/>
                <w:color w:val="auto"/>
              </w:rPr>
            </w:pPr>
            <w:r>
              <w:rPr>
                <w:rFonts w:ascii="Arial" w:cs="Arial" w:eastAsia="Arial" w:hAnsi="Arial"/>
                <w:sz w:val="10"/>
                <w:szCs w:val="10"/>
                <w:color w:val="auto"/>
                <w:w w:val="70"/>
              </w:rPr>
              <w:t>.</w:t>
            </w:r>
          </w:p>
        </w:tc>
        <w:tc>
          <w:tcPr>
            <w:tcW w:w="44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r>
      <w:tr>
        <w:trPr>
          <w:trHeight w:val="438"/>
        </w:trPr>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9860" w:type="dxa"/>
            <w:vAlign w:val="bottom"/>
            <w:gridSpan w:val="11"/>
          </w:tcPr>
          <w:p>
            <w:pPr>
              <w:ind w:left="20"/>
              <w:spacing w:after="0"/>
              <w:rPr>
                <w:sz w:val="20"/>
                <w:szCs w:val="20"/>
                <w:color w:val="auto"/>
              </w:rPr>
            </w:pPr>
            <w:r>
              <w:rPr>
                <w:rFonts w:ascii="Arial" w:cs="Arial" w:eastAsia="Arial" w:hAnsi="Arial"/>
                <w:sz w:val="18"/>
                <w:szCs w:val="18"/>
                <w:color w:val="auto"/>
                <w:w w:val="90"/>
              </w:rPr>
              <w:t>[The Applicable Margin and other fees applicable to the Incremental Loans and other extensions of credit to be made available under the</w:t>
            </w:r>
          </w:p>
        </w:tc>
      </w:tr>
      <w:tr>
        <w:trPr>
          <w:trHeight w:val="190"/>
        </w:trPr>
        <w:tc>
          <w:tcPr>
            <w:tcW w:w="1780" w:type="dxa"/>
            <w:vAlign w:val="bottom"/>
            <w:gridSpan w:val="2"/>
          </w:tcPr>
          <w:p>
            <w:pPr>
              <w:spacing w:after="0" w:line="190" w:lineRule="exact"/>
              <w:rPr>
                <w:sz w:val="20"/>
                <w:szCs w:val="20"/>
                <w:color w:val="auto"/>
              </w:rPr>
            </w:pPr>
            <w:r>
              <w:rPr>
                <w:rFonts w:ascii="Arial" w:cs="Arial" w:eastAsia="Arial" w:hAnsi="Arial"/>
                <w:sz w:val="18"/>
                <w:szCs w:val="18"/>
                <w:color w:val="auto"/>
                <w:w w:val="92"/>
              </w:rPr>
              <w:t>Incremental Facility are:</w:t>
            </w:r>
          </w:p>
        </w:tc>
        <w:tc>
          <w:tcPr>
            <w:tcW w:w="3680" w:type="dxa"/>
            <w:vAlign w:val="bottom"/>
            <w:tcBorders>
              <w:bottom w:val="single" w:sz="8" w:color="auto"/>
            </w:tcBorders>
            <w:gridSpan w:val="3"/>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gridSpan w:val="2"/>
          </w:tcPr>
          <w:p>
            <w:pPr>
              <w:spacing w:after="0"/>
              <w:rPr>
                <w:sz w:val="16"/>
                <w:szCs w:val="16"/>
                <w:color w:val="auto"/>
              </w:rPr>
            </w:pPr>
          </w:p>
        </w:tc>
        <w:tc>
          <w:tcPr>
            <w:tcW w:w="440" w:type="dxa"/>
            <w:vAlign w:val="bottom"/>
          </w:tcPr>
          <w:p>
            <w:pPr>
              <w:jc w:val="right"/>
              <w:ind w:right="230"/>
              <w:spacing w:after="0" w:line="190" w:lineRule="exact"/>
              <w:rPr>
                <w:sz w:val="20"/>
                <w:szCs w:val="20"/>
                <w:color w:val="auto"/>
              </w:rPr>
            </w:pPr>
            <w:r>
              <w:rPr>
                <w:rFonts w:ascii="Arial" w:cs="Arial" w:eastAsia="Arial" w:hAnsi="Arial"/>
                <w:sz w:val="18"/>
                <w:szCs w:val="18"/>
                <w:color w:val="auto"/>
                <w:w w:val="99"/>
              </w:rPr>
              <w:t>.]</w:t>
            </w:r>
          </w:p>
        </w:tc>
        <w:tc>
          <w:tcPr>
            <w:tcW w:w="1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20" w:type="dxa"/>
            <w:vAlign w:val="bottom"/>
          </w:tcPr>
          <w:p>
            <w:pPr>
              <w:spacing w:after="0"/>
              <w:rPr>
                <w:sz w:val="16"/>
                <w:szCs w:val="16"/>
                <w:color w:val="auto"/>
              </w:rPr>
            </w:pPr>
          </w:p>
        </w:tc>
      </w:tr>
    </w:tbl>
    <w:p>
      <w:pPr>
        <w:sectPr>
          <w:pgSz w:w="11900" w:h="16838" w:orient="portrait"/>
          <w:cols w:equalWidth="0" w:num="1">
            <w:col w:w="11420"/>
          </w:cols>
          <w:pgMar w:left="240" w:top="270" w:right="239" w:bottom="1440" w:gutter="0" w:footer="0" w:header="0"/>
        </w:sectPr>
      </w:pPr>
    </w:p>
    <w:bookmarkStart w:id="430" w:name="page431"/>
    <w:bookmarkEnd w:id="430"/>
    <w:p>
      <w:pPr>
        <w:ind w:left="-8" w:firstLine="921"/>
        <w:spacing w:after="0" w:line="277" w:lineRule="auto"/>
        <w:tabs>
          <w:tab w:leader="none" w:pos="1085" w:val="left"/>
        </w:tabs>
        <w:numPr>
          <w:ilvl w:val="0"/>
          <w:numId w:val="4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[Insert other additional terms applicable to the Incremental Facility, including the borrowing procedures related thereto (in each case, as agreed between the Company and the Incremental Lenders providing such Incremental Loans).]</w:t>
      </w:r>
    </w:p>
    <w:p>
      <w:pPr>
        <w:spacing w:after="0" w:line="170" w:lineRule="exact"/>
        <w:rPr>
          <w:rFonts w:ascii="Arial" w:cs="Arial" w:eastAsia="Arial" w:hAnsi="Arial"/>
          <w:sz w:val="18"/>
          <w:szCs w:val="18"/>
          <w:color w:val="auto"/>
        </w:rPr>
      </w:pPr>
    </w:p>
    <w:p>
      <w:pPr>
        <w:ind w:left="-8" w:right="140" w:firstLine="921"/>
        <w:spacing w:after="0" w:line="264" w:lineRule="auto"/>
        <w:tabs>
          <w:tab w:leader="none" w:pos="108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agreement of each Incremental Lender party hereto to make the Incremental Loans to be made by it is subject to the satisfaction, prior to or concurrently with the making of such extension of credit on the [Incremental Facility Closing Date][Commitment Increase Date], of the following conditions precedent:</w:t>
      </w:r>
    </w:p>
    <w:p>
      <w:pPr>
        <w:spacing w:after="0" w:line="73" w:lineRule="exact"/>
        <w:rPr>
          <w:rFonts w:ascii="Arial" w:cs="Arial" w:eastAsia="Arial" w:hAnsi="Arial"/>
          <w:sz w:val="18"/>
          <w:szCs w:val="18"/>
          <w:color w:val="auto"/>
        </w:rPr>
      </w:pPr>
    </w:p>
    <w:p>
      <w:pPr>
        <w:ind w:left="1572" w:hanging="239"/>
        <w:spacing w:after="0"/>
        <w:tabs>
          <w:tab w:leader="none" w:pos="1572" w:val="left"/>
        </w:tabs>
        <w:numPr>
          <w:ilvl w:val="1"/>
          <w:numId w:val="417"/>
        </w:numPr>
        <w:rPr>
          <w:rFonts w:ascii="Arial" w:cs="Arial" w:eastAsia="Arial" w:hAnsi="Arial"/>
          <w:sz w:val="16"/>
          <w:szCs w:val="16"/>
          <w:color w:val="auto"/>
        </w:rPr>
      </w:pPr>
      <w:r>
        <w:rPr>
          <w:rFonts w:ascii="Arial" w:cs="Arial" w:eastAsia="Arial" w:hAnsi="Arial"/>
          <w:sz w:val="16"/>
          <w:szCs w:val="16"/>
          <w:color w:val="auto"/>
        </w:rPr>
        <w:t>The Administrative Agent shall have received this notice, executed and delivered by the Company and each Incremental Lender party</w:t>
      </w:r>
    </w:p>
    <w:p>
      <w:pPr>
        <w:spacing w:after="0" w:line="46" w:lineRule="exact"/>
        <w:rPr>
          <w:rFonts w:ascii="Arial" w:cs="Arial" w:eastAsia="Arial" w:hAnsi="Arial"/>
          <w:sz w:val="16"/>
          <w:szCs w:val="16"/>
          <w:color w:val="auto"/>
        </w:rPr>
      </w:pPr>
    </w:p>
    <w:p>
      <w:pPr>
        <w:ind w:left="912"/>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102" w:lineRule="exact"/>
        <w:rPr>
          <w:rFonts w:ascii="Arial" w:cs="Arial" w:eastAsia="Arial" w:hAnsi="Arial"/>
          <w:sz w:val="16"/>
          <w:szCs w:val="16"/>
          <w:color w:val="auto"/>
        </w:rPr>
      </w:pPr>
    </w:p>
    <w:p>
      <w:pPr>
        <w:ind w:left="912" w:firstLine="421"/>
        <w:spacing w:after="0" w:line="257" w:lineRule="auto"/>
        <w:tabs>
          <w:tab w:leader="none" w:pos="1587" w:val="left"/>
        </w:tabs>
        <w:numPr>
          <w:ilvl w:val="1"/>
          <w:numId w:val="417"/>
        </w:numPr>
        <w:rPr>
          <w:rFonts w:ascii="Arial" w:cs="Arial" w:eastAsia="Arial" w:hAnsi="Arial"/>
          <w:sz w:val="18"/>
          <w:szCs w:val="18"/>
          <w:color w:val="auto"/>
        </w:rPr>
      </w:pPr>
      <w:r>
        <w:rPr>
          <w:rFonts w:ascii="Arial" w:cs="Arial" w:eastAsia="Arial" w:hAnsi="Arial"/>
          <w:sz w:val="18"/>
          <w:szCs w:val="18"/>
          <w:color w:val="auto"/>
        </w:rPr>
        <w:t>After giving effect to the [Commitment Increase][Incremental Facility] (including the incurrence of any Incremental Loans on the applicable Commitment Increase Date or Incremental Facility Closing Date and use of proceeds thereof), [(i) no Default or Event of Default shall be continuing]</w:t>
      </w:r>
      <w:r>
        <w:rPr>
          <w:rFonts w:ascii="Arial" w:cs="Arial" w:eastAsia="Arial" w:hAnsi="Arial"/>
          <w:sz w:val="15"/>
          <w:szCs w:val="15"/>
          <w:color w:val="auto"/>
        </w:rPr>
        <w:t>1</w:t>
      </w:r>
      <w:r>
        <w:rPr>
          <w:rFonts w:ascii="Arial" w:cs="Arial" w:eastAsia="Arial" w:hAnsi="Arial"/>
          <w:sz w:val="18"/>
          <w:szCs w:val="18"/>
          <w:color w:val="auto"/>
        </w:rPr>
        <w:t xml:space="preserve"> and (ii) the sum of the Total Commitments in effect (including, for the avoidance of doubt, Incremental Commitments) and the 5-Year Total Commitments (including, for the avoidance of doubt, any commitments under incremental facilities under the 5-Year Revolving Credit Agreement in effect) shall not exceed $18 billion.</w:t>
      </w:r>
    </w:p>
    <w:p>
      <w:pPr>
        <w:spacing w:after="0" w:line="188" w:lineRule="exact"/>
        <w:rPr>
          <w:rFonts w:ascii="Arial" w:cs="Arial" w:eastAsia="Arial" w:hAnsi="Arial"/>
          <w:sz w:val="18"/>
          <w:szCs w:val="18"/>
          <w:color w:val="auto"/>
        </w:rPr>
      </w:pPr>
    </w:p>
    <w:p>
      <w:pPr>
        <w:ind w:left="-8" w:right="260" w:firstLine="921"/>
        <w:spacing w:after="0" w:line="277" w:lineRule="auto"/>
        <w:tabs>
          <w:tab w:leader="none" w:pos="108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Upon execution and delivery hereof, each Incremental Lender shall have the rights and obligations of a Lender under the Credit Agreement and the other Loan Documents, and shall be bound by the provisions thereof.</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898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12" w:hanging="212"/>
        <w:spacing w:after="0"/>
        <w:tabs>
          <w:tab w:leader="none" w:pos="212" w:val="left"/>
        </w:tabs>
        <w:numPr>
          <w:ilvl w:val="0"/>
          <w:numId w:val="418"/>
        </w:numPr>
        <w:rPr>
          <w:rFonts w:ascii="Arial" w:cs="Arial" w:eastAsia="Arial" w:hAnsi="Arial"/>
          <w:sz w:val="15"/>
          <w:szCs w:val="15"/>
          <w:color w:val="auto"/>
        </w:rPr>
      </w:pPr>
      <w:r>
        <w:rPr>
          <w:rFonts w:ascii="Arial" w:cs="Arial" w:eastAsia="Arial" w:hAnsi="Arial"/>
          <w:sz w:val="18"/>
          <w:szCs w:val="18"/>
          <w:color w:val="auto"/>
        </w:rPr>
        <w:t>To be deleted if agreed by the Lenders providing such Incremental Facility.</w:t>
      </w:r>
    </w:p>
    <w:p>
      <w:pPr>
        <w:sectPr>
          <w:pgSz w:w="11900" w:h="16838" w:orient="portrait"/>
          <w:cols w:equalWidth="0" w:num="1">
            <w:col w:w="11392"/>
          </w:cols>
          <w:pgMar w:left="248" w:top="273" w:right="259" w:bottom="1440" w:gutter="0" w:footer="0" w:header="0"/>
        </w:sectPr>
      </w:pPr>
    </w:p>
    <w:bookmarkStart w:id="431" w:name="page432"/>
    <w:bookmarkEnd w:id="431"/>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GENERAL MOTORS COMPANY</w:t>
            </w:r>
          </w:p>
        </w:tc>
      </w:tr>
      <w:tr>
        <w:trPr>
          <w:trHeight w:val="432"/>
        </w:trPr>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140" w:type="dxa"/>
            <w:vAlign w:val="bottom"/>
            <w:gridSpan w:val="2"/>
          </w:tcPr>
          <w:p>
            <w:pPr>
              <w:ind w:left="580"/>
              <w:spacing w:after="0"/>
              <w:rPr>
                <w:sz w:val="20"/>
                <w:szCs w:val="20"/>
                <w:color w:val="auto"/>
              </w:rPr>
            </w:pPr>
            <w:r>
              <w:rPr>
                <w:rFonts w:ascii="Arial" w:cs="Arial" w:eastAsia="Arial" w:hAnsi="Arial"/>
                <w:sz w:val="18"/>
                <w:szCs w:val="18"/>
                <w:color w:val="auto"/>
              </w:rPr>
              <w:t>By:</w:t>
            </w:r>
          </w:p>
        </w:tc>
      </w:tr>
      <w:tr>
        <w:trPr>
          <w:trHeight w:val="209"/>
        </w:trPr>
        <w:tc>
          <w:tcPr>
            <w:tcW w:w="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w:t>
            </w:r>
          </w:p>
        </w:tc>
      </w:tr>
      <w:tr>
        <w:trPr>
          <w:trHeight w:val="445"/>
        </w:trPr>
        <w:tc>
          <w:tcPr>
            <w:tcW w:w="4580" w:type="dxa"/>
            <w:vAlign w:val="bottom"/>
            <w:gridSpan w:val="2"/>
          </w:tcPr>
          <w:p>
            <w:pPr>
              <w:spacing w:after="0"/>
              <w:rPr>
                <w:sz w:val="20"/>
                <w:szCs w:val="20"/>
                <w:color w:val="auto"/>
              </w:rPr>
            </w:pPr>
            <w:r>
              <w:rPr>
                <w:rFonts w:ascii="Arial" w:cs="Arial" w:eastAsia="Arial" w:hAnsi="Arial"/>
                <w:sz w:val="18"/>
                <w:szCs w:val="18"/>
                <w:color w:val="auto"/>
              </w:rPr>
              <w:t>Incremental Loan Commitment</w:t>
            </w:r>
          </w:p>
        </w:tc>
        <w:tc>
          <w:tcPr>
            <w:tcW w:w="6840" w:type="dxa"/>
            <w:vAlign w:val="bottom"/>
            <w:gridSpan w:val="3"/>
          </w:tcPr>
          <w:p>
            <w:pPr>
              <w:ind w:left="1320"/>
              <w:spacing w:after="0"/>
              <w:rPr>
                <w:sz w:val="20"/>
                <w:szCs w:val="20"/>
                <w:color w:val="auto"/>
              </w:rPr>
            </w:pPr>
            <w:r>
              <w:rPr>
                <w:rFonts w:ascii="Arial" w:cs="Arial" w:eastAsia="Arial" w:hAnsi="Arial"/>
                <w:sz w:val="18"/>
                <w:szCs w:val="18"/>
                <w:color w:val="auto"/>
              </w:rPr>
              <w:t>[NAME OF EACH INCREMENTAL LENDER]</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4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46"/>
        </w:trPr>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840" w:type="dxa"/>
            <w:vAlign w:val="bottom"/>
            <w:gridSpan w:val="3"/>
          </w:tcPr>
          <w:p>
            <w:pPr>
              <w:ind w:left="1320"/>
              <w:spacing w:after="0"/>
              <w:rPr>
                <w:sz w:val="20"/>
                <w:szCs w:val="20"/>
                <w:color w:val="auto"/>
              </w:rPr>
            </w:pPr>
            <w:r>
              <w:rPr>
                <w:rFonts w:ascii="Arial" w:cs="Arial" w:eastAsia="Arial" w:hAnsi="Arial"/>
                <w:sz w:val="18"/>
                <w:szCs w:val="18"/>
                <w:color w:val="auto"/>
              </w:rPr>
              <w:t>By:</w:t>
            </w:r>
          </w:p>
        </w:tc>
      </w:tr>
      <w:tr>
        <w:trPr>
          <w:trHeight w:val="209"/>
        </w:trPr>
        <w:tc>
          <w:tcPr>
            <w:tcW w:w="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r>
      <w:tr>
        <w:trPr>
          <w:trHeight w:val="230"/>
        </w:trPr>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445"/>
        </w:trPr>
        <w:tc>
          <w:tcPr>
            <w:tcW w:w="4580" w:type="dxa"/>
            <w:vAlign w:val="bottom"/>
            <w:gridSpan w:val="2"/>
          </w:tcPr>
          <w:p>
            <w:pPr>
              <w:spacing w:after="0"/>
              <w:rPr>
                <w:sz w:val="20"/>
                <w:szCs w:val="20"/>
                <w:color w:val="auto"/>
              </w:rPr>
            </w:pPr>
            <w:r>
              <w:rPr>
                <w:rFonts w:ascii="Arial" w:cs="Arial" w:eastAsia="Arial" w:hAnsi="Arial"/>
                <w:sz w:val="18"/>
                <w:szCs w:val="18"/>
                <w:color w:val="auto"/>
              </w:rPr>
              <w:t>RECEIVED BY:</w:t>
            </w: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as Administrative Agent</w:t>
            </w: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46"/>
        </w:trPr>
        <w:tc>
          <w:tcPr>
            <w:tcW w:w="4580" w:type="dxa"/>
            <w:vAlign w:val="bottom"/>
            <w:gridSpan w:val="2"/>
          </w:tcPr>
          <w:p>
            <w:pPr>
              <w:spacing w:after="0"/>
              <w:rPr>
                <w:sz w:val="20"/>
                <w:szCs w:val="20"/>
                <w:color w:val="auto"/>
              </w:rPr>
            </w:pPr>
            <w:r>
              <w:rPr>
                <w:rFonts w:ascii="Arial" w:cs="Arial" w:eastAsia="Arial" w:hAnsi="Arial"/>
                <w:sz w:val="18"/>
                <w:szCs w:val="18"/>
                <w:color w:val="auto"/>
              </w:rPr>
              <w:t>By:</w:t>
            </w: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4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Title:</w:t>
            </w: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1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49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32" w:name="page433"/>
    <w:bookmarkEnd w:id="432"/>
    <w:p>
      <w:pPr>
        <w:ind w:left="10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7"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CLOSING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LOAN PARTY]</w:t>
      </w:r>
    </w:p>
    <w:p>
      <w:pPr>
        <w:spacing w:after="0" w:line="21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6508750</wp:posOffset>
            </wp:positionH>
            <wp:positionV relativeFrom="paragraph">
              <wp:posOffset>-10160</wp:posOffset>
            </wp:positionV>
            <wp:extent cx="74295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5"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This Certificate is furnished pursuant to (i) Section 5.1(c) of that certain Third Amended and Restated Three Year Revolving Credit Agreement, dated as of April 18, 2018 (as amended, restated, amended and restated, renewed, supplemented or modified from time to time, the “</w:t>
      </w:r>
      <w:r>
        <w:rPr>
          <w:rFonts w:ascii="Arial" w:cs="Arial" w:eastAsia="Arial" w:hAnsi="Arial"/>
          <w:sz w:val="16"/>
          <w:szCs w:val="16"/>
          <w:u w:val="single" w:color="auto"/>
          <w:color w:val="auto"/>
        </w:rPr>
        <w:t>3-Year Credit Agreement</w:t>
      </w:r>
      <w:r>
        <w:rPr>
          <w:rFonts w:ascii="Arial" w:cs="Arial" w:eastAsia="Arial" w:hAnsi="Arial"/>
          <w:sz w:val="16"/>
          <w:szCs w:val="16"/>
          <w:color w:val="auto"/>
        </w:rPr>
        <w:t>”), 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Global Treasury Centre Limited, a corporation organized under the laws of England and Wales (“</w:t>
      </w:r>
      <w:r>
        <w:rPr>
          <w:rFonts w:ascii="Arial" w:cs="Arial" w:eastAsia="Arial" w:hAnsi="Arial"/>
          <w:sz w:val="16"/>
          <w:szCs w:val="16"/>
          <w:u w:val="single" w:color="auto"/>
          <w:color w:val="auto"/>
        </w:rPr>
        <w:t>GMGTC</w:t>
      </w:r>
      <w:r>
        <w:rPr>
          <w:rFonts w:ascii="Arial" w:cs="Arial" w:eastAsia="Arial" w:hAnsi="Arial"/>
          <w:sz w:val="16"/>
          <w:szCs w:val="16"/>
          <w:color w:val="auto"/>
        </w:rPr>
        <w:t>”), General Motors do Brasil Ltda., a Brazilian limited liability company (“</w:t>
      </w:r>
      <w:r>
        <w:rPr>
          <w:rFonts w:ascii="Arial" w:cs="Arial" w:eastAsia="Arial" w:hAnsi="Arial"/>
          <w:sz w:val="16"/>
          <w:szCs w:val="16"/>
          <w:u w:val="single" w:color="auto"/>
          <w:color w:val="auto"/>
        </w:rPr>
        <w:t>GM Brazil</w:t>
      </w:r>
      <w:r>
        <w:rPr>
          <w:rFonts w:ascii="Arial" w:cs="Arial" w:eastAsia="Arial" w:hAnsi="Arial"/>
          <w:sz w:val="16"/>
          <w:szCs w:val="16"/>
          <w:color w:val="auto"/>
        </w:rPr>
        <w:t>”), the Subsidiary Borrowers from time to time party thereto, the lenders from time to time party thereto, as 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 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Bank of America, N.A., as co-syndication agent (in such capacity, the “</w:t>
      </w:r>
      <w:r>
        <w:rPr>
          <w:rFonts w:ascii="Arial" w:cs="Arial" w:eastAsia="Arial" w:hAnsi="Arial"/>
          <w:sz w:val="16"/>
          <w:szCs w:val="16"/>
          <w:u w:val="single" w:color="auto"/>
          <w:color w:val="auto"/>
        </w:rPr>
        <w:t>Co-Syndication Agent</w:t>
      </w:r>
      <w:r>
        <w:rPr>
          <w:rFonts w:ascii="Arial" w:cs="Arial" w:eastAsia="Arial" w:hAnsi="Arial"/>
          <w:sz w:val="16"/>
          <w:szCs w:val="16"/>
          <w:color w:val="auto"/>
        </w:rPr>
        <w:t>”), and the other agents party thereto, (ii) Section 5.1(c) of that certain Third Amended and Restated Five Year Revolving Credit Agreement, dated as of April 18, 2018, as amended, restated, amended and restated, renewed, supplemented or modified from time to time (the “</w:t>
      </w:r>
      <w:r>
        <w:rPr>
          <w:rFonts w:ascii="Arial" w:cs="Arial" w:eastAsia="Arial" w:hAnsi="Arial"/>
          <w:sz w:val="16"/>
          <w:szCs w:val="16"/>
          <w:u w:val="single" w:color="auto"/>
          <w:color w:val="auto"/>
        </w:rPr>
        <w:t>5-Year</w:t>
      </w:r>
      <w:r>
        <w:rPr>
          <w:rFonts w:ascii="Arial" w:cs="Arial" w:eastAsia="Arial" w:hAnsi="Arial"/>
          <w:sz w:val="16"/>
          <w:szCs w:val="16"/>
          <w:color w:val="auto"/>
        </w:rPr>
        <w:t xml:space="preserv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GMF, GMGTC, GM Brazil, the Subsidiary Borrowers from time to time party thereto, the lenders from time to time party thereto, as lenders (the “</w:t>
      </w:r>
      <w:r>
        <w:rPr>
          <w:rFonts w:ascii="Arial" w:cs="Arial" w:eastAsia="Arial" w:hAnsi="Arial"/>
          <w:sz w:val="16"/>
          <w:szCs w:val="16"/>
          <w:u w:val="single" w:color="auto"/>
          <w:color w:val="auto"/>
        </w:rPr>
        <w:t>5-Year Lenders</w:t>
      </w:r>
      <w:r>
        <w:rPr>
          <w:rFonts w:ascii="Arial" w:cs="Arial" w:eastAsia="Arial" w:hAnsi="Arial"/>
          <w:sz w:val="16"/>
          <w:szCs w:val="16"/>
          <w:color w:val="auto"/>
        </w:rPr>
        <w:t>”), JPM, as administrative agent for the 5-Year Lenders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Banco do Brasil S.A., as Brazilian administrative agent, the Syndication Agent, the Co-Syndication Agent, and the other agents party thereto and (iii) Section 5.1(c) of that certain 364-Day Revolving Credit Agreement, dated as of April 18, 2018, as amended, restated, amended and restated, renewed, supplemented or modified from time to time (the “</w:t>
      </w:r>
      <w:r>
        <w:rPr>
          <w:rFonts w:ascii="Arial" w:cs="Arial" w:eastAsia="Arial" w:hAnsi="Arial"/>
          <w:sz w:val="16"/>
          <w:szCs w:val="16"/>
          <w:u w:val="single" w:color="auto"/>
          <w:color w:val="auto"/>
        </w:rPr>
        <w:t>364-Day Credit Agreement</w:t>
      </w:r>
      <w:r>
        <w:rPr>
          <w:rFonts w:ascii="Arial" w:cs="Arial" w:eastAsia="Arial" w:hAnsi="Arial"/>
          <w:sz w:val="16"/>
          <w:szCs w:val="16"/>
          <w:color w:val="auto"/>
        </w:rPr>
        <w:t>” and together with the 3-Year Credit Agreement and the 5-Year Credit Agreement,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Agreements</w:t>
      </w:r>
      <w:r>
        <w:rPr>
          <w:rFonts w:ascii="Arial" w:cs="Arial" w:eastAsia="Arial" w:hAnsi="Arial"/>
          <w:sz w:val="16"/>
          <w:szCs w:val="16"/>
          <w:color w:val="auto"/>
        </w:rPr>
        <w:t>” and each a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GMF, GMGTC, the Subsidiary Borrowers from time to time party thereto, the lenders from time to time party thereto, as lenders (the “</w:t>
      </w:r>
      <w:r>
        <w:rPr>
          <w:rFonts w:ascii="Arial" w:cs="Arial" w:eastAsia="Arial" w:hAnsi="Arial"/>
          <w:sz w:val="16"/>
          <w:szCs w:val="16"/>
          <w:u w:val="single" w:color="auto"/>
          <w:color w:val="auto"/>
        </w:rPr>
        <w:t>364-Day Lenders</w:t>
      </w:r>
      <w:r>
        <w:rPr>
          <w:rFonts w:ascii="Arial" w:cs="Arial" w:eastAsia="Arial" w:hAnsi="Arial"/>
          <w:sz w:val="16"/>
          <w:szCs w:val="16"/>
          <w:color w:val="auto"/>
        </w:rPr>
        <w:t>” and together with the 3-Year Lenders and the 5-Year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 as the Administrative Agent for the 364-Day Lenders (the “</w:t>
      </w:r>
      <w:r>
        <w:rPr>
          <w:rFonts w:ascii="Arial" w:cs="Arial" w:eastAsia="Arial" w:hAnsi="Arial"/>
          <w:sz w:val="16"/>
          <w:szCs w:val="16"/>
          <w:u w:val="single" w:color="auto"/>
          <w:color w:val="auto"/>
        </w:rPr>
        <w:t>364-Day Administrative Agent</w:t>
      </w:r>
      <w:r>
        <w:rPr>
          <w:rFonts w:ascii="Arial" w:cs="Arial" w:eastAsia="Arial" w:hAnsi="Arial"/>
          <w:sz w:val="16"/>
          <w:szCs w:val="16"/>
          <w:color w:val="auto"/>
        </w:rPr>
        <w:t>” and together with the 3-Year Administrative Agent and the 5-Year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the Syndication Agent, the Co-Syndication Agent, and the other agents party thereto. Unless otherwise defined herein, capitalized terms used in this Certificate have the meanings assigned to such terms in each Credit Agreement.</w:t>
      </w:r>
    </w:p>
    <w:p>
      <w:pPr>
        <w:sectPr>
          <w:pgSz w:w="11900" w:h="16838" w:orient="portrait"/>
          <w:cols w:equalWidth="0" w:num="1">
            <w:col w:w="11420"/>
          </w:cols>
          <w:pgMar w:left="240" w:top="270" w:right="239" w:bottom="1440" w:gutter="0" w:footer="0" w:header="0"/>
        </w:sectPr>
      </w:pPr>
    </w:p>
    <w:bookmarkStart w:id="433" w:name="page434"/>
    <w:bookmarkEnd w:id="433"/>
    <w:p>
      <w:pPr>
        <w:ind w:right="94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the undersigned, [Assistant] Secretary of [the Company] [Name of Loan Party], a Delaware [corporation][limited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do hereby certify, in the name and on behalf of the Company, and without assuming any personal liability, that:</w:t>
      </w:r>
    </w:p>
    <w:p>
      <w:pPr>
        <w:spacing w:after="0" w:line="147" w:lineRule="exact"/>
        <w:rPr>
          <w:sz w:val="20"/>
          <w:szCs w:val="20"/>
          <w:color w:val="auto"/>
        </w:rPr>
      </w:pPr>
    </w:p>
    <w:p>
      <w:pPr>
        <w:ind w:firstLine="464"/>
        <w:spacing w:after="0" w:line="259" w:lineRule="auto"/>
        <w:tabs>
          <w:tab w:leader="none" w:pos="636"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186" w:lineRule="exact"/>
        <w:rPr>
          <w:rFonts w:ascii="Arial" w:cs="Arial" w:eastAsia="Arial" w:hAnsi="Arial"/>
          <w:sz w:val="18"/>
          <w:szCs w:val="18"/>
          <w:color w:val="auto"/>
        </w:rPr>
      </w:pPr>
    </w:p>
    <w:p>
      <w:pPr>
        <w:ind w:right="120" w:firstLine="464"/>
        <w:spacing w:after="0" w:line="277" w:lineRule="auto"/>
        <w:tabs>
          <w:tab w:leader="none" w:pos="636"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Attached hereto as Annex II is a true, correct and complete copy of the [by-laws][Limited Liability Company Agreement][Operating Agreement] of the Company as in effect on the date hereof.</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Attached hereto as Annex III is a true, correct and complete copy of resolutions duly adopted by the Board of [Directors] [Managers] of the</w:t>
      </w:r>
    </w:p>
    <w:p>
      <w:pPr>
        <w:spacing w:after="0" w:line="35" w:lineRule="exact"/>
        <w:rPr>
          <w:sz w:val="20"/>
          <w:szCs w:val="20"/>
          <w:color w:val="auto"/>
        </w:rPr>
      </w:pPr>
    </w:p>
    <w:p>
      <w:pPr>
        <w:spacing w:after="0"/>
        <w:tabs>
          <w:tab w:leader="none" w:pos="4880" w:val="left"/>
          <w:tab w:leader="none" w:pos="6100" w:val="left"/>
        </w:tabs>
        <w:rPr>
          <w:sz w:val="20"/>
          <w:szCs w:val="20"/>
          <w:color w:val="auto"/>
        </w:rPr>
      </w:pPr>
      <w:r>
        <w:rPr>
          <w:rFonts w:ascii="Arial" w:cs="Arial" w:eastAsia="Arial" w:hAnsi="Arial"/>
          <w:sz w:val="18"/>
          <w:szCs w:val="18"/>
          <w:color w:val="auto"/>
        </w:rPr>
        <w:t>Company [at a meeting thereof] [by written consent]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2018; such resolutions have not in any way been revoked,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-19050</wp:posOffset>
            </wp:positionV>
            <wp:extent cx="2286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-19050</wp:posOffset>
            </wp:positionV>
            <wp:extent cx="4572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right="20"/>
        <w:spacing w:after="0" w:line="254" w:lineRule="auto"/>
        <w:rPr>
          <w:sz w:val="20"/>
          <w:szCs w:val="20"/>
          <w:color w:val="auto"/>
        </w:rPr>
      </w:pPr>
      <w:r>
        <w:rPr>
          <w:rFonts w:ascii="Arial" w:cs="Arial" w:eastAsia="Arial" w:hAnsi="Arial"/>
          <w:sz w:val="18"/>
          <w:szCs w:val="18"/>
          <w:color w:val="auto"/>
        </w:rPr>
        <w:t>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190" w:lineRule="exact"/>
        <w:rPr>
          <w:sz w:val="20"/>
          <w:szCs w:val="20"/>
          <w:color w:val="auto"/>
        </w:rPr>
      </w:pPr>
    </w:p>
    <w:p>
      <w:pPr>
        <w:ind w:right="20" w:firstLine="464"/>
        <w:spacing w:after="0" w:line="277" w:lineRule="auto"/>
        <w:tabs>
          <w:tab w:leader="none" w:pos="636"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1420"/>
          </w:cols>
          <w:pgMar w:left="240" w:top="274" w:right="239" w:bottom="1440" w:gutter="0" w:footer="0" w:header="0"/>
        </w:sectPr>
      </w:pPr>
    </w:p>
    <w:bookmarkStart w:id="434" w:name="page435"/>
    <w:bookmarkEnd w:id="43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Witness my hand as of the first date written above.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Secretary</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 Company, and without assuming any personal liability, that:</w:t>
      </w:r>
    </w:p>
    <w:p>
      <w:pPr>
        <w:spacing w:after="0" w:line="170" w:lineRule="exact"/>
        <w:rPr>
          <w:sz w:val="20"/>
          <w:szCs w:val="20"/>
          <w:color w:val="auto"/>
        </w:rPr>
      </w:pPr>
    </w:p>
    <w:p>
      <w:pPr>
        <w:ind w:left="1760" w:hanging="1296"/>
        <w:spacing w:after="0"/>
        <w:tabs>
          <w:tab w:leader="none" w:pos="176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is [a] [the] duly elected and qualified [Assistant] Secretary of the Company and the signature above is [his][her] genuine signature.</w:t>
      </w:r>
    </w:p>
    <w:p>
      <w:pPr>
        <w:spacing w:after="0" w:line="248" w:lineRule="exact"/>
        <w:rPr>
          <w:rFonts w:ascii="Arial" w:cs="Arial" w:eastAsia="Arial" w:hAnsi="Arial"/>
          <w:sz w:val="16"/>
          <w:szCs w:val="16"/>
          <w:color w:val="auto"/>
        </w:rPr>
      </w:pPr>
    </w:p>
    <w:p>
      <w:pPr>
        <w:ind w:firstLine="8"/>
        <w:spacing w:after="0" w:line="259" w:lineRule="auto"/>
        <w:tabs>
          <w:tab w:leader="none" w:pos="1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Arial" w:cs="Arial" w:eastAsia="Arial" w:hAnsi="Arial"/>
          <w:sz w:val="15"/>
          <w:szCs w:val="15"/>
          <w:color w:val="auto"/>
        </w:rPr>
        <w:t>1</w:t>
      </w:r>
    </w:p>
    <w:p>
      <w:pPr>
        <w:spacing w:after="0" w:line="186" w:lineRule="exact"/>
        <w:rPr>
          <w:rFonts w:ascii="Arial" w:cs="Arial" w:eastAsia="Arial" w:hAnsi="Arial"/>
          <w:sz w:val="18"/>
          <w:szCs w:val="18"/>
          <w:color w:val="auto"/>
        </w:rPr>
      </w:pPr>
    </w:p>
    <w:p>
      <w:pPr>
        <w:ind w:left="180" w:hanging="172"/>
        <w:spacing w:after="0"/>
        <w:tabs>
          <w:tab w:leader="none" w:pos="1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as of the date hereof.]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-970915</wp:posOffset>
            </wp:positionV>
            <wp:extent cx="6858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423"/>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pacing w:after="0" w:line="22" w:lineRule="exact"/>
        <w:rPr>
          <w:sz w:val="20"/>
          <w:szCs w:val="20"/>
          <w:color w:val="auto"/>
        </w:rPr>
      </w:pPr>
    </w:p>
    <w:p>
      <w:pPr>
        <w:ind w:left="220" w:hanging="212"/>
        <w:spacing w:after="0"/>
        <w:tabs>
          <w:tab w:leader="none" w:pos="220" w:val="left"/>
        </w:tabs>
        <w:numPr>
          <w:ilvl w:val="0"/>
          <w:numId w:val="424"/>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ectPr>
          <w:pgSz w:w="11900" w:h="16838" w:orient="portrait"/>
          <w:cols w:equalWidth="0" w:num="1">
            <w:col w:w="11400"/>
          </w:cols>
          <w:pgMar w:left="240" w:top="274" w:right="259" w:bottom="1440" w:gutter="0" w:footer="0" w:header="0"/>
        </w:sectPr>
      </w:pPr>
    </w:p>
    <w:bookmarkStart w:id="435" w:name="page436"/>
    <w:bookmarkEnd w:id="435"/>
    <w:p>
      <w:pPr>
        <w:jc w:val="center"/>
        <w:ind w:left="106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w:t>
      </w:r>
    </w:p>
    <w:p>
      <w:pPr>
        <w:spacing w:after="0" w:line="23" w:lineRule="exact"/>
        <w:rPr>
          <w:sz w:val="20"/>
          <w:szCs w:val="20"/>
          <w:color w:val="auto"/>
        </w:rPr>
      </w:pPr>
    </w:p>
    <w:p>
      <w:pPr>
        <w:jc w:val="center"/>
        <w:ind w:left="107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66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[Copy of the Certificate of [Incorporation][Formation]]</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10220"/>
          </w:cols>
          <w:pgMar w:left="1440" w:top="273" w:right="239" w:bottom="1440" w:gutter="0" w:footer="0" w:header="0"/>
        </w:sectPr>
      </w:pPr>
    </w:p>
    <w:bookmarkStart w:id="436" w:name="page437"/>
    <w:bookmarkEnd w:id="436"/>
    <w:p>
      <w:pPr>
        <w:jc w:val="center"/>
        <w:ind w:left="10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w:t>
      </w:r>
    </w:p>
    <w:p>
      <w:pPr>
        <w:spacing w:after="0" w:line="23" w:lineRule="exact"/>
        <w:rPr>
          <w:sz w:val="20"/>
          <w:szCs w:val="20"/>
          <w:color w:val="auto"/>
        </w:rPr>
      </w:pPr>
    </w:p>
    <w:p>
      <w:pPr>
        <w:jc w:val="center"/>
        <w:ind w:left="107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66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[Copy of the [by-laws] [Limited Liability Company Agreement][Operating Agreement]</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10220"/>
          </w:cols>
          <w:pgMar w:left="1440" w:top="273" w:right="239" w:bottom="1440" w:gutter="0" w:footer="0" w:header="0"/>
        </w:sectPr>
      </w:pPr>
    </w:p>
    <w:bookmarkStart w:id="437" w:name="page438"/>
    <w:bookmarkEnd w:id="437"/>
    <w:p>
      <w:pPr>
        <w:jc w:val="center"/>
        <w:ind w:left="10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III</w:t>
      </w:r>
    </w:p>
    <w:p>
      <w:pPr>
        <w:spacing w:after="0" w:line="23" w:lineRule="exact"/>
        <w:rPr>
          <w:sz w:val="20"/>
          <w:szCs w:val="20"/>
          <w:color w:val="auto"/>
        </w:rPr>
      </w:pPr>
    </w:p>
    <w:p>
      <w:pPr>
        <w:jc w:val="center"/>
        <w:ind w:left="107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66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Resolutions of the Board of [Directors] [Managers] of [Name of Loan Party]</w:t>
      </w:r>
    </w:p>
    <w:p>
      <w:pPr>
        <w:sectPr>
          <w:pgSz w:w="11900" w:h="16838" w:orient="portrait"/>
          <w:cols w:equalWidth="0" w:num="1">
            <w:col w:w="10220"/>
          </w:cols>
          <w:pgMar w:left="1440" w:top="274" w:right="239" w:bottom="1440" w:gutter="0" w:footer="0" w:header="0"/>
        </w:sectPr>
      </w:pPr>
    </w:p>
    <w:bookmarkStart w:id="438" w:name="page439"/>
    <w:bookmarkEnd w:id="438"/>
    <w:p>
      <w:pPr>
        <w:ind w:left="9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IV</w:t>
      </w:r>
    </w:p>
    <w:p>
      <w:pPr>
        <w:spacing w:after="0" w:line="23"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Certificate</w:t>
      </w:r>
    </w:p>
    <w:p>
      <w:pPr>
        <w:spacing w:after="0" w:line="238" w:lineRule="exact"/>
        <w:rPr>
          <w:sz w:val="20"/>
          <w:szCs w:val="20"/>
          <w:color w:val="auto"/>
        </w:rPr>
      </w:pPr>
    </w:p>
    <w:p>
      <w:pPr>
        <w:ind w:left="160"/>
        <w:spacing w:after="0"/>
        <w:tabs>
          <w:tab w:leader="none" w:pos="4400" w:val="left"/>
          <w:tab w:leader="none" w:pos="8040" w:val="left"/>
        </w:tabs>
        <w:rPr>
          <w:sz w:val="20"/>
          <w:szCs w:val="20"/>
          <w:color w:val="auto"/>
        </w:rPr>
      </w:pPr>
      <w:r>
        <w:rPr>
          <w:rFonts w:ascii="Arial" w:cs="Arial" w:eastAsia="Arial" w:hAnsi="Arial"/>
          <w:sz w:val="18"/>
          <w:szCs w:val="18"/>
          <w:u w:val="single" w:color="auto"/>
          <w:color w:val="auto"/>
        </w:rPr>
        <w:t>Name of Officer</w:t>
      </w:r>
      <w:r>
        <w:rPr>
          <w:sz w:val="20"/>
          <w:szCs w:val="20"/>
          <w:color w:val="auto"/>
        </w:rPr>
        <w:tab/>
      </w:r>
      <w:r>
        <w:rPr>
          <w:rFonts w:ascii="Arial" w:cs="Arial" w:eastAsia="Arial" w:hAnsi="Arial"/>
          <w:sz w:val="18"/>
          <w:szCs w:val="18"/>
          <w:u w:val="single" w:color="auto"/>
          <w:color w:val="auto"/>
        </w:rPr>
        <w:t>Office</w:t>
      </w:r>
      <w:r>
        <w:rPr>
          <w:sz w:val="20"/>
          <w:szCs w:val="20"/>
          <w:color w:val="auto"/>
        </w:rPr>
        <w:tab/>
      </w:r>
      <w:r>
        <w:rPr>
          <w:rFonts w:ascii="Arial" w:cs="Arial" w:eastAsia="Arial" w:hAnsi="Arial"/>
          <w:sz w:val="15"/>
          <w:szCs w:val="15"/>
          <w:u w:val="single" w:color="auto"/>
          <w:color w:val="auto"/>
        </w:rPr>
        <w:t>Signature</w:t>
      </w:r>
    </w:p>
    <w:p>
      <w:pPr>
        <w:sectPr>
          <w:pgSz w:w="11900" w:h="16838" w:orient="portrait"/>
          <w:cols w:equalWidth="0" w:num="1">
            <w:col w:w="10220"/>
          </w:cols>
          <w:pgMar w:left="1440" w:top="274" w:right="239" w:bottom="1440" w:gutter="0" w:footer="0" w:header="0"/>
        </w:sectPr>
      </w:pPr>
    </w:p>
    <w:bookmarkStart w:id="439" w:name="page440"/>
    <w:bookmarkEnd w:id="439"/>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7"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ASSUMPTION</w:t>
      </w:r>
    </w:p>
    <w:p>
      <w:pPr>
        <w:spacing w:after="0" w:line="229" w:lineRule="exact"/>
        <w:rPr>
          <w:sz w:val="20"/>
          <w:szCs w:val="20"/>
          <w:color w:val="auto"/>
        </w:rPr>
      </w:pPr>
    </w:p>
    <w:p>
      <w:pPr>
        <w:ind w:left="460"/>
        <w:spacing w:after="0"/>
        <w:tabs>
          <w:tab w:leader="none" w:pos="4860" w:val="left"/>
          <w:tab w:leader="none" w:pos="5320" w:val="left"/>
        </w:tabs>
        <w:rPr>
          <w:sz w:val="20"/>
          <w:szCs w:val="20"/>
          <w:color w:val="auto"/>
        </w:rPr>
      </w:pPr>
      <w:r>
        <w:rPr>
          <w:rFonts w:ascii="Arial" w:cs="Arial" w:eastAsia="Arial" w:hAnsi="Arial"/>
          <w:sz w:val="18"/>
          <w:szCs w:val="18"/>
          <w:color w:val="auto"/>
        </w:rPr>
        <w:t>ASSIGNMENT AND ASSUMPTION,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(as amended, supplemented or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2647315</wp:posOffset>
            </wp:positionH>
            <wp:positionV relativeFrom="paragraph">
              <wp:posOffset>-10160</wp:posOffset>
            </wp:positionV>
            <wp:extent cx="74295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between [NAME OF ASSIGNOR], a Lender under the Credit Agreement referred to below (the “</w:t>
      </w:r>
      <w:r>
        <w:rPr>
          <w:rFonts w:ascii="Arial" w:cs="Arial" w:eastAsia="Arial" w:hAnsi="Arial"/>
          <w:sz w:val="16"/>
          <w:szCs w:val="16"/>
          <w:u w:val="single" w:color="auto"/>
          <w:color w:val="auto"/>
        </w:rPr>
        <w:t>Assignor</w:t>
      </w:r>
      <w:r>
        <w:rPr>
          <w:rFonts w:ascii="Arial" w:cs="Arial" w:eastAsia="Arial" w:hAnsi="Arial"/>
          <w:sz w:val="16"/>
          <w:szCs w:val="16"/>
          <w:color w:val="auto"/>
        </w:rPr>
        <w:t>”), and [NAME OF ASSIGNEE] (the “</w:t>
      </w:r>
      <w:r>
        <w:rPr>
          <w:rFonts w:ascii="Arial" w:cs="Arial" w:eastAsia="Arial" w:hAnsi="Arial"/>
          <w:sz w:val="16"/>
          <w:szCs w:val="16"/>
          <w:u w:val="single" w:color="auto"/>
          <w:color w:val="auto"/>
        </w:rPr>
        <w:t>Assignee</w:t>
      </w:r>
      <w:r>
        <w:rPr>
          <w:rFonts w:ascii="Arial" w:cs="Arial" w:eastAsia="Arial" w:hAnsi="Arial"/>
          <w:sz w:val="16"/>
          <w:szCs w:val="16"/>
          <w:color w:val="auto"/>
        </w:rPr>
        <w:t>”).</w:t>
      </w:r>
    </w:p>
    <w:p>
      <w:pPr>
        <w:spacing w:after="0" w:line="23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Reference is made to the Third Amended and Restated Five Year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lenders from time to time party thereto (together with their respective successors and permitted assigns,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Assignor and the Assignee hereby agree as follows:</w:t>
      </w:r>
    </w:p>
    <w:p>
      <w:pPr>
        <w:spacing w:after="0" w:line="225" w:lineRule="exact"/>
        <w:rPr>
          <w:sz w:val="20"/>
          <w:szCs w:val="20"/>
          <w:color w:val="auto"/>
        </w:rPr>
      </w:pPr>
    </w:p>
    <w:p>
      <w:pPr>
        <w:ind w:right="40" w:firstLine="464"/>
        <w:spacing w:after="0" w:line="254" w:lineRule="auto"/>
        <w:tabs>
          <w:tab w:leader="none" w:pos="63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For an agreed consideration, the Assignor hereby irrevocably sells and assigns to the Assignee, without recourse to, or (except as otherwise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warranty by, the Assignor, as of the Trade Date (as defined below), the interest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in and to the Assignor’s rights and obligations under the Credit Agreement with respect to its [Commitment [and all outstanding Letters of Credit issued by an Issuing Lender other than the Assignor]</w:t>
      </w:r>
      <w:r>
        <w:rPr>
          <w:rFonts w:ascii="Arial" w:cs="Arial" w:eastAsia="Arial" w:hAnsi="Arial"/>
          <w:sz w:val="15"/>
          <w:szCs w:val="15"/>
          <w:color w:val="auto"/>
        </w:rPr>
        <w:t>1</w:t>
      </w:r>
      <w:r>
        <w:rPr>
          <w:rFonts w:ascii="Arial" w:cs="Arial" w:eastAsia="Arial" w:hAnsi="Arial"/>
          <w:sz w:val="18"/>
          <w:szCs w:val="18"/>
          <w:color w:val="auto"/>
        </w:rPr>
        <w:t xml:space="preserve">] [and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of all of such outstanding rights and obligations of the Assignor under the respective facilities identified below (including any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898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7" w:lineRule="exact"/>
        <w:rPr>
          <w:sz w:val="20"/>
          <w:szCs w:val="20"/>
          <w:color w:val="auto"/>
        </w:rPr>
      </w:pPr>
    </w:p>
    <w:p>
      <w:pPr>
        <w:ind w:left="220" w:hanging="212"/>
        <w:spacing w:after="0"/>
        <w:tabs>
          <w:tab w:leader="none" w:pos="220" w:val="left"/>
        </w:tabs>
        <w:numPr>
          <w:ilvl w:val="0"/>
          <w:numId w:val="426"/>
        </w:numPr>
        <w:rPr>
          <w:rFonts w:ascii="Arial" w:cs="Arial" w:eastAsia="Arial" w:hAnsi="Arial"/>
          <w:sz w:val="15"/>
          <w:szCs w:val="15"/>
          <w:color w:val="auto"/>
        </w:rPr>
      </w:pPr>
      <w:r>
        <w:rPr>
          <w:rFonts w:ascii="Arial" w:cs="Arial" w:eastAsia="Arial" w:hAnsi="Arial"/>
          <w:sz w:val="18"/>
          <w:szCs w:val="18"/>
          <w:color w:val="auto"/>
        </w:rPr>
        <w:t>Insert bracketed text if the Assignor is an L/C Participant and Letters of Credit issued by another Issuing Lender are outstanding.</w:t>
      </w:r>
    </w:p>
    <w:p>
      <w:pPr>
        <w:sectPr>
          <w:pgSz w:w="11900" w:h="16838" w:orient="portrait"/>
          <w:cols w:equalWidth="0" w:num="1">
            <w:col w:w="11420"/>
          </w:cols>
          <w:pgMar w:left="240" w:top="270" w:right="239" w:bottom="1440" w:gutter="0" w:footer="0" w:header="0"/>
        </w:sectPr>
      </w:pPr>
    </w:p>
    <w:bookmarkStart w:id="440" w:name="page441"/>
    <w:bookmarkEnd w:id="44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it is expressly understood and agreed that (i) the Assignor is not assigning to the Assignee and the Assignor shall retain (A) all of the Assignor’s rights under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 (ii) the Assignee shall be entitled to the benefits of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from and after the Trade Date.</w:t>
      </w:r>
    </w:p>
    <w:p>
      <w:pPr>
        <w:spacing w:after="0" w:line="167" w:lineRule="exact"/>
        <w:rPr>
          <w:sz w:val="20"/>
          <w:szCs w:val="20"/>
          <w:color w:val="auto"/>
        </w:rPr>
      </w:pPr>
    </w:p>
    <w:p>
      <w:pPr>
        <w:ind w:right="80" w:firstLine="464"/>
        <w:spacing w:after="0" w:line="286" w:lineRule="auto"/>
        <w:tabs>
          <w:tab w:leader="none" w:pos="636" w:val="left"/>
        </w:tabs>
        <w:numPr>
          <w:ilvl w:val="1"/>
          <w:numId w:val="427"/>
        </w:numPr>
        <w:rPr>
          <w:rFonts w:ascii="Arial" w:cs="Arial" w:eastAsia="Arial" w:hAnsi="Arial"/>
          <w:sz w:val="16"/>
          <w:szCs w:val="16"/>
          <w:color w:val="auto"/>
        </w:rPr>
      </w:pPr>
      <w:r>
        <w:rPr>
          <w:rFonts w:ascii="Arial" w:cs="Arial" w:eastAsia="Arial" w:hAnsi="Arial"/>
          <w:sz w:val="16"/>
          <w:szCs w:val="16"/>
          <w:color w:val="auto"/>
        </w:rPr>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Assignor represents and warrants to the Assignee, to the Company and to the Administrative Agent (i) that the Assignor is the legal and beneficial owner of the Assigned Interest being assigned by it hereunder,</w:t>
      </w:r>
    </w:p>
    <w:p>
      <w:pPr>
        <w:spacing w:after="0" w:line="1" w:lineRule="exact"/>
        <w:rPr>
          <w:rFonts w:ascii="Arial" w:cs="Arial" w:eastAsia="Arial" w:hAnsi="Arial"/>
          <w:sz w:val="16"/>
          <w:szCs w:val="16"/>
          <w:color w:val="auto"/>
        </w:rPr>
      </w:pPr>
    </w:p>
    <w:p>
      <w:pPr>
        <w:ind w:right="80" w:firstLine="8"/>
        <w:spacing w:after="0" w:line="281" w:lineRule="auto"/>
        <w:tabs>
          <w:tab w:leader="none" w:pos="265"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w:t>
      </w:r>
    </w:p>
    <w:p>
      <w:pPr>
        <w:spacing w:after="0" w:line="3" w:lineRule="exact"/>
        <w:rPr>
          <w:rFonts w:ascii="Arial" w:cs="Arial" w:eastAsia="Arial" w:hAnsi="Arial"/>
          <w:sz w:val="16"/>
          <w:szCs w:val="16"/>
          <w:color w:val="auto"/>
        </w:rPr>
      </w:pPr>
    </w:p>
    <w:p>
      <w:pPr>
        <w:ind w:right="20" w:firstLine="8"/>
        <w:spacing w:after="0" w:line="253" w:lineRule="auto"/>
        <w:tabs>
          <w:tab w:leader="none" w:pos="24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91" w:lineRule="exact"/>
        <w:rPr>
          <w:rFonts w:ascii="Arial" w:cs="Arial" w:eastAsia="Arial" w:hAnsi="Arial"/>
          <w:sz w:val="18"/>
          <w:szCs w:val="18"/>
          <w:color w:val="auto"/>
        </w:rPr>
      </w:pPr>
    </w:p>
    <w:p>
      <w:pPr>
        <w:ind w:right="40" w:firstLine="464"/>
        <w:spacing w:after="0" w:line="297" w:lineRule="auto"/>
        <w:tabs>
          <w:tab w:leader="none" w:pos="636" w:val="left"/>
        </w:tabs>
        <w:numPr>
          <w:ilvl w:val="1"/>
          <w:numId w:val="429"/>
        </w:numPr>
        <w:rPr>
          <w:rFonts w:ascii="Arial" w:cs="Arial" w:eastAsia="Arial" w:hAnsi="Arial"/>
          <w:sz w:val="16"/>
          <w:szCs w:val="16"/>
          <w:color w:val="auto"/>
        </w:rPr>
      </w:pPr>
      <w:r>
        <w:rPr>
          <w:rFonts w:ascii="Arial" w:cs="Arial" w:eastAsia="Arial" w:hAnsi="Arial"/>
          <w:sz w:val="16"/>
          <w:szCs w:val="16"/>
          <w:color w:val="auto"/>
        </w:rPr>
        <w:t xml:space="preserve">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 (b) confirms that it has received a copy of the Credit Agreement, together with copies of the most recent financial statements delivered or deemed delivered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thereof (or, if none of such financial statements shall have then been delivered or deemed delivered, then copies of the</w:t>
      </w:r>
    </w:p>
    <w:p>
      <w:pPr>
        <w:sectPr>
          <w:pgSz w:w="11900" w:h="16838" w:orient="portrait"/>
          <w:cols w:equalWidth="0" w:num="1">
            <w:col w:w="11420"/>
          </w:cols>
          <w:pgMar w:left="240" w:top="273" w:right="239" w:bottom="1440" w:gutter="0" w:footer="0" w:header="0"/>
        </w:sectPr>
      </w:pPr>
    </w:p>
    <w:bookmarkStart w:id="441" w:name="page442"/>
    <w:bookmarkEnd w:id="44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financial statements referred to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thereof)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 its behalf and to exercise such powers and discretion under the Loan Documents or any other instrument or document furnished pursuant hereto or thereto as are delegated to the Administrative Agent by the terms thereof, together with such powers as are incidental thereto; and (e) agrees that it will be bound by the provisions of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2.19(d) of the Credit Agreement, duly completed and executed by the Assignee.</w:t>
      </w:r>
    </w:p>
    <w:p>
      <w:pPr>
        <w:spacing w:after="0" w:line="173" w:lineRule="exact"/>
        <w:rPr>
          <w:sz w:val="20"/>
          <w:szCs w:val="20"/>
          <w:color w:val="auto"/>
        </w:rPr>
      </w:pPr>
    </w:p>
    <w:p>
      <w:pPr>
        <w:ind w:left="640" w:hanging="176"/>
        <w:spacing w:after="0"/>
        <w:tabs>
          <w:tab w:leader="none" w:pos="64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 xml:space="preserve">The effective date of this Agreement shall be the Trade Date of assignment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Trade Date</w:t>
      </w:r>
      <w:r>
        <w:rPr>
          <w:rFonts w:ascii="Arial" w:cs="Arial" w:eastAsia="Arial" w:hAnsi="Arial"/>
          <w:sz w:val="17"/>
          <w:szCs w:val="17"/>
          <w:color w:val="auto"/>
        </w:rPr>
        <w:t>”). Following the</w:t>
      </w:r>
    </w:p>
    <w:p>
      <w:pPr>
        <w:spacing w:after="0" w:line="34" w:lineRule="exact"/>
        <w:rPr>
          <w:rFonts w:ascii="Arial" w:cs="Arial" w:eastAsia="Arial" w:hAnsi="Arial"/>
          <w:sz w:val="17"/>
          <w:szCs w:val="17"/>
          <w:color w:val="auto"/>
        </w:rPr>
      </w:pPr>
    </w:p>
    <w:p>
      <w:pPr>
        <w:spacing w:after="0" w:line="281" w:lineRule="auto"/>
        <w:rPr>
          <w:rFonts w:ascii="Arial" w:cs="Arial" w:eastAsia="Arial" w:hAnsi="Arial"/>
          <w:sz w:val="17"/>
          <w:szCs w:val="17"/>
          <w:color w:val="auto"/>
        </w:rPr>
      </w:pPr>
      <w:r>
        <w:rPr>
          <w:rFonts w:ascii="Arial" w:cs="Arial" w:eastAsia="Arial" w:hAnsi="Arial"/>
          <w:sz w:val="16"/>
          <w:szCs w:val="16"/>
          <w:color w:val="auto"/>
        </w:rPr>
        <w:t>execution of this Agreement by the Assignor, the Assignee, the Company, each relevant Issuing Lender and the Brazilian Administrative Agent (in the case of the Company, each such Issuing Lender and the Brazilian Administrative Agent, to the extent that the consent of any such Person is required or permitted by the Credit Agreement), it will be delivered to the Administrative Agent for acceptance by it and recording by the Administrative Agent pursuant to</w:t>
      </w:r>
    </w:p>
    <w:p>
      <w:pPr>
        <w:spacing w:after="0" w:line="2" w:lineRule="exact"/>
        <w:rPr>
          <w:rFonts w:ascii="Arial" w:cs="Arial" w:eastAsia="Arial" w:hAnsi="Arial"/>
          <w:sz w:val="17"/>
          <w:szCs w:val="17"/>
          <w:color w:val="auto"/>
        </w:rPr>
      </w:pPr>
    </w:p>
    <w:p>
      <w:pPr>
        <w:ind w:right="60"/>
        <w:spacing w:after="0" w:line="290" w:lineRule="auto"/>
        <w:rPr>
          <w:rFonts w:ascii="Arial" w:cs="Arial" w:eastAsia="Arial" w:hAnsi="Arial"/>
          <w:sz w:val="17"/>
          <w:szCs w:val="17"/>
          <w:color w:val="auto"/>
        </w:rPr>
      </w:pP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61" w:lineRule="exact"/>
        <w:rPr>
          <w:rFonts w:ascii="Arial" w:cs="Arial" w:eastAsia="Arial" w:hAnsi="Arial"/>
          <w:sz w:val="17"/>
          <w:szCs w:val="17"/>
          <w:color w:val="auto"/>
        </w:rPr>
      </w:pPr>
    </w:p>
    <w:p>
      <w:pPr>
        <w:ind w:right="160" w:firstLine="464"/>
        <w:spacing w:after="0" w:line="264" w:lineRule="auto"/>
        <w:tabs>
          <w:tab w:leader="none" w:pos="63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181" w:lineRule="exact"/>
        <w:rPr>
          <w:rFonts w:ascii="Arial" w:cs="Arial" w:eastAsia="Arial" w:hAnsi="Arial"/>
          <w:sz w:val="18"/>
          <w:szCs w:val="18"/>
          <w:color w:val="auto"/>
        </w:rPr>
      </w:pPr>
    </w:p>
    <w:p>
      <w:pPr>
        <w:ind w:right="40" w:firstLine="464"/>
        <w:spacing w:after="0" w:line="279" w:lineRule="auto"/>
        <w:tabs>
          <w:tab w:leader="none" w:pos="636" w:val="left"/>
        </w:tabs>
        <w:numPr>
          <w:ilvl w:val="0"/>
          <w:numId w:val="430"/>
        </w:numPr>
        <w:rPr>
          <w:rFonts w:ascii="Arial" w:cs="Arial" w:eastAsia="Arial" w:hAnsi="Arial"/>
          <w:sz w:val="17"/>
          <w:szCs w:val="17"/>
          <w:color w:val="auto"/>
        </w:rPr>
      </w:pPr>
      <w:r>
        <w:rPr>
          <w:rFonts w:ascii="Arial" w:cs="Arial" w:eastAsia="Arial" w:hAnsi="Arial"/>
          <w:sz w:val="17"/>
          <w:szCs w:val="17"/>
          <w:color w:val="auto"/>
        </w:rPr>
        <w:t>From and after the Trade Date, (a) the Assignee shall be a party to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171" w:lineRule="exact"/>
        <w:rPr>
          <w:rFonts w:ascii="Arial" w:cs="Arial" w:eastAsia="Arial" w:hAnsi="Arial"/>
          <w:sz w:val="17"/>
          <w:szCs w:val="17"/>
          <w:color w:val="auto"/>
        </w:rPr>
      </w:pPr>
    </w:p>
    <w:p>
      <w:pPr>
        <w:ind w:right="80" w:firstLine="464"/>
        <w:spacing w:after="0" w:line="277" w:lineRule="auto"/>
        <w:tabs>
          <w:tab w:leader="none" w:pos="63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ectPr>
          <w:pgSz w:w="11900" w:h="16838" w:orient="portrait"/>
          <w:cols w:equalWidth="0" w:num="1">
            <w:col w:w="11400"/>
          </w:cols>
          <w:pgMar w:left="240" w:top="273" w:right="259" w:bottom="1440" w:gutter="0" w:footer="0" w:header="0"/>
        </w:sectPr>
      </w:pPr>
    </w:p>
    <w:bookmarkStart w:id="442" w:name="page443"/>
    <w:bookmarkEnd w:id="442"/>
    <w:p>
      <w:pPr>
        <w:ind w:left="-464" w:firstLine="464"/>
        <w:spacing w:after="0" w:line="264" w:lineRule="auto"/>
        <w:tabs>
          <w:tab w:leader="none" w:pos="172" w:val="left"/>
        </w:tabs>
        <w:numPr>
          <w:ilvl w:val="0"/>
          <w:numId w:val="4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ectPr>
          <w:pgSz w:w="11900" w:h="16838" w:orient="portrait"/>
          <w:cols w:equalWidth="0" w:num="1">
            <w:col w:w="10916"/>
          </w:cols>
          <w:pgMar w:left="704" w:top="274" w:right="279" w:bottom="1440" w:gutter="0" w:footer="0" w:header="0"/>
        </w:sectPr>
      </w:pPr>
    </w:p>
    <w:bookmarkStart w:id="443" w:name="page444"/>
    <w:bookmarkEnd w:id="44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hereto have caused this Agreement to be executed as of the date first above written by their respective duly authorized officers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97"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 as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40017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4518025</wp:posOffset>
            </wp:positionH>
            <wp:positionV relativeFrom="paragraph">
              <wp:posOffset>-10160</wp:posOffset>
            </wp:positionV>
            <wp:extent cx="185737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9060"/>
        <w:spacing w:after="0"/>
        <w:rPr>
          <w:sz w:val="20"/>
          <w:szCs w:val="20"/>
          <w:color w:val="auto"/>
        </w:rPr>
      </w:pPr>
      <w:r>
        <w:rPr>
          <w:rFonts w:ascii="Arial" w:cs="Arial" w:eastAsia="Arial" w:hAnsi="Arial"/>
          <w:sz w:val="18"/>
          <w:szCs w:val="18"/>
          <w:color w:val="auto"/>
        </w:rPr>
        <w:t>, as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40017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4518025</wp:posOffset>
            </wp:positionH>
            <wp:positionV relativeFrom="paragraph">
              <wp:posOffset>-10160</wp:posOffset>
            </wp:positionV>
            <wp:extent cx="185737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60"/>
          </w:cols>
          <w:pgMar w:left="240" w:top="274" w:right="699" w:bottom="1440" w:gutter="0" w:footer="0" w:header="0"/>
        </w:sectPr>
      </w:pPr>
    </w:p>
    <w:bookmarkStart w:id="444" w:name="page445"/>
    <w:bookmarkEnd w:id="44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Consented to</w:t>
      </w:r>
      <w:r>
        <w:rPr>
          <w:rFonts w:ascii="Arial" w:cs="Arial" w:eastAsia="Arial" w:hAnsi="Arial"/>
          <w:sz w:val="18"/>
          <w:szCs w:val="18"/>
          <w:color w:val="auto"/>
        </w:rPr>
        <w:t>:</w:t>
      </w:r>
      <w:r>
        <w:rPr>
          <w:rFonts w:ascii="Arial" w:cs="Arial" w:eastAsia="Arial" w:hAnsi="Arial"/>
          <w:sz w:val="15"/>
          <w:szCs w:val="15"/>
          <w:color w:val="auto"/>
        </w:rPr>
        <w:t>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185737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[BANCO DO BRASIL S.A., as Brazilian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185737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185737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[Each Material Issuing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185737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7" w:lineRule="exact"/>
        <w:rPr>
          <w:sz w:val="20"/>
          <w:szCs w:val="20"/>
          <w:color w:val="auto"/>
        </w:rPr>
      </w:pPr>
    </w:p>
    <w:p>
      <w:pPr>
        <w:ind w:left="220" w:hanging="212"/>
        <w:spacing w:after="0" w:line="257" w:lineRule="auto"/>
        <w:tabs>
          <w:tab w:leader="none" w:pos="220" w:val="left"/>
        </w:tabs>
        <w:numPr>
          <w:ilvl w:val="0"/>
          <w:numId w:val="432"/>
        </w:numPr>
        <w:rPr>
          <w:rFonts w:ascii="Arial" w:cs="Arial" w:eastAsia="Arial" w:hAnsi="Arial"/>
          <w:sz w:val="15"/>
          <w:szCs w:val="15"/>
          <w:color w:val="auto"/>
        </w:rPr>
      </w:pPr>
      <w:r>
        <w:rPr>
          <w:rFonts w:ascii="Arial" w:cs="Arial" w:eastAsia="Arial" w:hAnsi="Arial"/>
          <w:sz w:val="18"/>
          <w:szCs w:val="18"/>
          <w:color w:val="auto"/>
        </w:rPr>
        <w:t xml:space="preserve">Prior written consent of the Company, the Administrative Agent, and the Brazilian Administrative Agent (in the case of any assignment of Brazilian commitments only) is required unless, (x) in the case of the Administrative Agent, the Assignee is a Lender or affiliate thereof, and (y) in the case of the Company only, (i) an Event of Default under </w:t>
      </w:r>
      <w:r>
        <w:rPr>
          <w:rFonts w:ascii="Arial" w:cs="Arial" w:eastAsia="Arial" w:hAnsi="Arial"/>
          <w:sz w:val="18"/>
          <w:szCs w:val="18"/>
          <w:u w:val="single" w:color="auto"/>
          <w:color w:val="auto"/>
        </w:rPr>
        <w:t>Section 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1320"/>
          </w:cols>
          <w:pgMar w:left="240" w:top="274" w:right="339" w:bottom="1440" w:gutter="0" w:footer="0" w:header="0"/>
        </w:sectPr>
      </w:pPr>
    </w:p>
    <w:bookmarkStart w:id="445" w:name="page446"/>
    <w:bookmarkEnd w:id="445"/>
    <w:p>
      <w:pPr>
        <w:jc w:val="center"/>
        <w:ind w:left="9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3" w:lineRule="exact"/>
        <w:rPr>
          <w:sz w:val="20"/>
          <w:szCs w:val="20"/>
          <w:color w:val="auto"/>
        </w:rPr>
      </w:pPr>
    </w:p>
    <w:p>
      <w:pPr>
        <w:jc w:val="center"/>
        <w:ind w:left="948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Assignment and Assumption</w:t>
      </w:r>
    </w:p>
    <w:p>
      <w:pPr>
        <w:spacing w:after="0" w:line="234" w:lineRule="exact"/>
        <w:rPr>
          <w:sz w:val="20"/>
          <w:szCs w:val="20"/>
          <w:color w:val="auto"/>
        </w:rPr>
      </w:pPr>
    </w:p>
    <w:p>
      <w:pPr>
        <w:ind w:left="460"/>
        <w:spacing w:after="0"/>
        <w:tabs>
          <w:tab w:leader="none" w:pos="8060" w:val="left"/>
          <w:tab w:leader="none" w:pos="8520" w:val="left"/>
        </w:tabs>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is attached to and incorporated in the Assignment and Assumption,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(as amended, supplemented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-10160</wp:posOffset>
            </wp:positionV>
            <wp:extent cx="74295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modified from time to time,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8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Reference is made to the Third Amended and Restated Five Year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General Motors do Brasil Ltda., a Brazilian limited liability company, the Subsidiary Guarantors from time to time party thereto, the lenders from time to time party thereto (together with their respective successors and permitted assigns,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Banco do Brasil S.A., as Brazilian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1353820</wp:posOffset>
            </wp:positionH>
            <wp:positionV relativeFrom="paragraph">
              <wp:posOffset>-10160</wp:posOffset>
            </wp:positionV>
            <wp:extent cx="128587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-10160</wp:posOffset>
            </wp:positionV>
            <wp:extent cx="128587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111" w:lineRule="exact"/>
        <w:rPr>
          <w:sz w:val="20"/>
          <w:szCs w:val="20"/>
          <w:color w:val="auto"/>
        </w:rPr>
      </w:pPr>
    </w:p>
    <w:p>
      <w:pPr>
        <w:ind w:left="1480" w:hanging="567"/>
        <w:spacing w:after="0"/>
        <w:tabs>
          <w:tab w:leader="none" w:pos="148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Assignee is an affiliate of: [Name of Lender]]</w:t>
      </w:r>
    </w:p>
    <w:p>
      <w:pPr>
        <w:spacing w:after="0" w:line="130" w:lineRule="exact"/>
        <w:rPr>
          <w:rFonts w:ascii="Arial" w:cs="Arial" w:eastAsia="Arial" w:hAnsi="Arial"/>
          <w:sz w:val="18"/>
          <w:szCs w:val="18"/>
          <w:color w:val="auto"/>
        </w:rPr>
      </w:pPr>
    </w:p>
    <w:p>
      <w:pPr>
        <w:ind w:left="1480" w:right="320" w:hanging="567"/>
        <w:spacing w:after="0" w:line="277" w:lineRule="auto"/>
        <w:tabs>
          <w:tab w:leader="none" w:pos="148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Assignee is an Approved Fund administered or managed by: [Name of Lender][an affiliate of [Name of Lender]][an entity or an affiliate of an entity that administers or manages [Name of Lender]]</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Assignee is [not an Ineligible Assignee] [an Ineligible Assignee, but the Company has consented to the assignment by the Assignor to the Assignee.]</w:t>
      </w:r>
    </w:p>
    <w:p>
      <w:pPr>
        <w:spacing w:after="0" w:line="177"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Aggregate Amount</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2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Commitment/Loans</w:t>
            </w:r>
          </w:p>
        </w:tc>
        <w:tc>
          <w:tcPr>
            <w:tcW w:w="2600" w:type="dxa"/>
            <w:vAlign w:val="bottom"/>
            <w:gridSpan w:val="2"/>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Facility Assigned</w:t>
            </w:r>
          </w:p>
        </w:tc>
        <w:tc>
          <w:tcPr>
            <w:tcW w:w="120" w:type="dxa"/>
            <w:vAlign w:val="bottom"/>
            <w:vMerge w:val="restart"/>
          </w:tcPr>
          <w:p>
            <w:pPr>
              <w:spacing w:after="0"/>
              <w:rPr>
                <w:sz w:val="12"/>
                <w:szCs w:val="12"/>
                <w:color w:val="auto"/>
              </w:rPr>
            </w:pPr>
          </w:p>
        </w:tc>
        <w:tc>
          <w:tcPr>
            <w:tcW w:w="2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for all Lenders</w:t>
            </w:r>
          </w:p>
        </w:tc>
        <w:tc>
          <w:tcPr>
            <w:tcW w:w="2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Commitment/Loans</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Assigned of</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under such Facility</w:t>
            </w:r>
          </w:p>
        </w:tc>
        <w:tc>
          <w:tcPr>
            <w:tcW w:w="12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Assigned</w:t>
            </w:r>
          </w:p>
        </w:tc>
        <w:tc>
          <w:tcPr>
            <w:tcW w:w="10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Commitment/Loans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446" w:name="page447"/>
    <w:bookmarkEnd w:id="4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07"/>
        </w:trPr>
        <w:tc>
          <w:tcPr>
            <w:tcW w:w="3820" w:type="dxa"/>
            <w:vAlign w:val="bottom"/>
            <w:gridSpan w:val="3"/>
          </w:tcPr>
          <w:p>
            <w:pPr>
              <w:spacing w:after="0"/>
              <w:rPr>
                <w:sz w:val="20"/>
                <w:szCs w:val="20"/>
                <w:color w:val="auto"/>
              </w:rPr>
            </w:pPr>
            <w:r>
              <w:rPr>
                <w:rFonts w:ascii="Arial" w:cs="Arial" w:eastAsia="Arial" w:hAnsi="Arial"/>
                <w:sz w:val="18"/>
                <w:szCs w:val="18"/>
                <w:color w:val="auto"/>
                <w:w w:val="94"/>
              </w:rPr>
              <w:t>(d)   Trade Date of Assignment (the “Trade Date”):</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 20  .</w:t>
            </w:r>
            <w:r>
              <w:rPr>
                <w:rFonts w:ascii="Arial" w:cs="Arial" w:eastAsia="Arial" w:hAnsi="Arial"/>
                <w:sz w:val="15"/>
                <w:szCs w:val="15"/>
                <w:color w:val="auto"/>
              </w:rPr>
              <w:t>1</w:t>
            </w:r>
          </w:p>
        </w:tc>
      </w:tr>
      <w:tr>
        <w:trPr>
          <w:trHeight w:val="20"/>
        </w:trPr>
        <w:tc>
          <w:tcPr>
            <w:tcW w:w="2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220" w:hanging="212"/>
        <w:spacing w:after="0"/>
        <w:tabs>
          <w:tab w:leader="none" w:pos="220" w:val="left"/>
        </w:tabs>
        <w:numPr>
          <w:ilvl w:val="0"/>
          <w:numId w:val="434"/>
        </w:numPr>
        <w:rPr>
          <w:rFonts w:ascii="Arial" w:cs="Arial" w:eastAsia="Arial" w:hAnsi="Arial"/>
          <w:sz w:val="15"/>
          <w:szCs w:val="15"/>
          <w:color w:val="auto"/>
        </w:rPr>
      </w:pPr>
      <w:r>
        <w:rPr>
          <w:rFonts w:ascii="Arial" w:cs="Arial" w:eastAsia="Arial" w:hAnsi="Arial"/>
          <w:sz w:val="18"/>
          <w:szCs w:val="18"/>
          <w:color w:val="auto"/>
        </w:rPr>
        <w:t>To be inserted by Administrative Agent and which shall be the effective date of recordation of transfer in the Register therefor.</w:t>
      </w:r>
    </w:p>
    <w:p>
      <w:pPr>
        <w:sectPr>
          <w:pgSz w:w="11900" w:h="16838" w:orient="portrait"/>
          <w:cols w:equalWidth="0" w:num="1">
            <w:col w:w="11100"/>
          </w:cols>
          <w:pgMar w:left="240" w:top="257" w:right="559" w:bottom="1440" w:gutter="0" w:footer="0" w:header="0"/>
        </w:sectPr>
      </w:pPr>
    </w:p>
    <w:bookmarkStart w:id="447" w:name="page448"/>
    <w:bookmarkEnd w:id="447"/>
    <w:tbl>
      <w:tblPr>
        <w:tblLayout w:type="fixed"/>
        <w:tblInd w:w="92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40" w:type="dxa"/>
            <w:vAlign w:val="bottom"/>
          </w:tcPr>
          <w:p>
            <w:pPr>
              <w:jc w:val="center"/>
              <w:ind w:left="450"/>
              <w:spacing w:after="0"/>
              <w:rPr>
                <w:sz w:val="20"/>
                <w:szCs w:val="20"/>
                <w:color w:val="auto"/>
              </w:rPr>
            </w:pPr>
            <w:r>
              <w:rPr>
                <w:rFonts w:ascii="Arial" w:cs="Arial" w:eastAsia="Arial" w:hAnsi="Arial"/>
                <w:sz w:val="18"/>
                <w:szCs w:val="18"/>
                <w:b w:val="1"/>
                <w:bCs w:val="1"/>
                <w:color w:val="auto"/>
              </w:rPr>
              <w:t>EXHIBIT H</w:t>
            </w:r>
          </w:p>
        </w:tc>
      </w:tr>
      <w:tr>
        <w:trPr>
          <w:trHeight w:val="216"/>
        </w:trPr>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40" w:type="dxa"/>
            <w:vAlign w:val="bottom"/>
          </w:tcPr>
          <w:p>
            <w:pPr>
              <w:jc w:val="center"/>
              <w:ind w:left="450"/>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2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40" w:type="dxa"/>
            <w:vAlign w:val="bottom"/>
          </w:tcPr>
          <w:p>
            <w:pPr>
              <w:jc w:val="center"/>
              <w:ind w:left="470"/>
              <w:spacing w:after="0"/>
              <w:rPr>
                <w:sz w:val="20"/>
                <w:szCs w:val="20"/>
                <w:color w:val="auto"/>
              </w:rPr>
            </w:pPr>
            <w:r>
              <w:rPr>
                <w:rFonts w:ascii="Arial" w:cs="Arial" w:eastAsia="Arial" w:hAnsi="Arial"/>
                <w:sz w:val="18"/>
                <w:szCs w:val="18"/>
                <w:b w:val="1"/>
                <w:bCs w:val="1"/>
                <w:color w:val="auto"/>
                <w:w w:val="91"/>
              </w:rPr>
              <w:t>Credit Agreement</w:t>
            </w:r>
          </w:p>
        </w:tc>
      </w:tr>
      <w:tr>
        <w:trPr>
          <w:trHeight w:val="446"/>
        </w:trPr>
        <w:tc>
          <w:tcPr>
            <w:tcW w:w="2800" w:type="dxa"/>
            <w:vAlign w:val="bottom"/>
          </w:tcPr>
          <w:p>
            <w:pPr>
              <w:spacing w:after="0"/>
              <w:rPr>
                <w:sz w:val="24"/>
                <w:szCs w:val="24"/>
                <w:color w:val="auto"/>
              </w:rPr>
            </w:pPr>
          </w:p>
        </w:tc>
        <w:tc>
          <w:tcPr>
            <w:tcW w:w="760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FORM OF JOINDER AGREEMENT</w:t>
            </w:r>
          </w:p>
        </w:tc>
      </w:tr>
      <w:tr>
        <w:trPr>
          <w:trHeight w:val="392"/>
        </w:trPr>
        <w:tc>
          <w:tcPr>
            <w:tcW w:w="2800" w:type="dxa"/>
            <w:vAlign w:val="bottom"/>
          </w:tcPr>
          <w:p>
            <w:pPr>
              <w:spacing w:after="0"/>
              <w:rPr>
                <w:sz w:val="20"/>
                <w:szCs w:val="20"/>
                <w:color w:val="auto"/>
              </w:rPr>
            </w:pPr>
            <w:r>
              <w:rPr>
                <w:rFonts w:ascii="Arial" w:cs="Arial" w:eastAsia="Arial" w:hAnsi="Arial"/>
                <w:sz w:val="18"/>
                <w:szCs w:val="18"/>
                <w:color w:val="auto"/>
                <w:w w:val="93"/>
              </w:rPr>
              <w:t>JOINDER AGREEMENT, dated as of</w:t>
            </w:r>
          </w:p>
        </w:tc>
        <w:tc>
          <w:tcPr>
            <w:tcW w:w="720" w:type="dxa"/>
            <w:vAlign w:val="bottom"/>
          </w:tcPr>
          <w:p>
            <w:pPr>
              <w:spacing w:after="0"/>
              <w:rPr>
                <w:sz w:val="24"/>
                <w:szCs w:val="24"/>
                <w:color w:val="auto"/>
              </w:rPr>
            </w:pPr>
          </w:p>
        </w:tc>
        <w:tc>
          <w:tcPr>
            <w:tcW w:w="6880" w:type="dxa"/>
            <w:vAlign w:val="bottom"/>
            <w:gridSpan w:val="5"/>
          </w:tcPr>
          <w:p>
            <w:pPr>
              <w:spacing w:after="0"/>
              <w:rPr>
                <w:sz w:val="20"/>
                <w:szCs w:val="20"/>
                <w:color w:val="auto"/>
              </w:rPr>
            </w:pPr>
            <w:r>
              <w:rPr>
                <w:rFonts w:ascii="Arial" w:cs="Arial" w:eastAsia="Arial" w:hAnsi="Arial"/>
                <w:sz w:val="18"/>
                <w:szCs w:val="18"/>
                <w:color w:val="auto"/>
                <w:w w:val="94"/>
              </w:rPr>
              <w:t>, 20  , made by each signatory hereto (each a “Subsidiary Borrower”), in favor of JPMorgan</w:t>
            </w:r>
          </w:p>
        </w:tc>
      </w:tr>
      <w:tr>
        <w:trPr>
          <w:trHeight w:val="20"/>
        </w:trPr>
        <w:tc>
          <w:tcPr>
            <w:tcW w:w="2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53" w:lineRule="auto"/>
        <w:rPr>
          <w:sz w:val="20"/>
          <w:szCs w:val="20"/>
          <w:color w:val="auto"/>
        </w:rPr>
      </w:pPr>
      <w:r>
        <w:rPr>
          <w:rFonts w:ascii="Arial" w:cs="Arial" w:eastAsia="Arial" w:hAnsi="Arial"/>
          <w:sz w:val="18"/>
          <w:szCs w:val="18"/>
          <w:color w:val="auto"/>
        </w:rPr>
        <w:t>Chase Bank, N.A.,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or, in the case of any additional Brazilian Subsidiary Borrower, Banco do Brasil S.A., as administrative agent for the Brazilian Lenders (in such capacity, the “</w:t>
      </w:r>
      <w:r>
        <w:rPr>
          <w:rFonts w:ascii="Arial" w:cs="Arial" w:eastAsia="Arial" w:hAnsi="Arial"/>
          <w:sz w:val="18"/>
          <w:szCs w:val="18"/>
          <w:u w:val="single" w:color="auto"/>
          <w:color w:val="auto"/>
        </w:rPr>
        <w:t>Brazilian Administrative Agent</w:t>
      </w:r>
      <w:r>
        <w:rPr>
          <w:rFonts w:ascii="Arial" w:cs="Arial" w:eastAsia="Arial" w:hAnsi="Arial"/>
          <w:sz w:val="18"/>
          <w:szCs w:val="18"/>
          <w:color w:val="auto"/>
        </w:rPr>
        <w:t>”) referred to in the Third Amended and Restated Five Year Revolving Credit Agreement, dated as of April 18, 2018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Lenders referred to therein, the Administrative Agent, the Brazilian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parties to this Joinder Agreement wish to add the Subsidiary Borrower to the Credit Agreement in the manner hereinafter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and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this Joinder Agreement is entered into pursuant to Section 10.1(d)(i) of the Credit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premises, the parties hereto hereby agree as follows:</w:t>
      </w:r>
    </w:p>
    <w:p>
      <w:pPr>
        <w:spacing w:after="0" w:line="225" w:lineRule="exact"/>
        <w:rPr>
          <w:sz w:val="20"/>
          <w:szCs w:val="20"/>
          <w:color w:val="auto"/>
        </w:rPr>
      </w:pPr>
    </w:p>
    <w:p>
      <w:pPr>
        <w:ind w:right="400" w:firstLine="921"/>
        <w:spacing w:after="0" w:line="259" w:lineRule="auto"/>
        <w:tabs>
          <w:tab w:leader="none" w:pos="1093"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186" w:lineRule="exact"/>
        <w:rPr>
          <w:rFonts w:ascii="Arial" w:cs="Arial" w:eastAsia="Arial" w:hAnsi="Arial"/>
          <w:sz w:val="18"/>
          <w:szCs w:val="18"/>
          <w:color w:val="auto"/>
        </w:rPr>
      </w:pPr>
    </w:p>
    <w:p>
      <w:pPr>
        <w:ind w:right="140" w:firstLine="921"/>
        <w:spacing w:after="0" w:line="277" w:lineRule="auto"/>
        <w:tabs>
          <w:tab w:leader="none" w:pos="1093"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The address, taxpayer identification number (if any) and jurisdiction of organization of the Subsidiary Borrower is set forth in Annex I to this Joinder Agreement.</w:t>
      </w:r>
    </w:p>
    <w:p>
      <w:pPr>
        <w:sectPr>
          <w:pgSz w:w="11900" w:h="16838" w:orient="portrait"/>
          <w:cols w:equalWidth="0" w:num="1">
            <w:col w:w="11420"/>
          </w:cols>
          <w:pgMar w:left="240" w:top="270" w:right="239" w:bottom="1440" w:gutter="0" w:footer="0" w:header="0"/>
        </w:sectPr>
      </w:pPr>
    </w:p>
    <w:bookmarkStart w:id="448" w:name="page449"/>
    <w:bookmarkEnd w:id="448"/>
    <w:p>
      <w:pPr>
        <w:ind w:left="-200" w:firstLine="921"/>
        <w:spacing w:after="0" w:line="282" w:lineRule="auto"/>
        <w:tabs>
          <w:tab w:leader="none" w:pos="893"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JOINDER AND THE RIGHTS AND OBLIGATIONS OF THE PARTIES HEREUNDER SHALL BE GOVERNED BY, AND CONSTRUED AND INTERPRETED IN ACCORDANCE WITH, THE LAW OF THE STATE OF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40"/>
          </w:cols>
          <w:pgMar w:left="440" w:top="270" w:right="419" w:bottom="1440" w:gutter="0" w:footer="0" w:header="0"/>
        </w:sectPr>
      </w:pPr>
    </w:p>
    <w:bookmarkStart w:id="449" w:name="page450"/>
    <w:bookmarkEnd w:id="449"/>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[EACH SUBSIDIARY BORROWER],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Subsidiary Borrower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 TO</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[Banco do Brasil S.A.,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Brazilian Administrative Agent]</w:t>
      </w:r>
      <w:r>
        <w:rPr>
          <w:rFonts w:ascii="Arial" w:cs="Arial" w:eastAsia="Arial" w:hAnsi="Arial"/>
          <w:sz w:val="15"/>
          <w:szCs w:val="15"/>
          <w:color w:val="auto"/>
        </w:rPr>
        <w:t>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220" w:hanging="212"/>
        <w:spacing w:after="0"/>
        <w:tabs>
          <w:tab w:leader="none" w:pos="220" w:val="left"/>
        </w:tabs>
        <w:numPr>
          <w:ilvl w:val="0"/>
          <w:numId w:val="437"/>
        </w:numPr>
        <w:rPr>
          <w:rFonts w:ascii="Arial" w:cs="Arial" w:eastAsia="Arial" w:hAnsi="Arial"/>
          <w:sz w:val="15"/>
          <w:szCs w:val="15"/>
          <w:color w:val="auto"/>
        </w:rPr>
      </w:pPr>
      <w:r>
        <w:rPr>
          <w:rFonts w:ascii="Arial" w:cs="Arial" w:eastAsia="Arial" w:hAnsi="Arial"/>
          <w:sz w:val="18"/>
          <w:szCs w:val="18"/>
          <w:color w:val="auto"/>
        </w:rPr>
        <w:t>Only if for a Brazilian Borrower.</w:t>
      </w:r>
    </w:p>
    <w:p>
      <w:pPr>
        <w:sectPr>
          <w:pgSz w:w="11900" w:h="16838" w:orient="portrait"/>
          <w:cols w:equalWidth="0" w:num="1">
            <w:col w:w="11280"/>
          </w:cols>
          <w:pgMar w:left="240" w:top="274" w:right="379" w:bottom="1440" w:gutter="0" w:footer="0" w:header="0"/>
        </w:sectPr>
      </w:pPr>
    </w:p>
    <w:bookmarkStart w:id="450" w:name="page451"/>
    <w:bookmarkEnd w:id="450"/>
    <w:p>
      <w:pPr>
        <w:jc w:val="center"/>
        <w:ind w:left="9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I-1</w:t>
      </w:r>
    </w:p>
    <w:p>
      <w:pPr>
        <w:spacing w:after="0" w:line="27"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Credit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Reference is hereby made to the Third Amended and Restated Five Year Revolving Credit Agreement dated as of April 18, 2018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Global Treasury Centre Limited, a corporation organized under the laws of England and Wales,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Banco do Brasil S.A., as Brazilian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Pursuant to the provisions of Section 2.19 of the Credit Agreement, the undersigned hereby certifies that (i) it is the sole record and beneficial owner of the Commitment, the Loan(s) (as well as any Note(s) evidencing such Loan(s)), and the L/C Obligations in respect of which it is providing this certificate,</w:t>
      </w:r>
    </w:p>
    <w:p>
      <w:pPr>
        <w:ind w:right="80" w:firstLine="8"/>
        <w:spacing w:after="0" w:line="277" w:lineRule="auto"/>
        <w:tabs>
          <w:tab w:leader="none" w:pos="265" w:val="left"/>
        </w:tabs>
        <w:numPr>
          <w:ilvl w:val="0"/>
          <w:numId w:val="438"/>
        </w:numPr>
        <w:rPr>
          <w:rFonts w:ascii="Arial" w:cs="Arial" w:eastAsia="Arial" w:hAnsi="Arial"/>
          <w:sz w:val="17"/>
          <w:szCs w:val="17"/>
          <w:color w:val="auto"/>
        </w:rPr>
      </w:pPr>
      <w:r>
        <w:rPr>
          <w:rFonts w:ascii="Arial" w:cs="Arial" w:eastAsia="Arial" w:hAnsi="Arial"/>
          <w:sz w:val="17"/>
          <w:szCs w:val="17"/>
          <w:color w:val="auto"/>
        </w:rPr>
        <w:t>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400"/>
          </w:cols>
          <w:pgMar w:left="240" w:top="269" w:right="259" w:bottom="1440" w:gutter="0" w:footer="0" w:header="0"/>
        </w:sectPr>
      </w:pPr>
    </w:p>
    <w:bookmarkStart w:id="451" w:name="page452"/>
    <w:bookmarkEnd w:id="45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74295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ectPr>
          <w:pgSz w:w="11900" w:h="16838" w:orient="portrait"/>
          <w:cols w:equalWidth="0" w:num="1">
            <w:col w:w="10560"/>
          </w:cols>
          <w:pgMar w:left="240" w:top="274" w:right="1099" w:bottom="1440" w:gutter="0" w:footer="0" w:header="0"/>
        </w:sectPr>
      </w:pPr>
    </w:p>
    <w:bookmarkStart w:id="452" w:name="page453"/>
    <w:bookmarkEnd w:id="452"/>
    <w:p>
      <w:pPr>
        <w:jc w:val="center"/>
        <w:ind w:left="9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I-2</w:t>
      </w:r>
    </w:p>
    <w:p>
      <w:pPr>
        <w:spacing w:after="0" w:line="27"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Credit Agreement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Reference is hereby made to the Third Amended and Restated Five Year Revolving Credit Agreement dated as of April 18, 2018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Global Treasury Centre Limited, a corporation organized under the laws of England and Wales,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Banco do Brasil S.A., as Brazilian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9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Pursuant to the provisions of Section 2.19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and the L/C Obligations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7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w:t>
      </w:r>
    </w:p>
    <w:p>
      <w:pPr>
        <w:sectPr>
          <w:pgSz w:w="11900" w:h="16838" w:orient="portrait"/>
          <w:cols w:equalWidth="0" w:num="1">
            <w:col w:w="11380"/>
          </w:cols>
          <w:pgMar w:left="240" w:top="269" w:right="279" w:bottom="1440" w:gutter="0" w:footer="0" w:header="0"/>
        </w:sectPr>
      </w:pPr>
    </w:p>
    <w:bookmarkStart w:id="453" w:name="page454"/>
    <w:bookmarkEnd w:id="45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pacing w:after="0" w:line="18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74295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454" w:name="page455"/>
    <w:bookmarkEnd w:id="454"/>
    <w:p>
      <w:pPr>
        <w:jc w:val="center"/>
        <w:ind w:left="9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I-3</w:t>
      </w:r>
    </w:p>
    <w:p>
      <w:pPr>
        <w:spacing w:after="0" w:line="27"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Credit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2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Reference is hereby made to the Third Amended and Restated Five Year Revolving Credit Agreement dated as of April 18, 2018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Global Treasury Centre Limited, a corporation organized under the laws of England and Wales,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Banco do Brasil S.A., as Brazilian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92"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Pursuant to the provisions of Section 2.19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420"/>
          </w:cols>
          <w:pgMar w:left="240" w:top="270" w:right="239" w:bottom="1440" w:gutter="0" w:footer="0" w:header="0"/>
        </w:sectPr>
      </w:pPr>
    </w:p>
    <w:bookmarkStart w:id="455" w:name="page456"/>
    <w:bookmarkEnd w:id="455"/>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74295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ectPr>
          <w:pgSz w:w="11900" w:h="16838" w:orient="portrait"/>
          <w:cols w:equalWidth="0" w:num="1">
            <w:col w:w="10560"/>
          </w:cols>
          <w:pgMar w:left="240" w:top="273" w:right="1099" w:bottom="1440" w:gutter="0" w:footer="0" w:header="0"/>
        </w:sectPr>
      </w:pPr>
    </w:p>
    <w:bookmarkStart w:id="456" w:name="page457"/>
    <w:bookmarkEnd w:id="456"/>
    <w:p>
      <w:pPr>
        <w:jc w:val="center"/>
        <w:ind w:left="9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I-4</w:t>
      </w:r>
    </w:p>
    <w:p>
      <w:pPr>
        <w:spacing w:after="0" w:line="27" w:lineRule="exact"/>
        <w:rPr>
          <w:sz w:val="20"/>
          <w:szCs w:val="20"/>
          <w:color w:val="auto"/>
        </w:rPr>
      </w:pPr>
    </w:p>
    <w:p>
      <w:pPr>
        <w:jc w:val="center"/>
        <w:ind w:left="98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40"/>
        <w:spacing w:after="0"/>
        <w:rPr>
          <w:sz w:val="20"/>
          <w:szCs w:val="20"/>
          <w:color w:val="auto"/>
        </w:rPr>
      </w:pPr>
      <w:r>
        <w:rPr>
          <w:rFonts w:ascii="Arial" w:cs="Arial" w:eastAsia="Arial" w:hAnsi="Arial"/>
          <w:sz w:val="18"/>
          <w:szCs w:val="18"/>
          <w:b w:val="1"/>
          <w:bCs w:val="1"/>
          <w:color w:val="auto"/>
        </w:rPr>
        <w:t>Credit Agreement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2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Reference is hereby made to the Second Amended and Restated Five Year Revolving Credit Agreement dated as of April 18, 2018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General Motors Financial Company, Inc., a Texas corporation, GM Global Treasury Centre Limited, a corporation organized under the laws of England and Wales, General Motors do Brasil Ltda., a Brazilian limited liability company, the Subsidiary Guarantors from time to time party thereto, the Lenders from time to time party thereto, JPMorgan Chase Bank, N.A., as administrative agent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Banco do Brasil S.A., as Brazilian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9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Pursuant to the provisions of Section 2.19 of the Credit Agreement, the undersigned hereby certifies that (i) it is the sole record owner of the participation in respect of which it is providing this certificate, (ii) its direct or indirect partners/members are the sole beneficial owners of such participation,</w:t>
      </w:r>
    </w:p>
    <w:p>
      <w:pPr>
        <w:ind w:firstLine="8"/>
        <w:spacing w:after="0" w:line="253" w:lineRule="auto"/>
        <w:tabs>
          <w:tab w:leader="none" w:pos="31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9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400"/>
          </w:cols>
          <w:pgMar w:left="240" w:top="270" w:right="259" w:bottom="1440" w:gutter="0" w:footer="0" w:header="0"/>
        </w:sectPr>
      </w:pPr>
    </w:p>
    <w:bookmarkStart w:id="457" w:name="page458"/>
    <w:bookmarkEnd w:id="45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74295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ectPr>
          <w:pgSz w:w="11900" w:h="16838" w:orient="portrait"/>
          <w:cols w:equalWidth="0" w:num="1">
            <w:col w:w="10560"/>
          </w:cols>
          <w:pgMar w:left="240" w:top="273" w:right="1099" w:bottom="1440" w:gutter="0" w:footer="0" w:header="0"/>
        </w:sectPr>
      </w:pPr>
    </w:p>
    <w:bookmarkStart w:id="458" w:name="page459"/>
    <w:bookmarkEnd w:id="458"/>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6"/>
          </w:tcPr>
          <w:p>
            <w:pPr>
              <w:jc w:val="center"/>
              <w:spacing w:after="0"/>
              <w:rPr>
                <w:sz w:val="20"/>
                <w:szCs w:val="20"/>
                <w:color w:val="auto"/>
              </w:rPr>
            </w:pPr>
            <w:r>
              <w:rPr>
                <w:rFonts w:ascii="Arial" w:cs="Arial" w:eastAsia="Arial" w:hAnsi="Arial"/>
                <w:sz w:val="18"/>
                <w:szCs w:val="18"/>
                <w:b w:val="1"/>
                <w:bCs w:val="1"/>
                <w:color w:val="auto"/>
              </w:rPr>
              <w:t>EXHIBIT J</w:t>
            </w: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3"/>
              </w:rPr>
              <w:t>to</w:t>
            </w:r>
          </w:p>
        </w:tc>
      </w:tr>
      <w:tr>
        <w:trPr>
          <w:trHeight w:val="234"/>
        </w:trPr>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Credit Agreement</w:t>
            </w:r>
          </w:p>
        </w:tc>
      </w:tr>
      <w:tr>
        <w:trPr>
          <w:trHeight w:val="446"/>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40" w:type="dxa"/>
            <w:vAlign w:val="bottom"/>
            <w:gridSpan w:val="26"/>
          </w:tcPr>
          <w:p>
            <w:pPr>
              <w:ind w:left="20"/>
              <w:spacing w:after="0"/>
              <w:rPr>
                <w:sz w:val="20"/>
                <w:szCs w:val="20"/>
                <w:color w:val="auto"/>
              </w:rPr>
            </w:pPr>
            <w:r>
              <w:rPr>
                <w:rFonts w:ascii="Arial" w:cs="Arial" w:eastAsia="Arial" w:hAnsi="Arial"/>
                <w:sz w:val="18"/>
                <w:szCs w:val="18"/>
                <w:b w:val="1"/>
                <w:bCs w:val="1"/>
                <w:color w:val="auto"/>
              </w:rPr>
              <w:t>FORM OF COMPLIANCE CERTIFICATE</w:t>
            </w:r>
          </w:p>
        </w:tc>
      </w:tr>
      <w:tr>
        <w:trPr>
          <w:trHeight w:val="392"/>
        </w:trPr>
        <w:tc>
          <w:tcPr>
            <w:tcW w:w="580" w:type="dxa"/>
            <w:vAlign w:val="bottom"/>
          </w:tcPr>
          <w:p>
            <w:pPr>
              <w:spacing w:after="0"/>
              <w:rPr>
                <w:sz w:val="24"/>
                <w:szCs w:val="24"/>
                <w:color w:val="auto"/>
              </w:rPr>
            </w:pPr>
          </w:p>
        </w:tc>
        <w:tc>
          <w:tcPr>
            <w:tcW w:w="9680" w:type="dxa"/>
            <w:vAlign w:val="bottom"/>
            <w:gridSpan w:val="34"/>
          </w:tcPr>
          <w:p>
            <w:pPr>
              <w:spacing w:after="0"/>
              <w:rPr>
                <w:sz w:val="24"/>
                <w:szCs w:val="24"/>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 20</w:t>
            </w:r>
          </w:p>
        </w:tc>
        <w:tc>
          <w:tcPr>
            <w:tcW w:w="100" w:type="dxa"/>
            <w:vAlign w:val="bottom"/>
          </w:tcPr>
          <w:p>
            <w:pPr>
              <w:spacing w:after="0"/>
              <w:rPr>
                <w:sz w:val="24"/>
                <w:szCs w:val="24"/>
                <w:color w:val="auto"/>
              </w:rPr>
            </w:pPr>
          </w:p>
        </w:tc>
      </w:tr>
      <w:tr>
        <w:trPr>
          <w:trHeight w:val="480"/>
        </w:trPr>
        <w:tc>
          <w:tcPr>
            <w:tcW w:w="580" w:type="dxa"/>
            <w:vAlign w:val="bottom"/>
          </w:tcPr>
          <w:p>
            <w:pPr>
              <w:spacing w:after="0"/>
              <w:rPr>
                <w:sz w:val="20"/>
                <w:szCs w:val="20"/>
                <w:color w:val="auto"/>
              </w:rPr>
            </w:pPr>
            <w:r>
              <w:rPr>
                <w:rFonts w:ascii="Arial" w:cs="Arial" w:eastAsia="Arial" w:hAnsi="Arial"/>
                <w:sz w:val="18"/>
                <w:szCs w:val="18"/>
                <w:color w:val="auto"/>
              </w:rPr>
              <w:t>To:</w:t>
            </w:r>
          </w:p>
        </w:tc>
        <w:tc>
          <w:tcPr>
            <w:tcW w:w="9680" w:type="dxa"/>
            <w:vAlign w:val="bottom"/>
            <w:gridSpan w:val="34"/>
          </w:tcPr>
          <w:p>
            <w:pPr>
              <w:spacing w:after="0"/>
              <w:rPr>
                <w:sz w:val="20"/>
                <w:szCs w:val="20"/>
                <w:color w:val="auto"/>
              </w:rPr>
            </w:pPr>
            <w:r>
              <w:rPr>
                <w:rFonts w:ascii="Arial" w:cs="Arial" w:eastAsia="Arial" w:hAnsi="Arial"/>
                <w:sz w:val="18"/>
                <w:szCs w:val="18"/>
                <w:color w:val="auto"/>
              </w:rPr>
              <w:t>JPMorgan Chase Bank, N.A., as Administrative Agent under the Credit Agreements referred to below</w:t>
            </w:r>
          </w:p>
        </w:tc>
        <w:tc>
          <w:tcPr>
            <w:tcW w:w="720" w:type="dxa"/>
            <w:vAlign w:val="bottom"/>
            <w:tcBorders>
              <w:top w:val="single" w:sz="8" w:color="auto"/>
            </w:tcBorders>
          </w:tcPr>
          <w:p>
            <w:pPr>
              <w:spacing w:after="0"/>
              <w:rPr>
                <w:sz w:val="24"/>
                <w:szCs w:val="24"/>
                <w:color w:val="auto"/>
              </w:rPr>
            </w:pPr>
          </w:p>
        </w:tc>
        <w:tc>
          <w:tcPr>
            <w:tcW w:w="260" w:type="dxa"/>
            <w:vAlign w:val="bottom"/>
            <w:gridSpan w:val="2"/>
          </w:tcPr>
          <w:p>
            <w:pPr>
              <w:spacing w:after="0"/>
              <w:rPr>
                <w:sz w:val="24"/>
                <w:szCs w:val="24"/>
                <w:color w:val="auto"/>
              </w:rPr>
            </w:pPr>
          </w:p>
        </w:tc>
        <w:tc>
          <w:tcPr>
            <w:tcW w:w="180" w:type="dxa"/>
            <w:vAlign w:val="bottom"/>
            <w:tcBorders>
              <w:top w:val="single" w:sz="8" w:color="auto"/>
            </w:tcBorders>
            <w:gridSpan w:val="2"/>
          </w:tcPr>
          <w:p>
            <w:pPr>
              <w:spacing w:after="0"/>
              <w:rPr>
                <w:sz w:val="24"/>
                <w:szCs w:val="24"/>
                <w:color w:val="auto"/>
              </w:rPr>
            </w:pPr>
          </w:p>
        </w:tc>
      </w:tr>
      <w:tr>
        <w:trPr>
          <w:trHeight w:val="323"/>
        </w:trPr>
        <w:tc>
          <w:tcPr>
            <w:tcW w:w="580" w:type="dxa"/>
            <w:vAlign w:val="bottom"/>
          </w:tcPr>
          <w:p>
            <w:pPr>
              <w:spacing w:after="0"/>
              <w:rPr>
                <w:sz w:val="20"/>
                <w:szCs w:val="20"/>
                <w:color w:val="auto"/>
              </w:rPr>
            </w:pPr>
            <w:r>
              <w:rPr>
                <w:rFonts w:ascii="Arial" w:cs="Arial" w:eastAsia="Arial" w:hAnsi="Arial"/>
                <w:sz w:val="18"/>
                <w:szCs w:val="18"/>
                <w:color w:val="auto"/>
              </w:rPr>
              <w:t>Re:</w:t>
            </w:r>
          </w:p>
        </w:tc>
        <w:tc>
          <w:tcPr>
            <w:tcW w:w="10840" w:type="dxa"/>
            <w:vAlign w:val="bottom"/>
            <w:gridSpan w:val="39"/>
          </w:tcPr>
          <w:p>
            <w:pPr>
              <w:spacing w:after="0"/>
              <w:rPr>
                <w:sz w:val="20"/>
                <w:szCs w:val="20"/>
                <w:color w:val="auto"/>
              </w:rPr>
            </w:pPr>
            <w:r>
              <w:rPr>
                <w:rFonts w:ascii="Arial" w:cs="Arial" w:eastAsia="Arial" w:hAnsi="Arial"/>
                <w:sz w:val="18"/>
                <w:szCs w:val="18"/>
                <w:color w:val="auto"/>
                <w:w w:val="89"/>
              </w:rPr>
              <w:t>(i) the Third Amended and Restated Three Year Revolving Credit Agreement, dated as of April 18, 2018 (as amended, restated, amended and restated,</w:t>
            </w:r>
          </w:p>
        </w:tc>
      </w:tr>
      <w:tr>
        <w:trPr>
          <w:trHeight w:val="190"/>
        </w:trPr>
        <w:tc>
          <w:tcPr>
            <w:tcW w:w="580" w:type="dxa"/>
            <w:vAlign w:val="bottom"/>
          </w:tcPr>
          <w:p>
            <w:pPr>
              <w:spacing w:after="0"/>
              <w:rPr>
                <w:sz w:val="16"/>
                <w:szCs w:val="16"/>
                <w:color w:val="auto"/>
              </w:rPr>
            </w:pPr>
          </w:p>
        </w:tc>
        <w:tc>
          <w:tcPr>
            <w:tcW w:w="10840" w:type="dxa"/>
            <w:vAlign w:val="bottom"/>
            <w:gridSpan w:val="39"/>
          </w:tcPr>
          <w:p>
            <w:pPr>
              <w:spacing w:after="0" w:line="190" w:lineRule="exact"/>
              <w:rPr>
                <w:sz w:val="20"/>
                <w:szCs w:val="20"/>
                <w:color w:val="auto"/>
              </w:rPr>
            </w:pPr>
            <w:r>
              <w:rPr>
                <w:rFonts w:ascii="Arial" w:cs="Arial" w:eastAsia="Arial" w:hAnsi="Arial"/>
                <w:sz w:val="18"/>
                <w:szCs w:val="18"/>
                <w:color w:val="auto"/>
                <w:w w:val="98"/>
              </w:rPr>
              <w:t>renewed, supplemented or modified from time to time, the “3-Year Credit Agreement”), among General Motors Company (together with its</w:t>
            </w: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840" w:type="dxa"/>
            <w:vAlign w:val="bottom"/>
            <w:gridSpan w:val="39"/>
          </w:tcPr>
          <w:p>
            <w:pPr>
              <w:spacing w:after="0" w:line="196" w:lineRule="exact"/>
              <w:rPr>
                <w:sz w:val="20"/>
                <w:szCs w:val="20"/>
                <w:color w:val="auto"/>
              </w:rPr>
            </w:pPr>
            <w:r>
              <w:rPr>
                <w:rFonts w:ascii="Arial" w:cs="Arial" w:eastAsia="Arial" w:hAnsi="Arial"/>
                <w:sz w:val="18"/>
                <w:szCs w:val="18"/>
                <w:color w:val="auto"/>
                <w:w w:val="94"/>
              </w:rPr>
              <w:t>successors and permitted assigns, the “Company”), General Motors Financial Company, Inc., a Texas corporation (“GMF”), GM Global Treasury</w:t>
            </w: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840" w:type="dxa"/>
            <w:vAlign w:val="bottom"/>
            <w:gridSpan w:val="39"/>
          </w:tcPr>
          <w:p>
            <w:pPr>
              <w:spacing w:after="0" w:line="196" w:lineRule="exact"/>
              <w:rPr>
                <w:sz w:val="20"/>
                <w:szCs w:val="20"/>
                <w:color w:val="auto"/>
              </w:rPr>
            </w:pPr>
            <w:r>
              <w:rPr>
                <w:rFonts w:ascii="Arial" w:cs="Arial" w:eastAsia="Arial" w:hAnsi="Arial"/>
                <w:sz w:val="18"/>
                <w:szCs w:val="18"/>
                <w:color w:val="auto"/>
                <w:w w:val="96"/>
              </w:rPr>
              <w:t>Centre Limited, a corporation organized under the laws of England and Wales (“GMGTC”), General Motors do Brasil Ltda., a Brazilian limited</w:t>
            </w: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840" w:type="dxa"/>
            <w:vAlign w:val="bottom"/>
            <w:gridSpan w:val="39"/>
          </w:tcPr>
          <w:p>
            <w:pPr>
              <w:spacing w:after="0" w:line="196" w:lineRule="exact"/>
              <w:rPr>
                <w:sz w:val="20"/>
                <w:szCs w:val="20"/>
                <w:color w:val="auto"/>
              </w:rPr>
            </w:pPr>
            <w:r>
              <w:rPr>
                <w:rFonts w:ascii="Arial" w:cs="Arial" w:eastAsia="Arial" w:hAnsi="Arial"/>
                <w:sz w:val="18"/>
                <w:szCs w:val="18"/>
                <w:color w:val="auto"/>
                <w:w w:val="93"/>
              </w:rPr>
              <w:t>liability company (“GMB”), the Subsidiary Borrowers from time to time party thereto, the lenders from time to time party thereto, as lenders (the “3-</w:t>
            </w: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840" w:type="dxa"/>
            <w:vAlign w:val="bottom"/>
            <w:gridSpan w:val="39"/>
          </w:tcPr>
          <w:p>
            <w:pPr>
              <w:spacing w:after="0" w:line="196" w:lineRule="exact"/>
              <w:rPr>
                <w:sz w:val="20"/>
                <w:szCs w:val="20"/>
                <w:color w:val="auto"/>
              </w:rPr>
            </w:pPr>
            <w:r>
              <w:rPr>
                <w:rFonts w:ascii="Arial" w:cs="Arial" w:eastAsia="Arial" w:hAnsi="Arial"/>
                <w:sz w:val="18"/>
                <w:szCs w:val="18"/>
                <w:color w:val="auto"/>
                <w:w w:val="91"/>
              </w:rPr>
              <w:t>Year Lenders”), JPMorgan Chase Bank, N.A. (“JPM”), as administrative agent for the 3-Year Lenders (in such capacity, together with any successor</w:t>
            </w:r>
          </w:p>
        </w:tc>
      </w:tr>
      <w:tr>
        <w:trPr>
          <w:trHeight w:val="20"/>
        </w:trPr>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840" w:type="dxa"/>
            <w:vAlign w:val="bottom"/>
            <w:gridSpan w:val="39"/>
          </w:tcPr>
          <w:p>
            <w:pPr>
              <w:spacing w:after="0" w:line="196" w:lineRule="exact"/>
              <w:rPr>
                <w:sz w:val="20"/>
                <w:szCs w:val="20"/>
                <w:color w:val="auto"/>
              </w:rPr>
            </w:pPr>
            <w:r>
              <w:rPr>
                <w:rFonts w:ascii="Arial" w:cs="Arial" w:eastAsia="Arial" w:hAnsi="Arial"/>
                <w:sz w:val="18"/>
                <w:szCs w:val="18"/>
                <w:color w:val="auto"/>
                <w:w w:val="93"/>
              </w:rPr>
              <w:t>thereto in such capacity, the “3-Year Administrative Agent”), Banco do Brasil S.A., as Brazilian administrative agent, Citibank, N.A., as syndication</w:t>
            </w: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840" w:type="dxa"/>
            <w:vAlign w:val="bottom"/>
            <w:gridSpan w:val="39"/>
          </w:tcPr>
          <w:p>
            <w:pPr>
              <w:spacing w:after="0" w:line="196" w:lineRule="exact"/>
              <w:rPr>
                <w:sz w:val="20"/>
                <w:szCs w:val="20"/>
                <w:color w:val="auto"/>
              </w:rPr>
            </w:pPr>
            <w:r>
              <w:rPr>
                <w:rFonts w:ascii="Arial" w:cs="Arial" w:eastAsia="Arial" w:hAnsi="Arial"/>
                <w:sz w:val="18"/>
                <w:szCs w:val="18"/>
                <w:color w:val="auto"/>
                <w:w w:val="94"/>
              </w:rPr>
              <w:t>agent (in such capacity, the “Syndication Agent”), Bank of America, N.A., as co-syndication agent (in such capacity, the “Co-Syndication Agent”),</w:t>
            </w: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0840" w:type="dxa"/>
            <w:vAlign w:val="bottom"/>
            <w:gridSpan w:val="39"/>
          </w:tcPr>
          <w:p>
            <w:pPr>
              <w:spacing w:after="0"/>
              <w:rPr>
                <w:sz w:val="20"/>
                <w:szCs w:val="20"/>
                <w:color w:val="auto"/>
              </w:rPr>
            </w:pPr>
            <w:r>
              <w:rPr>
                <w:rFonts w:ascii="Arial" w:cs="Arial" w:eastAsia="Arial" w:hAnsi="Arial"/>
                <w:sz w:val="18"/>
                <w:szCs w:val="18"/>
                <w:color w:val="auto"/>
                <w:w w:val="95"/>
              </w:rPr>
              <w:t>and the other agents party thereto, (ii) the Third Amended and Restated Five Year Revolving Credit Agreement, dated as of April 18, 2018 (as</w:t>
            </w:r>
          </w:p>
        </w:tc>
      </w:tr>
      <w:tr>
        <w:trPr>
          <w:trHeight w:val="190"/>
        </w:trPr>
        <w:tc>
          <w:tcPr>
            <w:tcW w:w="580" w:type="dxa"/>
            <w:vAlign w:val="bottom"/>
          </w:tcPr>
          <w:p>
            <w:pPr>
              <w:spacing w:after="0"/>
              <w:rPr>
                <w:sz w:val="16"/>
                <w:szCs w:val="16"/>
                <w:color w:val="auto"/>
              </w:rPr>
            </w:pPr>
          </w:p>
        </w:tc>
        <w:tc>
          <w:tcPr>
            <w:tcW w:w="10840" w:type="dxa"/>
            <w:vAlign w:val="bottom"/>
            <w:gridSpan w:val="39"/>
          </w:tcPr>
          <w:p>
            <w:pPr>
              <w:spacing w:after="0" w:line="190" w:lineRule="exact"/>
              <w:rPr>
                <w:sz w:val="20"/>
                <w:szCs w:val="20"/>
                <w:color w:val="auto"/>
              </w:rPr>
            </w:pPr>
            <w:r>
              <w:rPr>
                <w:rFonts w:ascii="Arial" w:cs="Arial" w:eastAsia="Arial" w:hAnsi="Arial"/>
                <w:sz w:val="18"/>
                <w:szCs w:val="18"/>
                <w:color w:val="auto"/>
                <w:w w:val="95"/>
              </w:rPr>
              <w:t>amended, restated, amended and restated, renewed, supplemented or modified from time to time, the “5-Year Credit Agreement”), among the</w:t>
            </w: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0840" w:type="dxa"/>
            <w:vAlign w:val="bottom"/>
            <w:gridSpan w:val="39"/>
          </w:tcPr>
          <w:p>
            <w:pPr>
              <w:spacing w:after="0"/>
              <w:rPr>
                <w:sz w:val="20"/>
                <w:szCs w:val="20"/>
                <w:color w:val="auto"/>
              </w:rPr>
            </w:pPr>
            <w:r>
              <w:rPr>
                <w:rFonts w:ascii="Arial" w:cs="Arial" w:eastAsia="Arial" w:hAnsi="Arial"/>
                <w:sz w:val="18"/>
                <w:szCs w:val="18"/>
                <w:color w:val="auto"/>
                <w:w w:val="94"/>
              </w:rPr>
              <w:t>Company, GMF, GMGTC, GMB, the Subsidiary Borrowers from time to time party thereto, the lenders from time to time party thereto, as lenders</w:t>
            </w:r>
          </w:p>
        </w:tc>
      </w:tr>
      <w:tr>
        <w:trPr>
          <w:trHeight w:val="190"/>
        </w:trPr>
        <w:tc>
          <w:tcPr>
            <w:tcW w:w="580" w:type="dxa"/>
            <w:vAlign w:val="bottom"/>
          </w:tcPr>
          <w:p>
            <w:pPr>
              <w:spacing w:after="0"/>
              <w:rPr>
                <w:sz w:val="16"/>
                <w:szCs w:val="16"/>
                <w:color w:val="auto"/>
              </w:rPr>
            </w:pPr>
          </w:p>
        </w:tc>
        <w:tc>
          <w:tcPr>
            <w:tcW w:w="10840" w:type="dxa"/>
            <w:vAlign w:val="bottom"/>
            <w:gridSpan w:val="39"/>
          </w:tcPr>
          <w:p>
            <w:pPr>
              <w:spacing w:after="0" w:line="190" w:lineRule="exact"/>
              <w:rPr>
                <w:sz w:val="20"/>
                <w:szCs w:val="20"/>
                <w:color w:val="auto"/>
              </w:rPr>
            </w:pPr>
            <w:r>
              <w:rPr>
                <w:rFonts w:ascii="Arial" w:cs="Arial" w:eastAsia="Arial" w:hAnsi="Arial"/>
                <w:sz w:val="18"/>
                <w:szCs w:val="18"/>
                <w:color w:val="auto"/>
                <w:w w:val="92"/>
              </w:rPr>
              <w:t>(the “5-Year Lenders”), JPM, as administrative agent for the 5-Year Lenders (in such capacity, together with any successor thereto in such capacity,</w:t>
            </w: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840" w:type="dxa"/>
            <w:vAlign w:val="bottom"/>
            <w:gridSpan w:val="39"/>
          </w:tcPr>
          <w:p>
            <w:pPr>
              <w:spacing w:after="0" w:line="196" w:lineRule="exact"/>
              <w:rPr>
                <w:sz w:val="20"/>
                <w:szCs w:val="20"/>
                <w:color w:val="auto"/>
              </w:rPr>
            </w:pPr>
            <w:r>
              <w:rPr>
                <w:rFonts w:ascii="Arial" w:cs="Arial" w:eastAsia="Arial" w:hAnsi="Arial"/>
                <w:sz w:val="18"/>
                <w:szCs w:val="18"/>
                <w:color w:val="auto"/>
                <w:w w:val="93"/>
              </w:rPr>
              <w:t>the “5-Year Administrative Agent”), Banco do Brasil S.A., as Brazilian administrative agent, the Syndication Agent, the Co-Syndication Agent, and</w:t>
            </w: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gridSpan w:val="5"/>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0840" w:type="dxa"/>
            <w:vAlign w:val="bottom"/>
            <w:gridSpan w:val="39"/>
          </w:tcPr>
          <w:p>
            <w:pPr>
              <w:spacing w:after="0"/>
              <w:rPr>
                <w:sz w:val="20"/>
                <w:szCs w:val="20"/>
                <w:color w:val="auto"/>
              </w:rPr>
            </w:pPr>
            <w:r>
              <w:rPr>
                <w:rFonts w:ascii="Arial" w:cs="Arial" w:eastAsia="Arial" w:hAnsi="Arial"/>
                <w:sz w:val="18"/>
                <w:szCs w:val="18"/>
                <w:color w:val="auto"/>
                <w:w w:val="93"/>
              </w:rPr>
              <w:t>the other agents party thereto and (iii) the 364-Day Revolving Credit Agreement, dated as of April 18, 2018, as amended, restated, amended and</w:t>
            </w:r>
          </w:p>
        </w:tc>
      </w:tr>
      <w:tr>
        <w:trPr>
          <w:trHeight w:val="190"/>
        </w:trPr>
        <w:tc>
          <w:tcPr>
            <w:tcW w:w="580" w:type="dxa"/>
            <w:vAlign w:val="bottom"/>
          </w:tcPr>
          <w:p>
            <w:pPr>
              <w:spacing w:after="0"/>
              <w:rPr>
                <w:sz w:val="16"/>
                <w:szCs w:val="16"/>
                <w:color w:val="auto"/>
              </w:rPr>
            </w:pPr>
          </w:p>
        </w:tc>
        <w:tc>
          <w:tcPr>
            <w:tcW w:w="10840" w:type="dxa"/>
            <w:vAlign w:val="bottom"/>
            <w:gridSpan w:val="39"/>
          </w:tcPr>
          <w:p>
            <w:pPr>
              <w:spacing w:after="0" w:line="190" w:lineRule="exact"/>
              <w:rPr>
                <w:sz w:val="20"/>
                <w:szCs w:val="20"/>
                <w:color w:val="auto"/>
              </w:rPr>
            </w:pPr>
            <w:r>
              <w:rPr>
                <w:rFonts w:ascii="Arial" w:cs="Arial" w:eastAsia="Arial" w:hAnsi="Arial"/>
                <w:sz w:val="18"/>
                <w:szCs w:val="18"/>
                <w:color w:val="auto"/>
                <w:w w:val="91"/>
              </w:rPr>
              <w:t>restated, renewed, supplemented or modified from time to time (the “364-Day Credit Agreement” and together with the 3-Year Credit Agreement and</w:t>
            </w:r>
          </w:p>
        </w:tc>
      </w:tr>
      <w:tr>
        <w:trPr>
          <w:trHeight w:val="20"/>
        </w:trPr>
        <w:tc>
          <w:tcPr>
            <w:tcW w:w="58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840" w:type="dxa"/>
            <w:vAlign w:val="bottom"/>
            <w:gridSpan w:val="39"/>
          </w:tcPr>
          <w:p>
            <w:pPr>
              <w:spacing w:after="0" w:line="196" w:lineRule="exact"/>
              <w:rPr>
                <w:sz w:val="20"/>
                <w:szCs w:val="20"/>
                <w:color w:val="auto"/>
              </w:rPr>
            </w:pPr>
            <w:r>
              <w:rPr>
                <w:rFonts w:ascii="Arial" w:cs="Arial" w:eastAsia="Arial" w:hAnsi="Arial"/>
                <w:sz w:val="18"/>
                <w:szCs w:val="18"/>
                <w:color w:val="auto"/>
                <w:w w:val="96"/>
              </w:rPr>
              <w:t>the 5-Year Credit Agreement, the “Credit Agreements” and each a “Credit Agreement”), among the Company, GMF, GMGTC, the Subsidiary</w:t>
            </w:r>
          </w:p>
        </w:tc>
      </w:tr>
      <w:tr>
        <w:trPr>
          <w:trHeight w:val="20"/>
        </w:trPr>
        <w:tc>
          <w:tcPr>
            <w:tcW w:w="58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840" w:type="dxa"/>
            <w:vAlign w:val="bottom"/>
            <w:gridSpan w:val="39"/>
          </w:tcPr>
          <w:p>
            <w:pPr>
              <w:spacing w:after="0" w:line="196" w:lineRule="exact"/>
              <w:rPr>
                <w:sz w:val="20"/>
                <w:szCs w:val="20"/>
                <w:color w:val="auto"/>
              </w:rPr>
            </w:pPr>
            <w:r>
              <w:rPr>
                <w:rFonts w:ascii="Arial" w:cs="Arial" w:eastAsia="Arial" w:hAnsi="Arial"/>
                <w:sz w:val="18"/>
                <w:szCs w:val="18"/>
                <w:color w:val="auto"/>
                <w:w w:val="94"/>
              </w:rPr>
              <w:t>Borrowers from time to time party thereto, the lenders from time to time party thereto, as lenders (the “364-Day Lenders” and together with the 3-</w:t>
            </w:r>
          </w:p>
        </w:tc>
      </w:tr>
      <w:tr>
        <w:trPr>
          <w:trHeight w:val="20"/>
        </w:trPr>
        <w:tc>
          <w:tcPr>
            <w:tcW w:w="58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840" w:type="dxa"/>
            <w:vAlign w:val="bottom"/>
            <w:gridSpan w:val="39"/>
          </w:tcPr>
          <w:p>
            <w:pPr>
              <w:spacing w:after="0" w:line="196" w:lineRule="exact"/>
              <w:rPr>
                <w:sz w:val="20"/>
                <w:szCs w:val="20"/>
                <w:color w:val="auto"/>
              </w:rPr>
            </w:pPr>
            <w:r>
              <w:rPr>
                <w:rFonts w:ascii="Arial" w:cs="Arial" w:eastAsia="Arial" w:hAnsi="Arial"/>
                <w:sz w:val="18"/>
                <w:szCs w:val="18"/>
                <w:color w:val="auto"/>
                <w:w w:val="91"/>
              </w:rPr>
              <w:t>Year Lenders and the 5-Year Lenders, the “Lenders”), JPM as the Administrative Agent for the 364-Day Lenders (in such capacity, together with any</w:t>
            </w:r>
          </w:p>
        </w:tc>
      </w:tr>
      <w:tr>
        <w:trPr>
          <w:trHeight w:val="20"/>
        </w:trPr>
        <w:tc>
          <w:tcPr>
            <w:tcW w:w="58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5740" w:type="dxa"/>
            <w:vAlign w:val="bottom"/>
            <w:gridSpan w:val="17"/>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840" w:type="dxa"/>
            <w:vAlign w:val="bottom"/>
            <w:gridSpan w:val="39"/>
          </w:tcPr>
          <w:p>
            <w:pPr>
              <w:spacing w:after="0" w:line="196" w:lineRule="exact"/>
              <w:rPr>
                <w:sz w:val="20"/>
                <w:szCs w:val="20"/>
                <w:color w:val="auto"/>
              </w:rPr>
            </w:pPr>
            <w:r>
              <w:rPr>
                <w:rFonts w:ascii="Arial" w:cs="Arial" w:eastAsia="Arial" w:hAnsi="Arial"/>
                <w:sz w:val="18"/>
                <w:szCs w:val="18"/>
                <w:color w:val="auto"/>
                <w:w w:val="99"/>
              </w:rPr>
              <w:t>successor thereto in such capacity, the “364-Day Administrative Agent” and together with the 3-Year Administrative Agent and the 5-Year</w:t>
            </w:r>
          </w:p>
        </w:tc>
      </w:tr>
      <w:tr>
        <w:trPr>
          <w:trHeight w:val="20"/>
        </w:trPr>
        <w:tc>
          <w:tcPr>
            <w:tcW w:w="58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600" w:type="dxa"/>
            <w:vAlign w:val="bottom"/>
            <w:tcBorders>
              <w:left w:val="single" w:sz="8" w:color="auto"/>
            </w:tcBorders>
            <w:gridSpan w:val="8"/>
            <w:shd w:val="clear" w:color="auto" w:fill="000000"/>
          </w:tcPr>
          <w:p>
            <w:pPr>
              <w:spacing w:after="0" w:line="20" w:lineRule="exact"/>
              <w:rPr>
                <w:sz w:val="1"/>
                <w:szCs w:val="1"/>
                <w:color w:val="auto"/>
              </w:rPr>
            </w:pPr>
          </w:p>
        </w:tc>
        <w:tc>
          <w:tcPr>
            <w:tcW w:w="5740" w:type="dxa"/>
            <w:vAlign w:val="bottom"/>
            <w:gridSpan w:val="17"/>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840" w:type="dxa"/>
            <w:vAlign w:val="bottom"/>
            <w:gridSpan w:val="39"/>
          </w:tcPr>
          <w:p>
            <w:pPr>
              <w:spacing w:after="0" w:line="196" w:lineRule="exact"/>
              <w:rPr>
                <w:sz w:val="20"/>
                <w:szCs w:val="20"/>
                <w:color w:val="auto"/>
              </w:rPr>
            </w:pPr>
            <w:r>
              <w:rPr>
                <w:rFonts w:ascii="Arial" w:cs="Arial" w:eastAsia="Arial" w:hAnsi="Arial"/>
                <w:sz w:val="18"/>
                <w:szCs w:val="18"/>
                <w:color w:val="auto"/>
              </w:rPr>
              <w:t>Administrative Agent, the “Administrative Agent”), the Syndication Agent, the Co-Syndication Agent, and the other agents party thereto.</w:t>
            </w: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59" w:name="page460"/>
    <w:bookmarkEnd w:id="459"/>
    <w:p>
      <w:pPr>
        <w:ind w:right="4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Compliance Certificate (this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is furnished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66" w:lineRule="exact"/>
        <w:rPr>
          <w:sz w:val="20"/>
          <w:szCs w:val="20"/>
          <w:color w:val="auto"/>
        </w:rPr>
      </w:pPr>
    </w:p>
    <w:p>
      <w:pPr>
        <w:ind w:left="640" w:hanging="176"/>
        <w:spacing w:after="0"/>
        <w:tabs>
          <w:tab w:leader="none" w:pos="6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I am [the] [a] duly elected [insert title of Responsible Officer] of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 xml:space="preserve">To the best of my knowledge, no Default or Event of Default has occurred and is continuing as of the date hereof [, except as set forth in </w:t>
      </w:r>
      <w:r>
        <w:rPr>
          <w:rFonts w:ascii="Arial" w:cs="Arial" w:eastAsia="Arial" w:hAnsi="Arial"/>
          <w:sz w:val="16"/>
          <w:szCs w:val="16"/>
          <w:u w:val="single" w:color="auto"/>
          <w:color w:val="auto"/>
        </w:rPr>
        <w:t>Annex 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10" w:lineRule="exact"/>
        <w:rPr>
          <w:rFonts w:ascii="Arial" w:cs="Arial" w:eastAsia="Arial" w:hAnsi="Arial"/>
          <w:sz w:val="16"/>
          <w:szCs w:val="16"/>
          <w:color w:val="auto"/>
        </w:rPr>
      </w:pPr>
    </w:p>
    <w:p>
      <w:pPr>
        <w:ind w:firstLine="464"/>
        <w:spacing w:after="0" w:line="277" w:lineRule="auto"/>
        <w:tabs>
          <w:tab w:leader="none" w:pos="636"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 and</w:t>
      </w:r>
    </w:p>
    <w:p>
      <w:pPr>
        <w:spacing w:after="0" w:line="170" w:lineRule="exact"/>
        <w:rPr>
          <w:rFonts w:ascii="Arial" w:cs="Arial" w:eastAsia="Arial" w:hAnsi="Arial"/>
          <w:sz w:val="18"/>
          <w:szCs w:val="18"/>
          <w:color w:val="auto"/>
        </w:rPr>
      </w:pPr>
    </w:p>
    <w:p>
      <w:pPr>
        <w:ind w:right="140" w:firstLine="464"/>
        <w:spacing w:after="0" w:line="277" w:lineRule="auto"/>
        <w:tabs>
          <w:tab w:leader="none" w:pos="636"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340"/>
          </w:cols>
          <w:pgMar w:left="240" w:top="274" w:right="319" w:bottom="1440" w:gutter="0" w:footer="0" w:header="0"/>
        </w:sectPr>
      </w:pPr>
    </w:p>
    <w:bookmarkStart w:id="460" w:name="page461"/>
    <w:bookmarkEnd w:id="46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foregoing certifications, together with the calculations set forth in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are made and delivered in my capacity described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for and on behalf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-130810</wp:posOffset>
            </wp:positionV>
            <wp:extent cx="252158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22860</wp:posOffset>
            </wp:positionV>
            <wp:extent cx="252158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-121920</wp:posOffset>
            </wp:positionV>
            <wp:extent cx="252158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140"/>
          </w:cols>
          <w:pgMar w:left="240" w:top="274" w:right="519" w:bottom="1440" w:gutter="0" w:footer="0" w:header="0"/>
        </w:sectPr>
      </w:pPr>
    </w:p>
    <w:bookmarkStart w:id="461" w:name="page462"/>
    <w:bookmarkEnd w:id="461"/>
    <w:p>
      <w:pPr>
        <w:jc w:val="center"/>
        <w:ind w:left="9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7"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360"/>
        <w:spacing w:after="0"/>
        <w:rPr>
          <w:sz w:val="20"/>
          <w:szCs w:val="20"/>
          <w:color w:val="auto"/>
        </w:rPr>
      </w:pPr>
      <w:r>
        <w:rPr>
          <w:rFonts w:ascii="Arial" w:cs="Arial" w:eastAsia="Arial" w:hAnsi="Arial"/>
          <w:sz w:val="16"/>
          <w:szCs w:val="16"/>
          <w:b w:val="1"/>
          <w:bCs w:val="1"/>
          <w:color w:val="auto"/>
        </w:rPr>
        <w:t>Compliance Certificate</w:t>
      </w:r>
    </w:p>
    <w:p>
      <w:pPr>
        <w:spacing w:after="0" w:line="247" w:lineRule="exact"/>
        <w:rPr>
          <w:sz w:val="20"/>
          <w:szCs w:val="20"/>
          <w:color w:val="auto"/>
        </w:rPr>
      </w:pPr>
    </w:p>
    <w:p>
      <w:pPr>
        <w:ind w:left="2792"/>
        <w:spacing w:after="0"/>
        <w:tabs>
          <w:tab w:leader="none" w:pos="6312" w:val="left"/>
          <w:tab w:leader="none" w:pos="6772" w:val="left"/>
        </w:tabs>
        <w:rPr>
          <w:sz w:val="20"/>
          <w:szCs w:val="20"/>
          <w:color w:val="auto"/>
        </w:rPr>
      </w:pPr>
      <w:r>
        <w:rPr>
          <w:rFonts w:ascii="Arial" w:cs="Arial" w:eastAsia="Arial" w:hAnsi="Arial"/>
          <w:sz w:val="18"/>
          <w:szCs w:val="18"/>
          <w:color w:val="auto"/>
        </w:rPr>
        <w:t>Consolidated Domestic Liquidity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(the “Calculation Date”)</w:t>
      </w:r>
      <w:r>
        <w:rPr>
          <w:rFonts w:ascii="Arial" w:cs="Arial" w:eastAsia="Arial" w:hAnsi="Arial"/>
          <w:sz w:val="14"/>
          <w:szCs w:val="14"/>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1769110</wp:posOffset>
            </wp:positionH>
            <wp:positionV relativeFrom="paragraph">
              <wp:posOffset>-10160</wp:posOffset>
            </wp:positionV>
            <wp:extent cx="366014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32" w:lineRule="exact"/>
        <w:rPr>
          <w:sz w:val="20"/>
          <w:szCs w:val="20"/>
          <w:color w:val="auto"/>
        </w:rPr>
      </w:pPr>
    </w:p>
    <w:p>
      <w:pPr>
        <w:ind w:left="-8" w:right="5540" w:firstLine="8"/>
        <w:spacing w:after="0" w:line="277" w:lineRule="auto"/>
        <w:tabs>
          <w:tab w:leader="none" w:pos="287"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Total Available Commitments under the 3-Year Credit Agreement as of the Calculation Date</w:t>
      </w:r>
    </w:p>
    <w:p>
      <w:pPr>
        <w:spacing w:after="0" w:line="62" w:lineRule="exact"/>
        <w:rPr>
          <w:sz w:val="20"/>
          <w:szCs w:val="20"/>
          <w:color w:val="auto"/>
        </w:rPr>
      </w:pPr>
    </w:p>
    <w:p>
      <w:pPr>
        <w:ind w:left="172"/>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left="-8" w:right="5600" w:firstLine="8"/>
        <w:spacing w:after="0" w:line="277" w:lineRule="auto"/>
        <w:tabs>
          <w:tab w:leader="none" w:pos="409"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62" w:lineRule="exact"/>
        <w:rPr>
          <w:sz w:val="20"/>
          <w:szCs w:val="20"/>
          <w:color w:val="auto"/>
        </w:rPr>
      </w:pPr>
    </w:p>
    <w:p>
      <w:pPr>
        <w:ind w:left="172"/>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left="-8" w:right="5620" w:firstLine="8"/>
        <w:spacing w:after="0" w:line="277" w:lineRule="auto"/>
        <w:tabs>
          <w:tab w:leader="none" w:pos="409"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Total Available Commitments Under the 364-Day Credit Agreement as of the Calculation Date</w:t>
      </w:r>
    </w:p>
    <w:p>
      <w:pPr>
        <w:spacing w:after="0" w:line="62" w:lineRule="exact"/>
        <w:rPr>
          <w:sz w:val="20"/>
          <w:szCs w:val="20"/>
          <w:color w:val="auto"/>
        </w:rPr>
      </w:pPr>
    </w:p>
    <w:p>
      <w:pPr>
        <w:ind w:left="172"/>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left="-8" w:right="5640" w:firstLine="8"/>
        <w:spacing w:after="0" w:line="286" w:lineRule="auto"/>
        <w:tabs>
          <w:tab w:leader="none" w:pos="419" w:val="left"/>
        </w:tabs>
        <w:numPr>
          <w:ilvl w:val="0"/>
          <w:numId w:val="444"/>
        </w:numPr>
        <w:rPr>
          <w:rFonts w:ascii="Arial" w:cs="Arial" w:eastAsia="Arial" w:hAnsi="Arial"/>
          <w:sz w:val="17"/>
          <w:szCs w:val="17"/>
          <w:color w:val="auto"/>
        </w:rPr>
      </w:pPr>
      <w:r>
        <w:rPr>
          <w:rFonts w:ascii="Arial" w:cs="Arial" w:eastAsia="Arial" w:hAnsi="Arial"/>
          <w:sz w:val="17"/>
          <w:szCs w:val="17"/>
          <w:color w:val="auto"/>
        </w:rPr>
        <w:t>The total available commitments (after giving effect to any applicable borrowing base limitations) under other effective committed credit facilities of the Company or any Domestic Subsidiary as of the Calculation Date.</w:t>
      </w:r>
    </w:p>
    <w:p>
      <w:pPr>
        <w:spacing w:after="0" w:line="57" w:lineRule="exact"/>
        <w:rPr>
          <w:sz w:val="20"/>
          <w:szCs w:val="20"/>
          <w:color w:val="auto"/>
        </w:rPr>
      </w:pPr>
    </w:p>
    <w:p>
      <w:pPr>
        <w:ind w:left="172"/>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left="-8" w:right="5640" w:firstLine="8"/>
        <w:spacing w:after="0" w:line="291" w:lineRule="auto"/>
        <w:tabs>
          <w:tab w:leader="none" w:pos="399"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898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12" w:hanging="212"/>
        <w:spacing w:after="0" w:line="277" w:lineRule="auto"/>
        <w:tabs>
          <w:tab w:leader="none" w:pos="212" w:val="left"/>
        </w:tabs>
        <w:numPr>
          <w:ilvl w:val="0"/>
          <w:numId w:val="446"/>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1292"/>
          </w:cols>
          <w:pgMar w:left="248" w:top="270" w:right="359" w:bottom="1440" w:gutter="0" w:footer="0" w:header="0"/>
        </w:sectPr>
      </w:pPr>
    </w:p>
    <w:bookmarkStart w:id="462" w:name="page463"/>
    <w:bookmarkEnd w:id="462"/>
    <w:p>
      <w:pPr>
        <w:spacing w:after="0"/>
        <w:rPr>
          <w:sz w:val="20"/>
          <w:szCs w:val="20"/>
          <w:color w:val="auto"/>
        </w:rPr>
      </w:pPr>
      <w:r>
        <w:rPr>
          <w:rFonts w:ascii="Arial" w:cs="Arial" w:eastAsia="Arial" w:hAnsi="Arial"/>
          <w:sz w:val="16"/>
          <w:szCs w:val="16"/>
          <w:u w:val="single" w:color="auto"/>
          <w:color w:val="auto"/>
        </w:rPr>
        <w:t>Sum of (A) plus (B) plus (C) plus (D) plus (E):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Domestic Liquidity: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-400685</wp:posOffset>
            </wp:positionV>
            <wp:extent cx="72891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18415</wp:posOffset>
            </wp:positionV>
            <wp:extent cx="9144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ectPr>
          <w:pgSz w:w="11900" w:h="16838" w:orient="portrait"/>
          <w:cols w:equalWidth="0" w:num="2">
            <w:col w:w="5340" w:space="720"/>
            <w:col w:w="4159"/>
          </w:cols>
          <w:pgMar w:left="240" w:top="381" w:right="1440" w:bottom="1440" w:gutter="0" w:footer="0" w:header="0"/>
        </w:sectPr>
      </w:pPr>
    </w:p>
    <w:bookmarkStart w:id="463" w:name="page464"/>
    <w:bookmarkEnd w:id="463"/>
    <w:p>
      <w:pPr>
        <w:jc w:val="center"/>
        <w:ind w:left="9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7"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360"/>
        <w:spacing w:after="0"/>
        <w:rPr>
          <w:sz w:val="20"/>
          <w:szCs w:val="20"/>
          <w:color w:val="auto"/>
        </w:rPr>
      </w:pPr>
      <w:r>
        <w:rPr>
          <w:rFonts w:ascii="Arial" w:cs="Arial" w:eastAsia="Arial" w:hAnsi="Arial"/>
          <w:sz w:val="16"/>
          <w:szCs w:val="16"/>
          <w:b w:val="1"/>
          <w:bCs w:val="1"/>
          <w:color w:val="auto"/>
        </w:rPr>
        <w:t>Compliance Certificate</w:t>
      </w:r>
    </w:p>
    <w:p>
      <w:pPr>
        <w:spacing w:after="0" w:line="247" w:lineRule="exact"/>
        <w:rPr>
          <w:sz w:val="20"/>
          <w:szCs w:val="20"/>
          <w:color w:val="auto"/>
        </w:rPr>
      </w:pPr>
    </w:p>
    <w:p>
      <w:pPr>
        <w:ind w:left="460"/>
        <w:spacing w:after="0"/>
        <w:tabs>
          <w:tab w:leader="none" w:pos="3800" w:val="left"/>
          <w:tab w:leader="none" w:pos="4420" w:val="left"/>
        </w:tabs>
        <w:rPr>
          <w:sz w:val="20"/>
          <w:szCs w:val="20"/>
          <w:color w:val="auto"/>
        </w:rPr>
      </w:pPr>
      <w:r>
        <w:rPr>
          <w:rFonts w:ascii="Arial" w:cs="Arial" w:eastAsia="Arial" w:hAnsi="Arial"/>
          <w:sz w:val="18"/>
          <w:szCs w:val="18"/>
          <w:color w:val="auto"/>
        </w:rPr>
        <w:t>Consolidated Global Liquidity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(the “Calculation Date”)</w:t>
      </w:r>
      <w:r>
        <w:rPr>
          <w:rFonts w:ascii="Arial" w:cs="Arial" w:eastAsia="Arial" w:hAnsi="Arial"/>
          <w:sz w:val="14"/>
          <w:szCs w:val="14"/>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364744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647440" cy="8890"/>
                    </a:xfrm>
                    <a:prstGeom prst="rect">
                      <a:avLst/>
                    </a:prstGeom>
                    <a:noFill/>
                  </pic:spPr>
                </pic:pic>
              </a:graphicData>
            </a:graphic>
          </wp:anchor>
        </w:drawing>
      </w:r>
    </w:p>
    <w:p>
      <w:pPr>
        <w:spacing w:after="0" w:line="232" w:lineRule="exact"/>
        <w:rPr>
          <w:sz w:val="20"/>
          <w:szCs w:val="20"/>
          <w:color w:val="auto"/>
        </w:rPr>
      </w:pPr>
    </w:p>
    <w:p>
      <w:pPr>
        <w:ind w:right="5600" w:firstLine="8"/>
        <w:spacing w:after="0" w:line="277" w:lineRule="auto"/>
        <w:tabs>
          <w:tab w:leader="none" w:pos="427"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Total Available Commitments under the 3-Year Credit Agreement as of the Calculation Date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600" w:firstLine="8"/>
        <w:spacing w:after="0" w:line="277" w:lineRule="auto"/>
        <w:tabs>
          <w:tab w:leader="none" w:pos="417"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620" w:firstLine="8"/>
        <w:spacing w:after="0" w:line="277" w:lineRule="auto"/>
        <w:tabs>
          <w:tab w:leader="none" w:pos="417" w:val="left"/>
        </w:tabs>
        <w:numPr>
          <w:ilvl w:val="0"/>
          <w:numId w:val="44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Total Available Commitments Under the 364-Day Credit Agreement as of the Calculation Date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640" w:firstLine="8"/>
        <w:spacing w:after="0" w:line="286" w:lineRule="auto"/>
        <w:tabs>
          <w:tab w:leader="none" w:pos="427"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The total available commitments (after giving effect to any applicable borrowing base limitations) under other effective committed credit facilities of the Company or any of its Subsidiaries as of the Calculation Date.</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800" w:firstLine="8"/>
        <w:spacing w:after="0" w:line="276" w:lineRule="auto"/>
        <w:tabs>
          <w:tab w:leader="none" w:pos="407"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ectPr>
          <w:pgSz w:w="11900" w:h="16838" w:orient="portrait"/>
          <w:cols w:equalWidth="0" w:num="1">
            <w:col w:w="11300"/>
          </w:cols>
          <w:pgMar w:left="240" w:top="269" w:right="35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Sum of (A) plus (B) plus (C) plus (D) plus (E):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Global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18415</wp:posOffset>
            </wp:positionV>
            <wp:extent cx="117157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2">
            <w:col w:w="5340" w:space="720"/>
            <w:col w:w="5240"/>
          </w:cols>
          <w:pgMar w:left="240" w:top="269" w:right="359" w:bottom="1440" w:gutter="0" w:footer="0" w:header="0"/>
          <w:type w:val="continuous"/>
        </w:sectPr>
      </w:pPr>
    </w:p>
    <w:p>
      <w:pPr>
        <w:ind w:left="220" w:hanging="212"/>
        <w:spacing w:after="0" w:line="277" w:lineRule="auto"/>
        <w:tabs>
          <w:tab w:leader="none" w:pos="220" w:val="left"/>
        </w:tabs>
        <w:numPr>
          <w:ilvl w:val="0"/>
          <w:numId w:val="452"/>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1300"/>
          </w:cols>
          <w:pgMar w:left="240" w:top="269" w:right="359" w:bottom="1440" w:gutter="0" w:footer="0" w:header="0"/>
          <w:type w:val="continuous"/>
        </w:sectPr>
      </w:pPr>
    </w:p>
    <w:bookmarkStart w:id="464" w:name="page465"/>
    <w:bookmarkEnd w:id="464"/>
    <w:p>
      <w:pPr>
        <w:jc w:val="center"/>
        <w:ind w:left="9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7"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360"/>
        <w:spacing w:after="0"/>
        <w:rPr>
          <w:sz w:val="20"/>
          <w:szCs w:val="20"/>
          <w:color w:val="auto"/>
        </w:rPr>
      </w:pPr>
      <w:r>
        <w:rPr>
          <w:rFonts w:ascii="Arial" w:cs="Arial" w:eastAsia="Arial" w:hAnsi="Arial"/>
          <w:sz w:val="16"/>
          <w:szCs w:val="16"/>
          <w:b w:val="1"/>
          <w:bCs w:val="1"/>
          <w:color w:val="auto"/>
        </w:rPr>
        <w:t>Compliance Certificate</w:t>
      </w:r>
    </w:p>
    <w:p>
      <w:pPr>
        <w:spacing w:after="0" w:line="24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[Defaults/Events of Default that have occurred and are continuing]</w:t>
      </w:r>
    </w:p>
    <w:p>
      <w:pPr>
        <w:sectPr>
          <w:pgSz w:w="11900" w:h="16838" w:orient="portrait"/>
          <w:cols w:equalWidth="0" w:num="1">
            <w:col w:w="10080"/>
          </w:cols>
          <w:pgMar w:left="1440" w:top="270" w:right="379" w:bottom="1440" w:gutter="0" w:footer="0" w:header="0"/>
        </w:sectPr>
      </w:pPr>
    </w:p>
    <w:bookmarkStart w:id="465" w:name="page466"/>
    <w:bookmarkEnd w:id="465"/>
    <w:p>
      <w:pPr>
        <w:jc w:val="center"/>
        <w:ind w:left="9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K</w:t>
      </w:r>
    </w:p>
    <w:p>
      <w:pPr>
        <w:spacing w:after="0" w:line="27"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5"/>
          </w:tcPr>
          <w:p>
            <w:pPr>
              <w:jc w:val="right"/>
              <w:spacing w:after="0"/>
              <w:rPr>
                <w:sz w:val="20"/>
                <w:szCs w:val="20"/>
                <w:color w:val="auto"/>
              </w:rPr>
            </w:pPr>
            <w:r>
              <w:rPr>
                <w:rFonts w:ascii="Arial" w:cs="Arial" w:eastAsia="Arial" w:hAnsi="Arial"/>
                <w:sz w:val="18"/>
                <w:szCs w:val="18"/>
                <w:color w:val="auto"/>
              </w:rPr>
              <w:t>New York, New York</w:t>
            </w:r>
          </w:p>
        </w:tc>
      </w:tr>
      <w:tr>
        <w:trPr>
          <w:trHeight w:val="190"/>
        </w:trPr>
        <w:tc>
          <w:tcPr>
            <w:tcW w:w="100" w:type="dxa"/>
            <w:vAlign w:val="bottom"/>
            <w:gridSpan w:val="2"/>
          </w:tcPr>
          <w:p>
            <w:pPr>
              <w:spacing w:after="0" w:line="190" w:lineRule="exact"/>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3"/>
          </w:tcPr>
          <w:p>
            <w:pPr>
              <w:jc w:val="right"/>
              <w:ind w:right="180"/>
              <w:spacing w:after="0" w:line="190" w:lineRule="exact"/>
              <w:rPr>
                <w:sz w:val="20"/>
                <w:szCs w:val="20"/>
                <w:color w:val="auto"/>
              </w:rPr>
            </w:pPr>
            <w:r>
              <w:rPr>
                <w:rFonts w:ascii="Arial" w:cs="Arial" w:eastAsia="Arial" w:hAnsi="Arial"/>
                <w:sz w:val="18"/>
                <w:szCs w:val="18"/>
                <w:color w:val="auto"/>
              </w:rPr>
              <w:t>, 20</w:t>
            </w: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43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320" w:type="dxa"/>
            <w:vAlign w:val="bottom"/>
            <w:gridSpan w:val="10"/>
          </w:tcPr>
          <w:p>
            <w:pPr>
              <w:jc w:val="right"/>
              <w:ind w:right="540"/>
              <w:spacing w:after="0"/>
              <w:rPr>
                <w:sz w:val="20"/>
                <w:szCs w:val="20"/>
                <w:color w:val="auto"/>
              </w:rPr>
            </w:pPr>
            <w:r>
              <w:rPr>
                <w:rFonts w:ascii="Arial" w:cs="Arial" w:eastAsia="Arial" w:hAnsi="Arial"/>
                <w:sz w:val="18"/>
                <w:szCs w:val="18"/>
                <w:color w:val="auto"/>
                <w:w w:val="98"/>
              </w:rPr>
              <w:t>FOR VALUE RECEIVED, the undersigned, [NAME OF BORROWER], [JURISDICTION OF INCORPORATION/FORMATION], [TYPE OF</w:t>
            </w:r>
          </w:p>
        </w:tc>
      </w:tr>
      <w:tr>
        <w:trPr>
          <w:trHeight w:val="190"/>
        </w:trPr>
        <w:tc>
          <w:tcPr>
            <w:tcW w:w="10440" w:type="dxa"/>
            <w:vAlign w:val="bottom"/>
            <w:gridSpan w:val="9"/>
          </w:tcPr>
          <w:p>
            <w:pPr>
              <w:spacing w:after="0" w:line="190" w:lineRule="exact"/>
              <w:rPr>
                <w:sz w:val="20"/>
                <w:szCs w:val="20"/>
                <w:color w:val="auto"/>
              </w:rPr>
            </w:pPr>
            <w:r>
              <w:rPr>
                <w:rFonts w:ascii="Arial" w:cs="Arial" w:eastAsia="Arial" w:hAnsi="Arial"/>
                <w:sz w:val="18"/>
                <w:szCs w:val="18"/>
                <w:color w:val="auto"/>
                <w:w w:val="93"/>
              </w:rPr>
              <w:t>ORGANIZATION] (together with its successors and permitted assigns, the “Applicable Borrower”), hereby unconditionally promises to pay to</w:t>
            </w:r>
          </w:p>
        </w:tc>
        <w:tc>
          <w:tcPr>
            <w:tcW w:w="980" w:type="dxa"/>
            <w:vAlign w:val="bottom"/>
            <w:gridSpan w:val="3"/>
          </w:tcPr>
          <w:p>
            <w:pPr>
              <w:jc w:val="right"/>
              <w:ind w:right="220"/>
              <w:spacing w:after="0" w:line="190" w:lineRule="exact"/>
              <w:rPr>
                <w:sz w:val="20"/>
                <w:szCs w:val="20"/>
                <w:color w:val="auto"/>
              </w:rPr>
            </w:pPr>
            <w:r>
              <w:rPr>
                <w:rFonts w:ascii="Arial" w:cs="Arial" w:eastAsia="Arial" w:hAnsi="Arial"/>
                <w:sz w:val="18"/>
                <w:szCs w:val="18"/>
                <w:color w:val="auto"/>
              </w:rPr>
              <w:t>(the</w:t>
            </w:r>
          </w:p>
        </w:tc>
      </w:tr>
      <w:tr>
        <w:trPr>
          <w:trHeight w:val="20"/>
        </w:trPr>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r>
      <w:tr>
        <w:trPr>
          <w:trHeight w:val="196"/>
        </w:trPr>
        <w:tc>
          <w:tcPr>
            <w:tcW w:w="11420" w:type="dxa"/>
            <w:vAlign w:val="bottom"/>
            <w:gridSpan w:val="12"/>
          </w:tcPr>
          <w:p>
            <w:pPr>
              <w:spacing w:after="0" w:line="196" w:lineRule="exact"/>
              <w:rPr>
                <w:sz w:val="20"/>
                <w:szCs w:val="20"/>
                <w:color w:val="auto"/>
              </w:rPr>
            </w:pPr>
            <w:r>
              <w:rPr>
                <w:rFonts w:ascii="Arial" w:cs="Arial" w:eastAsia="Arial" w:hAnsi="Arial"/>
                <w:sz w:val="18"/>
                <w:szCs w:val="18"/>
                <w:color w:val="auto"/>
                <w:w w:val="96"/>
              </w:rPr>
              <w:t>“Lender”) or its registered assigns, on the Lender’s Termination Date specified in the Credit Agreement (as hereinafter defined) at the Funding Office</w:t>
            </w:r>
          </w:p>
        </w:tc>
      </w:tr>
      <w:tr>
        <w:trPr>
          <w:trHeight w:val="20"/>
        </w:trPr>
        <w:tc>
          <w:tcPr>
            <w:tcW w:w="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0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37"/>
        </w:trPr>
        <w:tc>
          <w:tcPr>
            <w:tcW w:w="9620" w:type="dxa"/>
            <w:vAlign w:val="bottom"/>
            <w:gridSpan w:val="7"/>
          </w:tcPr>
          <w:p>
            <w:pPr>
              <w:spacing w:after="0"/>
              <w:rPr>
                <w:sz w:val="20"/>
                <w:szCs w:val="20"/>
                <w:color w:val="auto"/>
              </w:rPr>
            </w:pPr>
            <w:r>
              <w:rPr>
                <w:rFonts w:ascii="Arial" w:cs="Arial" w:eastAsia="Arial" w:hAnsi="Arial"/>
                <w:sz w:val="18"/>
                <w:szCs w:val="18"/>
                <w:color w:val="auto"/>
                <w:w w:val="93"/>
              </w:rPr>
              <w:t>specified in such Credit Agreement, in the currency of such Loans and in immediately available funds, the principal amount of (a)</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or, if less,</w:t>
            </w:r>
          </w:p>
        </w:tc>
      </w:tr>
    </w:tbl>
    <w:p>
      <w:pPr>
        <w:jc w:val="both"/>
        <w:ind w:firstLine="8"/>
        <w:spacing w:after="0" w:line="255" w:lineRule="auto"/>
        <w:tabs>
          <w:tab w:leader="none" w:pos="25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the unpaid principal amount of the Loans of the Lender outstanding under the Credit Agreement. The Applicable Borrower further 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Credit Agreement.</w:t>
      </w:r>
    </w:p>
    <w:p>
      <w:pPr>
        <w:spacing w:after="0" w:line="19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 xml:space="preserve">The holder of this Note is authorized to endorse on the schedules annexed hereto and made a part hereof or on a continuation thereof which shall be attached hereto and made a part hereof the date, Facility, Type, Currency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 </w:t>
      </w:r>
      <w:r>
        <w:rPr>
          <w:rFonts w:ascii="Arial" w:cs="Arial" w:eastAsia="Arial" w:hAnsi="Arial"/>
          <w:sz w:val="18"/>
          <w:szCs w:val="18"/>
          <w:u w:val="single" w:color="auto"/>
          <w:color w:val="auto"/>
        </w:rPr>
        <w:t>Section 10.6(b)</w:t>
      </w:r>
      <w:r>
        <w:rPr>
          <w:rFonts w:ascii="Arial" w:cs="Arial" w:eastAsia="Arial" w:hAnsi="Arial"/>
          <w:sz w:val="18"/>
          <w:szCs w:val="18"/>
          <w:color w:val="auto"/>
        </w:rPr>
        <w:t xml:space="preserve"> of the Credit Agreement, each such endorsement shall constitute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Note (a) is one of the Notes referred to in the Third Amended and Restated Five Year Revolving Credit Agreement, dated as of April 18, 2018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General Motors Financial Company, Inc., a Texas corporation, GM Global Treasury Centre Limited, a corporation organized under the laws of England and Wales, General Motors do Brasil Ltda., a</w:t>
      </w:r>
    </w:p>
    <w:p>
      <w:pPr>
        <w:sectPr>
          <w:pgSz w:w="11900" w:h="16838" w:orient="portrait"/>
          <w:cols w:equalWidth="0" w:num="1">
            <w:col w:w="11420"/>
          </w:cols>
          <w:pgMar w:left="240" w:top="270" w:right="239" w:bottom="1440" w:gutter="0" w:footer="0" w:header="0"/>
        </w:sectPr>
      </w:pPr>
    </w:p>
    <w:bookmarkStart w:id="466" w:name="page467"/>
    <w:bookmarkEnd w:id="466"/>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Brazilian limited liability company, the Subsidiary Borrowers from time to time party thereto, the Lender, the other lenders from time to time party thereto, JPMorgan Chase Bank, N.A., as Administrative Agent, Banco do Brasil S.A., as Brazilian Administrative Agent, 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NOTE SHALL BE GOVERNED BY, AND CONSTRUED AND INTERPRETED IN ACCORDANCE WITH, THE LAW OF THE STATE OF NEW YORK.</w:t>
      </w:r>
    </w:p>
    <w:p>
      <w:pPr>
        <w:spacing w:after="0" w:line="7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APPLICABLE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467" w:name="page468"/>
    <w:bookmarkEnd w:id="467"/>
    <w:p>
      <w:pPr>
        <w:jc w:val="center"/>
        <w:ind w:left="10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7" w:lineRule="exact"/>
        <w:rPr>
          <w:sz w:val="20"/>
          <w:szCs w:val="20"/>
          <w:color w:val="auto"/>
        </w:rPr>
      </w:pPr>
    </w:p>
    <w:p>
      <w:pPr>
        <w:jc w:val="center"/>
        <w:ind w:left="101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10180"/>
        <w:spacing w:after="0"/>
        <w:rPr>
          <w:sz w:val="20"/>
          <w:szCs w:val="20"/>
          <w:color w:val="auto"/>
        </w:rPr>
      </w:pPr>
      <w:r>
        <w:rPr>
          <w:rFonts w:ascii="Arial" w:cs="Arial" w:eastAsia="Arial" w:hAnsi="Arial"/>
          <w:sz w:val="18"/>
          <w:szCs w:val="18"/>
          <w:b w:val="1"/>
          <w:bCs w:val="1"/>
          <w:color w:val="auto"/>
        </w:rPr>
        <w:t>Note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LOANS, CONVERSIONS AND REPAYMENTS OF ABR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Amount</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Amount of Principal</w:t>
            </w: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color w:val="auto"/>
                <w:w w:val="99"/>
              </w:rPr>
              <w:t>Amount of ABR</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color w:val="auto"/>
                <w:w w:val="96"/>
              </w:rPr>
              <w:t>Unpaid Principal</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color w:val="auto"/>
              </w:rPr>
              <w:t>Date</w:t>
            </w:r>
          </w:p>
        </w:tc>
        <w:tc>
          <w:tcPr>
            <w:tcW w:w="44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rPr>
              <w:t>Amount of</w:t>
            </w: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Converted to</w:t>
            </w: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of ABR Loans</w:t>
            </w: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Loans Converted to</w:t>
            </w: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Balance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rPr>
              <w:t>Facility</w:t>
            </w:r>
          </w:p>
        </w:tc>
        <w:tc>
          <w:tcPr>
            <w:tcW w:w="980" w:type="dxa"/>
            <w:vAlign w:val="bottom"/>
            <w:gridSpan w:val="2"/>
          </w:tcPr>
          <w:p>
            <w:pPr>
              <w:spacing w:after="0"/>
              <w:rPr>
                <w:sz w:val="20"/>
                <w:szCs w:val="20"/>
                <w:color w:val="auto"/>
              </w:rPr>
            </w:pPr>
            <w:r>
              <w:rPr>
                <w:rFonts w:ascii="Arial" w:cs="Arial" w:eastAsia="Arial" w:hAnsi="Arial"/>
                <w:sz w:val="14"/>
                <w:szCs w:val="14"/>
                <w:color w:val="auto"/>
              </w:rPr>
              <w:t>Currency</w:t>
            </w: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ABR Loans</w:t>
            </w: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color w:val="auto"/>
                <w:w w:val="98"/>
              </w:rPr>
              <w:t>ABR Loans</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Repaid</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Eurocurrency Loans</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of ABR Loans</w:t>
            </w:r>
          </w:p>
        </w:tc>
        <w:tc>
          <w:tcPr>
            <w:tcW w:w="540" w:type="dxa"/>
            <w:vAlign w:val="bottom"/>
          </w:tcPr>
          <w:p>
            <w:pPr>
              <w:spacing w:after="0"/>
              <w:rPr>
                <w:sz w:val="20"/>
                <w:szCs w:val="20"/>
                <w:color w:val="auto"/>
              </w:rPr>
            </w:pPr>
            <w:r>
              <w:rPr>
                <w:rFonts w:ascii="Arial" w:cs="Arial" w:eastAsia="Arial" w:hAnsi="Arial"/>
                <w:sz w:val="14"/>
                <w:szCs w:val="14"/>
                <w:color w:val="auto"/>
                <w:w w:val="94"/>
              </w:rPr>
              <w:t>Made By</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9" w:right="239" w:bottom="1440" w:gutter="0" w:footer="0" w:header="0"/>
        </w:sectPr>
      </w:pPr>
    </w:p>
    <w:bookmarkStart w:id="468" w:name="page469"/>
    <w:bookmarkEnd w:id="468"/>
    <w:p>
      <w:pPr>
        <w:jc w:val="center"/>
        <w:ind w:left="10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7" w:lineRule="exact"/>
        <w:rPr>
          <w:sz w:val="20"/>
          <w:szCs w:val="20"/>
          <w:color w:val="auto"/>
        </w:rPr>
      </w:pPr>
    </w:p>
    <w:p>
      <w:pPr>
        <w:jc w:val="center"/>
        <w:ind w:left="1018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10180"/>
        <w:spacing w:after="0"/>
        <w:rPr>
          <w:sz w:val="20"/>
          <w:szCs w:val="20"/>
          <w:color w:val="auto"/>
        </w:rPr>
      </w:pPr>
      <w:r>
        <w:rPr>
          <w:rFonts w:ascii="Arial" w:cs="Arial" w:eastAsia="Arial" w:hAnsi="Arial"/>
          <w:sz w:val="18"/>
          <w:szCs w:val="18"/>
          <w:b w:val="1"/>
          <w:bCs w:val="1"/>
          <w:color w:val="auto"/>
        </w:rPr>
        <w:t>Note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LOANS, CONVERSIONS AND REPAYMENTS OF EUROCURRENCY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Unpaid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Principal</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8"/>
              </w:rPr>
              <w:t>Amount of Principal</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7"/>
              </w:rPr>
              <w:t>Amount of</w:t>
            </w:r>
          </w:p>
        </w:tc>
        <w:tc>
          <w:tcPr>
            <w:tcW w:w="3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Balance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rPr>
              <w:t>Amount of</w:t>
            </w: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of Eurocurrency</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Eurocurrency</w:t>
            </w:r>
          </w:p>
        </w:tc>
        <w:tc>
          <w:tcPr>
            <w:tcW w:w="3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of</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color w:val="auto"/>
              </w:rPr>
              <w:t>Date</w:t>
            </w:r>
          </w:p>
        </w:tc>
        <w:tc>
          <w:tcPr>
            <w:tcW w:w="38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color w:val="auto"/>
                <w:w w:val="94"/>
              </w:rPr>
              <w:t>Interest</w:t>
            </w: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Eurocurrency</w:t>
            </w: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Amount Converted to</w:t>
            </w: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Loans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3"/>
              </w:rPr>
              <w:t>Loans Converted to</w:t>
            </w: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Eurocurrency</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20" w:type="dxa"/>
            <w:vAlign w:val="bottom"/>
            <w:tcBorders>
              <w:bottom w:val="single" w:sz="8" w:color="auto"/>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Facility</w:t>
            </w:r>
          </w:p>
        </w:tc>
        <w:tc>
          <w:tcPr>
            <w:tcW w:w="36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Currency</w:t>
            </w:r>
          </w:p>
        </w:tc>
        <w:tc>
          <w:tcPr>
            <w:tcW w:w="38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3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Eurocurrency Loans</w:t>
            </w:r>
          </w:p>
        </w:tc>
        <w:tc>
          <w:tcPr>
            <w:tcW w:w="3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Repaid</w:t>
            </w:r>
          </w:p>
        </w:tc>
        <w:tc>
          <w:tcPr>
            <w:tcW w:w="3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ABR Loans</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Loans</w:t>
            </w:r>
          </w:p>
        </w:tc>
        <w:tc>
          <w:tcPr>
            <w:tcW w:w="38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Made By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469" w:name="page470"/>
    <w:bookmarkEnd w:id="469"/>
    <w:p>
      <w:pPr>
        <w:jc w:val="center"/>
        <w:ind w:left="9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L</w:t>
      </w:r>
    </w:p>
    <w:p>
      <w:pPr>
        <w:spacing w:after="0" w:line="27" w:lineRule="exact"/>
        <w:rPr>
          <w:sz w:val="20"/>
          <w:szCs w:val="20"/>
          <w:color w:val="auto"/>
        </w:rPr>
      </w:pPr>
    </w:p>
    <w:p>
      <w:pPr>
        <w:jc w:val="center"/>
        <w:ind w:left="98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9840"/>
        <w:spacing w:after="0"/>
        <w:rPr>
          <w:sz w:val="20"/>
          <w:szCs w:val="20"/>
          <w:color w:val="auto"/>
        </w:rPr>
      </w:pPr>
      <w:r>
        <w:rPr>
          <w:rFonts w:ascii="Arial" w:cs="Arial" w:eastAsia="Arial" w:hAnsi="Arial"/>
          <w:sz w:val="18"/>
          <w:szCs w:val="18"/>
          <w:b w:val="1"/>
          <w:bCs w:val="1"/>
          <w:color w:val="auto"/>
        </w:rPr>
        <w:t>Credit Agreement</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FORM OF BORROWING REQUEST</w:t>
      </w:r>
    </w:p>
    <w:p>
      <w:pPr>
        <w:spacing w:after="0" w:line="229" w:lineRule="exact"/>
        <w:rPr>
          <w:sz w:val="20"/>
          <w:szCs w:val="20"/>
          <w:color w:val="auto"/>
        </w:rPr>
      </w:pPr>
    </w:p>
    <w:p>
      <w:pPr>
        <w:ind w:right="5080"/>
        <w:spacing w:after="0" w:line="256" w:lineRule="auto"/>
        <w:rPr>
          <w:sz w:val="20"/>
          <w:szCs w:val="20"/>
          <w:color w:val="auto"/>
        </w:rPr>
      </w:pPr>
      <w:r>
        <w:rPr>
          <w:rFonts w:ascii="Arial" w:cs="Arial" w:eastAsia="Arial" w:hAnsi="Arial"/>
          <w:sz w:val="18"/>
          <w:szCs w:val="18"/>
          <w:color w:val="auto"/>
        </w:rPr>
        <w:t>JPMorgan Chase Bank, N.A., as Administrative Agent for the lenders referred to below Investment Bank Loan Operations North America 500 Stanton Christiana Road, NCC5, Floor 01</w:t>
      </w: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07" w:lineRule="exact"/>
        <w:rPr>
          <w:sz w:val="20"/>
          <w:szCs w:val="20"/>
          <w:color w:val="auto"/>
        </w:rPr>
      </w:pPr>
    </w:p>
    <w:p>
      <w:pPr>
        <w:ind w:left="109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6394450</wp:posOffset>
            </wp:positionH>
            <wp:positionV relativeFrom="paragraph">
              <wp:posOffset>-7620</wp:posOffset>
            </wp:positionV>
            <wp:extent cx="85725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undersigned, [INSERT NAME OF APPLICABLE BORROWER] (the “</w:t>
      </w:r>
      <w:r>
        <w:rPr>
          <w:rFonts w:ascii="Arial" w:cs="Arial" w:eastAsia="Arial" w:hAnsi="Arial"/>
          <w:sz w:val="16"/>
          <w:szCs w:val="16"/>
          <w:u w:val="single" w:color="auto"/>
          <w:color w:val="auto"/>
        </w:rPr>
        <w:t>Applicable Borrower</w:t>
      </w:r>
      <w:r>
        <w:rPr>
          <w:rFonts w:ascii="Arial" w:cs="Arial" w:eastAsia="Arial" w:hAnsi="Arial"/>
          <w:sz w:val="16"/>
          <w:szCs w:val="16"/>
          <w:color w:val="auto"/>
        </w:rPr>
        <w:t>”) [and General Motors Company, a Delaware corporation (“</w:t>
      </w:r>
      <w:r>
        <w:rPr>
          <w:rFonts w:ascii="Arial" w:cs="Arial" w:eastAsia="Arial" w:hAnsi="Arial"/>
          <w:sz w:val="16"/>
          <w:szCs w:val="16"/>
          <w:u w:val="single" w:color="auto"/>
          <w:color w:val="auto"/>
        </w:rPr>
        <w:t>Company/Applicable Borrower”)]</w:t>
      </w:r>
      <w:r>
        <w:rPr>
          <w:rFonts w:ascii="Arial" w:cs="Arial" w:eastAsia="Arial" w:hAnsi="Arial"/>
          <w:sz w:val="13"/>
          <w:szCs w:val="13"/>
          <w:color w:val="auto"/>
        </w:rPr>
        <w:t>1</w:t>
      </w:r>
      <w:r>
        <w:rPr>
          <w:rFonts w:ascii="Arial" w:cs="Arial" w:eastAsia="Arial" w:hAnsi="Arial"/>
          <w:sz w:val="16"/>
          <w:szCs w:val="16"/>
          <w:color w:val="auto"/>
        </w:rPr>
        <w:t>, refer[s] to the Third Amended and Restated Five Year Revolving Credit Agreement dated as of April 18, 2018,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Company/the Applicable Borrower]</w:t>
      </w:r>
      <w:r>
        <w:rPr>
          <w:rFonts w:ascii="Arial" w:cs="Arial" w:eastAsia="Arial" w:hAnsi="Arial"/>
          <w:sz w:val="13"/>
          <w:szCs w:val="13"/>
          <w:color w:val="auto"/>
        </w:rPr>
        <w:t>2</w:t>
      </w:r>
      <w:r>
        <w:rPr>
          <w:rFonts w:ascii="Arial" w:cs="Arial" w:eastAsia="Arial" w:hAnsi="Arial"/>
          <w:sz w:val="16"/>
          <w:szCs w:val="16"/>
          <w:color w:val="auto"/>
        </w:rPr>
        <w:t>, General Motors Financial Company, Inc., a Texas corporation, GM Global Treasury Centre Limited, a corporation organized under the laws of England and Wales, General Motors do Brasil Ltda., a Brazilian limited liability company,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Banco do Brasil S.A., as Brazilian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Section[s] [2.2] [and] [2.4]</w:t>
      </w: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898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20" w:hanging="212"/>
        <w:spacing w:after="0"/>
        <w:tabs>
          <w:tab w:leader="none" w:pos="220" w:val="left"/>
        </w:tabs>
        <w:numPr>
          <w:ilvl w:val="0"/>
          <w:numId w:val="454"/>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220" w:hanging="212"/>
        <w:spacing w:after="0"/>
        <w:tabs>
          <w:tab w:leader="none" w:pos="220" w:val="left"/>
        </w:tabs>
        <w:numPr>
          <w:ilvl w:val="0"/>
          <w:numId w:val="455"/>
        </w:numPr>
        <w:rPr>
          <w:rFonts w:ascii="Arial" w:cs="Arial" w:eastAsia="Arial" w:hAnsi="Arial"/>
          <w:sz w:val="15"/>
          <w:szCs w:val="15"/>
          <w:color w:val="auto"/>
        </w:rPr>
      </w:pPr>
      <w:r>
        <w:rPr>
          <w:rFonts w:ascii="Arial" w:cs="Arial" w:eastAsia="Arial" w:hAnsi="Arial"/>
          <w:sz w:val="18"/>
          <w:szCs w:val="18"/>
          <w:color w:val="auto"/>
        </w:rPr>
        <w:t>If Borrowing Request from the Company, it is the “Applicable Borrower”.</w:t>
      </w:r>
    </w:p>
    <w:p>
      <w:pPr>
        <w:spacing w:after="0" w:line="9" w:lineRule="exact"/>
        <w:rPr>
          <w:sz w:val="20"/>
          <w:szCs w:val="20"/>
          <w:color w:val="auto"/>
        </w:rPr>
      </w:pPr>
    </w:p>
    <w:p>
      <w:pPr>
        <w:ind w:left="220" w:hanging="212"/>
        <w:spacing w:after="0"/>
        <w:tabs>
          <w:tab w:leader="none" w:pos="220" w:val="left"/>
        </w:tabs>
        <w:numPr>
          <w:ilvl w:val="0"/>
          <w:numId w:val="456"/>
        </w:numPr>
        <w:rPr>
          <w:rFonts w:ascii="Arial" w:cs="Arial" w:eastAsia="Arial" w:hAnsi="Arial"/>
          <w:sz w:val="15"/>
          <w:szCs w:val="15"/>
          <w:color w:val="auto"/>
        </w:rPr>
      </w:pPr>
      <w:r>
        <w:rPr>
          <w:rFonts w:ascii="Arial" w:cs="Arial" w:eastAsia="Arial" w:hAnsi="Arial"/>
          <w:sz w:val="18"/>
          <w:szCs w:val="18"/>
          <w:color w:val="auto"/>
        </w:rPr>
        <w:t>Section 2.2 describes the procedure for Domestic Commitments. Section 2.4 describes the procedure for Multicurrency Commitments.</w:t>
      </w:r>
    </w:p>
    <w:p>
      <w:pPr>
        <w:sectPr>
          <w:pgSz w:w="11900" w:h="16838" w:orient="portrait"/>
          <w:cols w:equalWidth="0" w:num="1">
            <w:col w:w="11400"/>
          </w:cols>
          <w:pgMar w:left="240" w:top="270" w:right="259" w:bottom="1440" w:gutter="0" w:footer="0" w:header="0"/>
        </w:sectPr>
      </w:pPr>
    </w:p>
    <w:bookmarkStart w:id="470" w:name="page471"/>
    <w:bookmarkEnd w:id="47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Credit Agreement that it requests an Extension of Credit under the Credit Agreement, and in connection sets forth below the terms on which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Extension of Credit is requested to be made[, to which the Company hereby consents]</w:t>
      </w:r>
      <w:r>
        <w:rPr>
          <w:rFonts w:ascii="Arial" w:cs="Arial" w:eastAsia="Arial" w:hAnsi="Arial"/>
          <w:sz w:val="15"/>
          <w:szCs w:val="15"/>
          <w:color w:val="auto"/>
        </w:rPr>
        <w:t>4</w:t>
      </w:r>
      <w:r>
        <w:rPr>
          <w:rFonts w:ascii="Arial" w:cs="Arial" w:eastAsia="Arial" w:hAnsi="Arial"/>
          <w:sz w:val="18"/>
          <w:szCs w:val="18"/>
          <w:color w:val="auto"/>
        </w:rPr>
        <w:t>:</w:t>
      </w:r>
    </w:p>
    <w:p>
      <w:pPr>
        <w:spacing w:after="0" w:line="116" w:lineRule="exact"/>
        <w:rPr>
          <w:sz w:val="20"/>
          <w:szCs w:val="20"/>
          <w:color w:val="auto"/>
        </w:rPr>
      </w:pPr>
    </w:p>
    <w:p>
      <w:pPr>
        <w:ind w:left="840" w:hanging="481"/>
        <w:spacing w:after="0"/>
        <w:tabs>
          <w:tab w:leader="none" w:pos="8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Borrowing Date</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(which is a Business Day)</w:t>
      </w:r>
      <w:r>
        <w:rPr>
          <w:rFonts w:ascii="Arial" w:cs="Arial" w:eastAsia="Arial" w:hAnsi="Arial"/>
          <w:sz w:val="15"/>
          <w:szCs w:val="15"/>
          <w:color w:val="auto"/>
        </w:rPr>
        <w:t>5</w:t>
      </w:r>
    </w:p>
    <w:p>
      <w:pPr>
        <w:spacing w:after="0" w:line="129" w:lineRule="exact"/>
        <w:rPr>
          <w:rFonts w:ascii="Arial" w:cs="Arial" w:eastAsia="Arial" w:hAnsi="Arial"/>
          <w:sz w:val="18"/>
          <w:szCs w:val="18"/>
          <w:color w:val="auto"/>
        </w:rPr>
      </w:pPr>
    </w:p>
    <w:p>
      <w:pPr>
        <w:ind w:left="840" w:hanging="481"/>
        <w:spacing w:after="0"/>
        <w:tabs>
          <w:tab w:leader="none" w:pos="8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Facility</w:t>
      </w:r>
    </w:p>
    <w:p>
      <w:pPr>
        <w:spacing w:after="0" w:line="130" w:lineRule="exact"/>
        <w:rPr>
          <w:rFonts w:ascii="Arial" w:cs="Arial" w:eastAsia="Arial" w:hAnsi="Arial"/>
          <w:sz w:val="18"/>
          <w:szCs w:val="18"/>
          <w:color w:val="auto"/>
        </w:rPr>
      </w:pPr>
    </w:p>
    <w:p>
      <w:pPr>
        <w:ind w:left="840" w:hanging="481"/>
        <w:spacing w:after="0"/>
        <w:tabs>
          <w:tab w:leader="none" w:pos="8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Currency</w:t>
      </w:r>
    </w:p>
    <w:p>
      <w:pPr>
        <w:spacing w:after="0" w:line="130" w:lineRule="exact"/>
        <w:rPr>
          <w:rFonts w:ascii="Arial" w:cs="Arial" w:eastAsia="Arial" w:hAnsi="Arial"/>
          <w:sz w:val="18"/>
          <w:szCs w:val="18"/>
          <w:color w:val="auto"/>
        </w:rPr>
      </w:pPr>
    </w:p>
    <w:p>
      <w:pPr>
        <w:ind w:left="840" w:hanging="481"/>
        <w:spacing w:after="0"/>
        <w:tabs>
          <w:tab w:leader="none" w:pos="8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 xml:space="preserve">Aggregate Amount of Extension of Credit </w:t>
      </w:r>
      <w:r>
        <w:rPr>
          <w:rFonts w:ascii="Arial" w:cs="Arial" w:eastAsia="Arial" w:hAnsi="Arial"/>
          <w:sz w:val="15"/>
          <w:szCs w:val="15"/>
          <w:color w:val="auto"/>
        </w:rPr>
        <w:t>6</w:t>
      </w:r>
    </w:p>
    <w:p>
      <w:pPr>
        <w:spacing w:after="0" w:line="130" w:lineRule="exact"/>
        <w:rPr>
          <w:rFonts w:ascii="Arial" w:cs="Arial" w:eastAsia="Arial" w:hAnsi="Arial"/>
          <w:sz w:val="18"/>
          <w:szCs w:val="18"/>
          <w:color w:val="auto"/>
        </w:rPr>
      </w:pPr>
    </w:p>
    <w:p>
      <w:pPr>
        <w:ind w:left="840" w:hanging="481"/>
        <w:spacing w:after="0"/>
        <w:tabs>
          <w:tab w:leader="none" w:pos="8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 xml:space="preserve">Type of Extension of Credit </w:t>
      </w:r>
      <w:r>
        <w:rPr>
          <w:rFonts w:ascii="Arial" w:cs="Arial" w:eastAsia="Arial" w:hAnsi="Arial"/>
          <w:sz w:val="15"/>
          <w:szCs w:val="15"/>
          <w:color w:val="auto"/>
        </w:rPr>
        <w:t>7</w:t>
      </w:r>
    </w:p>
    <w:p>
      <w:pPr>
        <w:spacing w:after="0" w:line="130" w:lineRule="exact"/>
        <w:rPr>
          <w:rFonts w:ascii="Arial" w:cs="Arial" w:eastAsia="Arial" w:hAnsi="Arial"/>
          <w:sz w:val="18"/>
          <w:szCs w:val="18"/>
          <w:color w:val="auto"/>
        </w:rPr>
      </w:pPr>
    </w:p>
    <w:p>
      <w:pPr>
        <w:ind w:left="840" w:hanging="481"/>
        <w:spacing w:after="0"/>
        <w:tabs>
          <w:tab w:leader="none" w:pos="8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8</w:t>
      </w:r>
    </w:p>
    <w:p>
      <w:pPr>
        <w:spacing w:after="0" w:line="130" w:lineRule="exact"/>
        <w:rPr>
          <w:rFonts w:ascii="Arial" w:cs="Arial" w:eastAsia="Arial" w:hAnsi="Arial"/>
          <w:sz w:val="18"/>
          <w:szCs w:val="18"/>
          <w:color w:val="auto"/>
        </w:rPr>
      </w:pPr>
    </w:p>
    <w:p>
      <w:pPr>
        <w:ind w:left="840" w:hanging="481"/>
        <w:spacing w:after="0"/>
        <w:tabs>
          <w:tab w:leader="none" w:pos="8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Funds are requested to be disbursed to the Borrower’s account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-1279525</wp:posOffset>
            </wp:positionV>
            <wp:extent cx="252984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-1064895</wp:posOffset>
            </wp:positionV>
            <wp:extent cx="252984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-850900</wp:posOffset>
            </wp:positionV>
            <wp:extent cx="252984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-636270</wp:posOffset>
            </wp:positionV>
            <wp:extent cx="252984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-421640</wp:posOffset>
            </wp:positionV>
            <wp:extent cx="252984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-207645</wp:posOffset>
            </wp:positionV>
            <wp:extent cx="252984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6350</wp:posOffset>
            </wp:positionV>
            <wp:extent cx="252984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151765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458"/>
        </w:numPr>
        <w:rPr>
          <w:rFonts w:ascii="Arial" w:cs="Arial" w:eastAsia="Arial" w:hAnsi="Arial"/>
          <w:sz w:val="14"/>
          <w:szCs w:val="14"/>
          <w:color w:val="auto"/>
        </w:rPr>
      </w:pPr>
      <w:r>
        <w:rPr>
          <w:rFonts w:ascii="Arial" w:cs="Arial" w:eastAsia="Arial" w:hAnsi="Arial"/>
          <w:sz w:val="16"/>
          <w:szCs w:val="16"/>
          <w:color w:val="auto"/>
        </w:rPr>
        <w:t>Insert if the Applicable Borrower is, in the case of a Borrowing Request delivered pursuant to Section 2.2, a Domestic Subsidiary Borrower or, in the case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of a Borrowing Request delivered pursuant to Section 2.4, a Subsidiary Borrower.</w:t>
      </w:r>
    </w:p>
    <w:p>
      <w:pPr>
        <w:spacing w:after="0" w:line="8" w:lineRule="exact"/>
        <w:rPr>
          <w:sz w:val="20"/>
          <w:szCs w:val="20"/>
          <w:color w:val="auto"/>
        </w:rPr>
      </w:pPr>
    </w:p>
    <w:p>
      <w:pPr>
        <w:ind w:left="220" w:hanging="212"/>
        <w:spacing w:after="0" w:line="282" w:lineRule="auto"/>
        <w:tabs>
          <w:tab w:leader="none" w:pos="220" w:val="left"/>
        </w:tabs>
        <w:numPr>
          <w:ilvl w:val="0"/>
          <w:numId w:val="459"/>
        </w:numPr>
        <w:rPr>
          <w:rFonts w:ascii="Arial" w:cs="Arial" w:eastAsia="Arial" w:hAnsi="Arial"/>
          <w:sz w:val="14"/>
          <w:szCs w:val="14"/>
          <w:color w:val="auto"/>
        </w:rPr>
      </w:pPr>
      <w:r>
        <w:rPr>
          <w:rFonts w:ascii="Arial" w:cs="Arial" w:eastAsia="Arial" w:hAnsi="Arial"/>
          <w:sz w:val="16"/>
          <w:szCs w:val="16"/>
          <w:color w:val="auto"/>
        </w:rPr>
        <w:t>Borrowing Request to be delivered to the Administrative Agent in the case of any Domestic Loan prior to (a) 1:00 P.M., New York City time, three Business Days prior to the requested Borrowing Date, in the case of Eurocurrency Loans, or (b) 1:00 P.M., New York City time, on the date of the proposed borrowing, in the case of ABR Loans). Borrowing Request to be delivered to the Administrative Agent (x) in the case of any Multicurrency Loan denominated in Dollars, written (or telephonic notice promptly confirmed in writing) prior to (a) 1:00 P.M., New York City time, three Business Days prior to the requested Borrowing Date, in the case of Eurocurrency Loans, or (b) 1:00 P.M., New York City time, on the date of the proposed borrowing, in the case of ABR Loans and (y) in the case of any Multicurrency Loan denominated in an Optional Currency, 1:00 P.M., London time, three Business Days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prior to the requested Borrowing Date.</w:t>
      </w:r>
    </w:p>
    <w:p>
      <w:pPr>
        <w:spacing w:after="0" w:line="8" w:lineRule="exact"/>
        <w:rPr>
          <w:sz w:val="20"/>
          <w:szCs w:val="20"/>
          <w:color w:val="auto"/>
        </w:rPr>
      </w:pPr>
    </w:p>
    <w:p>
      <w:pPr>
        <w:ind w:left="220" w:right="220" w:hanging="212"/>
        <w:spacing w:after="0" w:line="282" w:lineRule="auto"/>
        <w:tabs>
          <w:tab w:leader="none" w:pos="220" w:val="left"/>
        </w:tabs>
        <w:numPr>
          <w:ilvl w:val="0"/>
          <w:numId w:val="460"/>
        </w:numPr>
        <w:rPr>
          <w:rFonts w:ascii="Arial" w:cs="Arial" w:eastAsia="Arial" w:hAnsi="Arial"/>
          <w:sz w:val="14"/>
          <w:szCs w:val="14"/>
          <w:color w:val="auto"/>
        </w:rPr>
      </w:pPr>
      <w:r>
        <w:rPr>
          <w:rFonts w:ascii="Arial" w:cs="Arial" w:eastAsia="Arial" w:hAnsi="Arial"/>
          <w:sz w:val="16"/>
          <w:szCs w:val="16"/>
          <w:color w:val="auto"/>
        </w:rPr>
        <w:t>Each borrowing under the Domestic Commitments shall be in an amount equal to $25 million (or, if the Total Available Domestic Commitments at such time are less than $25 million, such lesser amount) or a whole multiple of $5 million in excess thereof. Each borrowing under the Multicurrency</w:t>
      </w:r>
    </w:p>
    <w:p>
      <w:pPr>
        <w:spacing w:after="0" w:line="1" w:lineRule="exact"/>
        <w:rPr>
          <w:sz w:val="20"/>
          <w:szCs w:val="20"/>
          <w:color w:val="auto"/>
        </w:rPr>
      </w:pPr>
    </w:p>
    <w:p>
      <w:pPr>
        <w:ind w:left="220" w:right="320"/>
        <w:spacing w:after="0" w:line="281" w:lineRule="auto"/>
        <w:rPr>
          <w:sz w:val="20"/>
          <w:szCs w:val="20"/>
          <w:color w:val="auto"/>
        </w:rPr>
      </w:pPr>
      <w:r>
        <w:rPr>
          <w:rFonts w:ascii="Arial" w:cs="Arial" w:eastAsia="Arial" w:hAnsi="Arial"/>
          <w:sz w:val="16"/>
          <w:szCs w:val="16"/>
          <w:color w:val="auto"/>
        </w:rPr>
        <w:t>Commitments shall be in an amount that is an integral multiple of $5 million of the relevant Currency and no less than an amount which is equal to the Dollar Equivalent of $25 million (or, if the Total Available Multicurrency Commitments are less than $25 million at such time, such lesser amount).</w:t>
      </w:r>
    </w:p>
    <w:p>
      <w:pPr>
        <w:ind w:left="220" w:hanging="212"/>
        <w:spacing w:after="0"/>
        <w:tabs>
          <w:tab w:leader="none" w:pos="220" w:val="left"/>
        </w:tabs>
        <w:numPr>
          <w:ilvl w:val="0"/>
          <w:numId w:val="461"/>
        </w:numPr>
        <w:rPr>
          <w:rFonts w:ascii="Arial" w:cs="Arial" w:eastAsia="Arial" w:hAnsi="Arial"/>
          <w:sz w:val="15"/>
          <w:szCs w:val="15"/>
          <w:color w:val="auto"/>
        </w:rPr>
      </w:pPr>
      <w:r>
        <w:rPr>
          <w:rFonts w:ascii="Arial" w:cs="Arial" w:eastAsia="Arial" w:hAnsi="Arial"/>
          <w:sz w:val="18"/>
          <w:szCs w:val="18"/>
          <w:color w:val="auto"/>
        </w:rPr>
        <w:t>Specify Eurodollar Borrowing or ABR Borrowing.</w:t>
      </w:r>
    </w:p>
    <w:p>
      <w:pPr>
        <w:spacing w:after="0" w:line="9" w:lineRule="exact"/>
        <w:rPr>
          <w:sz w:val="20"/>
          <w:szCs w:val="20"/>
          <w:color w:val="auto"/>
        </w:rPr>
      </w:pPr>
    </w:p>
    <w:p>
      <w:pPr>
        <w:ind w:left="220" w:hanging="212"/>
        <w:spacing w:after="0"/>
        <w:tabs>
          <w:tab w:leader="none" w:pos="220" w:val="left"/>
        </w:tabs>
        <w:numPr>
          <w:ilvl w:val="0"/>
          <w:numId w:val="462"/>
        </w:numPr>
        <w:rPr>
          <w:rFonts w:ascii="Arial" w:cs="Arial" w:eastAsia="Arial" w:hAnsi="Arial"/>
          <w:sz w:val="14"/>
          <w:szCs w:val="14"/>
          <w:color w:val="auto"/>
        </w:rPr>
      </w:pPr>
      <w:r>
        <w:rPr>
          <w:rFonts w:ascii="Arial" w:cs="Arial" w:eastAsia="Arial" w:hAnsi="Arial"/>
          <w:sz w:val="17"/>
          <w:szCs w:val="17"/>
          <w:color w:val="auto"/>
        </w:rPr>
        <w:t>Which shall be subject to the definition of “Interest Period” and end on or before the Termination Date applicable to such Facility for such Lender.</w:t>
      </w:r>
    </w:p>
    <w:p>
      <w:pPr>
        <w:sectPr>
          <w:pgSz w:w="11900" w:h="16838" w:orient="portrait"/>
          <w:cols w:equalWidth="0" w:num="1">
            <w:col w:w="11400"/>
          </w:cols>
          <w:pgMar w:left="240" w:top="274" w:right="259" w:bottom="1440" w:gutter="0" w:footer="0" w:header="0"/>
        </w:sectPr>
      </w:pPr>
    </w:p>
    <w:bookmarkStart w:id="471" w:name="page472"/>
    <w:bookmarkEnd w:id="471"/>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 No. _________________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ectPr>
          <w:pgSz w:w="11900" w:h="16838" w:orient="portrait"/>
          <w:cols w:equalWidth="0" w:num="1">
            <w:col w:w="9019"/>
          </w:cols>
          <w:pgMar w:left="1440" w:top="274" w:right="1440" w:bottom="1440" w:gutter="0" w:footer="0" w:header="0"/>
        </w:sectPr>
      </w:pPr>
    </w:p>
    <w:bookmarkStart w:id="472" w:name="page473"/>
    <w:bookmarkEnd w:id="472"/>
    <w:p>
      <w:pPr>
        <w:ind w:right="10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Applicable Borrower hereby represents and warrants to the Administrative Agent and the Lenders that, on the date of the requested Extension of Credit, the conditions to lending specified in Section[s] 5.1 [and 5.2</w:t>
      </w:r>
      <w:r>
        <w:rPr>
          <w:rFonts w:ascii="Arial" w:cs="Arial" w:eastAsia="Arial" w:hAnsi="Arial"/>
          <w:sz w:val="14"/>
          <w:szCs w:val="14"/>
          <w:color w:val="auto"/>
        </w:rPr>
        <w:t>9</w:t>
      </w:r>
      <w:r>
        <w:rPr>
          <w:rFonts w:ascii="Arial" w:cs="Arial" w:eastAsia="Arial" w:hAnsi="Arial"/>
          <w:sz w:val="17"/>
          <w:szCs w:val="17"/>
          <w:color w:val="auto"/>
        </w:rPr>
        <w:t>] of the Credit Agreement have been satisfied.</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[INSERT NAME OF APPLICABLE BORROWER]</w:t>
      </w:r>
      <w:r>
        <w:rPr>
          <w:rFonts w:ascii="Arial" w:cs="Arial" w:eastAsia="Arial" w:hAnsi="Arial"/>
          <w:sz w:val="14"/>
          <w:szCs w:val="14"/>
          <w:color w:val="auto"/>
        </w:rPr>
        <w:t>10</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151765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463"/>
        </w:numPr>
        <w:rPr>
          <w:rFonts w:ascii="Arial" w:cs="Arial" w:eastAsia="Arial" w:hAnsi="Arial"/>
          <w:sz w:val="15"/>
          <w:szCs w:val="15"/>
          <w:color w:val="auto"/>
        </w:rPr>
      </w:pPr>
      <w:r>
        <w:rPr>
          <w:rFonts w:ascii="Arial" w:cs="Arial" w:eastAsia="Arial" w:hAnsi="Arial"/>
          <w:sz w:val="18"/>
          <w:szCs w:val="18"/>
          <w:color w:val="auto"/>
        </w:rPr>
        <w:t>[Insert for Borrowing on the Closing Date.]</w:t>
      </w:r>
    </w:p>
    <w:p>
      <w:pPr>
        <w:spacing w:after="0" w:line="22" w:lineRule="exact"/>
        <w:rPr>
          <w:sz w:val="20"/>
          <w:szCs w:val="20"/>
          <w:color w:val="auto"/>
        </w:rPr>
      </w:pPr>
    </w:p>
    <w:p>
      <w:pPr>
        <w:ind w:left="220" w:hanging="212"/>
        <w:spacing w:after="0"/>
        <w:tabs>
          <w:tab w:leader="none" w:pos="220" w:val="left"/>
        </w:tabs>
        <w:numPr>
          <w:ilvl w:val="0"/>
          <w:numId w:val="464"/>
        </w:numPr>
        <w:rPr>
          <w:rFonts w:ascii="Arial" w:cs="Arial" w:eastAsia="Arial" w:hAnsi="Arial"/>
          <w:sz w:val="15"/>
          <w:szCs w:val="15"/>
          <w:color w:val="auto"/>
        </w:rPr>
      </w:pPr>
      <w:r>
        <w:rPr>
          <w:rFonts w:ascii="Arial" w:cs="Arial" w:eastAsia="Arial" w:hAnsi="Arial"/>
          <w:sz w:val="18"/>
          <w:szCs w:val="18"/>
          <w:color w:val="auto"/>
        </w:rPr>
        <w:t>[Insert for Borrowings by an Applicable Borrower other than the Company.]</w:t>
      </w:r>
    </w:p>
    <w:p>
      <w:pPr>
        <w:sectPr>
          <w:pgSz w:w="11900" w:h="16838" w:orient="portrait"/>
          <w:cols w:equalWidth="0" w:num="1">
            <w:col w:w="10800"/>
          </w:cols>
          <w:pgMar w:left="240" w:top="273" w:right="859" w:bottom="1440" w:gutter="0" w:footer="0" w:header="0"/>
        </w:sectPr>
      </w:pPr>
    </w:p>
    <w:bookmarkStart w:id="473" w:name="page474"/>
    <w:bookmarkEnd w:id="473"/>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364-DAY REVOLVING CREDIT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GENERAL MOTORS FINANCIAL COMPANY,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GM GLOBAL TREASURY CENTRE LIMITED,</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SUBSIDIARY BORROWERS FROM TIME TO TIME PARTIES HERETO,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SEVERAL LENDERS FROM TIME TO TIME PARTIES HERETO,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4820" w:type="dxa"/>
            <w:vAlign w:val="bottom"/>
            <w:gridSpan w:val="2"/>
          </w:tcPr>
          <w:p>
            <w:pPr>
              <w:ind w:left="2060"/>
              <w:spacing w:after="0"/>
              <w:rPr>
                <w:sz w:val="20"/>
                <w:szCs w:val="20"/>
                <w:color w:val="auto"/>
              </w:rPr>
            </w:pPr>
            <w:r>
              <w:rPr>
                <w:rFonts w:ascii="Arial" w:cs="Arial" w:eastAsia="Arial" w:hAnsi="Arial"/>
                <w:sz w:val="18"/>
                <w:szCs w:val="18"/>
                <w:color w:val="auto"/>
              </w:rPr>
              <w:t>Dated as of April 18, 2018</w:t>
            </w:r>
          </w:p>
        </w:tc>
        <w:tc>
          <w:tcPr>
            <w:tcW w:w="17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45"/>
        </w:trPr>
        <w:tc>
          <w:tcPr>
            <w:tcW w:w="5120" w:type="dxa"/>
            <w:vAlign w:val="bottom"/>
            <w:gridSpan w:val="2"/>
          </w:tcPr>
          <w:p>
            <w:pPr>
              <w:jc w:val="center"/>
              <w:ind w:right="30"/>
              <w:spacing w:after="0"/>
              <w:rPr>
                <w:sz w:val="20"/>
                <w:szCs w:val="20"/>
                <w:color w:val="auto"/>
              </w:rPr>
            </w:pPr>
            <w:r>
              <w:rPr>
                <w:rFonts w:ascii="Arial" w:cs="Arial" w:eastAsia="Arial" w:hAnsi="Arial"/>
                <w:sz w:val="18"/>
                <w:szCs w:val="18"/>
                <w:color w:val="auto"/>
                <w:w w:val="96"/>
              </w:rPr>
              <w:t>JPMORGAN CHASE BANK, N.A.,</w:t>
            </w:r>
          </w:p>
        </w:tc>
        <w:tc>
          <w:tcPr>
            <w:tcW w:w="2380" w:type="dxa"/>
            <w:vAlign w:val="bottom"/>
          </w:tcPr>
          <w:p>
            <w:pPr>
              <w:spacing w:after="0"/>
              <w:rPr>
                <w:sz w:val="24"/>
                <w:szCs w:val="24"/>
                <w:color w:val="auto"/>
              </w:rPr>
            </w:pPr>
          </w:p>
        </w:tc>
        <w:tc>
          <w:tcPr>
            <w:tcW w:w="1720" w:type="dxa"/>
            <w:vAlign w:val="bottom"/>
          </w:tcPr>
          <w:p>
            <w:pPr>
              <w:jc w:val="center"/>
              <w:ind w:right="10"/>
              <w:spacing w:after="0"/>
              <w:rPr>
                <w:sz w:val="20"/>
                <w:szCs w:val="20"/>
                <w:color w:val="auto"/>
              </w:rPr>
            </w:pPr>
            <w:r>
              <w:rPr>
                <w:rFonts w:ascii="Arial" w:cs="Arial" w:eastAsia="Arial" w:hAnsi="Arial"/>
                <w:sz w:val="18"/>
                <w:szCs w:val="18"/>
                <w:color w:val="auto"/>
              </w:rPr>
              <w:t>CITIBANK, N.A.,</w:t>
            </w:r>
          </w:p>
        </w:tc>
        <w:tc>
          <w:tcPr>
            <w:tcW w:w="2180" w:type="dxa"/>
            <w:vAlign w:val="bottom"/>
          </w:tcPr>
          <w:p>
            <w:pPr>
              <w:spacing w:after="0"/>
              <w:rPr>
                <w:sz w:val="24"/>
                <w:szCs w:val="24"/>
                <w:color w:val="auto"/>
              </w:rPr>
            </w:pPr>
          </w:p>
        </w:tc>
      </w:tr>
      <w:tr>
        <w:trPr>
          <w:trHeight w:val="216"/>
        </w:trPr>
        <w:tc>
          <w:tcPr>
            <w:tcW w:w="5120" w:type="dxa"/>
            <w:vAlign w:val="bottom"/>
            <w:gridSpan w:val="2"/>
          </w:tcPr>
          <w:p>
            <w:pPr>
              <w:jc w:val="center"/>
              <w:ind w:right="30"/>
              <w:spacing w:after="0"/>
              <w:rPr>
                <w:sz w:val="20"/>
                <w:szCs w:val="20"/>
                <w:color w:val="auto"/>
              </w:rPr>
            </w:pPr>
            <w:r>
              <w:rPr>
                <w:rFonts w:ascii="Arial" w:cs="Arial" w:eastAsia="Arial" w:hAnsi="Arial"/>
                <w:sz w:val="18"/>
                <w:szCs w:val="18"/>
                <w:i w:val="1"/>
                <w:iCs w:val="1"/>
                <w:color w:val="auto"/>
                <w:w w:val="92"/>
              </w:rPr>
              <w:t>as Administrative Agent, Global Coordinator,</w:t>
            </w:r>
          </w:p>
        </w:tc>
        <w:tc>
          <w:tcPr>
            <w:tcW w:w="23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i w:val="1"/>
                <w:iCs w:val="1"/>
                <w:color w:val="auto"/>
                <w:w w:val="89"/>
              </w:rPr>
              <w:t>as Syndication Agent</w:t>
            </w:r>
          </w:p>
        </w:tc>
        <w:tc>
          <w:tcPr>
            <w:tcW w:w="2180" w:type="dxa"/>
            <w:vAlign w:val="bottom"/>
          </w:tcPr>
          <w:p>
            <w:pPr>
              <w:spacing w:after="0"/>
              <w:rPr>
                <w:sz w:val="18"/>
                <w:szCs w:val="18"/>
                <w:color w:val="auto"/>
              </w:rPr>
            </w:pPr>
          </w:p>
        </w:tc>
      </w:tr>
      <w:tr>
        <w:trPr>
          <w:trHeight w:val="230"/>
        </w:trPr>
        <w:tc>
          <w:tcPr>
            <w:tcW w:w="5120" w:type="dxa"/>
            <w:vAlign w:val="bottom"/>
            <w:gridSpan w:val="2"/>
          </w:tcPr>
          <w:p>
            <w:pPr>
              <w:jc w:val="center"/>
              <w:ind w:right="30"/>
              <w:spacing w:after="0"/>
              <w:rPr>
                <w:sz w:val="20"/>
                <w:szCs w:val="20"/>
                <w:color w:val="auto"/>
              </w:rPr>
            </w:pPr>
            <w:r>
              <w:rPr>
                <w:rFonts w:ascii="Arial" w:cs="Arial" w:eastAsia="Arial" w:hAnsi="Arial"/>
                <w:sz w:val="18"/>
                <w:szCs w:val="18"/>
                <w:i w:val="1"/>
                <w:iCs w:val="1"/>
                <w:color w:val="auto"/>
                <w:w w:val="93"/>
              </w:rPr>
              <w:t>Joint Lead Arranger and Joint Bookrunner</w:t>
            </w:r>
          </w:p>
        </w:tc>
        <w:tc>
          <w:tcPr>
            <w:tcW w:w="2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23"/>
        </w:trPr>
        <w:tc>
          <w:tcPr>
            <w:tcW w:w="2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280" w:type="dxa"/>
            <w:vAlign w:val="bottom"/>
            <w:gridSpan w:val="3"/>
          </w:tcPr>
          <w:p>
            <w:pPr>
              <w:jc w:val="center"/>
              <w:ind w:left="30"/>
              <w:spacing w:after="0"/>
              <w:rPr>
                <w:sz w:val="20"/>
                <w:szCs w:val="20"/>
                <w:color w:val="auto"/>
              </w:rPr>
            </w:pPr>
            <w:r>
              <w:rPr>
                <w:rFonts w:ascii="Arial" w:cs="Arial" w:eastAsia="Arial" w:hAnsi="Arial"/>
                <w:sz w:val="18"/>
                <w:szCs w:val="18"/>
                <w:color w:val="auto"/>
                <w:w w:val="97"/>
              </w:rPr>
              <w:t>CITIGROUP GLOBAL MARKETS INC.,</w:t>
            </w:r>
          </w:p>
        </w:tc>
      </w:tr>
      <w:tr>
        <w:trPr>
          <w:trHeight w:val="216"/>
        </w:trPr>
        <w:tc>
          <w:tcPr>
            <w:tcW w:w="2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280" w:type="dxa"/>
            <w:vAlign w:val="bottom"/>
            <w:gridSpan w:val="3"/>
          </w:tcPr>
          <w:p>
            <w:pPr>
              <w:jc w:val="center"/>
              <w:ind w:left="10"/>
              <w:spacing w:after="0"/>
              <w:rPr>
                <w:sz w:val="20"/>
                <w:szCs w:val="20"/>
                <w:color w:val="auto"/>
              </w:rPr>
            </w:pPr>
            <w:r>
              <w:rPr>
                <w:rFonts w:ascii="Arial" w:cs="Arial" w:eastAsia="Arial" w:hAnsi="Arial"/>
                <w:sz w:val="18"/>
                <w:szCs w:val="18"/>
                <w:i w:val="1"/>
                <w:iCs w:val="1"/>
                <w:color w:val="auto"/>
                <w:w w:val="92"/>
              </w:rPr>
              <w:t>as Global Coordinator, Joint Lead Arranger and</w:t>
            </w:r>
          </w:p>
        </w:tc>
      </w:tr>
      <w:tr>
        <w:trPr>
          <w:trHeight w:val="230"/>
        </w:trPr>
        <w:tc>
          <w:tcPr>
            <w:tcW w:w="2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20" w:type="dxa"/>
            <w:vAlign w:val="bottom"/>
          </w:tcPr>
          <w:p>
            <w:pPr>
              <w:jc w:val="center"/>
              <w:ind w:right="10"/>
              <w:spacing w:after="0"/>
              <w:rPr>
                <w:sz w:val="20"/>
                <w:szCs w:val="20"/>
                <w:color w:val="auto"/>
              </w:rPr>
            </w:pPr>
            <w:r>
              <w:rPr>
                <w:rFonts w:ascii="Arial" w:cs="Arial" w:eastAsia="Arial" w:hAnsi="Arial"/>
                <w:sz w:val="18"/>
                <w:szCs w:val="18"/>
                <w:i w:val="1"/>
                <w:iCs w:val="1"/>
                <w:color w:val="auto"/>
                <w:w w:val="92"/>
              </w:rPr>
              <w:t>Joint Bookrunner</w:t>
            </w:r>
          </w:p>
        </w:tc>
        <w:tc>
          <w:tcPr>
            <w:tcW w:w="2180" w:type="dxa"/>
            <w:vAlign w:val="bottom"/>
          </w:tcPr>
          <w:p>
            <w:pPr>
              <w:spacing w:after="0"/>
              <w:rPr>
                <w:sz w:val="20"/>
                <w:szCs w:val="20"/>
                <w:color w:val="auto"/>
              </w:rPr>
            </w:pPr>
          </w:p>
        </w:tc>
      </w:tr>
      <w:tr>
        <w:trPr>
          <w:trHeight w:val="323"/>
        </w:trPr>
        <w:tc>
          <w:tcPr>
            <w:tcW w:w="5120" w:type="dxa"/>
            <w:vAlign w:val="bottom"/>
            <w:gridSpan w:val="2"/>
          </w:tcPr>
          <w:p>
            <w:pPr>
              <w:jc w:val="center"/>
              <w:ind w:right="30"/>
              <w:spacing w:after="0"/>
              <w:rPr>
                <w:sz w:val="20"/>
                <w:szCs w:val="20"/>
                <w:color w:val="auto"/>
              </w:rPr>
            </w:pPr>
            <w:r>
              <w:rPr>
                <w:rFonts w:ascii="Arial" w:cs="Arial" w:eastAsia="Arial" w:hAnsi="Arial"/>
                <w:sz w:val="18"/>
                <w:szCs w:val="18"/>
                <w:color w:val="auto"/>
              </w:rPr>
              <w:t>INDUSTRIAL AND</w:t>
            </w:r>
          </w:p>
        </w:tc>
        <w:tc>
          <w:tcPr>
            <w:tcW w:w="4100" w:type="dxa"/>
            <w:vAlign w:val="bottom"/>
            <w:gridSpan w:val="2"/>
          </w:tcPr>
          <w:p>
            <w:pPr>
              <w:jc w:val="center"/>
              <w:ind w:left="10"/>
              <w:spacing w:after="0"/>
              <w:rPr>
                <w:sz w:val="20"/>
                <w:szCs w:val="20"/>
                <w:color w:val="auto"/>
              </w:rPr>
            </w:pPr>
            <w:r>
              <w:rPr>
                <w:rFonts w:ascii="Arial" w:cs="Arial" w:eastAsia="Arial" w:hAnsi="Arial"/>
                <w:sz w:val="18"/>
                <w:szCs w:val="18"/>
                <w:color w:val="auto"/>
                <w:w w:val="98"/>
              </w:rPr>
              <w:t>LLOYDS BANK PLC</w:t>
            </w:r>
            <w:r>
              <w:rPr>
                <w:rFonts w:ascii="Arial" w:cs="Arial" w:eastAsia="Arial" w:hAnsi="Arial"/>
                <w:sz w:val="15"/>
                <w:szCs w:val="15"/>
                <w:color w:val="auto"/>
                <w:w w:val="98"/>
              </w:rPr>
              <w:t>1,2</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4"/>
              </w:rPr>
              <w:t>THE TORONTO</w:t>
            </w:r>
          </w:p>
        </w:tc>
      </w:tr>
      <w:tr>
        <w:trPr>
          <w:trHeight w:val="216"/>
        </w:trPr>
        <w:tc>
          <w:tcPr>
            <w:tcW w:w="5120" w:type="dxa"/>
            <w:vAlign w:val="bottom"/>
            <w:gridSpan w:val="2"/>
          </w:tcPr>
          <w:p>
            <w:pPr>
              <w:jc w:val="center"/>
              <w:ind w:right="30"/>
              <w:spacing w:after="0"/>
              <w:rPr>
                <w:sz w:val="20"/>
                <w:szCs w:val="20"/>
                <w:color w:val="auto"/>
              </w:rPr>
            </w:pPr>
            <w:r>
              <w:rPr>
                <w:rFonts w:ascii="Arial" w:cs="Arial" w:eastAsia="Arial" w:hAnsi="Arial"/>
                <w:sz w:val="18"/>
                <w:szCs w:val="18"/>
                <w:color w:val="auto"/>
              </w:rPr>
              <w:t>COMMERCIAL BANK OF CHINA</w:t>
            </w:r>
          </w:p>
        </w:tc>
        <w:tc>
          <w:tcPr>
            <w:tcW w:w="2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80" w:type="dxa"/>
            <w:vAlign w:val="bottom"/>
          </w:tcPr>
          <w:p>
            <w:pPr>
              <w:jc w:val="center"/>
              <w:ind w:left="10"/>
              <w:spacing w:after="0"/>
              <w:rPr>
                <w:sz w:val="20"/>
                <w:szCs w:val="20"/>
                <w:color w:val="auto"/>
              </w:rPr>
            </w:pPr>
            <w:r>
              <w:rPr>
                <w:rFonts w:ascii="Arial" w:cs="Arial" w:eastAsia="Arial" w:hAnsi="Arial"/>
                <w:sz w:val="18"/>
                <w:szCs w:val="18"/>
                <w:color w:val="auto"/>
              </w:rPr>
              <w:t>DOMINION BANK, NEW</w:t>
            </w:r>
          </w:p>
        </w:tc>
      </w:tr>
      <w:tr>
        <w:trPr>
          <w:trHeight w:val="216"/>
        </w:trPr>
        <w:tc>
          <w:tcPr>
            <w:tcW w:w="5120" w:type="dxa"/>
            <w:vAlign w:val="bottom"/>
            <w:gridSpan w:val="2"/>
          </w:tcPr>
          <w:p>
            <w:pPr>
              <w:jc w:val="center"/>
              <w:ind w:right="30"/>
              <w:spacing w:after="0"/>
              <w:rPr>
                <w:sz w:val="20"/>
                <w:szCs w:val="20"/>
                <w:color w:val="auto"/>
              </w:rPr>
            </w:pPr>
            <w:r>
              <w:rPr>
                <w:rFonts w:ascii="Arial" w:cs="Arial" w:eastAsia="Arial" w:hAnsi="Arial"/>
                <w:sz w:val="18"/>
                <w:szCs w:val="18"/>
                <w:color w:val="auto"/>
              </w:rPr>
              <w:t>LIMITED NEW</w:t>
            </w:r>
          </w:p>
        </w:tc>
        <w:tc>
          <w:tcPr>
            <w:tcW w:w="2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6"/>
              </w:rPr>
              <w:t>YORK BRANCH</w:t>
            </w:r>
            <w:r>
              <w:rPr>
                <w:rFonts w:ascii="Arial" w:cs="Arial" w:eastAsia="Arial" w:hAnsi="Arial"/>
                <w:sz w:val="15"/>
                <w:szCs w:val="15"/>
                <w:color w:val="auto"/>
                <w:w w:val="96"/>
              </w:rPr>
              <w:t>1,2</w:t>
            </w:r>
          </w:p>
        </w:tc>
      </w:tr>
      <w:tr>
        <w:trPr>
          <w:trHeight w:val="230"/>
        </w:trPr>
        <w:tc>
          <w:tcPr>
            <w:tcW w:w="5120" w:type="dxa"/>
            <w:vAlign w:val="bottom"/>
            <w:gridSpan w:val="2"/>
          </w:tcPr>
          <w:p>
            <w:pPr>
              <w:jc w:val="center"/>
              <w:ind w:right="30"/>
              <w:spacing w:after="0"/>
              <w:rPr>
                <w:sz w:val="20"/>
                <w:szCs w:val="20"/>
                <w:color w:val="auto"/>
              </w:rPr>
            </w:pPr>
            <w:r>
              <w:rPr>
                <w:rFonts w:ascii="Arial" w:cs="Arial" w:eastAsia="Arial" w:hAnsi="Arial"/>
                <w:sz w:val="18"/>
                <w:szCs w:val="18"/>
                <w:color w:val="auto"/>
                <w:w w:val="96"/>
              </w:rPr>
              <w:t>YORK BRANCH</w:t>
            </w:r>
            <w:r>
              <w:rPr>
                <w:rFonts w:ascii="Arial" w:cs="Arial" w:eastAsia="Arial" w:hAnsi="Arial"/>
                <w:sz w:val="15"/>
                <w:szCs w:val="15"/>
                <w:color w:val="auto"/>
                <w:w w:val="96"/>
              </w:rPr>
              <w:t>1,2</w:t>
            </w:r>
          </w:p>
        </w:tc>
        <w:tc>
          <w:tcPr>
            <w:tcW w:w="2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23"/>
        </w:trPr>
        <w:tc>
          <w:tcPr>
            <w:tcW w:w="5120" w:type="dxa"/>
            <w:vAlign w:val="bottom"/>
            <w:gridSpan w:val="2"/>
          </w:tcPr>
          <w:p>
            <w:pPr>
              <w:jc w:val="center"/>
              <w:ind w:right="30"/>
              <w:spacing w:after="0"/>
              <w:rPr>
                <w:sz w:val="20"/>
                <w:szCs w:val="20"/>
                <w:color w:val="auto"/>
              </w:rPr>
            </w:pPr>
            <w:r>
              <w:rPr>
                <w:rFonts w:ascii="Arial" w:cs="Arial" w:eastAsia="Arial" w:hAnsi="Arial"/>
                <w:sz w:val="18"/>
                <w:szCs w:val="18"/>
                <w:i w:val="1"/>
                <w:iCs w:val="1"/>
                <w:color w:val="auto"/>
                <w:w w:val="92"/>
              </w:rPr>
              <w:t>as Asian Pacific Regional Coordinator</w:t>
            </w:r>
          </w:p>
        </w:tc>
        <w:tc>
          <w:tcPr>
            <w:tcW w:w="4100" w:type="dxa"/>
            <w:vAlign w:val="bottom"/>
            <w:gridSpan w:val="2"/>
          </w:tcPr>
          <w:p>
            <w:pPr>
              <w:jc w:val="center"/>
              <w:ind w:left="10"/>
              <w:spacing w:after="0"/>
              <w:rPr>
                <w:sz w:val="20"/>
                <w:szCs w:val="20"/>
                <w:color w:val="auto"/>
              </w:rPr>
            </w:pPr>
            <w:r>
              <w:rPr>
                <w:rFonts w:ascii="Arial" w:cs="Arial" w:eastAsia="Arial" w:hAnsi="Arial"/>
                <w:sz w:val="18"/>
                <w:szCs w:val="18"/>
                <w:i w:val="1"/>
                <w:iCs w:val="1"/>
                <w:color w:val="auto"/>
                <w:w w:val="92"/>
              </w:rPr>
              <w:t>as European Regional Coordinator</w:t>
            </w:r>
          </w:p>
        </w:tc>
        <w:tc>
          <w:tcPr>
            <w:tcW w:w="2180" w:type="dxa"/>
            <w:vAlign w:val="bottom"/>
          </w:tcPr>
          <w:p>
            <w:pPr>
              <w:jc w:val="center"/>
              <w:ind w:left="10"/>
              <w:spacing w:after="0"/>
              <w:rPr>
                <w:sz w:val="20"/>
                <w:szCs w:val="20"/>
                <w:color w:val="auto"/>
              </w:rPr>
            </w:pPr>
            <w:r>
              <w:rPr>
                <w:rFonts w:ascii="Arial" w:cs="Arial" w:eastAsia="Arial" w:hAnsi="Arial"/>
                <w:sz w:val="18"/>
                <w:szCs w:val="18"/>
                <w:i w:val="1"/>
                <w:iCs w:val="1"/>
                <w:color w:val="auto"/>
                <w:w w:val="92"/>
              </w:rPr>
              <w:t>as North American Regional</w:t>
            </w:r>
          </w:p>
        </w:tc>
      </w:tr>
      <w:tr>
        <w:trPr>
          <w:trHeight w:val="230"/>
        </w:trPr>
        <w:tc>
          <w:tcPr>
            <w:tcW w:w="2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80" w:type="dxa"/>
            <w:vAlign w:val="bottom"/>
          </w:tcPr>
          <w:p>
            <w:pPr>
              <w:jc w:val="center"/>
              <w:ind w:left="10"/>
              <w:spacing w:after="0"/>
              <w:rPr>
                <w:sz w:val="20"/>
                <w:szCs w:val="20"/>
                <w:color w:val="auto"/>
              </w:rPr>
            </w:pPr>
            <w:r>
              <w:rPr>
                <w:rFonts w:ascii="Arial" w:cs="Arial" w:eastAsia="Arial" w:hAnsi="Arial"/>
                <w:sz w:val="18"/>
                <w:szCs w:val="18"/>
                <w:i w:val="1"/>
                <w:iCs w:val="1"/>
                <w:color w:val="auto"/>
                <w:w w:val="93"/>
              </w:rPr>
              <w:t>Coordinator</w:t>
            </w:r>
          </w:p>
        </w:tc>
      </w:tr>
      <w:tr>
        <w:trPr>
          <w:trHeight w:val="310"/>
        </w:trPr>
        <w:tc>
          <w:tcPr>
            <w:tcW w:w="2680" w:type="dxa"/>
            <w:vAlign w:val="bottom"/>
          </w:tcPr>
          <w:p>
            <w:pPr>
              <w:jc w:val="center"/>
              <w:ind w:right="30"/>
              <w:spacing w:after="0"/>
              <w:rPr>
                <w:sz w:val="20"/>
                <w:szCs w:val="20"/>
                <w:color w:val="auto"/>
              </w:rPr>
            </w:pPr>
            <w:r>
              <w:rPr>
                <w:rFonts w:ascii="Arial" w:cs="Arial" w:eastAsia="Arial" w:hAnsi="Arial"/>
                <w:sz w:val="18"/>
                <w:szCs w:val="18"/>
                <w:color w:val="auto"/>
                <w:w w:val="98"/>
              </w:rPr>
              <w:t>BARCLAYS BANK PLC</w:t>
            </w:r>
            <w:r>
              <w:rPr>
                <w:rFonts w:ascii="Arial" w:cs="Arial" w:eastAsia="Arial" w:hAnsi="Arial"/>
                <w:sz w:val="15"/>
                <w:szCs w:val="15"/>
                <w:color w:val="auto"/>
                <w:w w:val="98"/>
              </w:rPr>
              <w:t>1,2</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BANCO BILBAO VIZCAYA</w:t>
            </w: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BNP PARIBAS</w:t>
            </w:r>
            <w:r>
              <w:rPr>
                <w:rFonts w:ascii="Arial" w:cs="Arial" w:eastAsia="Arial" w:hAnsi="Arial"/>
                <w:sz w:val="15"/>
                <w:szCs w:val="15"/>
                <w:color w:val="auto"/>
                <w:w w:val="93"/>
              </w:rPr>
              <w:t>1,2</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COMMERZBANK</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6"/>
              </w:rPr>
              <w:t>CREDIT AGRICOLE</w:t>
            </w:r>
          </w:p>
        </w:tc>
      </w:tr>
      <w:tr>
        <w:trPr>
          <w:trHeight w:val="216"/>
        </w:trPr>
        <w:tc>
          <w:tcPr>
            <w:tcW w:w="26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7"/>
              </w:rPr>
              <w:t>ARGENTARIA, S.A. NEW</w:t>
            </w:r>
          </w:p>
        </w:tc>
        <w:tc>
          <w:tcPr>
            <w:tcW w:w="23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CAPITAL</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4"/>
              </w:rPr>
              <w:t>CORPORATE AND</w:t>
            </w:r>
          </w:p>
        </w:tc>
      </w:tr>
      <w:tr>
        <w:trPr>
          <w:trHeight w:val="230"/>
        </w:trPr>
        <w:tc>
          <w:tcPr>
            <w:tcW w:w="268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YORK BRANCH</w:t>
            </w:r>
            <w:r>
              <w:rPr>
                <w:rFonts w:ascii="Arial" w:cs="Arial" w:eastAsia="Arial" w:hAnsi="Arial"/>
                <w:sz w:val="15"/>
                <w:szCs w:val="15"/>
                <w:color w:val="auto"/>
                <w:w w:val="98"/>
              </w:rPr>
              <w:t>1,2</w:t>
            </w:r>
          </w:p>
        </w:tc>
        <w:tc>
          <w:tcPr>
            <w:tcW w:w="238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1,2</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8"/>
              </w:rPr>
              <w:t>INVESTMENT BANK</w:t>
            </w:r>
            <w:r>
              <w:rPr>
                <w:rFonts w:ascii="Arial" w:cs="Arial" w:eastAsia="Arial" w:hAnsi="Arial"/>
                <w:sz w:val="15"/>
                <w:szCs w:val="15"/>
                <w:color w:val="auto"/>
                <w:w w:val="98"/>
              </w:rPr>
              <w:t>1,2</w:t>
            </w:r>
          </w:p>
        </w:tc>
      </w:tr>
      <w:tr>
        <w:trPr>
          <w:trHeight w:val="310"/>
        </w:trPr>
        <w:tc>
          <w:tcPr>
            <w:tcW w:w="2680" w:type="dxa"/>
            <w:vAlign w:val="bottom"/>
          </w:tcPr>
          <w:p>
            <w:pPr>
              <w:jc w:val="center"/>
              <w:ind w:right="30"/>
              <w:spacing w:after="0"/>
              <w:rPr>
                <w:sz w:val="20"/>
                <w:szCs w:val="20"/>
                <w:color w:val="auto"/>
              </w:rPr>
            </w:pPr>
            <w:r>
              <w:rPr>
                <w:rFonts w:ascii="Arial" w:cs="Arial" w:eastAsia="Arial" w:hAnsi="Arial"/>
                <w:sz w:val="18"/>
                <w:szCs w:val="18"/>
                <w:color w:val="auto"/>
                <w:w w:val="96"/>
              </w:rPr>
              <w:t>DEUTSCHE BANK SECURITIES</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GOLDMAN SACHS BANK</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BANK OF AMERICA, N.A.</w:t>
            </w:r>
            <w:r>
              <w:rPr>
                <w:rFonts w:ascii="Arial" w:cs="Arial" w:eastAsia="Arial" w:hAnsi="Arial"/>
                <w:sz w:val="15"/>
                <w:szCs w:val="15"/>
                <w:color w:val="auto"/>
                <w:w w:val="99"/>
              </w:rPr>
              <w:t>1</w:t>
            </w:r>
          </w:p>
        </w:tc>
        <w:tc>
          <w:tcPr>
            <w:tcW w:w="1720" w:type="dxa"/>
            <w:vAlign w:val="bottom"/>
          </w:tcPr>
          <w:p>
            <w:pPr>
              <w:jc w:val="center"/>
              <w:spacing w:after="0"/>
              <w:rPr>
                <w:sz w:val="20"/>
                <w:szCs w:val="20"/>
                <w:color w:val="auto"/>
              </w:rPr>
            </w:pPr>
            <w:r>
              <w:rPr>
                <w:rFonts w:ascii="Arial" w:cs="Arial" w:eastAsia="Arial" w:hAnsi="Arial"/>
                <w:sz w:val="18"/>
                <w:szCs w:val="18"/>
                <w:color w:val="auto"/>
              </w:rPr>
              <w:t>MIZUHO BANK,</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7"/>
              </w:rPr>
              <w:t>MORGAN STANLEY</w:t>
            </w:r>
          </w:p>
        </w:tc>
      </w:tr>
      <w:tr>
        <w:trPr>
          <w:trHeight w:val="216"/>
        </w:trPr>
        <w:tc>
          <w:tcPr>
            <w:tcW w:w="2680" w:type="dxa"/>
            <w:vAlign w:val="bottom"/>
          </w:tcPr>
          <w:p>
            <w:pPr>
              <w:jc w:val="center"/>
              <w:ind w:right="30"/>
              <w:spacing w:after="0"/>
              <w:rPr>
                <w:sz w:val="20"/>
                <w:szCs w:val="20"/>
                <w:color w:val="auto"/>
              </w:rPr>
            </w:pPr>
            <w:r>
              <w:rPr>
                <w:rFonts w:ascii="Arial" w:cs="Arial" w:eastAsia="Arial" w:hAnsi="Arial"/>
                <w:sz w:val="18"/>
                <w:szCs w:val="18"/>
                <w:color w:val="auto"/>
                <w:w w:val="98"/>
              </w:rPr>
              <w:t>INC.</w:t>
            </w:r>
            <w:r>
              <w:rPr>
                <w:rFonts w:ascii="Arial" w:cs="Arial" w:eastAsia="Arial" w:hAnsi="Arial"/>
                <w:sz w:val="15"/>
                <w:szCs w:val="15"/>
                <w:color w:val="auto"/>
                <w:w w:val="98"/>
              </w:rPr>
              <w:t>1,2</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USA</w:t>
            </w:r>
            <w:r>
              <w:rPr>
                <w:rFonts w:ascii="Arial" w:cs="Arial" w:eastAsia="Arial" w:hAnsi="Arial"/>
                <w:sz w:val="15"/>
                <w:szCs w:val="15"/>
                <w:color w:val="auto"/>
                <w:w w:val="96"/>
              </w:rPr>
              <w:t>1,2</w:t>
            </w:r>
          </w:p>
        </w:tc>
        <w:tc>
          <w:tcPr>
            <w:tcW w:w="2380" w:type="dxa"/>
            <w:vAlign w:val="bottom"/>
          </w:tcPr>
          <w:p>
            <w:pPr>
              <w:jc w:val="center"/>
              <w:spacing w:after="0"/>
              <w:rPr>
                <w:sz w:val="20"/>
                <w:szCs w:val="20"/>
                <w:color w:val="auto"/>
              </w:rPr>
            </w:pPr>
            <w:r>
              <w:rPr>
                <w:rFonts w:ascii="Arial" w:cs="Arial" w:eastAsia="Arial" w:hAnsi="Arial"/>
                <w:sz w:val="18"/>
                <w:szCs w:val="18"/>
                <w:i w:val="1"/>
                <w:iCs w:val="1"/>
                <w:color w:val="auto"/>
                <w:w w:val="90"/>
              </w:rPr>
              <w:t>as Co-Syndication Agent</w:t>
            </w:r>
          </w:p>
        </w:tc>
        <w:tc>
          <w:tcPr>
            <w:tcW w:w="1720" w:type="dxa"/>
            <w:vAlign w:val="bottom"/>
          </w:tcPr>
          <w:p>
            <w:pPr>
              <w:jc w:val="center"/>
              <w:spacing w:after="0"/>
              <w:rPr>
                <w:sz w:val="20"/>
                <w:szCs w:val="20"/>
                <w:color w:val="auto"/>
              </w:rPr>
            </w:pPr>
            <w:r>
              <w:rPr>
                <w:rFonts w:ascii="Arial" w:cs="Arial" w:eastAsia="Arial" w:hAnsi="Arial"/>
                <w:sz w:val="18"/>
                <w:szCs w:val="18"/>
                <w:color w:val="auto"/>
                <w:w w:val="96"/>
              </w:rPr>
              <w:t>LTD.</w:t>
            </w:r>
            <w:r>
              <w:rPr>
                <w:rFonts w:ascii="Arial" w:cs="Arial" w:eastAsia="Arial" w:hAnsi="Arial"/>
                <w:sz w:val="15"/>
                <w:szCs w:val="15"/>
                <w:color w:val="auto"/>
                <w:w w:val="96"/>
              </w:rPr>
              <w:t>1,2</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6"/>
              </w:rPr>
              <w:t>SENIOR FUNDING,</w:t>
            </w:r>
          </w:p>
        </w:tc>
      </w:tr>
      <w:tr>
        <w:trPr>
          <w:trHeight w:val="230"/>
        </w:trPr>
        <w:tc>
          <w:tcPr>
            <w:tcW w:w="2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8"/>
              </w:rPr>
              <w:t>INC.</w:t>
            </w:r>
            <w:r>
              <w:rPr>
                <w:rFonts w:ascii="Arial" w:cs="Arial" w:eastAsia="Arial" w:hAnsi="Arial"/>
                <w:sz w:val="15"/>
                <w:szCs w:val="15"/>
                <w:color w:val="auto"/>
                <w:w w:val="98"/>
              </w:rPr>
              <w:t>1,2</w:t>
            </w:r>
          </w:p>
        </w:tc>
      </w:tr>
      <w:tr>
        <w:trPr>
          <w:trHeight w:val="310"/>
        </w:trPr>
        <w:tc>
          <w:tcPr>
            <w:tcW w:w="2680" w:type="dxa"/>
            <w:vAlign w:val="bottom"/>
          </w:tcPr>
          <w:p>
            <w:pPr>
              <w:jc w:val="center"/>
              <w:ind w:right="30"/>
              <w:spacing w:after="0"/>
              <w:rPr>
                <w:sz w:val="20"/>
                <w:szCs w:val="20"/>
                <w:color w:val="auto"/>
              </w:rPr>
            </w:pPr>
            <w:r>
              <w:rPr>
                <w:rFonts w:ascii="Arial" w:cs="Arial" w:eastAsia="Arial" w:hAnsi="Arial"/>
                <w:sz w:val="18"/>
                <w:szCs w:val="18"/>
                <w:color w:val="auto"/>
                <w:w w:val="98"/>
              </w:rPr>
              <w:t>RBC CAPITAL</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RBS SECURITIES</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SUMITOMO MITSUI</w:t>
            </w: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SOCIÉTÉ</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7"/>
              </w:rPr>
              <w:t>THE BANK OF NOVA</w:t>
            </w:r>
          </w:p>
        </w:tc>
      </w:tr>
      <w:tr>
        <w:trPr>
          <w:trHeight w:val="216"/>
        </w:trPr>
        <w:tc>
          <w:tcPr>
            <w:tcW w:w="2680" w:type="dxa"/>
            <w:vAlign w:val="bottom"/>
          </w:tcPr>
          <w:p>
            <w:pPr>
              <w:jc w:val="center"/>
              <w:ind w:right="50"/>
              <w:spacing w:after="0"/>
              <w:rPr>
                <w:sz w:val="20"/>
                <w:szCs w:val="20"/>
                <w:color w:val="auto"/>
              </w:rPr>
            </w:pPr>
            <w:r>
              <w:rPr>
                <w:rFonts w:ascii="Arial" w:cs="Arial" w:eastAsia="Arial" w:hAnsi="Arial"/>
                <w:sz w:val="18"/>
                <w:szCs w:val="18"/>
                <w:color w:val="auto"/>
                <w:w w:val="98"/>
              </w:rPr>
              <w:t>MARKETS</w:t>
            </w:r>
            <w:r>
              <w:rPr>
                <w:rFonts w:ascii="Arial" w:cs="Arial" w:eastAsia="Arial" w:hAnsi="Arial"/>
                <w:sz w:val="15"/>
                <w:szCs w:val="15"/>
                <w:color w:val="auto"/>
                <w:w w:val="98"/>
              </w:rPr>
              <w:t>1</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INC.</w:t>
            </w:r>
            <w:r>
              <w:rPr>
                <w:rFonts w:ascii="Arial" w:cs="Arial" w:eastAsia="Arial" w:hAnsi="Arial"/>
                <w:sz w:val="15"/>
                <w:szCs w:val="15"/>
                <w:color w:val="auto"/>
                <w:w w:val="99"/>
              </w:rPr>
              <w:t>1</w:t>
            </w:r>
          </w:p>
        </w:tc>
        <w:tc>
          <w:tcPr>
            <w:tcW w:w="2380" w:type="dxa"/>
            <w:vAlign w:val="bottom"/>
          </w:tcPr>
          <w:p>
            <w:pPr>
              <w:jc w:val="center"/>
              <w:spacing w:after="0"/>
              <w:rPr>
                <w:sz w:val="20"/>
                <w:szCs w:val="20"/>
                <w:color w:val="auto"/>
              </w:rPr>
            </w:pPr>
            <w:r>
              <w:rPr>
                <w:rFonts w:ascii="Arial" w:cs="Arial" w:eastAsia="Arial" w:hAnsi="Arial"/>
                <w:sz w:val="18"/>
                <w:szCs w:val="18"/>
                <w:color w:val="auto"/>
              </w:rPr>
              <w:t>BANKING</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GÉNÉRALE</w:t>
            </w:r>
            <w:r>
              <w:rPr>
                <w:rFonts w:ascii="Arial" w:cs="Arial" w:eastAsia="Arial" w:hAnsi="Arial"/>
                <w:sz w:val="15"/>
                <w:szCs w:val="15"/>
                <w:color w:val="auto"/>
                <w:w w:val="95"/>
              </w:rPr>
              <w:t>1,2</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5"/>
              </w:rPr>
              <w:t>SCOTIA</w:t>
            </w:r>
            <w:r>
              <w:rPr>
                <w:rFonts w:ascii="Arial" w:cs="Arial" w:eastAsia="Arial" w:hAnsi="Arial"/>
                <w:sz w:val="15"/>
                <w:szCs w:val="15"/>
                <w:color w:val="auto"/>
                <w:w w:val="95"/>
              </w:rPr>
              <w:t>1,2</w:t>
            </w:r>
          </w:p>
        </w:tc>
      </w:tr>
      <w:tr>
        <w:trPr>
          <w:trHeight w:val="216"/>
        </w:trPr>
        <w:tc>
          <w:tcPr>
            <w:tcW w:w="2680" w:type="dxa"/>
            <w:vAlign w:val="bottom"/>
          </w:tcPr>
          <w:p>
            <w:pPr>
              <w:jc w:val="center"/>
              <w:ind w:right="30"/>
              <w:spacing w:after="0"/>
              <w:rPr>
                <w:sz w:val="20"/>
                <w:szCs w:val="20"/>
                <w:color w:val="auto"/>
              </w:rPr>
            </w:pPr>
            <w:r>
              <w:rPr>
                <w:rFonts w:ascii="Arial" w:cs="Arial" w:eastAsia="Arial" w:hAnsi="Arial"/>
                <w:sz w:val="18"/>
                <w:szCs w:val="18"/>
                <w:color w:val="auto"/>
                <w:w w:val="99"/>
              </w:rPr>
              <w:t>ROYAL BANK OF</w:t>
            </w: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THE ROYAL BANK OF</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CORPORATION</w:t>
            </w:r>
            <w:r>
              <w:rPr>
                <w:rFonts w:ascii="Arial" w:cs="Arial" w:eastAsia="Arial" w:hAnsi="Arial"/>
                <w:sz w:val="15"/>
                <w:szCs w:val="15"/>
                <w:color w:val="auto"/>
                <w:w w:val="92"/>
              </w:rPr>
              <w:t>1,2</w:t>
            </w:r>
          </w:p>
        </w:tc>
        <w:tc>
          <w:tcPr>
            <w:tcW w:w="17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2680" w:type="dxa"/>
            <w:vAlign w:val="bottom"/>
          </w:tcPr>
          <w:p>
            <w:pPr>
              <w:jc w:val="center"/>
              <w:ind w:right="30"/>
              <w:spacing w:after="0"/>
              <w:rPr>
                <w:sz w:val="20"/>
                <w:szCs w:val="20"/>
                <w:color w:val="auto"/>
              </w:rPr>
            </w:pPr>
            <w:r>
              <w:rPr>
                <w:rFonts w:ascii="Arial" w:cs="Arial" w:eastAsia="Arial" w:hAnsi="Arial"/>
                <w:sz w:val="18"/>
                <w:szCs w:val="18"/>
                <w:color w:val="auto"/>
              </w:rPr>
              <w:t>CANADA</w:t>
            </w:r>
            <w:r>
              <w:rPr>
                <w:rFonts w:ascii="Arial" w:cs="Arial" w:eastAsia="Arial" w:hAnsi="Arial"/>
                <w:sz w:val="15"/>
                <w:szCs w:val="15"/>
                <w:color w:val="auto"/>
              </w:rPr>
              <w:t>2</w:t>
            </w:r>
          </w:p>
        </w:tc>
        <w:tc>
          <w:tcPr>
            <w:tcW w:w="2440" w:type="dxa"/>
            <w:vAlign w:val="bottom"/>
          </w:tcPr>
          <w:p>
            <w:pPr>
              <w:jc w:val="center"/>
              <w:spacing w:after="0"/>
              <w:rPr>
                <w:sz w:val="20"/>
                <w:szCs w:val="20"/>
                <w:color w:val="auto"/>
              </w:rPr>
            </w:pPr>
            <w:r>
              <w:rPr>
                <w:rFonts w:ascii="Arial" w:cs="Arial" w:eastAsia="Arial" w:hAnsi="Arial"/>
                <w:sz w:val="18"/>
                <w:szCs w:val="18"/>
                <w:color w:val="auto"/>
                <w:w w:val="95"/>
              </w:rPr>
              <w:t>SCOTLAND PLC</w:t>
            </w:r>
            <w:r>
              <w:rPr>
                <w:rFonts w:ascii="Arial" w:cs="Arial" w:eastAsia="Arial" w:hAnsi="Arial"/>
                <w:sz w:val="15"/>
                <w:szCs w:val="15"/>
                <w:color w:val="auto"/>
                <w:w w:val="95"/>
              </w:rPr>
              <w:t>2</w:t>
            </w:r>
          </w:p>
        </w:tc>
        <w:tc>
          <w:tcPr>
            <w:tcW w:w="2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As Joint Bookrunners and Joint Lead Arrangers when noted ( </w:t>
      </w:r>
      <w:r>
        <w:rPr>
          <w:rFonts w:ascii="Arial" w:cs="Arial" w:eastAsia="Arial" w:hAnsi="Arial"/>
          <w:sz w:val="15"/>
          <w:szCs w:val="15"/>
          <w:i w:val="1"/>
          <w:iCs w:val="1"/>
          <w:color w:val="auto"/>
        </w:rPr>
        <w:t>1</w:t>
      </w:r>
      <w:r>
        <w:rPr>
          <w:rFonts w:ascii="Arial" w:cs="Arial" w:eastAsia="Arial" w:hAnsi="Arial"/>
          <w:sz w:val="18"/>
          <w:szCs w:val="18"/>
          <w:i w:val="1"/>
          <w:iCs w:val="1"/>
          <w:color w:val="auto"/>
        </w:rPr>
        <w:t xml:space="preserve"> ) and as Documentation Agents when noted ( </w:t>
      </w:r>
      <w:r>
        <w:rPr>
          <w:rFonts w:ascii="Arial" w:cs="Arial" w:eastAsia="Arial" w:hAnsi="Arial"/>
          <w:sz w:val="15"/>
          <w:szCs w:val="15"/>
          <w:i w:val="1"/>
          <w:iCs w:val="1"/>
          <w:color w:val="auto"/>
        </w:rPr>
        <w:t>2</w:t>
      </w:r>
      <w:r>
        <w:rPr>
          <w:rFonts w:ascii="Arial" w:cs="Arial" w:eastAsia="Arial" w:hAnsi="Arial"/>
          <w:sz w:val="18"/>
          <w:szCs w:val="18"/>
          <w:i w:val="1"/>
          <w:iCs w:val="1"/>
          <w:color w:val="auto"/>
        </w:rPr>
        <w:t xml:space="preserve"> )</w:t>
      </w:r>
    </w:p>
    <w:p>
      <w:pPr>
        <w:sectPr>
          <w:pgSz w:w="11900" w:h="16838" w:orient="portrait"/>
          <w:cols w:equalWidth="0" w:num="1">
            <w:col w:w="11400"/>
          </w:cols>
          <w:pgMar w:left="260" w:top="121" w:right="239" w:bottom="1440" w:gutter="0" w:footer="0" w:header="0"/>
        </w:sectPr>
      </w:pPr>
    </w:p>
    <w:bookmarkStart w:id="474" w:name="page475"/>
    <w:bookmarkEnd w:id="474"/>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64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r>
      <w:tr>
        <w:trPr>
          <w:trHeight w:val="377"/>
        </w:trPr>
        <w:tc>
          <w:tcPr>
            <w:tcW w:w="110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1.</w:t>
            </w:r>
          </w:p>
        </w:tc>
        <w:tc>
          <w:tcPr>
            <w:tcW w:w="764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100" w:type="dxa"/>
            <w:vAlign w:val="bottom"/>
          </w:tcPr>
          <w:p>
            <w:pPr>
              <w:ind w:left="360"/>
              <w:spacing w:after="0"/>
              <w:rPr>
                <w:sz w:val="20"/>
                <w:szCs w:val="20"/>
                <w:color w:val="auto"/>
              </w:rPr>
            </w:pPr>
            <w:r>
              <w:rPr>
                <w:rFonts w:ascii="Arial" w:cs="Arial" w:eastAsia="Arial" w:hAnsi="Arial"/>
                <w:sz w:val="18"/>
                <w:szCs w:val="18"/>
                <w:color w:val="auto"/>
              </w:rPr>
              <w:t>1.1</w:t>
            </w:r>
          </w:p>
        </w:tc>
        <w:tc>
          <w:tcPr>
            <w:tcW w:w="7640" w:type="dxa"/>
            <w:vAlign w:val="bottom"/>
          </w:tcPr>
          <w:p>
            <w:pPr>
              <w:ind w:left="140"/>
              <w:spacing w:after="0"/>
              <w:rPr>
                <w:sz w:val="20"/>
                <w:szCs w:val="20"/>
                <w:color w:val="auto"/>
              </w:rPr>
            </w:pPr>
            <w:r>
              <w:rPr>
                <w:rFonts w:ascii="Arial" w:cs="Arial" w:eastAsia="Arial" w:hAnsi="Arial"/>
                <w:sz w:val="18"/>
                <w:szCs w:val="18"/>
                <w:color w:val="auto"/>
              </w:rPr>
              <w:t>Defined Terms</w:t>
            </w:r>
          </w:p>
        </w:tc>
        <w:tc>
          <w:tcPr>
            <w:tcW w:w="2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1.2</w:t>
            </w:r>
          </w:p>
        </w:tc>
        <w:tc>
          <w:tcPr>
            <w:tcW w:w="7640" w:type="dxa"/>
            <w:vAlign w:val="bottom"/>
          </w:tcPr>
          <w:p>
            <w:pPr>
              <w:ind w:left="140"/>
              <w:spacing w:after="0"/>
              <w:rPr>
                <w:sz w:val="20"/>
                <w:szCs w:val="20"/>
                <w:color w:val="auto"/>
              </w:rPr>
            </w:pPr>
            <w:r>
              <w:rPr>
                <w:rFonts w:ascii="Arial" w:cs="Arial" w:eastAsia="Arial" w:hAnsi="Arial"/>
                <w:sz w:val="18"/>
                <w:szCs w:val="18"/>
                <w:color w:val="auto"/>
              </w:rPr>
              <w:t>Other Definitional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1.3</w:t>
            </w:r>
          </w:p>
        </w:tc>
        <w:tc>
          <w:tcPr>
            <w:tcW w:w="7640" w:type="dxa"/>
            <w:vAlign w:val="bottom"/>
          </w:tcPr>
          <w:p>
            <w:pPr>
              <w:ind w:left="140"/>
              <w:spacing w:after="0"/>
              <w:rPr>
                <w:sz w:val="20"/>
                <w:szCs w:val="20"/>
                <w:color w:val="auto"/>
              </w:rPr>
            </w:pPr>
            <w:r>
              <w:rPr>
                <w:rFonts w:ascii="Arial" w:cs="Arial" w:eastAsia="Arial" w:hAnsi="Arial"/>
                <w:sz w:val="18"/>
                <w:szCs w:val="18"/>
                <w:color w:val="auto"/>
              </w:rPr>
              <w:t>Conversion of Foreign Currencies</w:t>
            </w:r>
          </w:p>
        </w:tc>
        <w:tc>
          <w:tcPr>
            <w:tcW w:w="2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100" w:type="dxa"/>
            <w:vAlign w:val="bottom"/>
          </w:tcPr>
          <w:p>
            <w:pPr>
              <w:ind w:left="360"/>
              <w:spacing w:after="0"/>
              <w:rPr>
                <w:sz w:val="20"/>
                <w:szCs w:val="20"/>
                <w:color w:val="auto"/>
              </w:rPr>
            </w:pPr>
            <w:r>
              <w:rPr>
                <w:rFonts w:ascii="Arial" w:cs="Arial" w:eastAsia="Arial" w:hAnsi="Arial"/>
                <w:sz w:val="18"/>
                <w:szCs w:val="18"/>
                <w:color w:val="auto"/>
              </w:rPr>
              <w:t>1.4</w:t>
            </w:r>
          </w:p>
        </w:tc>
        <w:tc>
          <w:tcPr>
            <w:tcW w:w="7640" w:type="dxa"/>
            <w:vAlign w:val="bottom"/>
          </w:tcPr>
          <w:p>
            <w:pPr>
              <w:ind w:left="140"/>
              <w:spacing w:after="0"/>
              <w:rPr>
                <w:sz w:val="20"/>
                <w:szCs w:val="20"/>
                <w:color w:val="auto"/>
              </w:rPr>
            </w:pPr>
            <w:r>
              <w:rPr>
                <w:rFonts w:ascii="Arial" w:cs="Arial" w:eastAsia="Arial" w:hAnsi="Arial"/>
                <w:sz w:val="18"/>
                <w:szCs w:val="18"/>
                <w:color w:val="auto"/>
              </w:rPr>
              <w:t>Other Interpretive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SECTION 2.   AMOUNT AND TERMS OF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100" w:type="dxa"/>
            <w:vAlign w:val="bottom"/>
          </w:tcPr>
          <w:p>
            <w:pPr>
              <w:ind w:left="360"/>
              <w:spacing w:after="0"/>
              <w:rPr>
                <w:sz w:val="20"/>
                <w:szCs w:val="20"/>
                <w:color w:val="auto"/>
              </w:rPr>
            </w:pPr>
            <w:r>
              <w:rPr>
                <w:rFonts w:ascii="Arial" w:cs="Arial" w:eastAsia="Arial" w:hAnsi="Arial"/>
                <w:sz w:val="18"/>
                <w:szCs w:val="18"/>
                <w:color w:val="auto"/>
              </w:rPr>
              <w:t>2.1</w:t>
            </w:r>
          </w:p>
        </w:tc>
        <w:tc>
          <w:tcPr>
            <w:tcW w:w="7640" w:type="dxa"/>
            <w:vAlign w:val="bottom"/>
          </w:tcPr>
          <w:p>
            <w:pPr>
              <w:ind w:left="140"/>
              <w:spacing w:after="0"/>
              <w:rPr>
                <w:sz w:val="20"/>
                <w:szCs w:val="20"/>
                <w:color w:val="auto"/>
              </w:rPr>
            </w:pPr>
            <w:r>
              <w:rPr>
                <w:rFonts w:ascii="Arial" w:cs="Arial" w:eastAsia="Arial" w:hAnsi="Arial"/>
                <w:sz w:val="18"/>
                <w:szCs w:val="18"/>
                <w:color w:val="auto"/>
              </w:rPr>
              <w:t>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2.2</w:t>
            </w:r>
          </w:p>
        </w:tc>
        <w:tc>
          <w:tcPr>
            <w:tcW w:w="7640" w:type="dxa"/>
            <w:vAlign w:val="bottom"/>
          </w:tcPr>
          <w:p>
            <w:pPr>
              <w:ind w:left="140"/>
              <w:spacing w:after="0"/>
              <w:rPr>
                <w:sz w:val="20"/>
                <w:szCs w:val="20"/>
                <w:color w:val="auto"/>
              </w:rPr>
            </w:pPr>
            <w:r>
              <w:rPr>
                <w:rFonts w:ascii="Arial" w:cs="Arial" w:eastAsia="Arial" w:hAnsi="Arial"/>
                <w:sz w:val="18"/>
                <w:szCs w:val="18"/>
                <w:color w:val="auto"/>
              </w:rPr>
              <w:t>Procedure for Borrowing</w:t>
            </w:r>
          </w:p>
        </w:tc>
        <w:tc>
          <w:tcPr>
            <w:tcW w:w="2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2.3</w:t>
            </w:r>
          </w:p>
        </w:tc>
        <w:tc>
          <w:tcPr>
            <w:tcW w:w="76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2.4</w:t>
            </w:r>
          </w:p>
        </w:tc>
        <w:tc>
          <w:tcPr>
            <w:tcW w:w="76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2.5</w:t>
            </w:r>
          </w:p>
        </w:tc>
        <w:tc>
          <w:tcPr>
            <w:tcW w:w="76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2.6</w:t>
            </w:r>
          </w:p>
        </w:tc>
        <w:tc>
          <w:tcPr>
            <w:tcW w:w="76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2.7</w:t>
            </w:r>
          </w:p>
        </w:tc>
        <w:tc>
          <w:tcPr>
            <w:tcW w:w="76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2.8</w:t>
            </w:r>
          </w:p>
        </w:tc>
        <w:tc>
          <w:tcPr>
            <w:tcW w:w="76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2.9</w:t>
            </w:r>
          </w:p>
        </w:tc>
        <w:tc>
          <w:tcPr>
            <w:tcW w:w="7640" w:type="dxa"/>
            <w:vAlign w:val="bottom"/>
          </w:tcPr>
          <w:p>
            <w:pPr>
              <w:ind w:left="140"/>
              <w:spacing w:after="0"/>
              <w:rPr>
                <w:sz w:val="20"/>
                <w:szCs w:val="20"/>
                <w:color w:val="auto"/>
              </w:rPr>
            </w:pPr>
            <w:r>
              <w:rPr>
                <w:rFonts w:ascii="Arial" w:cs="Arial" w:eastAsia="Arial" w:hAnsi="Arial"/>
                <w:sz w:val="18"/>
                <w:szCs w:val="18"/>
                <w:color w:val="auto"/>
              </w:rPr>
              <w:t>Competitive Bid Procedure</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2.10</w:t>
            </w:r>
          </w:p>
        </w:tc>
        <w:tc>
          <w:tcPr>
            <w:tcW w:w="7640" w:type="dxa"/>
            <w:vAlign w:val="bottom"/>
          </w:tcPr>
          <w:p>
            <w:pPr>
              <w:ind w:left="140"/>
              <w:spacing w:after="0"/>
              <w:rPr>
                <w:sz w:val="20"/>
                <w:szCs w:val="20"/>
                <w:color w:val="auto"/>
              </w:rPr>
            </w:pPr>
            <w:r>
              <w:rPr>
                <w:rFonts w:ascii="Arial" w:cs="Arial" w:eastAsia="Arial" w:hAnsi="Arial"/>
                <w:sz w:val="18"/>
                <w:szCs w:val="18"/>
                <w:color w:val="auto"/>
              </w:rPr>
              <w:t>Facility Fees, etc.</w:t>
            </w:r>
          </w:p>
        </w:tc>
        <w:tc>
          <w:tcPr>
            <w:tcW w:w="2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2.11</w:t>
            </w:r>
          </w:p>
        </w:tc>
        <w:tc>
          <w:tcPr>
            <w:tcW w:w="7640" w:type="dxa"/>
            <w:vAlign w:val="bottom"/>
          </w:tcPr>
          <w:p>
            <w:pPr>
              <w:ind w:left="140"/>
              <w:spacing w:after="0"/>
              <w:rPr>
                <w:sz w:val="20"/>
                <w:szCs w:val="20"/>
                <w:color w:val="auto"/>
              </w:rPr>
            </w:pPr>
            <w:r>
              <w:rPr>
                <w:rFonts w:ascii="Arial" w:cs="Arial" w:eastAsia="Arial" w:hAnsi="Arial"/>
                <w:sz w:val="18"/>
                <w:szCs w:val="18"/>
                <w:color w:val="auto"/>
              </w:rPr>
              <w:t>Termination and Reduction of Commitments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2.12</w:t>
            </w:r>
          </w:p>
        </w:tc>
        <w:tc>
          <w:tcPr>
            <w:tcW w:w="7640" w:type="dxa"/>
            <w:vAlign w:val="bottom"/>
          </w:tcPr>
          <w:p>
            <w:pPr>
              <w:ind w:left="140"/>
              <w:spacing w:after="0"/>
              <w:rPr>
                <w:sz w:val="20"/>
                <w:szCs w:val="20"/>
                <w:color w:val="auto"/>
              </w:rPr>
            </w:pPr>
            <w:r>
              <w:rPr>
                <w:rFonts w:ascii="Arial" w:cs="Arial" w:eastAsia="Arial" w:hAnsi="Arial"/>
                <w:sz w:val="18"/>
                <w:szCs w:val="18"/>
                <w:color w:val="auto"/>
              </w:rPr>
              <w:t>Optional Prepayments</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2.13</w:t>
            </w:r>
          </w:p>
        </w:tc>
        <w:tc>
          <w:tcPr>
            <w:tcW w:w="76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2.14</w:t>
            </w:r>
          </w:p>
        </w:tc>
        <w:tc>
          <w:tcPr>
            <w:tcW w:w="7640" w:type="dxa"/>
            <w:vAlign w:val="bottom"/>
          </w:tcPr>
          <w:p>
            <w:pPr>
              <w:ind w:left="140"/>
              <w:spacing w:after="0"/>
              <w:rPr>
                <w:sz w:val="20"/>
                <w:szCs w:val="20"/>
                <w:color w:val="auto"/>
              </w:rPr>
            </w:pPr>
            <w:r>
              <w:rPr>
                <w:rFonts w:ascii="Arial" w:cs="Arial" w:eastAsia="Arial" w:hAnsi="Arial"/>
                <w:sz w:val="18"/>
                <w:szCs w:val="18"/>
                <w:color w:val="auto"/>
              </w:rPr>
              <w:t>Conversion and Continuation Options</w:t>
            </w:r>
          </w:p>
        </w:tc>
        <w:tc>
          <w:tcPr>
            <w:tcW w:w="2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2.15</w:t>
            </w:r>
          </w:p>
        </w:tc>
        <w:tc>
          <w:tcPr>
            <w:tcW w:w="7640" w:type="dxa"/>
            <w:vAlign w:val="bottom"/>
          </w:tcPr>
          <w:p>
            <w:pPr>
              <w:ind w:left="140"/>
              <w:spacing w:after="0"/>
              <w:rPr>
                <w:sz w:val="20"/>
                <w:szCs w:val="20"/>
                <w:color w:val="auto"/>
              </w:rPr>
            </w:pPr>
            <w:r>
              <w:rPr>
                <w:rFonts w:ascii="Arial" w:cs="Arial" w:eastAsia="Arial" w:hAnsi="Arial"/>
                <w:sz w:val="18"/>
                <w:szCs w:val="18"/>
                <w:color w:val="auto"/>
              </w:rPr>
              <w:t>Limitations on Eurocurrency Tranches</w:t>
            </w:r>
          </w:p>
        </w:tc>
        <w:tc>
          <w:tcPr>
            <w:tcW w:w="2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2.16</w:t>
            </w:r>
          </w:p>
        </w:tc>
        <w:tc>
          <w:tcPr>
            <w:tcW w:w="7640" w:type="dxa"/>
            <w:vAlign w:val="bottom"/>
          </w:tcPr>
          <w:p>
            <w:pPr>
              <w:ind w:left="140"/>
              <w:spacing w:after="0"/>
              <w:rPr>
                <w:sz w:val="20"/>
                <w:szCs w:val="20"/>
                <w:color w:val="auto"/>
              </w:rPr>
            </w:pPr>
            <w:r>
              <w:rPr>
                <w:rFonts w:ascii="Arial" w:cs="Arial" w:eastAsia="Arial" w:hAnsi="Arial"/>
                <w:sz w:val="18"/>
                <w:szCs w:val="18"/>
                <w:color w:val="auto"/>
              </w:rPr>
              <w:t>Interest Rates and Payment Dates</w:t>
            </w:r>
          </w:p>
        </w:tc>
        <w:tc>
          <w:tcPr>
            <w:tcW w:w="2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2.17</w:t>
            </w:r>
          </w:p>
        </w:tc>
        <w:tc>
          <w:tcPr>
            <w:tcW w:w="7640" w:type="dxa"/>
            <w:vAlign w:val="bottom"/>
          </w:tcPr>
          <w:p>
            <w:pPr>
              <w:ind w:left="140"/>
              <w:spacing w:after="0"/>
              <w:rPr>
                <w:sz w:val="20"/>
                <w:szCs w:val="20"/>
                <w:color w:val="auto"/>
              </w:rPr>
            </w:pPr>
            <w:r>
              <w:rPr>
                <w:rFonts w:ascii="Arial" w:cs="Arial" w:eastAsia="Arial" w:hAnsi="Arial"/>
                <w:sz w:val="18"/>
                <w:szCs w:val="18"/>
                <w:color w:val="auto"/>
              </w:rPr>
              <w:t>Computation of Interest and Fees</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2.18</w:t>
            </w:r>
          </w:p>
        </w:tc>
        <w:tc>
          <w:tcPr>
            <w:tcW w:w="7640" w:type="dxa"/>
            <w:vAlign w:val="bottom"/>
          </w:tcPr>
          <w:p>
            <w:pPr>
              <w:ind w:left="140"/>
              <w:spacing w:after="0"/>
              <w:rPr>
                <w:sz w:val="20"/>
                <w:szCs w:val="20"/>
                <w:color w:val="auto"/>
              </w:rPr>
            </w:pPr>
            <w:r>
              <w:rPr>
                <w:rFonts w:ascii="Arial" w:cs="Arial" w:eastAsia="Arial" w:hAnsi="Arial"/>
                <w:sz w:val="18"/>
                <w:szCs w:val="18"/>
                <w:color w:val="auto"/>
              </w:rPr>
              <w:t>Inability to Determine Interest Rate; Illegality</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2.19</w:t>
            </w:r>
          </w:p>
        </w:tc>
        <w:tc>
          <w:tcPr>
            <w:tcW w:w="7640" w:type="dxa"/>
            <w:vAlign w:val="bottom"/>
          </w:tcPr>
          <w:p>
            <w:pPr>
              <w:ind w:left="140"/>
              <w:spacing w:after="0"/>
              <w:rPr>
                <w:sz w:val="20"/>
                <w:szCs w:val="20"/>
                <w:color w:val="auto"/>
              </w:rPr>
            </w:pPr>
            <w:r>
              <w:rPr>
                <w:rFonts w:ascii="Arial" w:cs="Arial" w:eastAsia="Arial" w:hAnsi="Arial"/>
                <w:sz w:val="18"/>
                <w:szCs w:val="18"/>
                <w:color w:val="auto"/>
              </w:rPr>
              <w:t>Pro Rata Treatment and Payments; Evidence of Debt</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2.20</w:t>
            </w:r>
          </w:p>
        </w:tc>
        <w:tc>
          <w:tcPr>
            <w:tcW w:w="7640" w:type="dxa"/>
            <w:vAlign w:val="bottom"/>
          </w:tcPr>
          <w:p>
            <w:pPr>
              <w:ind w:left="140"/>
              <w:spacing w:after="0"/>
              <w:rPr>
                <w:sz w:val="20"/>
                <w:szCs w:val="20"/>
                <w:color w:val="auto"/>
              </w:rPr>
            </w:pPr>
            <w:r>
              <w:rPr>
                <w:rFonts w:ascii="Arial" w:cs="Arial" w:eastAsia="Arial" w:hAnsi="Arial"/>
                <w:sz w:val="18"/>
                <w:szCs w:val="18"/>
                <w:color w:val="auto"/>
              </w:rPr>
              <w:t>Requirements of Law</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2.21</w:t>
            </w:r>
          </w:p>
        </w:tc>
        <w:tc>
          <w:tcPr>
            <w:tcW w:w="7640" w:type="dxa"/>
            <w:vAlign w:val="bottom"/>
          </w:tcPr>
          <w:p>
            <w:pPr>
              <w:ind w:left="140"/>
              <w:spacing w:after="0"/>
              <w:rPr>
                <w:sz w:val="20"/>
                <w:szCs w:val="20"/>
                <w:color w:val="auto"/>
              </w:rPr>
            </w:pPr>
            <w:r>
              <w:rPr>
                <w:rFonts w:ascii="Arial" w:cs="Arial" w:eastAsia="Arial" w:hAnsi="Arial"/>
                <w:sz w:val="18"/>
                <w:szCs w:val="18"/>
                <w:color w:val="auto"/>
              </w:rPr>
              <w:t>Taxes</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2.22</w:t>
            </w:r>
          </w:p>
        </w:tc>
        <w:tc>
          <w:tcPr>
            <w:tcW w:w="7640" w:type="dxa"/>
            <w:vAlign w:val="bottom"/>
          </w:tcPr>
          <w:p>
            <w:pPr>
              <w:ind w:left="140"/>
              <w:spacing w:after="0"/>
              <w:rPr>
                <w:sz w:val="20"/>
                <w:szCs w:val="20"/>
                <w:color w:val="auto"/>
              </w:rPr>
            </w:pPr>
            <w:r>
              <w:rPr>
                <w:rFonts w:ascii="Arial" w:cs="Arial" w:eastAsia="Arial" w:hAnsi="Arial"/>
                <w:sz w:val="18"/>
                <w:szCs w:val="18"/>
                <w:color w:val="auto"/>
              </w:rPr>
              <w:t>Indemnity</w:t>
            </w:r>
          </w:p>
        </w:tc>
        <w:tc>
          <w:tcPr>
            <w:tcW w:w="2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2.23</w:t>
            </w:r>
          </w:p>
        </w:tc>
        <w:tc>
          <w:tcPr>
            <w:tcW w:w="7640" w:type="dxa"/>
            <w:vAlign w:val="bottom"/>
          </w:tcPr>
          <w:p>
            <w:pPr>
              <w:ind w:left="140"/>
              <w:spacing w:after="0"/>
              <w:rPr>
                <w:sz w:val="20"/>
                <w:szCs w:val="20"/>
                <w:color w:val="auto"/>
              </w:rPr>
            </w:pPr>
            <w:r>
              <w:rPr>
                <w:rFonts w:ascii="Arial" w:cs="Arial" w:eastAsia="Arial" w:hAnsi="Arial"/>
                <w:sz w:val="18"/>
                <w:szCs w:val="18"/>
                <w:color w:val="auto"/>
              </w:rPr>
              <w:t>Change of Applicable Lending Office</w:t>
            </w:r>
          </w:p>
        </w:tc>
        <w:tc>
          <w:tcPr>
            <w:tcW w:w="2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2.24</w:t>
            </w:r>
          </w:p>
        </w:tc>
        <w:tc>
          <w:tcPr>
            <w:tcW w:w="7640" w:type="dxa"/>
            <w:vAlign w:val="bottom"/>
          </w:tcPr>
          <w:p>
            <w:pPr>
              <w:ind w:left="140"/>
              <w:spacing w:after="0"/>
              <w:rPr>
                <w:sz w:val="20"/>
                <w:szCs w:val="20"/>
                <w:color w:val="auto"/>
              </w:rPr>
            </w:pPr>
            <w:r>
              <w:rPr>
                <w:rFonts w:ascii="Arial" w:cs="Arial" w:eastAsia="Arial" w:hAnsi="Arial"/>
                <w:sz w:val="18"/>
                <w:szCs w:val="18"/>
                <w:color w:val="auto"/>
              </w:rPr>
              <w:t>Replacement/Termination of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2.25</w:t>
            </w:r>
          </w:p>
        </w:tc>
        <w:tc>
          <w:tcPr>
            <w:tcW w:w="7640" w:type="dxa"/>
            <w:vAlign w:val="bottom"/>
          </w:tcPr>
          <w:p>
            <w:pPr>
              <w:ind w:left="140"/>
              <w:spacing w:after="0"/>
              <w:rPr>
                <w:sz w:val="20"/>
                <w:szCs w:val="20"/>
                <w:color w:val="auto"/>
              </w:rPr>
            </w:pPr>
            <w:r>
              <w:rPr>
                <w:rFonts w:ascii="Arial" w:cs="Arial" w:eastAsia="Arial" w:hAnsi="Arial"/>
                <w:sz w:val="18"/>
                <w:szCs w:val="18"/>
                <w:color w:val="auto"/>
              </w:rPr>
              <w:t>Defaulting Lender</w:t>
            </w:r>
          </w:p>
        </w:tc>
        <w:tc>
          <w:tcPr>
            <w:tcW w:w="2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2.26</w:t>
            </w:r>
          </w:p>
        </w:tc>
        <w:tc>
          <w:tcPr>
            <w:tcW w:w="7640" w:type="dxa"/>
            <w:vAlign w:val="bottom"/>
          </w:tcPr>
          <w:p>
            <w:pPr>
              <w:ind w:left="140"/>
              <w:spacing w:after="0"/>
              <w:rPr>
                <w:sz w:val="20"/>
                <w:szCs w:val="20"/>
                <w:color w:val="auto"/>
              </w:rPr>
            </w:pPr>
            <w:r>
              <w:rPr>
                <w:rFonts w:ascii="Arial" w:cs="Arial" w:eastAsia="Arial" w:hAnsi="Arial"/>
                <w:sz w:val="18"/>
                <w:szCs w:val="18"/>
                <w:color w:val="auto"/>
              </w:rPr>
              <w:t>Reallocation of Payments for the Account of Defaulting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100" w:type="dxa"/>
            <w:vAlign w:val="bottom"/>
          </w:tcPr>
          <w:p>
            <w:pPr>
              <w:ind w:left="360"/>
              <w:spacing w:after="0"/>
              <w:rPr>
                <w:sz w:val="20"/>
                <w:szCs w:val="20"/>
                <w:color w:val="auto"/>
              </w:rPr>
            </w:pPr>
            <w:r>
              <w:rPr>
                <w:rFonts w:ascii="Arial" w:cs="Arial" w:eastAsia="Arial" w:hAnsi="Arial"/>
                <w:sz w:val="18"/>
                <w:szCs w:val="18"/>
                <w:color w:val="auto"/>
              </w:rPr>
              <w:t>2.27</w:t>
            </w:r>
          </w:p>
        </w:tc>
        <w:tc>
          <w:tcPr>
            <w:tcW w:w="7640" w:type="dxa"/>
            <w:vAlign w:val="bottom"/>
          </w:tcPr>
          <w:p>
            <w:pPr>
              <w:ind w:left="140"/>
              <w:spacing w:after="0"/>
              <w:rPr>
                <w:sz w:val="20"/>
                <w:szCs w:val="20"/>
                <w:color w:val="auto"/>
              </w:rPr>
            </w:pPr>
            <w:r>
              <w:rPr>
                <w:rFonts w:ascii="Arial" w:cs="Arial" w:eastAsia="Arial" w:hAnsi="Arial"/>
                <w:sz w:val="18"/>
                <w:szCs w:val="18"/>
                <w:color w:val="auto"/>
              </w:rPr>
              <w:t>Term Loan Conversion; Repayment of Converted Term Loans</w:t>
            </w:r>
          </w:p>
        </w:tc>
        <w:tc>
          <w:tcPr>
            <w:tcW w:w="2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w:t>
            </w:r>
          </w:p>
        </w:tc>
        <w:tc>
          <w:tcPr>
            <w:tcW w:w="76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w:t>
            </w: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100" w:type="dxa"/>
            <w:vAlign w:val="bottom"/>
          </w:tcPr>
          <w:p>
            <w:pPr>
              <w:ind w:left="360"/>
              <w:spacing w:after="0"/>
              <w:rPr>
                <w:sz w:val="20"/>
                <w:szCs w:val="20"/>
                <w:color w:val="auto"/>
              </w:rPr>
            </w:pPr>
            <w:r>
              <w:rPr>
                <w:rFonts w:ascii="Arial" w:cs="Arial" w:eastAsia="Arial" w:hAnsi="Arial"/>
                <w:sz w:val="18"/>
                <w:szCs w:val="18"/>
                <w:color w:val="auto"/>
              </w:rPr>
              <w:t>4.1</w:t>
            </w:r>
          </w:p>
        </w:tc>
        <w:tc>
          <w:tcPr>
            <w:tcW w:w="7640" w:type="dxa"/>
            <w:vAlign w:val="bottom"/>
          </w:tcPr>
          <w:p>
            <w:pPr>
              <w:ind w:left="140"/>
              <w:spacing w:after="0"/>
              <w:rPr>
                <w:sz w:val="20"/>
                <w:szCs w:val="20"/>
                <w:color w:val="auto"/>
              </w:rPr>
            </w:pPr>
            <w:r>
              <w:rPr>
                <w:rFonts w:ascii="Arial" w:cs="Arial" w:eastAsia="Arial" w:hAnsi="Arial"/>
                <w:sz w:val="18"/>
                <w:szCs w:val="18"/>
                <w:color w:val="auto"/>
              </w:rPr>
              <w:t>Financial Condition</w:t>
            </w: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100" w:type="dxa"/>
            <w:vAlign w:val="bottom"/>
          </w:tcPr>
          <w:p>
            <w:pPr>
              <w:ind w:left="360"/>
              <w:spacing w:after="0"/>
              <w:rPr>
                <w:sz w:val="20"/>
                <w:szCs w:val="20"/>
                <w:color w:val="auto"/>
              </w:rPr>
            </w:pPr>
            <w:r>
              <w:rPr>
                <w:rFonts w:ascii="Arial" w:cs="Arial" w:eastAsia="Arial" w:hAnsi="Arial"/>
                <w:sz w:val="18"/>
                <w:szCs w:val="18"/>
                <w:color w:val="auto"/>
              </w:rPr>
              <w:t>4.2</w:t>
            </w:r>
          </w:p>
        </w:tc>
        <w:tc>
          <w:tcPr>
            <w:tcW w:w="7640" w:type="dxa"/>
            <w:vAlign w:val="bottom"/>
          </w:tcPr>
          <w:p>
            <w:pPr>
              <w:ind w:left="140"/>
              <w:spacing w:after="0"/>
              <w:rPr>
                <w:sz w:val="20"/>
                <w:szCs w:val="20"/>
                <w:color w:val="auto"/>
              </w:rPr>
            </w:pPr>
            <w:r>
              <w:rPr>
                <w:rFonts w:ascii="Arial" w:cs="Arial" w:eastAsia="Arial" w:hAnsi="Arial"/>
                <w:sz w:val="18"/>
                <w:szCs w:val="18"/>
                <w:color w:val="auto"/>
              </w:rPr>
              <w:t>No Change</w:t>
            </w: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475" w:name="page476"/>
    <w:bookmarkEnd w:id="475"/>
    <w:tbl>
      <w:tblPr>
        <w:tblLayout w:type="fixed"/>
        <w:tblInd w:w="0" w:type="dxa"/>
        <w:tblCellMar>
          <w:top w:w="0" w:type="dxa"/>
          <w:left w:w="0" w:type="dxa"/>
          <w:bottom w:w="0" w:type="dxa"/>
          <w:right w:w="0" w:type="dxa"/>
        </w:tblCellMar>
      </w:tblP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4.3</w:t>
            </w:r>
          </w:p>
        </w:tc>
        <w:tc>
          <w:tcPr>
            <w:tcW w:w="6820" w:type="dxa"/>
            <w:vAlign w:val="bottom"/>
          </w:tcPr>
          <w:p>
            <w:pPr>
              <w:ind w:left="140"/>
              <w:spacing w:after="0"/>
              <w:rPr>
                <w:sz w:val="20"/>
                <w:szCs w:val="20"/>
                <w:color w:val="auto"/>
              </w:rPr>
            </w:pPr>
            <w:r>
              <w:rPr>
                <w:rFonts w:ascii="Arial" w:cs="Arial" w:eastAsia="Arial" w:hAnsi="Arial"/>
                <w:sz w:val="18"/>
                <w:szCs w:val="18"/>
                <w:color w:val="auto"/>
              </w:rPr>
              <w:t>Existence</w:t>
            </w:r>
          </w:p>
        </w:tc>
        <w:tc>
          <w:tcPr>
            <w:tcW w:w="3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4.4</w:t>
            </w:r>
          </w:p>
        </w:tc>
        <w:tc>
          <w:tcPr>
            <w:tcW w:w="6820" w:type="dxa"/>
            <w:vAlign w:val="bottom"/>
          </w:tcPr>
          <w:p>
            <w:pPr>
              <w:ind w:left="140"/>
              <w:spacing w:after="0"/>
              <w:rPr>
                <w:sz w:val="20"/>
                <w:szCs w:val="20"/>
                <w:color w:val="auto"/>
              </w:rPr>
            </w:pPr>
            <w:r>
              <w:rPr>
                <w:rFonts w:ascii="Arial" w:cs="Arial" w:eastAsia="Arial" w:hAnsi="Arial"/>
                <w:sz w:val="18"/>
                <w:szCs w:val="18"/>
                <w:color w:val="auto"/>
              </w:rPr>
              <w:t>Power; Authorization; Enforceable Obligations</w:t>
            </w:r>
          </w:p>
        </w:tc>
        <w:tc>
          <w:tcPr>
            <w:tcW w:w="3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4.5</w:t>
            </w:r>
          </w:p>
        </w:tc>
        <w:tc>
          <w:tcPr>
            <w:tcW w:w="6820" w:type="dxa"/>
            <w:vAlign w:val="bottom"/>
          </w:tcPr>
          <w:p>
            <w:pPr>
              <w:ind w:left="140"/>
              <w:spacing w:after="0"/>
              <w:rPr>
                <w:sz w:val="20"/>
                <w:szCs w:val="20"/>
                <w:color w:val="auto"/>
              </w:rPr>
            </w:pPr>
            <w:r>
              <w:rPr>
                <w:rFonts w:ascii="Arial" w:cs="Arial" w:eastAsia="Arial" w:hAnsi="Arial"/>
                <w:sz w:val="18"/>
                <w:szCs w:val="18"/>
                <w:color w:val="auto"/>
              </w:rPr>
              <w:t>No Legal Bar</w:t>
            </w:r>
          </w:p>
        </w:tc>
        <w:tc>
          <w:tcPr>
            <w:tcW w:w="3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4.6</w:t>
            </w:r>
          </w:p>
        </w:tc>
        <w:tc>
          <w:tcPr>
            <w:tcW w:w="682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3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4.7</w:t>
            </w:r>
          </w:p>
        </w:tc>
        <w:tc>
          <w:tcPr>
            <w:tcW w:w="6820" w:type="dxa"/>
            <w:vAlign w:val="bottom"/>
          </w:tcPr>
          <w:p>
            <w:pPr>
              <w:ind w:left="140"/>
              <w:spacing w:after="0"/>
              <w:rPr>
                <w:sz w:val="20"/>
                <w:szCs w:val="20"/>
                <w:color w:val="auto"/>
              </w:rPr>
            </w:pPr>
            <w:r>
              <w:rPr>
                <w:rFonts w:ascii="Arial" w:cs="Arial" w:eastAsia="Arial" w:hAnsi="Arial"/>
                <w:sz w:val="18"/>
                <w:szCs w:val="18"/>
                <w:color w:val="auto"/>
              </w:rPr>
              <w:t>No Default</w:t>
            </w:r>
          </w:p>
        </w:tc>
        <w:tc>
          <w:tcPr>
            <w:tcW w:w="3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4.8</w:t>
            </w:r>
          </w:p>
        </w:tc>
        <w:tc>
          <w:tcPr>
            <w:tcW w:w="6820" w:type="dxa"/>
            <w:vAlign w:val="bottom"/>
          </w:tcPr>
          <w:p>
            <w:pPr>
              <w:ind w:left="140"/>
              <w:spacing w:after="0"/>
              <w:rPr>
                <w:sz w:val="20"/>
                <w:szCs w:val="20"/>
                <w:color w:val="auto"/>
              </w:rPr>
            </w:pPr>
            <w:r>
              <w:rPr>
                <w:rFonts w:ascii="Arial" w:cs="Arial" w:eastAsia="Arial" w:hAnsi="Arial"/>
                <w:sz w:val="18"/>
                <w:szCs w:val="18"/>
                <w:color w:val="auto"/>
              </w:rPr>
              <w:t>Ownership of Property</w:t>
            </w:r>
          </w:p>
        </w:tc>
        <w:tc>
          <w:tcPr>
            <w:tcW w:w="3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4.9</w:t>
            </w:r>
          </w:p>
        </w:tc>
        <w:tc>
          <w:tcPr>
            <w:tcW w:w="6820" w:type="dxa"/>
            <w:vAlign w:val="bottom"/>
          </w:tcPr>
          <w:p>
            <w:pPr>
              <w:ind w:left="140"/>
              <w:spacing w:after="0"/>
              <w:rPr>
                <w:sz w:val="20"/>
                <w:szCs w:val="20"/>
                <w:color w:val="auto"/>
              </w:rPr>
            </w:pPr>
            <w:r>
              <w:rPr>
                <w:rFonts w:ascii="Arial" w:cs="Arial" w:eastAsia="Arial" w:hAnsi="Arial"/>
                <w:sz w:val="18"/>
                <w:szCs w:val="18"/>
                <w:color w:val="auto"/>
              </w:rPr>
              <w:t>Intellectual Property</w:t>
            </w:r>
          </w:p>
        </w:tc>
        <w:tc>
          <w:tcPr>
            <w:tcW w:w="3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4.10</w:t>
            </w:r>
          </w:p>
        </w:tc>
        <w:tc>
          <w:tcPr>
            <w:tcW w:w="6820" w:type="dxa"/>
            <w:vAlign w:val="bottom"/>
          </w:tcPr>
          <w:p>
            <w:pPr>
              <w:ind w:left="140"/>
              <w:spacing w:after="0"/>
              <w:rPr>
                <w:sz w:val="20"/>
                <w:szCs w:val="20"/>
                <w:color w:val="auto"/>
              </w:rPr>
            </w:pPr>
            <w:r>
              <w:rPr>
                <w:rFonts w:ascii="Arial" w:cs="Arial" w:eastAsia="Arial" w:hAnsi="Arial"/>
                <w:sz w:val="18"/>
                <w:szCs w:val="18"/>
                <w:color w:val="auto"/>
              </w:rPr>
              <w:t>Federal Regulations</w:t>
            </w:r>
          </w:p>
        </w:tc>
        <w:tc>
          <w:tcPr>
            <w:tcW w:w="3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4.11</w:t>
            </w:r>
          </w:p>
        </w:tc>
        <w:tc>
          <w:tcPr>
            <w:tcW w:w="6820" w:type="dxa"/>
            <w:vAlign w:val="bottom"/>
          </w:tcPr>
          <w:p>
            <w:pPr>
              <w:ind w:left="140"/>
              <w:spacing w:after="0"/>
              <w:rPr>
                <w:sz w:val="20"/>
                <w:szCs w:val="20"/>
                <w:color w:val="auto"/>
              </w:rPr>
            </w:pPr>
            <w:r>
              <w:rPr>
                <w:rFonts w:ascii="Arial" w:cs="Arial" w:eastAsia="Arial" w:hAnsi="Arial"/>
                <w:sz w:val="18"/>
                <w:szCs w:val="18"/>
                <w:color w:val="auto"/>
              </w:rPr>
              <w:t>ERISA</w:t>
            </w:r>
          </w:p>
        </w:tc>
        <w:tc>
          <w:tcPr>
            <w:tcW w:w="3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4.12</w:t>
            </w:r>
          </w:p>
        </w:tc>
        <w:tc>
          <w:tcPr>
            <w:tcW w:w="6820" w:type="dxa"/>
            <w:vAlign w:val="bottom"/>
          </w:tcPr>
          <w:p>
            <w:pPr>
              <w:ind w:left="140"/>
              <w:spacing w:after="0"/>
              <w:rPr>
                <w:sz w:val="20"/>
                <w:szCs w:val="20"/>
                <w:color w:val="auto"/>
              </w:rPr>
            </w:pPr>
            <w:r>
              <w:rPr>
                <w:rFonts w:ascii="Arial" w:cs="Arial" w:eastAsia="Arial" w:hAnsi="Arial"/>
                <w:sz w:val="18"/>
                <w:szCs w:val="18"/>
                <w:color w:val="auto"/>
              </w:rPr>
              <w:t>Investment Company Act</w:t>
            </w:r>
          </w:p>
        </w:tc>
        <w:tc>
          <w:tcPr>
            <w:tcW w:w="3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4.13</w:t>
            </w:r>
          </w:p>
        </w:tc>
        <w:tc>
          <w:tcPr>
            <w:tcW w:w="6820" w:type="dxa"/>
            <w:vAlign w:val="bottom"/>
          </w:tcPr>
          <w:p>
            <w:pPr>
              <w:ind w:left="140"/>
              <w:spacing w:after="0"/>
              <w:rPr>
                <w:sz w:val="20"/>
                <w:szCs w:val="20"/>
                <w:color w:val="auto"/>
              </w:rPr>
            </w:pPr>
            <w:r>
              <w:rPr>
                <w:rFonts w:ascii="Arial" w:cs="Arial" w:eastAsia="Arial" w:hAnsi="Arial"/>
                <w:sz w:val="18"/>
                <w:szCs w:val="18"/>
                <w:color w:val="auto"/>
              </w:rPr>
              <w:t>Ownership of the Subsidiary Borrowers</w:t>
            </w:r>
          </w:p>
        </w:tc>
        <w:tc>
          <w:tcPr>
            <w:tcW w:w="3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4.14</w:t>
            </w:r>
          </w:p>
        </w:tc>
        <w:tc>
          <w:tcPr>
            <w:tcW w:w="6820" w:type="dxa"/>
            <w:vAlign w:val="bottom"/>
          </w:tcPr>
          <w:p>
            <w:pPr>
              <w:ind w:left="140"/>
              <w:spacing w:after="0"/>
              <w:rPr>
                <w:sz w:val="20"/>
                <w:szCs w:val="20"/>
                <w:color w:val="auto"/>
              </w:rPr>
            </w:pPr>
            <w:r>
              <w:rPr>
                <w:rFonts w:ascii="Arial" w:cs="Arial" w:eastAsia="Arial" w:hAnsi="Arial"/>
                <w:sz w:val="18"/>
                <w:szCs w:val="18"/>
                <w:color w:val="auto"/>
              </w:rPr>
              <w:t>Use of Proceeds</w:t>
            </w:r>
          </w:p>
        </w:tc>
        <w:tc>
          <w:tcPr>
            <w:tcW w:w="3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100" w:type="dxa"/>
            <w:vAlign w:val="bottom"/>
          </w:tcPr>
          <w:p>
            <w:pPr>
              <w:ind w:left="360"/>
              <w:spacing w:after="0"/>
              <w:rPr>
                <w:sz w:val="20"/>
                <w:szCs w:val="20"/>
                <w:color w:val="auto"/>
              </w:rPr>
            </w:pPr>
            <w:r>
              <w:rPr>
                <w:rFonts w:ascii="Arial" w:cs="Arial" w:eastAsia="Arial" w:hAnsi="Arial"/>
                <w:sz w:val="18"/>
                <w:szCs w:val="18"/>
                <w:color w:val="auto"/>
              </w:rPr>
              <w:t>4.15</w:t>
            </w:r>
          </w:p>
        </w:tc>
        <w:tc>
          <w:tcPr>
            <w:tcW w:w="6820" w:type="dxa"/>
            <w:vAlign w:val="bottom"/>
          </w:tcPr>
          <w:p>
            <w:pPr>
              <w:ind w:left="140"/>
              <w:spacing w:after="0"/>
              <w:rPr>
                <w:sz w:val="20"/>
                <w:szCs w:val="20"/>
                <w:color w:val="auto"/>
              </w:rPr>
            </w:pPr>
            <w:r>
              <w:rPr>
                <w:rFonts w:ascii="Arial" w:cs="Arial" w:eastAsia="Arial" w:hAnsi="Arial"/>
                <w:sz w:val="18"/>
                <w:szCs w:val="18"/>
                <w:color w:val="auto"/>
              </w:rPr>
              <w:t>Anti-Corruption Laws and Sanctions</w:t>
            </w:r>
          </w:p>
        </w:tc>
        <w:tc>
          <w:tcPr>
            <w:tcW w:w="3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5.</w:t>
            </w:r>
          </w:p>
        </w:tc>
        <w:tc>
          <w:tcPr>
            <w:tcW w:w="6820" w:type="dxa"/>
            <w:vAlign w:val="bottom"/>
          </w:tcPr>
          <w:p>
            <w:pPr>
              <w:ind w:left="140"/>
              <w:spacing w:after="0"/>
              <w:rPr>
                <w:sz w:val="20"/>
                <w:szCs w:val="20"/>
                <w:color w:val="auto"/>
              </w:rPr>
            </w:pPr>
            <w:r>
              <w:rPr>
                <w:rFonts w:ascii="Arial" w:cs="Arial" w:eastAsia="Arial" w:hAnsi="Arial"/>
                <w:sz w:val="18"/>
                <w:szCs w:val="18"/>
                <w:color w:val="auto"/>
              </w:rPr>
              <w:t>CONDITIONS PRECEDENT</w:t>
            </w:r>
          </w:p>
        </w:tc>
        <w:tc>
          <w:tcPr>
            <w:tcW w:w="3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1100" w:type="dxa"/>
            <w:vAlign w:val="bottom"/>
          </w:tcPr>
          <w:p>
            <w:pPr>
              <w:ind w:left="360"/>
              <w:spacing w:after="0"/>
              <w:rPr>
                <w:sz w:val="20"/>
                <w:szCs w:val="20"/>
                <w:color w:val="auto"/>
              </w:rPr>
            </w:pPr>
            <w:r>
              <w:rPr>
                <w:rFonts w:ascii="Arial" w:cs="Arial" w:eastAsia="Arial" w:hAnsi="Arial"/>
                <w:sz w:val="18"/>
                <w:szCs w:val="18"/>
                <w:color w:val="auto"/>
              </w:rPr>
              <w:t>5.1</w:t>
            </w:r>
          </w:p>
        </w:tc>
        <w:tc>
          <w:tcPr>
            <w:tcW w:w="6820" w:type="dxa"/>
            <w:vAlign w:val="bottom"/>
          </w:tcPr>
          <w:p>
            <w:pPr>
              <w:ind w:left="140"/>
              <w:spacing w:after="0"/>
              <w:rPr>
                <w:sz w:val="20"/>
                <w:szCs w:val="20"/>
                <w:color w:val="auto"/>
              </w:rPr>
            </w:pPr>
            <w:r>
              <w:rPr>
                <w:rFonts w:ascii="Arial" w:cs="Arial" w:eastAsia="Arial" w:hAnsi="Arial"/>
                <w:sz w:val="18"/>
                <w:szCs w:val="18"/>
                <w:color w:val="auto"/>
              </w:rPr>
              <w:t>Conditions to Closing Date</w:t>
            </w:r>
          </w:p>
        </w:tc>
        <w:tc>
          <w:tcPr>
            <w:tcW w:w="3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100" w:type="dxa"/>
            <w:vAlign w:val="bottom"/>
          </w:tcPr>
          <w:p>
            <w:pPr>
              <w:ind w:left="360"/>
              <w:spacing w:after="0"/>
              <w:rPr>
                <w:sz w:val="20"/>
                <w:szCs w:val="20"/>
                <w:color w:val="auto"/>
              </w:rPr>
            </w:pPr>
            <w:r>
              <w:rPr>
                <w:rFonts w:ascii="Arial" w:cs="Arial" w:eastAsia="Arial" w:hAnsi="Arial"/>
                <w:sz w:val="18"/>
                <w:szCs w:val="18"/>
                <w:color w:val="auto"/>
              </w:rPr>
              <w:t>5.2</w:t>
            </w:r>
          </w:p>
        </w:tc>
        <w:tc>
          <w:tcPr>
            <w:tcW w:w="6820" w:type="dxa"/>
            <w:vAlign w:val="bottom"/>
          </w:tcPr>
          <w:p>
            <w:pPr>
              <w:ind w:left="140"/>
              <w:spacing w:after="0"/>
              <w:rPr>
                <w:sz w:val="20"/>
                <w:szCs w:val="20"/>
                <w:color w:val="auto"/>
              </w:rPr>
            </w:pPr>
            <w:r>
              <w:rPr>
                <w:rFonts w:ascii="Arial" w:cs="Arial" w:eastAsia="Arial" w:hAnsi="Arial"/>
                <w:sz w:val="18"/>
                <w:szCs w:val="18"/>
                <w:color w:val="auto"/>
              </w:rPr>
              <w:t>Conditions to Each Extension of Credit</w:t>
            </w:r>
          </w:p>
        </w:tc>
        <w:tc>
          <w:tcPr>
            <w:tcW w:w="3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6.</w:t>
            </w:r>
          </w:p>
        </w:tc>
        <w:tc>
          <w:tcPr>
            <w:tcW w:w="6820" w:type="dxa"/>
            <w:vAlign w:val="bottom"/>
          </w:tcPr>
          <w:p>
            <w:pPr>
              <w:ind w:left="140"/>
              <w:spacing w:after="0"/>
              <w:rPr>
                <w:sz w:val="20"/>
                <w:szCs w:val="20"/>
                <w:color w:val="auto"/>
              </w:rPr>
            </w:pPr>
            <w:r>
              <w:rPr>
                <w:rFonts w:ascii="Arial" w:cs="Arial" w:eastAsia="Arial" w:hAnsi="Arial"/>
                <w:sz w:val="18"/>
                <w:szCs w:val="18"/>
                <w:color w:val="auto"/>
              </w:rPr>
              <w:t>AFFIRMATIVE COVENANTS</w:t>
            </w:r>
          </w:p>
        </w:tc>
        <w:tc>
          <w:tcPr>
            <w:tcW w:w="3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1100" w:type="dxa"/>
            <w:vAlign w:val="bottom"/>
          </w:tcPr>
          <w:p>
            <w:pPr>
              <w:ind w:left="360"/>
              <w:spacing w:after="0"/>
              <w:rPr>
                <w:sz w:val="20"/>
                <w:szCs w:val="20"/>
                <w:color w:val="auto"/>
              </w:rPr>
            </w:pPr>
            <w:r>
              <w:rPr>
                <w:rFonts w:ascii="Arial" w:cs="Arial" w:eastAsia="Arial" w:hAnsi="Arial"/>
                <w:sz w:val="18"/>
                <w:szCs w:val="18"/>
                <w:color w:val="auto"/>
              </w:rPr>
              <w:t>6.1</w:t>
            </w:r>
          </w:p>
        </w:tc>
        <w:tc>
          <w:tcPr>
            <w:tcW w:w="682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3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6.2</w:t>
            </w:r>
          </w:p>
        </w:tc>
        <w:tc>
          <w:tcPr>
            <w:tcW w:w="6820" w:type="dxa"/>
            <w:vAlign w:val="bottom"/>
          </w:tcPr>
          <w:p>
            <w:pPr>
              <w:ind w:left="140"/>
              <w:spacing w:after="0"/>
              <w:rPr>
                <w:sz w:val="20"/>
                <w:szCs w:val="20"/>
                <w:color w:val="auto"/>
              </w:rPr>
            </w:pPr>
            <w:r>
              <w:rPr>
                <w:rFonts w:ascii="Arial" w:cs="Arial" w:eastAsia="Arial" w:hAnsi="Arial"/>
                <w:sz w:val="18"/>
                <w:szCs w:val="18"/>
                <w:color w:val="auto"/>
              </w:rPr>
              <w:t>Compliance Certificates</w:t>
            </w:r>
          </w:p>
        </w:tc>
        <w:tc>
          <w:tcPr>
            <w:tcW w:w="3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6.3</w:t>
            </w:r>
          </w:p>
        </w:tc>
        <w:tc>
          <w:tcPr>
            <w:tcW w:w="6820" w:type="dxa"/>
            <w:vAlign w:val="bottom"/>
          </w:tcPr>
          <w:p>
            <w:pPr>
              <w:ind w:left="140"/>
              <w:spacing w:after="0"/>
              <w:rPr>
                <w:sz w:val="20"/>
                <w:szCs w:val="20"/>
                <w:color w:val="auto"/>
              </w:rPr>
            </w:pPr>
            <w:r>
              <w:rPr>
                <w:rFonts w:ascii="Arial" w:cs="Arial" w:eastAsia="Arial" w:hAnsi="Arial"/>
                <w:sz w:val="18"/>
                <w:szCs w:val="18"/>
                <w:color w:val="auto"/>
              </w:rPr>
              <w:t>Maintenance of Business; Existence</w:t>
            </w:r>
          </w:p>
        </w:tc>
        <w:tc>
          <w:tcPr>
            <w:tcW w:w="3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6.4</w:t>
            </w:r>
          </w:p>
        </w:tc>
        <w:tc>
          <w:tcPr>
            <w:tcW w:w="6820" w:type="dxa"/>
            <w:vAlign w:val="bottom"/>
          </w:tcPr>
          <w:p>
            <w:pPr>
              <w:ind w:left="140"/>
              <w:spacing w:after="0"/>
              <w:rPr>
                <w:sz w:val="20"/>
                <w:szCs w:val="20"/>
                <w:color w:val="auto"/>
              </w:rPr>
            </w:pPr>
            <w:r>
              <w:rPr>
                <w:rFonts w:ascii="Arial" w:cs="Arial" w:eastAsia="Arial" w:hAnsi="Arial"/>
                <w:sz w:val="18"/>
                <w:szCs w:val="18"/>
                <w:color w:val="auto"/>
              </w:rPr>
              <w:t>Maintenance of Insurance</w:t>
            </w:r>
          </w:p>
        </w:tc>
        <w:tc>
          <w:tcPr>
            <w:tcW w:w="3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6.5</w:t>
            </w:r>
          </w:p>
        </w:tc>
        <w:tc>
          <w:tcPr>
            <w:tcW w:w="6820" w:type="dxa"/>
            <w:vAlign w:val="bottom"/>
          </w:tcPr>
          <w:p>
            <w:pPr>
              <w:ind w:left="140"/>
              <w:spacing w:after="0"/>
              <w:rPr>
                <w:sz w:val="20"/>
                <w:szCs w:val="20"/>
                <w:color w:val="auto"/>
              </w:rPr>
            </w:pPr>
            <w:r>
              <w:rPr>
                <w:rFonts w:ascii="Arial" w:cs="Arial" w:eastAsia="Arial" w:hAnsi="Arial"/>
                <w:sz w:val="18"/>
                <w:szCs w:val="18"/>
                <w:color w:val="auto"/>
              </w:rPr>
              <w:t>Notices</w:t>
            </w:r>
          </w:p>
        </w:tc>
        <w:tc>
          <w:tcPr>
            <w:tcW w:w="3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6.6</w:t>
            </w:r>
          </w:p>
        </w:tc>
        <w:tc>
          <w:tcPr>
            <w:tcW w:w="6820" w:type="dxa"/>
            <w:vAlign w:val="bottom"/>
          </w:tcPr>
          <w:p>
            <w:pPr>
              <w:ind w:left="140"/>
              <w:spacing w:after="0"/>
              <w:rPr>
                <w:sz w:val="20"/>
                <w:szCs w:val="20"/>
                <w:color w:val="auto"/>
              </w:rPr>
            </w:pPr>
            <w:r>
              <w:rPr>
                <w:rFonts w:ascii="Arial" w:cs="Arial" w:eastAsia="Arial" w:hAnsi="Arial"/>
                <w:sz w:val="18"/>
                <w:szCs w:val="18"/>
                <w:color w:val="auto"/>
              </w:rPr>
              <w:t>Reinstated Guarantors, etc.</w:t>
            </w:r>
          </w:p>
        </w:tc>
        <w:tc>
          <w:tcPr>
            <w:tcW w:w="3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6.7</w:t>
            </w:r>
          </w:p>
        </w:tc>
        <w:tc>
          <w:tcPr>
            <w:tcW w:w="6820" w:type="dxa"/>
            <w:vAlign w:val="bottom"/>
          </w:tcPr>
          <w:p>
            <w:pPr>
              <w:ind w:left="140"/>
              <w:spacing w:after="0"/>
              <w:rPr>
                <w:sz w:val="20"/>
                <w:szCs w:val="20"/>
                <w:color w:val="auto"/>
              </w:rPr>
            </w:pPr>
            <w:r>
              <w:rPr>
                <w:rFonts w:ascii="Arial" w:cs="Arial" w:eastAsia="Arial" w:hAnsi="Arial"/>
                <w:sz w:val="18"/>
                <w:szCs w:val="18"/>
                <w:color w:val="auto"/>
              </w:rPr>
              <w:t>Books and Records</w:t>
            </w:r>
          </w:p>
        </w:tc>
        <w:tc>
          <w:tcPr>
            <w:tcW w:w="3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100" w:type="dxa"/>
            <w:vAlign w:val="bottom"/>
          </w:tcPr>
          <w:p>
            <w:pPr>
              <w:ind w:left="360"/>
              <w:spacing w:after="0"/>
              <w:rPr>
                <w:sz w:val="20"/>
                <w:szCs w:val="20"/>
                <w:color w:val="auto"/>
              </w:rPr>
            </w:pPr>
            <w:r>
              <w:rPr>
                <w:rFonts w:ascii="Arial" w:cs="Arial" w:eastAsia="Arial" w:hAnsi="Arial"/>
                <w:sz w:val="18"/>
                <w:szCs w:val="18"/>
                <w:color w:val="auto"/>
              </w:rPr>
              <w:t>6.8</w:t>
            </w:r>
          </w:p>
        </w:tc>
        <w:tc>
          <w:tcPr>
            <w:tcW w:w="6820" w:type="dxa"/>
            <w:vAlign w:val="bottom"/>
          </w:tcPr>
          <w:p>
            <w:pPr>
              <w:ind w:left="140"/>
              <w:spacing w:after="0"/>
              <w:rPr>
                <w:sz w:val="20"/>
                <w:szCs w:val="20"/>
                <w:color w:val="auto"/>
              </w:rPr>
            </w:pPr>
            <w:r>
              <w:rPr>
                <w:rFonts w:ascii="Arial" w:cs="Arial" w:eastAsia="Arial" w:hAnsi="Arial"/>
                <w:sz w:val="18"/>
                <w:szCs w:val="18"/>
                <w:color w:val="auto"/>
              </w:rPr>
              <w:t>Ratings</w:t>
            </w:r>
          </w:p>
        </w:tc>
        <w:tc>
          <w:tcPr>
            <w:tcW w:w="3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7.</w:t>
            </w:r>
          </w:p>
        </w:tc>
        <w:tc>
          <w:tcPr>
            <w:tcW w:w="6820" w:type="dxa"/>
            <w:vAlign w:val="bottom"/>
          </w:tcPr>
          <w:p>
            <w:pPr>
              <w:ind w:left="140"/>
              <w:spacing w:after="0"/>
              <w:rPr>
                <w:sz w:val="20"/>
                <w:szCs w:val="20"/>
                <w:color w:val="auto"/>
              </w:rPr>
            </w:pPr>
            <w:r>
              <w:rPr>
                <w:rFonts w:ascii="Arial" w:cs="Arial" w:eastAsia="Arial" w:hAnsi="Arial"/>
                <w:sz w:val="18"/>
                <w:szCs w:val="18"/>
                <w:color w:val="auto"/>
              </w:rPr>
              <w:t>NEGATIVE COVENANTS</w:t>
            </w:r>
          </w:p>
        </w:tc>
        <w:tc>
          <w:tcPr>
            <w:tcW w:w="3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0"/>
        </w:trPr>
        <w:tc>
          <w:tcPr>
            <w:tcW w:w="1100" w:type="dxa"/>
            <w:vAlign w:val="bottom"/>
          </w:tcPr>
          <w:p>
            <w:pPr>
              <w:ind w:left="360"/>
              <w:spacing w:after="0"/>
              <w:rPr>
                <w:sz w:val="20"/>
                <w:szCs w:val="20"/>
                <w:color w:val="auto"/>
              </w:rPr>
            </w:pPr>
            <w:r>
              <w:rPr>
                <w:rFonts w:ascii="Arial" w:cs="Arial" w:eastAsia="Arial" w:hAnsi="Arial"/>
                <w:sz w:val="18"/>
                <w:szCs w:val="18"/>
                <w:color w:val="auto"/>
              </w:rPr>
              <w:t>7.1</w:t>
            </w:r>
          </w:p>
        </w:tc>
        <w:tc>
          <w:tcPr>
            <w:tcW w:w="6820" w:type="dxa"/>
            <w:vAlign w:val="bottom"/>
          </w:tcPr>
          <w:p>
            <w:pPr>
              <w:ind w:left="140"/>
              <w:spacing w:after="0"/>
              <w:rPr>
                <w:sz w:val="20"/>
                <w:szCs w:val="20"/>
                <w:color w:val="auto"/>
              </w:rPr>
            </w:pPr>
            <w:r>
              <w:rPr>
                <w:rFonts w:ascii="Arial" w:cs="Arial" w:eastAsia="Arial" w:hAnsi="Arial"/>
                <w:sz w:val="18"/>
                <w:szCs w:val="18"/>
                <w:color w:val="auto"/>
              </w:rPr>
              <w:t>Minimum Liquidity</w:t>
            </w:r>
          </w:p>
        </w:tc>
        <w:tc>
          <w:tcPr>
            <w:tcW w:w="3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7.2</w:t>
            </w:r>
          </w:p>
        </w:tc>
        <w:tc>
          <w:tcPr>
            <w:tcW w:w="6820" w:type="dxa"/>
            <w:vAlign w:val="bottom"/>
          </w:tcPr>
          <w:p>
            <w:pPr>
              <w:ind w:left="140"/>
              <w:spacing w:after="0"/>
              <w:rPr>
                <w:sz w:val="20"/>
                <w:szCs w:val="20"/>
                <w:color w:val="auto"/>
              </w:rPr>
            </w:pPr>
            <w:r>
              <w:rPr>
                <w:rFonts w:ascii="Arial" w:cs="Arial" w:eastAsia="Arial" w:hAnsi="Arial"/>
                <w:sz w:val="18"/>
                <w:szCs w:val="18"/>
                <w:color w:val="auto"/>
              </w:rPr>
              <w:t>Indebtedness</w:t>
            </w:r>
          </w:p>
        </w:tc>
        <w:tc>
          <w:tcPr>
            <w:tcW w:w="3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7.3</w:t>
            </w:r>
          </w:p>
        </w:tc>
        <w:tc>
          <w:tcPr>
            <w:tcW w:w="6820" w:type="dxa"/>
            <w:vAlign w:val="bottom"/>
          </w:tcPr>
          <w:p>
            <w:pPr>
              <w:ind w:left="140"/>
              <w:spacing w:after="0"/>
              <w:rPr>
                <w:sz w:val="20"/>
                <w:szCs w:val="20"/>
                <w:color w:val="auto"/>
              </w:rPr>
            </w:pPr>
            <w:r>
              <w:rPr>
                <w:rFonts w:ascii="Arial" w:cs="Arial" w:eastAsia="Arial" w:hAnsi="Arial"/>
                <w:sz w:val="18"/>
                <w:szCs w:val="18"/>
                <w:color w:val="auto"/>
              </w:rPr>
              <w:t>Asset Sale Restrictions</w:t>
            </w:r>
          </w:p>
        </w:tc>
        <w:tc>
          <w:tcPr>
            <w:tcW w:w="3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7.4</w:t>
            </w:r>
          </w:p>
        </w:tc>
        <w:tc>
          <w:tcPr>
            <w:tcW w:w="6820" w:type="dxa"/>
            <w:vAlign w:val="bottom"/>
          </w:tcPr>
          <w:p>
            <w:pPr>
              <w:ind w:left="140"/>
              <w:spacing w:after="0"/>
              <w:rPr>
                <w:sz w:val="20"/>
                <w:szCs w:val="20"/>
                <w:color w:val="auto"/>
              </w:rPr>
            </w:pPr>
            <w:r>
              <w:rPr>
                <w:rFonts w:ascii="Arial" w:cs="Arial" w:eastAsia="Arial" w:hAnsi="Arial"/>
                <w:sz w:val="18"/>
                <w:szCs w:val="18"/>
                <w:color w:val="auto"/>
              </w:rPr>
              <w:t>Fundamental Changes</w:t>
            </w:r>
          </w:p>
        </w:tc>
        <w:tc>
          <w:tcPr>
            <w:tcW w:w="3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100" w:type="dxa"/>
            <w:vAlign w:val="bottom"/>
          </w:tcPr>
          <w:p>
            <w:pPr>
              <w:ind w:left="360"/>
              <w:spacing w:after="0"/>
              <w:rPr>
                <w:sz w:val="20"/>
                <w:szCs w:val="20"/>
                <w:color w:val="auto"/>
              </w:rPr>
            </w:pPr>
            <w:r>
              <w:rPr>
                <w:rFonts w:ascii="Arial" w:cs="Arial" w:eastAsia="Arial" w:hAnsi="Arial"/>
                <w:sz w:val="18"/>
                <w:szCs w:val="18"/>
                <w:color w:val="auto"/>
              </w:rPr>
              <w:t>7.5</w:t>
            </w:r>
          </w:p>
        </w:tc>
        <w:tc>
          <w:tcPr>
            <w:tcW w:w="6820" w:type="dxa"/>
            <w:vAlign w:val="bottom"/>
          </w:tcPr>
          <w:p>
            <w:pPr>
              <w:ind w:left="140"/>
              <w:spacing w:after="0"/>
              <w:rPr>
                <w:sz w:val="20"/>
                <w:szCs w:val="20"/>
                <w:color w:val="auto"/>
              </w:rPr>
            </w:pPr>
            <w:r>
              <w:rPr>
                <w:rFonts w:ascii="Arial" w:cs="Arial" w:eastAsia="Arial" w:hAnsi="Arial"/>
                <w:sz w:val="18"/>
                <w:szCs w:val="18"/>
                <w:color w:val="auto"/>
              </w:rPr>
              <w:t>Anti-Corruption Laws and Sanctions</w:t>
            </w:r>
          </w:p>
        </w:tc>
        <w:tc>
          <w:tcPr>
            <w:tcW w:w="34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920" w:type="dxa"/>
            <w:vAlign w:val="bottom"/>
            <w:gridSpan w:val="2"/>
          </w:tcPr>
          <w:p>
            <w:pPr>
              <w:spacing w:after="0"/>
              <w:rPr>
                <w:sz w:val="20"/>
                <w:szCs w:val="20"/>
                <w:color w:val="auto"/>
              </w:rPr>
            </w:pPr>
            <w:r>
              <w:rPr>
                <w:rFonts w:ascii="Arial" w:cs="Arial" w:eastAsia="Arial" w:hAnsi="Arial"/>
                <w:sz w:val="18"/>
                <w:szCs w:val="18"/>
                <w:color w:val="auto"/>
              </w:rPr>
              <w:t>SECTION 8.   EVENTS OF DEFAULT</w:t>
            </w:r>
          </w:p>
        </w:tc>
        <w:tc>
          <w:tcPr>
            <w:tcW w:w="34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9.</w:t>
            </w:r>
          </w:p>
        </w:tc>
        <w:tc>
          <w:tcPr>
            <w:tcW w:w="6820" w:type="dxa"/>
            <w:vAlign w:val="bottom"/>
          </w:tcPr>
          <w:p>
            <w:pPr>
              <w:ind w:left="140"/>
              <w:spacing w:after="0"/>
              <w:rPr>
                <w:sz w:val="20"/>
                <w:szCs w:val="20"/>
                <w:color w:val="auto"/>
              </w:rPr>
            </w:pPr>
            <w:r>
              <w:rPr>
                <w:rFonts w:ascii="Arial" w:cs="Arial" w:eastAsia="Arial" w:hAnsi="Arial"/>
                <w:sz w:val="18"/>
                <w:szCs w:val="18"/>
                <w:color w:val="auto"/>
              </w:rPr>
              <w:t>THE AGENTS</w:t>
            </w:r>
          </w:p>
        </w:tc>
        <w:tc>
          <w:tcPr>
            <w:tcW w:w="3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1100" w:type="dxa"/>
            <w:vAlign w:val="bottom"/>
          </w:tcPr>
          <w:p>
            <w:pPr>
              <w:ind w:left="360"/>
              <w:spacing w:after="0"/>
              <w:rPr>
                <w:sz w:val="20"/>
                <w:szCs w:val="20"/>
                <w:color w:val="auto"/>
              </w:rPr>
            </w:pPr>
            <w:r>
              <w:rPr>
                <w:rFonts w:ascii="Arial" w:cs="Arial" w:eastAsia="Arial" w:hAnsi="Arial"/>
                <w:sz w:val="18"/>
                <w:szCs w:val="18"/>
                <w:color w:val="auto"/>
              </w:rPr>
              <w:t>9.1</w:t>
            </w:r>
          </w:p>
        </w:tc>
        <w:tc>
          <w:tcPr>
            <w:tcW w:w="6820" w:type="dxa"/>
            <w:vAlign w:val="bottom"/>
          </w:tcPr>
          <w:p>
            <w:pPr>
              <w:ind w:left="140"/>
              <w:spacing w:after="0"/>
              <w:rPr>
                <w:sz w:val="20"/>
                <w:szCs w:val="20"/>
                <w:color w:val="auto"/>
              </w:rPr>
            </w:pPr>
            <w:r>
              <w:rPr>
                <w:rFonts w:ascii="Arial" w:cs="Arial" w:eastAsia="Arial" w:hAnsi="Arial"/>
                <w:sz w:val="18"/>
                <w:szCs w:val="18"/>
                <w:color w:val="auto"/>
              </w:rPr>
              <w:t>Appointment</w:t>
            </w:r>
          </w:p>
        </w:tc>
        <w:tc>
          <w:tcPr>
            <w:tcW w:w="3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9.2</w:t>
            </w:r>
          </w:p>
        </w:tc>
        <w:tc>
          <w:tcPr>
            <w:tcW w:w="6820" w:type="dxa"/>
            <w:vAlign w:val="bottom"/>
          </w:tcPr>
          <w:p>
            <w:pPr>
              <w:ind w:left="140"/>
              <w:spacing w:after="0"/>
              <w:rPr>
                <w:sz w:val="20"/>
                <w:szCs w:val="20"/>
                <w:color w:val="auto"/>
              </w:rPr>
            </w:pPr>
            <w:r>
              <w:rPr>
                <w:rFonts w:ascii="Arial" w:cs="Arial" w:eastAsia="Arial" w:hAnsi="Arial"/>
                <w:sz w:val="18"/>
                <w:szCs w:val="18"/>
                <w:color w:val="auto"/>
              </w:rPr>
              <w:t>Delegation of Duties</w:t>
            </w:r>
          </w:p>
        </w:tc>
        <w:tc>
          <w:tcPr>
            <w:tcW w:w="3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9.3</w:t>
            </w:r>
          </w:p>
        </w:tc>
        <w:tc>
          <w:tcPr>
            <w:tcW w:w="6820" w:type="dxa"/>
            <w:vAlign w:val="bottom"/>
          </w:tcPr>
          <w:p>
            <w:pPr>
              <w:ind w:left="140"/>
              <w:spacing w:after="0"/>
              <w:rPr>
                <w:sz w:val="20"/>
                <w:szCs w:val="20"/>
                <w:color w:val="auto"/>
              </w:rPr>
            </w:pPr>
            <w:r>
              <w:rPr>
                <w:rFonts w:ascii="Arial" w:cs="Arial" w:eastAsia="Arial" w:hAnsi="Arial"/>
                <w:sz w:val="18"/>
                <w:szCs w:val="18"/>
                <w:color w:val="auto"/>
              </w:rPr>
              <w:t>Exculpatory Provisions</w:t>
            </w:r>
          </w:p>
        </w:tc>
        <w:tc>
          <w:tcPr>
            <w:tcW w:w="3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9.4</w:t>
            </w:r>
          </w:p>
        </w:tc>
        <w:tc>
          <w:tcPr>
            <w:tcW w:w="6820" w:type="dxa"/>
            <w:vAlign w:val="bottom"/>
          </w:tcPr>
          <w:p>
            <w:pPr>
              <w:ind w:left="140"/>
              <w:spacing w:after="0"/>
              <w:rPr>
                <w:sz w:val="20"/>
                <w:szCs w:val="20"/>
                <w:color w:val="auto"/>
              </w:rPr>
            </w:pPr>
            <w:r>
              <w:rPr>
                <w:rFonts w:ascii="Arial" w:cs="Arial" w:eastAsia="Arial" w:hAnsi="Arial"/>
                <w:sz w:val="18"/>
                <w:szCs w:val="18"/>
                <w:color w:val="auto"/>
              </w:rPr>
              <w:t>Reliance by Administrative Agent</w:t>
            </w:r>
          </w:p>
        </w:tc>
        <w:tc>
          <w:tcPr>
            <w:tcW w:w="3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00" w:type="dxa"/>
            <w:vAlign w:val="bottom"/>
          </w:tcPr>
          <w:p>
            <w:pPr>
              <w:ind w:left="360"/>
              <w:spacing w:after="0"/>
              <w:rPr>
                <w:sz w:val="20"/>
                <w:szCs w:val="20"/>
                <w:color w:val="auto"/>
              </w:rPr>
            </w:pPr>
            <w:r>
              <w:rPr>
                <w:rFonts w:ascii="Arial" w:cs="Arial" w:eastAsia="Arial" w:hAnsi="Arial"/>
                <w:sz w:val="18"/>
                <w:szCs w:val="18"/>
                <w:color w:val="auto"/>
              </w:rPr>
              <w:t>9.5</w:t>
            </w:r>
          </w:p>
        </w:tc>
        <w:tc>
          <w:tcPr>
            <w:tcW w:w="6820" w:type="dxa"/>
            <w:vAlign w:val="bottom"/>
          </w:tcPr>
          <w:p>
            <w:pPr>
              <w:ind w:left="140"/>
              <w:spacing w:after="0"/>
              <w:rPr>
                <w:sz w:val="20"/>
                <w:szCs w:val="20"/>
                <w:color w:val="auto"/>
              </w:rPr>
            </w:pPr>
            <w:r>
              <w:rPr>
                <w:rFonts w:ascii="Arial" w:cs="Arial" w:eastAsia="Arial" w:hAnsi="Arial"/>
                <w:sz w:val="18"/>
                <w:szCs w:val="18"/>
                <w:color w:val="auto"/>
              </w:rPr>
              <w:t>Notice of Default</w:t>
            </w:r>
          </w:p>
        </w:tc>
        <w:tc>
          <w:tcPr>
            <w:tcW w:w="3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100" w:type="dxa"/>
            <w:vAlign w:val="bottom"/>
          </w:tcPr>
          <w:p>
            <w:pPr>
              <w:ind w:left="360"/>
              <w:spacing w:after="0"/>
              <w:rPr>
                <w:sz w:val="20"/>
                <w:szCs w:val="20"/>
                <w:color w:val="auto"/>
              </w:rPr>
            </w:pPr>
            <w:r>
              <w:rPr>
                <w:rFonts w:ascii="Arial" w:cs="Arial" w:eastAsia="Arial" w:hAnsi="Arial"/>
                <w:sz w:val="18"/>
                <w:szCs w:val="18"/>
                <w:color w:val="auto"/>
              </w:rPr>
              <w:t>9.6</w:t>
            </w:r>
          </w:p>
        </w:tc>
        <w:tc>
          <w:tcPr>
            <w:tcW w:w="6820" w:type="dxa"/>
            <w:vAlign w:val="bottom"/>
          </w:tcPr>
          <w:p>
            <w:pPr>
              <w:ind w:left="140"/>
              <w:spacing w:after="0"/>
              <w:rPr>
                <w:sz w:val="20"/>
                <w:szCs w:val="20"/>
                <w:color w:val="auto"/>
              </w:rPr>
            </w:pPr>
            <w:r>
              <w:rPr>
                <w:rFonts w:ascii="Arial" w:cs="Arial" w:eastAsia="Arial" w:hAnsi="Arial"/>
                <w:sz w:val="18"/>
                <w:szCs w:val="18"/>
                <w:color w:val="auto"/>
              </w:rPr>
              <w:t>Non-Reliance on Agents and Other Lenders</w:t>
            </w:r>
          </w:p>
        </w:tc>
        <w:tc>
          <w:tcPr>
            <w:tcW w:w="344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476" w:name="page477"/>
    <w:bookmarkEnd w:id="476"/>
    <w:tbl>
      <w:tblPr>
        <w:tblLayout w:type="fixed"/>
        <w:tblInd w:w="0" w:type="dxa"/>
        <w:tblCellMar>
          <w:top w:w="0" w:type="dxa"/>
          <w:left w:w="0" w:type="dxa"/>
          <w:bottom w:w="0" w:type="dxa"/>
          <w:right w:w="0" w:type="dxa"/>
        </w:tblCellMar>
      </w:tblP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9.7</w:t>
            </w:r>
          </w:p>
        </w:tc>
        <w:tc>
          <w:tcPr>
            <w:tcW w:w="976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9.8</w:t>
            </w:r>
          </w:p>
        </w:tc>
        <w:tc>
          <w:tcPr>
            <w:tcW w:w="9760" w:type="dxa"/>
            <w:vAlign w:val="bottom"/>
          </w:tcPr>
          <w:p>
            <w:pPr>
              <w:ind w:left="120"/>
              <w:spacing w:after="0"/>
              <w:rPr>
                <w:sz w:val="20"/>
                <w:szCs w:val="20"/>
                <w:color w:val="auto"/>
              </w:rPr>
            </w:pPr>
            <w:r>
              <w:rPr>
                <w:rFonts w:ascii="Arial" w:cs="Arial" w:eastAsia="Arial" w:hAnsi="Arial"/>
                <w:sz w:val="18"/>
                <w:szCs w:val="18"/>
                <w:color w:val="auto"/>
              </w:rPr>
              <w:t>Agent in Its Individual Capacity</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9.9</w:t>
            </w:r>
          </w:p>
        </w:tc>
        <w:tc>
          <w:tcPr>
            <w:tcW w:w="9760" w:type="dxa"/>
            <w:vAlign w:val="bottom"/>
          </w:tcPr>
          <w:p>
            <w:pPr>
              <w:ind w:left="120"/>
              <w:spacing w:after="0"/>
              <w:rPr>
                <w:sz w:val="20"/>
                <w:szCs w:val="20"/>
                <w:color w:val="auto"/>
              </w:rPr>
            </w:pPr>
            <w:r>
              <w:rPr>
                <w:rFonts w:ascii="Arial" w:cs="Arial" w:eastAsia="Arial" w:hAnsi="Arial"/>
                <w:sz w:val="18"/>
                <w:szCs w:val="18"/>
                <w:color w:val="auto"/>
              </w:rPr>
              <w:t>Successor Administrative Agent</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9.10</w:t>
            </w:r>
          </w:p>
        </w:tc>
        <w:tc>
          <w:tcPr>
            <w:tcW w:w="97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9.11</w:t>
            </w:r>
          </w:p>
        </w:tc>
        <w:tc>
          <w:tcPr>
            <w:tcW w:w="9760" w:type="dxa"/>
            <w:vAlign w:val="bottom"/>
          </w:tcPr>
          <w:p>
            <w:pPr>
              <w:ind w:left="120"/>
              <w:spacing w:after="0"/>
              <w:rPr>
                <w:sz w:val="20"/>
                <w:szCs w:val="20"/>
                <w:color w:val="auto"/>
              </w:rPr>
            </w:pPr>
            <w:r>
              <w:rPr>
                <w:rFonts w:ascii="Arial" w:cs="Arial" w:eastAsia="Arial" w:hAnsi="Arial"/>
                <w:sz w:val="18"/>
                <w:szCs w:val="18"/>
                <w:color w:val="auto"/>
                <w:w w:val="93"/>
              </w:rPr>
              <w:t>Bookrunners, Lead Arrangers, Global and Regional Coordinators, Documentation Agents, Syndication Agent and Co-Syndication</w:t>
            </w:r>
          </w:p>
        </w:tc>
        <w:tc>
          <w:tcPr>
            <w:tcW w:w="4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9760" w:type="dxa"/>
            <w:vAlign w:val="bottom"/>
          </w:tcPr>
          <w:p>
            <w:pPr>
              <w:ind w:left="120"/>
              <w:spacing w:after="0"/>
              <w:rPr>
                <w:sz w:val="20"/>
                <w:szCs w:val="20"/>
                <w:color w:val="auto"/>
              </w:rPr>
            </w:pPr>
            <w:r>
              <w:rPr>
                <w:rFonts w:ascii="Arial" w:cs="Arial" w:eastAsia="Arial" w:hAnsi="Arial"/>
                <w:sz w:val="18"/>
                <w:szCs w:val="18"/>
                <w:color w:val="auto"/>
              </w:rPr>
              <w:t>Agent</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9.12</w:t>
            </w:r>
          </w:p>
        </w:tc>
        <w:tc>
          <w:tcPr>
            <w:tcW w:w="9760" w:type="dxa"/>
            <w:vAlign w:val="bottom"/>
          </w:tcPr>
          <w:p>
            <w:pPr>
              <w:ind w:left="120"/>
              <w:spacing w:after="0"/>
              <w:rPr>
                <w:sz w:val="20"/>
                <w:szCs w:val="20"/>
                <w:color w:val="auto"/>
              </w:rPr>
            </w:pPr>
            <w:r>
              <w:rPr>
                <w:rFonts w:ascii="Arial" w:cs="Arial" w:eastAsia="Arial" w:hAnsi="Arial"/>
                <w:sz w:val="18"/>
                <w:szCs w:val="18"/>
                <w:color w:val="auto"/>
              </w:rPr>
              <w:t>Certain ERISA Matters</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10.</w:t>
            </w:r>
          </w:p>
        </w:tc>
        <w:tc>
          <w:tcPr>
            <w:tcW w:w="976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1140" w:type="dxa"/>
            <w:vAlign w:val="bottom"/>
          </w:tcPr>
          <w:p>
            <w:pPr>
              <w:ind w:left="360"/>
              <w:spacing w:after="0"/>
              <w:rPr>
                <w:sz w:val="20"/>
                <w:szCs w:val="20"/>
                <w:color w:val="auto"/>
              </w:rPr>
            </w:pPr>
            <w:r>
              <w:rPr>
                <w:rFonts w:ascii="Arial" w:cs="Arial" w:eastAsia="Arial" w:hAnsi="Arial"/>
                <w:sz w:val="18"/>
                <w:szCs w:val="18"/>
                <w:color w:val="auto"/>
              </w:rPr>
              <w:t>10.1</w:t>
            </w:r>
          </w:p>
        </w:tc>
        <w:tc>
          <w:tcPr>
            <w:tcW w:w="9760" w:type="dxa"/>
            <w:vAlign w:val="bottom"/>
          </w:tcPr>
          <w:p>
            <w:pPr>
              <w:ind w:left="120"/>
              <w:spacing w:after="0"/>
              <w:rPr>
                <w:sz w:val="20"/>
                <w:szCs w:val="20"/>
                <w:color w:val="auto"/>
              </w:rPr>
            </w:pPr>
            <w:r>
              <w:rPr>
                <w:rFonts w:ascii="Arial" w:cs="Arial" w:eastAsia="Arial" w:hAnsi="Arial"/>
                <w:sz w:val="18"/>
                <w:szCs w:val="18"/>
                <w:color w:val="auto"/>
              </w:rPr>
              <w:t>Amendments and Waivers</w:t>
            </w: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10.2</w:t>
            </w:r>
          </w:p>
        </w:tc>
        <w:tc>
          <w:tcPr>
            <w:tcW w:w="9760" w:type="dxa"/>
            <w:vAlign w:val="bottom"/>
          </w:tcPr>
          <w:p>
            <w:pPr>
              <w:ind w:left="120"/>
              <w:spacing w:after="0"/>
              <w:rPr>
                <w:sz w:val="20"/>
                <w:szCs w:val="20"/>
                <w:color w:val="auto"/>
              </w:rPr>
            </w:pPr>
            <w:r>
              <w:rPr>
                <w:rFonts w:ascii="Arial" w:cs="Arial" w:eastAsia="Arial" w:hAnsi="Arial"/>
                <w:sz w:val="18"/>
                <w:szCs w:val="18"/>
                <w:color w:val="auto"/>
              </w:rPr>
              <w:t>Notices</w:t>
            </w: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10.3</w:t>
            </w:r>
          </w:p>
        </w:tc>
        <w:tc>
          <w:tcPr>
            <w:tcW w:w="9760" w:type="dxa"/>
            <w:vAlign w:val="bottom"/>
          </w:tcPr>
          <w:p>
            <w:pPr>
              <w:ind w:left="120"/>
              <w:spacing w:after="0"/>
              <w:rPr>
                <w:sz w:val="20"/>
                <w:szCs w:val="20"/>
                <w:color w:val="auto"/>
              </w:rPr>
            </w:pPr>
            <w:r>
              <w:rPr>
                <w:rFonts w:ascii="Arial" w:cs="Arial" w:eastAsia="Arial" w:hAnsi="Arial"/>
                <w:sz w:val="18"/>
                <w:szCs w:val="18"/>
                <w:color w:val="auto"/>
              </w:rPr>
              <w:t>No Waiver; Cumulative Remedies</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10.4</w:t>
            </w:r>
          </w:p>
        </w:tc>
        <w:tc>
          <w:tcPr>
            <w:tcW w:w="9760" w:type="dxa"/>
            <w:vAlign w:val="bottom"/>
          </w:tcPr>
          <w:p>
            <w:pPr>
              <w:ind w:left="120"/>
              <w:spacing w:after="0"/>
              <w:rPr>
                <w:sz w:val="20"/>
                <w:szCs w:val="20"/>
                <w:color w:val="auto"/>
              </w:rPr>
            </w:pPr>
            <w:r>
              <w:rPr>
                <w:rFonts w:ascii="Arial" w:cs="Arial" w:eastAsia="Arial" w:hAnsi="Arial"/>
                <w:sz w:val="18"/>
                <w:szCs w:val="18"/>
                <w:color w:val="auto"/>
              </w:rPr>
              <w:t>Survival of Representations and Warranties</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10.5</w:t>
            </w:r>
          </w:p>
        </w:tc>
        <w:tc>
          <w:tcPr>
            <w:tcW w:w="9760" w:type="dxa"/>
            <w:vAlign w:val="bottom"/>
          </w:tcPr>
          <w:p>
            <w:pPr>
              <w:ind w:left="120"/>
              <w:spacing w:after="0"/>
              <w:rPr>
                <w:sz w:val="20"/>
                <w:szCs w:val="20"/>
                <w:color w:val="auto"/>
              </w:rPr>
            </w:pPr>
            <w:r>
              <w:rPr>
                <w:rFonts w:ascii="Arial" w:cs="Arial" w:eastAsia="Arial" w:hAnsi="Arial"/>
                <w:sz w:val="18"/>
                <w:szCs w:val="18"/>
                <w:color w:val="auto"/>
              </w:rPr>
              <w:t>Payment of Expenses</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10.6</w:t>
            </w:r>
          </w:p>
        </w:tc>
        <w:tc>
          <w:tcPr>
            <w:tcW w:w="9760" w:type="dxa"/>
            <w:vAlign w:val="bottom"/>
          </w:tcPr>
          <w:p>
            <w:pPr>
              <w:ind w:left="120"/>
              <w:spacing w:after="0"/>
              <w:rPr>
                <w:sz w:val="20"/>
                <w:szCs w:val="20"/>
                <w:color w:val="auto"/>
              </w:rPr>
            </w:pPr>
            <w:r>
              <w:rPr>
                <w:rFonts w:ascii="Arial" w:cs="Arial" w:eastAsia="Arial" w:hAnsi="Arial"/>
                <w:sz w:val="18"/>
                <w:szCs w:val="18"/>
                <w:color w:val="auto"/>
              </w:rPr>
              <w:t>Successors and Assigns; Participations and Assignments</w:t>
            </w: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10.7</w:t>
            </w:r>
          </w:p>
        </w:tc>
        <w:tc>
          <w:tcPr>
            <w:tcW w:w="9760" w:type="dxa"/>
            <w:vAlign w:val="bottom"/>
          </w:tcPr>
          <w:p>
            <w:pPr>
              <w:ind w:left="120"/>
              <w:spacing w:after="0"/>
              <w:rPr>
                <w:sz w:val="20"/>
                <w:szCs w:val="20"/>
                <w:color w:val="auto"/>
              </w:rPr>
            </w:pPr>
            <w:r>
              <w:rPr>
                <w:rFonts w:ascii="Arial" w:cs="Arial" w:eastAsia="Arial" w:hAnsi="Arial"/>
                <w:sz w:val="18"/>
                <w:szCs w:val="18"/>
                <w:color w:val="auto"/>
              </w:rPr>
              <w:t>Adjustments</w:t>
            </w: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10.8</w:t>
            </w:r>
          </w:p>
        </w:tc>
        <w:tc>
          <w:tcPr>
            <w:tcW w:w="976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10.9</w:t>
            </w:r>
          </w:p>
        </w:tc>
        <w:tc>
          <w:tcPr>
            <w:tcW w:w="976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10.10</w:t>
            </w:r>
          </w:p>
        </w:tc>
        <w:tc>
          <w:tcPr>
            <w:tcW w:w="9760" w:type="dxa"/>
            <w:vAlign w:val="bottom"/>
          </w:tcPr>
          <w:p>
            <w:pPr>
              <w:ind w:left="120"/>
              <w:spacing w:after="0"/>
              <w:rPr>
                <w:sz w:val="20"/>
                <w:szCs w:val="20"/>
                <w:color w:val="auto"/>
              </w:rPr>
            </w:pPr>
            <w:r>
              <w:rPr>
                <w:rFonts w:ascii="Arial" w:cs="Arial" w:eastAsia="Arial" w:hAnsi="Arial"/>
                <w:sz w:val="18"/>
                <w:szCs w:val="18"/>
                <w:color w:val="auto"/>
              </w:rPr>
              <w:t>Integration</w:t>
            </w: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10.11</w:t>
            </w:r>
          </w:p>
        </w:tc>
        <w:tc>
          <w:tcPr>
            <w:tcW w:w="976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10.12</w:t>
            </w:r>
          </w:p>
        </w:tc>
        <w:tc>
          <w:tcPr>
            <w:tcW w:w="9760" w:type="dxa"/>
            <w:vAlign w:val="bottom"/>
          </w:tcPr>
          <w:p>
            <w:pPr>
              <w:ind w:left="120"/>
              <w:spacing w:after="0"/>
              <w:rPr>
                <w:sz w:val="20"/>
                <w:szCs w:val="20"/>
                <w:color w:val="auto"/>
              </w:rPr>
            </w:pPr>
            <w:r>
              <w:rPr>
                <w:rFonts w:ascii="Arial" w:cs="Arial" w:eastAsia="Arial" w:hAnsi="Arial"/>
                <w:sz w:val="18"/>
                <w:szCs w:val="18"/>
                <w:color w:val="auto"/>
              </w:rPr>
              <w:t>Submission to Jurisdiction; Waivers</w:t>
            </w: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10.13</w:t>
            </w:r>
          </w:p>
        </w:tc>
        <w:tc>
          <w:tcPr>
            <w:tcW w:w="9760" w:type="dxa"/>
            <w:vAlign w:val="bottom"/>
          </w:tcPr>
          <w:p>
            <w:pPr>
              <w:ind w:left="120"/>
              <w:spacing w:after="0"/>
              <w:rPr>
                <w:sz w:val="20"/>
                <w:szCs w:val="20"/>
                <w:color w:val="auto"/>
              </w:rPr>
            </w:pPr>
            <w:r>
              <w:rPr>
                <w:rFonts w:ascii="Arial" w:cs="Arial" w:eastAsia="Arial" w:hAnsi="Arial"/>
                <w:sz w:val="18"/>
                <w:szCs w:val="18"/>
                <w:color w:val="auto"/>
              </w:rPr>
              <w:t>Judgment</w:t>
            </w: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10.14</w:t>
            </w:r>
          </w:p>
        </w:tc>
        <w:tc>
          <w:tcPr>
            <w:tcW w:w="9760" w:type="dxa"/>
            <w:vAlign w:val="bottom"/>
          </w:tcPr>
          <w:p>
            <w:pPr>
              <w:ind w:left="120"/>
              <w:spacing w:after="0"/>
              <w:rPr>
                <w:sz w:val="20"/>
                <w:szCs w:val="20"/>
                <w:color w:val="auto"/>
              </w:rPr>
            </w:pPr>
            <w:r>
              <w:rPr>
                <w:rFonts w:ascii="Arial" w:cs="Arial" w:eastAsia="Arial" w:hAnsi="Arial"/>
                <w:sz w:val="18"/>
                <w:szCs w:val="18"/>
                <w:color w:val="auto"/>
              </w:rPr>
              <w:t>Acknowledgments</w:t>
            </w: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10.15</w:t>
            </w:r>
          </w:p>
        </w:tc>
        <w:tc>
          <w:tcPr>
            <w:tcW w:w="9760" w:type="dxa"/>
            <w:vAlign w:val="bottom"/>
          </w:tcPr>
          <w:p>
            <w:pPr>
              <w:ind w:left="120"/>
              <w:spacing w:after="0"/>
              <w:rPr>
                <w:sz w:val="20"/>
                <w:szCs w:val="20"/>
                <w:color w:val="auto"/>
              </w:rPr>
            </w:pPr>
            <w:r>
              <w:rPr>
                <w:rFonts w:ascii="Arial" w:cs="Arial" w:eastAsia="Arial" w:hAnsi="Arial"/>
                <w:sz w:val="18"/>
                <w:szCs w:val="18"/>
                <w:color w:val="auto"/>
              </w:rPr>
              <w:t>Releases of Guarantees</w:t>
            </w: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10.16</w:t>
            </w:r>
          </w:p>
        </w:tc>
        <w:tc>
          <w:tcPr>
            <w:tcW w:w="976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10.17</w:t>
            </w:r>
          </w:p>
        </w:tc>
        <w:tc>
          <w:tcPr>
            <w:tcW w:w="9760" w:type="dxa"/>
            <w:vAlign w:val="bottom"/>
          </w:tcPr>
          <w:p>
            <w:pPr>
              <w:ind w:left="120"/>
              <w:spacing w:after="0"/>
              <w:rPr>
                <w:sz w:val="20"/>
                <w:szCs w:val="20"/>
                <w:color w:val="auto"/>
              </w:rPr>
            </w:pPr>
            <w:r>
              <w:rPr>
                <w:rFonts w:ascii="Arial" w:cs="Arial" w:eastAsia="Arial" w:hAnsi="Arial"/>
                <w:sz w:val="18"/>
                <w:szCs w:val="18"/>
                <w:color w:val="auto"/>
              </w:rPr>
              <w:t>WAIVERS OF JURY TRIAL</w:t>
            </w: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10.18</w:t>
            </w:r>
          </w:p>
        </w:tc>
        <w:tc>
          <w:tcPr>
            <w:tcW w:w="9760" w:type="dxa"/>
            <w:vAlign w:val="bottom"/>
          </w:tcPr>
          <w:p>
            <w:pPr>
              <w:ind w:left="120"/>
              <w:spacing w:after="0"/>
              <w:rPr>
                <w:sz w:val="20"/>
                <w:szCs w:val="20"/>
                <w:color w:val="auto"/>
              </w:rPr>
            </w:pPr>
            <w:r>
              <w:rPr>
                <w:rFonts w:ascii="Arial" w:cs="Arial" w:eastAsia="Arial" w:hAnsi="Arial"/>
                <w:sz w:val="18"/>
                <w:szCs w:val="18"/>
                <w:color w:val="auto"/>
              </w:rPr>
              <w:t>USA Patriot Act</w:t>
            </w: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40" w:type="dxa"/>
            <w:vAlign w:val="bottom"/>
          </w:tcPr>
          <w:p>
            <w:pPr>
              <w:ind w:left="360"/>
              <w:spacing w:after="0"/>
              <w:rPr>
                <w:sz w:val="20"/>
                <w:szCs w:val="20"/>
                <w:color w:val="auto"/>
              </w:rPr>
            </w:pPr>
            <w:r>
              <w:rPr>
                <w:rFonts w:ascii="Arial" w:cs="Arial" w:eastAsia="Arial" w:hAnsi="Arial"/>
                <w:sz w:val="18"/>
                <w:szCs w:val="18"/>
                <w:color w:val="auto"/>
              </w:rPr>
              <w:t>10.19</w:t>
            </w:r>
          </w:p>
        </w:tc>
        <w:tc>
          <w:tcPr>
            <w:tcW w:w="97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140" w:type="dxa"/>
            <w:vAlign w:val="bottom"/>
          </w:tcPr>
          <w:p>
            <w:pPr>
              <w:ind w:left="360"/>
              <w:spacing w:after="0"/>
              <w:rPr>
                <w:sz w:val="20"/>
                <w:szCs w:val="20"/>
                <w:color w:val="auto"/>
              </w:rPr>
            </w:pPr>
            <w:r>
              <w:rPr>
                <w:rFonts w:ascii="Arial" w:cs="Arial" w:eastAsia="Arial" w:hAnsi="Arial"/>
                <w:sz w:val="18"/>
                <w:szCs w:val="18"/>
                <w:color w:val="auto"/>
              </w:rPr>
              <w:t>10.20</w:t>
            </w:r>
          </w:p>
        </w:tc>
        <w:tc>
          <w:tcPr>
            <w:tcW w:w="9760" w:type="dxa"/>
            <w:vAlign w:val="bottom"/>
          </w:tcPr>
          <w:p>
            <w:pPr>
              <w:ind w:left="12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74" w:right="299" w:bottom="1440" w:gutter="0" w:footer="0" w:header="0"/>
        </w:sectPr>
      </w:pPr>
    </w:p>
    <w:bookmarkStart w:id="477" w:name="page478"/>
    <w:bookmarkEnd w:id="4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SCHEDULES:</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1.1A</w:t>
      </w:r>
      <w:r>
        <w:rPr>
          <w:sz w:val="20"/>
          <w:szCs w:val="20"/>
          <w:color w:val="auto"/>
        </w:rPr>
        <w:tab/>
      </w:r>
      <w:r>
        <w:rPr>
          <w:rFonts w:ascii="Arial" w:cs="Arial" w:eastAsia="Arial" w:hAnsi="Arial"/>
          <w:sz w:val="16"/>
          <w:szCs w:val="16"/>
          <w:color w:val="auto"/>
        </w:rPr>
        <w:t>Commitments; Scheme Reference Number and Jurisdiction of Tax Residence</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1.1B</w:t>
      </w:r>
      <w:r>
        <w:rPr>
          <w:sz w:val="20"/>
          <w:szCs w:val="20"/>
          <w:color w:val="auto"/>
        </w:rPr>
        <w:tab/>
      </w:r>
      <w:r>
        <w:rPr>
          <w:rFonts w:ascii="Arial" w:cs="Arial" w:eastAsia="Arial" w:hAnsi="Arial"/>
          <w:sz w:val="16"/>
          <w:szCs w:val="16"/>
          <w:color w:val="auto"/>
        </w:rPr>
        <w:t>Initial Excluded Subsidiaries</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1.1C</w:t>
      </w:r>
      <w:r>
        <w:rPr>
          <w:sz w:val="20"/>
          <w:szCs w:val="20"/>
          <w:color w:val="auto"/>
        </w:rPr>
        <w:tab/>
      </w:r>
      <w:r>
        <w:rPr>
          <w:rFonts w:ascii="Arial" w:cs="Arial" w:eastAsia="Arial" w:hAnsi="Arial"/>
          <w:sz w:val="17"/>
          <w:szCs w:val="17"/>
          <w:color w:val="auto"/>
        </w:rPr>
        <w:t>Applicable Pricing Grid</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1.1D</w:t>
      </w:r>
      <w:r>
        <w:rPr>
          <w:sz w:val="20"/>
          <w:szCs w:val="20"/>
          <w:color w:val="auto"/>
        </w:rPr>
        <w:tab/>
      </w:r>
      <w:r>
        <w:rPr>
          <w:rFonts w:ascii="Arial" w:cs="Arial" w:eastAsia="Arial" w:hAnsi="Arial"/>
          <w:sz w:val="16"/>
          <w:szCs w:val="16"/>
          <w:color w:val="auto"/>
        </w:rPr>
        <w:t>Existing Liens</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1.1E</w:t>
      </w:r>
      <w:r>
        <w:rPr>
          <w:sz w:val="20"/>
          <w:szCs w:val="20"/>
          <w:color w:val="auto"/>
        </w:rPr>
        <w:tab/>
      </w:r>
      <w:r>
        <w:rPr>
          <w:rFonts w:ascii="Arial" w:cs="Arial" w:eastAsia="Arial" w:hAnsi="Arial"/>
          <w:sz w:val="16"/>
          <w:szCs w:val="16"/>
          <w:color w:val="auto"/>
        </w:rPr>
        <w:t>Excluded Subsidiary Businesses</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Litigation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580" w:hanging="572"/>
        <w:spacing w:after="0"/>
        <w:tabs>
          <w:tab w:leader="none" w:pos="5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Form of Guarantee</w:t>
      </w:r>
    </w:p>
    <w:p>
      <w:pPr>
        <w:spacing w:after="0" w:line="23" w:lineRule="exact"/>
        <w:rPr>
          <w:sz w:val="20"/>
          <w:szCs w:val="20"/>
          <w:color w:val="auto"/>
        </w:rPr>
      </w:pPr>
    </w:p>
    <w:p>
      <w:pPr>
        <w:ind w:left="580" w:hanging="572"/>
        <w:spacing w:after="0"/>
        <w:tabs>
          <w:tab w:leader="none" w:pos="58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Form of Competitive Bid Request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7"/>
          <w:szCs w:val="17"/>
          <w:color w:val="auto"/>
        </w:rPr>
        <w:t>Form of Competitive Bid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Form of Competitive Bid Accept/Reject Letter</w:t>
      </w:r>
    </w:p>
    <w:p>
      <w:pPr>
        <w:spacing w:after="0" w:line="9" w:lineRule="exact"/>
        <w:rPr>
          <w:sz w:val="20"/>
          <w:szCs w:val="20"/>
          <w:color w:val="auto"/>
        </w:rPr>
      </w:pPr>
    </w:p>
    <w:p>
      <w:pPr>
        <w:ind w:left="580" w:hanging="572"/>
        <w:spacing w:after="0"/>
        <w:tabs>
          <w:tab w:leader="none" w:pos="5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sz w:val="20"/>
          <w:szCs w:val="20"/>
          <w:color w:val="auto"/>
        </w:rPr>
      </w:pPr>
    </w:p>
    <w:p>
      <w:pPr>
        <w:ind w:left="580" w:hanging="572"/>
        <w:spacing w:after="0"/>
        <w:tabs>
          <w:tab w:leader="none" w:pos="58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Form of Closing Certificate</w:t>
      </w:r>
    </w:p>
    <w:p>
      <w:pPr>
        <w:spacing w:after="0" w:line="9" w:lineRule="exact"/>
        <w:rPr>
          <w:sz w:val="20"/>
          <w:szCs w:val="20"/>
          <w:color w:val="auto"/>
        </w:rPr>
      </w:pPr>
    </w:p>
    <w:p>
      <w:pPr>
        <w:ind w:left="580" w:hanging="572"/>
        <w:spacing w:after="0"/>
        <w:tabs>
          <w:tab w:leader="none" w:pos="58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w:t>
      </w:r>
      <w:r>
        <w:rPr>
          <w:rFonts w:ascii="Arial" w:cs="Arial" w:eastAsia="Arial" w:hAnsi="Arial"/>
          <w:sz w:val="16"/>
          <w:szCs w:val="16"/>
          <w:color w:val="auto"/>
        </w:rPr>
        <w:t>Form of Borrower Joinder Agreement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I-1</w:t>
      </w:r>
      <w:r>
        <w:rPr>
          <w:rFonts w:ascii="Arial" w:cs="Arial" w:eastAsia="Arial" w:hAnsi="Arial"/>
          <w:sz w:val="16"/>
          <w:szCs w:val="16"/>
          <w:color w:val="auto"/>
        </w:rPr>
        <w:t>Form of Exemption Certificate for Non-Partnership Non-U.S. Lenders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I-2</w:t>
      </w:r>
      <w:r>
        <w:rPr>
          <w:rFonts w:ascii="Arial" w:cs="Arial" w:eastAsia="Arial" w:hAnsi="Arial"/>
          <w:sz w:val="16"/>
          <w:szCs w:val="16"/>
          <w:color w:val="auto"/>
        </w:rPr>
        <w:t>Form of Exemption Certificate for Partnership Non-U.S. Lenders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I-3</w:t>
      </w:r>
      <w:r>
        <w:rPr>
          <w:rFonts w:ascii="Arial" w:cs="Arial" w:eastAsia="Arial" w:hAnsi="Arial"/>
          <w:sz w:val="16"/>
          <w:szCs w:val="16"/>
          <w:color w:val="auto"/>
        </w:rPr>
        <w:t>Form of Exemption Certificate for Non-Partnership Non-U.S. Participants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I-4</w:t>
      </w:r>
      <w:r>
        <w:rPr>
          <w:rFonts w:ascii="Arial" w:cs="Arial" w:eastAsia="Arial" w:hAnsi="Arial"/>
          <w:sz w:val="16"/>
          <w:szCs w:val="16"/>
          <w:color w:val="auto"/>
        </w:rPr>
        <w:t>Form of Exemption Certificate for Partnership Non-U.S. Participants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J</w:t>
      </w:r>
      <w:r>
        <w:rPr>
          <w:rFonts w:ascii="Arial" w:cs="Arial" w:eastAsia="Arial" w:hAnsi="Arial"/>
          <w:sz w:val="16"/>
          <w:szCs w:val="16"/>
          <w:color w:val="auto"/>
        </w:rPr>
        <w:t>Form of Compliance Certificate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K</w:t>
      </w:r>
      <w:r>
        <w:rPr>
          <w:rFonts w:ascii="Arial" w:cs="Arial" w:eastAsia="Arial" w:hAnsi="Arial"/>
          <w:sz w:val="16"/>
          <w:szCs w:val="16"/>
          <w:color w:val="auto"/>
        </w:rPr>
        <w:t>Form of Note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L</w:t>
      </w:r>
      <w:r>
        <w:rPr>
          <w:rFonts w:ascii="Arial" w:cs="Arial" w:eastAsia="Arial" w:hAnsi="Arial"/>
          <w:sz w:val="16"/>
          <w:szCs w:val="16"/>
          <w:color w:val="auto"/>
        </w:rPr>
        <w:t>Form of Borrowing Request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6"/>
          <w:szCs w:val="16"/>
          <w:color w:val="auto"/>
        </w:rPr>
        <w:t>Form of Company Consent</w:t>
      </w:r>
    </w:p>
    <w:p>
      <w:pPr>
        <w:spacing w:after="0" w:line="14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273" w:right="1440" w:bottom="1440" w:gutter="0" w:footer="0" w:header="0"/>
        </w:sectPr>
      </w:pPr>
    </w:p>
    <w:bookmarkStart w:id="478" w:name="page479"/>
    <w:bookmarkEnd w:id="478"/>
    <w:p>
      <w:pPr>
        <w:ind w:right="80" w:firstLine="91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364-DAY REVOLVING CREDIT AGREEMENT, dated as of April 18, 2018 (this “</w:t>
      </w:r>
      <w:r>
        <w:rPr>
          <w:rFonts w:ascii="Arial" w:cs="Arial" w:eastAsia="Arial" w:hAnsi="Arial"/>
          <w:sz w:val="17"/>
          <w:szCs w:val="17"/>
          <w:u w:val="single" w:color="auto"/>
          <w:color w:val="auto"/>
        </w:rPr>
        <w:t>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GM Global Treasury Centre Limited, a private limited company incorporated under the laws of England and Wales (“</w:t>
      </w:r>
      <w:r>
        <w:rPr>
          <w:rFonts w:ascii="Arial" w:cs="Arial" w:eastAsia="Arial" w:hAnsi="Arial"/>
          <w:sz w:val="17"/>
          <w:szCs w:val="17"/>
          <w:u w:val="single" w:color="auto"/>
          <w:color w:val="auto"/>
        </w:rPr>
        <w:t>GMGTC</w:t>
      </w:r>
      <w:r>
        <w:rPr>
          <w:rFonts w:ascii="Arial" w:cs="Arial" w:eastAsia="Arial" w:hAnsi="Arial"/>
          <w:sz w:val="17"/>
          <w:szCs w:val="17"/>
          <w:color w:val="auto"/>
        </w:rPr>
        <w:t>”), the other Subsidiary Borrowers (as defined herein) from time to time parties hereto, the several banks and other financial institutions or entities from time to time parties hereto, as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(and any of its branches and affiliates acting on its behalf in such capacity),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and BANK OF AMERICA, N.A., as co-syndication agent (in such capacity, the “</w:t>
      </w:r>
      <w:r>
        <w:rPr>
          <w:rFonts w:ascii="Arial" w:cs="Arial" w:eastAsia="Arial" w:hAnsi="Arial"/>
          <w:sz w:val="17"/>
          <w:szCs w:val="17"/>
          <w:u w:val="single" w:color="auto"/>
          <w:color w:val="auto"/>
        </w:rPr>
        <w:t>Co-Syndication Agent</w:t>
      </w:r>
      <w:r>
        <w:rPr>
          <w:rFonts w:ascii="Arial" w:cs="Arial" w:eastAsia="Arial" w:hAnsi="Arial"/>
          <w:sz w:val="17"/>
          <w:szCs w:val="17"/>
          <w:color w:val="auto"/>
        </w:rPr>
        <w:t>”).</w:t>
      </w:r>
    </w:p>
    <w:p>
      <w:pPr>
        <w:spacing w:after="0" w:line="178"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that on the Closing Date (as defined below), this Agreement shall be effective as follows: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1. DEFINITIONS</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terms listed in this Section 1.1 shall have the respective meanings set forth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Section 1.1.</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2017 10-K</w:t>
      </w:r>
      <w:r>
        <w:rPr>
          <w:rFonts w:ascii="Arial" w:cs="Arial" w:eastAsia="Arial" w:hAnsi="Arial"/>
          <w:sz w:val="18"/>
          <w:szCs w:val="18"/>
          <w:color w:val="auto"/>
        </w:rPr>
        <w:t>” has the meaning assigned to such term in Section 4.1.</w:t>
      </w:r>
    </w:p>
    <w:p>
      <w:pPr>
        <w:spacing w:after="0" w:line="225"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3-Year Revolving Credit Agreement</w:t>
      </w:r>
      <w:r>
        <w:rPr>
          <w:rFonts w:ascii="Arial" w:cs="Arial" w:eastAsia="Arial" w:hAnsi="Arial"/>
          <w:sz w:val="17"/>
          <w:szCs w:val="17"/>
          <w:color w:val="auto"/>
        </w:rPr>
        <w:t>” means (i) that certain Third Amended and Restated Three Year Revolving Credit Agreement, dated as of the date hereof, among the Company, GMF, GMB, GMGTC,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78"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3-Year Total Available Commitments</w:t>
      </w:r>
      <w:r>
        <w:rPr>
          <w:rFonts w:ascii="Arial" w:cs="Arial" w:eastAsia="Arial" w:hAnsi="Arial"/>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87"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3-Year Total Commitments</w:t>
      </w:r>
      <w:r>
        <w:rPr>
          <w:rFonts w:ascii="Arial" w:cs="Arial" w:eastAsia="Arial" w:hAnsi="Arial"/>
          <w:sz w:val="17"/>
          <w:szCs w:val="17"/>
          <w:color w:val="auto"/>
        </w:rPr>
        <w:t>” means the “Total Commitments” (or equivalent term) under, and as defined in, the 3-Year Revolving Credit Agreement (it being understood that if there is more than one 3-Year Revolving Credit Agreement in effect at any time, references hereunder to “3-Year Total Commitments” shall be deemed to mean the sum of the “3-Year Total Commitments” (as defined above) under each such agreement).</w:t>
      </w:r>
    </w:p>
    <w:p>
      <w:pPr>
        <w:sectPr>
          <w:pgSz w:w="11900" w:h="16838" w:orient="portrait"/>
          <w:cols w:equalWidth="0" w:num="1">
            <w:col w:w="11360"/>
          </w:cols>
          <w:pgMar w:left="240" w:top="273" w:right="299" w:bottom="1440" w:gutter="0" w:footer="0" w:header="0"/>
        </w:sectPr>
      </w:pPr>
    </w:p>
    <w:bookmarkStart w:id="479" w:name="page480"/>
    <w:bookmarkEnd w:id="479"/>
    <w:p>
      <w:pPr>
        <w:ind w:right="1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3-Year Total Extensions of Credit</w:t>
      </w:r>
      <w:r>
        <w:rPr>
          <w:rFonts w:ascii="Arial" w:cs="Arial" w:eastAsia="Arial" w:hAnsi="Arial"/>
          <w:sz w:val="18"/>
          <w:szCs w:val="18"/>
          <w:color w:val="auto"/>
        </w:rPr>
        <w:t>” means the “Total Extensions of Credit” (or equivalent term) under, and as defined in, the 3-Year Revolving Credit Agreement (it being understood that if there is more than one 3-Year Revolving Credit Agreement in effect at any time, references hereunder to “3-Year Total Extensions of Credit” shall be deemed to mean the sum of the “3-Year Total Extensions of Credit” (as defined above) under each such agreement).</w:t>
      </w:r>
    </w:p>
    <w:p>
      <w:pPr>
        <w:spacing w:after="0" w:line="187"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5-Year Revolving Credit Agreement</w:t>
      </w:r>
      <w:r>
        <w:rPr>
          <w:rFonts w:ascii="Arial" w:cs="Arial" w:eastAsia="Arial" w:hAnsi="Arial"/>
          <w:sz w:val="17"/>
          <w:szCs w:val="17"/>
          <w:color w:val="auto"/>
        </w:rPr>
        <w:t>” means (i) that certain Third Amended and Restated Five Year Revolving Credit Agreement, dated as of the date hereof, among the Company, GMF, GMB, GMGTC,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78"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Available Commitments</w:t>
      </w:r>
      <w:r>
        <w:rPr>
          <w:rFonts w:ascii="Arial" w:cs="Arial" w:eastAsia="Arial" w:hAnsi="Arial"/>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87"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5-Year Total Commitments</w:t>
      </w:r>
      <w:r>
        <w:rPr>
          <w:rFonts w:ascii="Arial" w:cs="Arial" w:eastAsia="Arial" w:hAnsi="Arial"/>
          <w:sz w:val="17"/>
          <w:szCs w:val="17"/>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6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5-Year Total Extensions of Credit</w:t>
      </w:r>
      <w:r>
        <w:rPr>
          <w:rFonts w:ascii="Arial" w:cs="Arial" w:eastAsia="Arial" w:hAnsi="Arial"/>
          <w:sz w:val="18"/>
          <w:szCs w:val="18"/>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187" w:lineRule="exact"/>
        <w:rPr>
          <w:sz w:val="20"/>
          <w:szCs w:val="20"/>
          <w:color w:val="auto"/>
        </w:rPr>
      </w:pPr>
    </w:p>
    <w:p>
      <w:pPr>
        <w:ind w:firstLine="913"/>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xml:space="preserve">” means for any day, a rate per annum (rounded upwards, if necessary, to the next 1/16 of 1.00%) equal to the greatest of (a) the Prime Rate in effect on such day, (b) the NYFRB Rate in 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of 1.00% and (c) the Eurocurrency Rate, calculated as of such date in respect of a proposed Eurocurrency Loan with a one-month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rate determined pursuant to this definition of “ABR” shall be less than zero, such rate shall be deemed to be zero for purposes of this Agreement. Any change in the ABR due to a change in the Prime Rate, the NYFRB Rate or the Eurocurrency Rate shall be effective as of the opening of business on the effective day of such change in the Prime Rate, the NYFRB Rate or the Eurocurrency Rate, respectively. If the ABR is being used as an alternate rate of interest pursuant to Section 2.18 hereof, then the ABR shall be the greater of clause (a) and (b) above and shall be determined without reference to clause (c) above.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80" w:name="page481"/>
    <w:bookmarkEnd w:id="48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ABR Loans</w:t>
      </w:r>
      <w:r>
        <w:rPr>
          <w:rFonts w:ascii="Arial" w:cs="Arial" w:eastAsia="Arial" w:hAnsi="Arial"/>
          <w:sz w:val="18"/>
          <w:szCs w:val="18"/>
          <w:color w:val="auto"/>
        </w:rPr>
        <w:t>” means Loans the rate of interest applicable to which is based upon the ABR.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and the UK Bribery Act.</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for any Lender, such Lender’s office, branch or affiliate designated for Eurocurrency Loans or ABR Loans,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7"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means, for any day, with respect to any ABR Loan or Eurocurrency Loan, as the case may be, the applicable rate per annum set forth under the relevant column heading in the Applicable Pricing Grid, based upon the Applicable Rating in effect on such day.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Pricing Grid</w:t>
      </w:r>
      <w:r>
        <w:rPr>
          <w:rFonts w:ascii="Arial" w:cs="Arial" w:eastAsia="Arial" w:hAnsi="Arial"/>
          <w:sz w:val="18"/>
          <w:szCs w:val="18"/>
          <w:color w:val="auto"/>
        </w:rPr>
        <w:t>” means the table set forth on Schedule 1.1C.</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Rating</w:t>
      </w:r>
      <w:r>
        <w:rPr>
          <w:rFonts w:ascii="Arial" w:cs="Arial" w:eastAsia="Arial" w:hAnsi="Arial"/>
          <w:sz w:val="18"/>
          <w:szCs w:val="18"/>
          <w:color w:val="auto"/>
        </w:rPr>
        <w:t xml:space="preserve">” means the Index Debt Rating;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the Company has obtained or maintained a Facility Rating from at least two of Moody’s, S&amp;P or Fitch, the “Applicable Rating” shall be the Facility Rating in effect at any time of determination.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10.2(b).</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has the meaning assigned to such term in Section 9.11.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assigned to such term in Section 10.6(b).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substantially in the form of Exhibit G.</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xml:space="preserve">” means, on any date of determination with respect to any Lender, (a) such Lender’s Commitment in effect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its Extensions of Credit on such date.</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81" w:name="page482"/>
    <w:bookmarkEnd w:id="481"/>
    <w:p>
      <w:pPr>
        <w:ind w:right="140"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Benefitted Lender</w:t>
      </w:r>
      <w:r>
        <w:rPr>
          <w:rFonts w:ascii="Arial" w:cs="Arial" w:eastAsia="Arial" w:hAnsi="Arial"/>
          <w:sz w:val="18"/>
          <w:szCs w:val="18"/>
          <w:color w:val="auto"/>
        </w:rPr>
        <w:t>” has the meaning assigned to such term in Section 10.7.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(or any successor).</w:t>
      </w:r>
    </w:p>
    <w:p>
      <w:pPr>
        <w:spacing w:after="0" w:line="225"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the Company, GMGTC, GMF or any other Subsidiary Borrower designated from time to time by the Company until (in the case of any Subsidiary Borrower) such time as such Subsidiary Borrower is removed as a party hereto pursuant to Section 10.1(d).</w:t>
      </w:r>
    </w:p>
    <w:p>
      <w:pPr>
        <w:spacing w:after="0" w:line="14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DTTP Filing</w:t>
      </w:r>
      <w:r>
        <w:rPr>
          <w:rFonts w:ascii="Arial" w:cs="Arial" w:eastAsia="Arial" w:hAnsi="Arial"/>
          <w:sz w:val="17"/>
          <w:szCs w:val="17"/>
          <w:color w:val="auto"/>
        </w:rPr>
        <w:t xml:space="preserve">” means an HMRC Form DTTP2, duly completed and filed by the relevant Borrower, which contains the scheme reference number and jurisdiction of tax residence provided by a UK Treaty Lender to the relevant UK Borrower and the Administrative Agent in accordance with Section 2.21(e) and which (a) where it relates to a UK Treaty Lender that is a Lender on the date of this Agreement, contains the scheme reference number and jurisdiction of tax residence stated opposite that Lender’s name in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to this Agreement, and (i) where the UK Borrower is a Borrower on the date of this Agreement, is filed with HMRC within 30 days of the date of this Agreement; or (ii) where the UK Borrower becomes a Borrower after the date of this Agreement, is filed with HMRC within 30 days of that date; or (b) where it relates to a UK Treaty Lender that is not a Lender on the date of this Agreement, contains the scheme reference number and jurisdiction of tax residence stated in respect of that Lender in the documentation which it executes on becoming a Lender; and (i) where the UK Borrower is a Borrower as at the date on which that UK Treaty Lender becomes a Lender, is filed with HMRC within 30 days of that date; or (ii) where the UK Borrower is not a Borrower as at the date on which that UK Treaty Lender becomes a Lender, is filed with HMRC within 30 days of the date on which that UK Borrower becomes a Borrower.</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Joinder Agreement</w:t>
      </w:r>
      <w:r>
        <w:rPr>
          <w:rFonts w:ascii="Arial" w:cs="Arial" w:eastAsia="Arial" w:hAnsi="Arial"/>
          <w:sz w:val="18"/>
          <w:szCs w:val="18"/>
          <w:color w:val="auto"/>
        </w:rPr>
        <w:t>” means a joinder agreement substantially in the form of Exhibit H.</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any Business Day specified by the Company or any Subsidiary Borrower as a date on which the Company or such Subsidiary Borrower requests the relevant Lenders to make Loans 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any Borrower for a Loan in substantially the form of Exhibit 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Reais</w:t>
      </w:r>
      <w:r>
        <w:rPr>
          <w:rFonts w:ascii="Arial" w:cs="Arial" w:eastAsia="Arial" w:hAnsi="Arial"/>
          <w:sz w:val="18"/>
          <w:szCs w:val="18"/>
          <w:color w:val="auto"/>
        </w:rPr>
        <w:t>” and “</w:t>
      </w:r>
      <w:r>
        <w:rPr>
          <w:rFonts w:ascii="Arial" w:cs="Arial" w:eastAsia="Arial" w:hAnsi="Arial"/>
          <w:sz w:val="18"/>
          <w:szCs w:val="18"/>
          <w:u w:val="single" w:color="auto"/>
          <w:color w:val="auto"/>
        </w:rPr>
        <w:t>R$</w:t>
      </w:r>
      <w:r>
        <w:rPr>
          <w:rFonts w:ascii="Arial" w:cs="Arial" w:eastAsia="Arial" w:hAnsi="Arial"/>
          <w:sz w:val="18"/>
          <w:szCs w:val="18"/>
          <w:color w:val="auto"/>
        </w:rPr>
        <w:t>” mean the lawful currency of the Federative Republic of Brazil.</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Subsidiary</w:t>
      </w:r>
      <w:r>
        <w:rPr>
          <w:rFonts w:ascii="Arial" w:cs="Arial" w:eastAsia="Arial" w:hAnsi="Arial"/>
          <w:sz w:val="18"/>
          <w:szCs w:val="18"/>
          <w:color w:val="auto"/>
        </w:rPr>
        <w:t>” means, with respect to any Person, any Subsidiary of such Person organized under the laws of any jurisdiction within the Federative Republic of Brazil. Unless otherwise qualified, all references to a “Brazilian Subsidiary” or to “Brazilian Subsidiaries” in this Agreement shall refer to a Brazilian Subsidiary or Brazilian Subsidiaries of the Company.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482" w:name="page483"/>
    <w:bookmarkEnd w:id="482"/>
    <w:p>
      <w:pPr>
        <w:ind w:right="2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Sunday or other day on which banks in New York City are permitted to close;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when used in connection with a Eurocurrency Loan, the term “Business Day” shall also exclude any day on which banks are not open for dealings in Dollar deposits in the London Interbank market.</w:t>
      </w:r>
    </w:p>
    <w:p>
      <w:pPr>
        <w:spacing w:after="0" w:line="18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24"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2.20, by any lending office of such Lender or by such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Tax Law</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 (a) any “</w:t>
      </w:r>
      <w:r>
        <w:rPr>
          <w:rFonts w:ascii="Arial" w:cs="Arial" w:eastAsia="Arial" w:hAnsi="Arial"/>
          <w:sz w:val="16"/>
          <w:szCs w:val="16"/>
          <w:u w:val="single" w:color="auto"/>
          <w:color w:val="auto"/>
        </w:rPr>
        <w:t>person</w:t>
      </w:r>
      <w:r>
        <w:rPr>
          <w:rFonts w:ascii="Arial" w:cs="Arial" w:eastAsia="Arial" w:hAnsi="Arial"/>
          <w:sz w:val="16"/>
          <w:szCs w:val="16"/>
          <w:color w:val="auto"/>
        </w:rPr>
        <w:t>” or “</w:t>
      </w:r>
      <w:r>
        <w:rPr>
          <w:rFonts w:ascii="Arial" w:cs="Arial" w:eastAsia="Arial" w:hAnsi="Arial"/>
          <w:sz w:val="16"/>
          <w:szCs w:val="16"/>
          <w:u w:val="single" w:color="auto"/>
          <w:color w:val="auto"/>
        </w:rPr>
        <w:t>group</w:t>
      </w:r>
      <w:r>
        <w:rPr>
          <w:rFonts w:ascii="Arial" w:cs="Arial" w:eastAsia="Arial" w:hAnsi="Arial"/>
          <w:sz w:val="16"/>
          <w:szCs w:val="16"/>
          <w:color w:val="auto"/>
        </w:rPr>
        <w:t>” (as such terms are used in Sections 13(d) and 14(d) of the Exchange Act) shall become, or obtain rights (whether by means of warrants, options or otherwise) to become, the “</w:t>
      </w:r>
      <w:r>
        <w:rPr>
          <w:rFonts w:ascii="Arial" w:cs="Arial" w:eastAsia="Arial" w:hAnsi="Arial"/>
          <w:sz w:val="16"/>
          <w:szCs w:val="16"/>
          <w:u w:val="single" w:color="auto"/>
          <w:color w:val="auto"/>
        </w:rPr>
        <w:t>beneficial owner</w:t>
      </w:r>
      <w:r>
        <w:rPr>
          <w:rFonts w:ascii="Arial" w:cs="Arial" w:eastAsia="Arial" w:hAnsi="Arial"/>
          <w:sz w:val="16"/>
          <w:szCs w:val="16"/>
          <w:color w:val="auto"/>
        </w:rPr>
        <w:t>” (as defined in Rules 13(d)-3 and 13(d) 5 under the Exchange Act), directly or indirectly, of more than 50% of the outstanding Voting Stock of the Company or</w:t>
      </w:r>
    </w:p>
    <w:p>
      <w:pPr>
        <w:spacing w:after="0"/>
        <w:rPr>
          <w:sz w:val="20"/>
          <w:szCs w:val="20"/>
          <w:color w:val="auto"/>
        </w:rPr>
      </w:pPr>
      <w:r>
        <w:rPr>
          <w:rFonts w:ascii="Arial" w:cs="Arial" w:eastAsia="Arial" w:hAnsi="Arial"/>
          <w:sz w:val="18"/>
          <w:szCs w:val="18"/>
          <w:color w:val="auto"/>
        </w:rPr>
        <w:t>(b) Continuing Directors cease to constitute at least a majority of the members of the board of directors of the Company.</w:t>
      </w:r>
    </w:p>
    <w:p>
      <w:pPr>
        <w:spacing w:after="0" w:line="21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means any person that is primarily engaged in the issuance of securities based on, collateralized by or otherwise backed by one or more pools of assets consisting primarily of bank loans.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the conditions precedent set forth in Section 5.1 shall have been satisfied, which date is April 18, 2018.</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483" w:name="page484"/>
    <w:bookmarkEnd w:id="483"/>
    <w:p>
      <w:pPr>
        <w:jc w:val="both"/>
        <w:ind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Commitment</w:t>
      </w:r>
      <w:r>
        <w:rPr>
          <w:rFonts w:ascii="Arial" w:cs="Arial" w:eastAsia="Arial" w:hAnsi="Arial"/>
          <w:sz w:val="17"/>
          <w:szCs w:val="17"/>
          <w:color w:val="auto"/>
        </w:rPr>
        <w:t>” means as to any Lender, the obligation of such Lender, if any, to make Loans in an aggregate principal amount not to exceed the amount set forth under the heading “Commitment” opposite such Lender’s name on Schedule 1.1A or in the Assignment and Assumption pursuant to which such Lender became a party hereto, as the same may be changed from time to time pursuant to the terms hereof.</w:t>
      </w:r>
    </w:p>
    <w:p>
      <w:pPr>
        <w:spacing w:after="0" w:line="166"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means with respect to any Lender in the Facility, the period from and including the Closing Date (or in the case of a Lender that becomes a Lender under the Facility after the Closing Date, the date on which such Lender becomes a Lender under the Facility) to, but excluding, the Termination Date applicable to such Lender under the Facility.</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w:t>
      </w:r>
      <w:r>
        <w:rPr>
          <w:rFonts w:ascii="Arial" w:cs="Arial" w:eastAsia="Arial" w:hAnsi="Arial"/>
          <w:sz w:val="18"/>
          <w:szCs w:val="18"/>
          <w:color w:val="auto"/>
        </w:rPr>
        <w:t>” means an offer by a Lender to make a Competitive Loan in accordance with Section 2.9.</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Accept/Reject Letter</w:t>
      </w:r>
      <w:r>
        <w:rPr>
          <w:rFonts w:ascii="Arial" w:cs="Arial" w:eastAsia="Arial" w:hAnsi="Arial"/>
          <w:sz w:val="16"/>
          <w:szCs w:val="16"/>
          <w:color w:val="auto"/>
        </w:rPr>
        <w:t>” means a notification made by the Company pursuant to Section 2.9, substantially in the form of Exhibit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Rate</w:t>
      </w:r>
      <w:r>
        <w:rPr>
          <w:rFonts w:ascii="Arial" w:cs="Arial" w:eastAsia="Arial" w:hAnsi="Arial"/>
          <w:sz w:val="18"/>
          <w:szCs w:val="18"/>
          <w:color w:val="auto"/>
        </w:rPr>
        <w:t xml:space="preserve">” means, with respect to any Competitive Bid (a) in the case of a Eurocurrency Competitive Loan,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the Margin and (b) in the case of a Fixed Rate Loan, the fixed rate of interest per annum, in each case specified by the Lender making such Competitive Loan in its related Competitive Bid.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Request</w:t>
      </w:r>
      <w:r>
        <w:rPr>
          <w:rFonts w:ascii="Arial" w:cs="Arial" w:eastAsia="Arial" w:hAnsi="Arial"/>
          <w:sz w:val="18"/>
          <w:szCs w:val="18"/>
          <w:color w:val="auto"/>
        </w:rPr>
        <w:t>” means a request made pursuant to Section 2.9, substantially in the form of Exhibit 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Loan</w:t>
      </w:r>
      <w:r>
        <w:rPr>
          <w:rFonts w:ascii="Arial" w:cs="Arial" w:eastAsia="Arial" w:hAnsi="Arial"/>
          <w:sz w:val="18"/>
          <w:szCs w:val="18"/>
          <w:color w:val="auto"/>
        </w:rPr>
        <w:t>” means a Loan made pursuant to Section 2.9.</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duly executed by a Responsible Officer, substantially in the form of Exhibit J.</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Domestic Liquidity</w:t>
      </w:r>
      <w:r>
        <w:rPr>
          <w:rFonts w:ascii="Arial" w:cs="Arial" w:eastAsia="Arial" w:hAnsi="Arial"/>
          <w:sz w:val="18"/>
          <w:szCs w:val="18"/>
          <w:color w:val="auto"/>
        </w:rPr>
        <w:t xml:space="preserve">” means, as of any date of determination, the sum of (a) the 3-Year Total Available Commitments at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5-Year Total Available Commitments at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total available commitments (after giving effect to any applicable borrowing base limitations) under other then-effective committed credit facilities of the Company or any Domestic Subsidiary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89"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Global Liquidity</w:t>
      </w:r>
      <w:r>
        <w:rPr>
          <w:rFonts w:ascii="Arial" w:cs="Arial" w:eastAsia="Arial" w:hAnsi="Arial"/>
          <w:sz w:val="17"/>
          <w:szCs w:val="17"/>
          <w:color w:val="auto"/>
        </w:rPr>
        <w:t xml:space="preserve">” means as of any date of determination, the sum of (a) the 3-Year Total Available Commitments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5-Year Total Available Commitments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total available commitments (after giving effect to any</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73" w:right="359" w:bottom="1440" w:gutter="0" w:footer="0" w:header="0"/>
        </w:sectPr>
      </w:pPr>
    </w:p>
    <w:bookmarkStart w:id="484" w:name="page485"/>
    <w:bookmarkEnd w:id="484"/>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borrowing base limitations) under other then-effective committed credit facilities of the Company or any of its Subsidiaries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87" w:lineRule="exact"/>
        <w:rPr>
          <w:sz w:val="20"/>
          <w:szCs w:val="20"/>
          <w:color w:val="auto"/>
        </w:rPr>
      </w:pPr>
    </w:p>
    <w:p>
      <w:pPr>
        <w:jc w:val="both"/>
        <w:ind w:right="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Tangible Assets</w:t>
      </w:r>
      <w:r>
        <w:rPr>
          <w:rFonts w:ascii="Arial" w:cs="Arial" w:eastAsia="Arial" w:hAnsi="Arial"/>
          <w:sz w:val="17"/>
          <w:szCs w:val="17"/>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66"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Director</w:t>
      </w:r>
      <w:r>
        <w:rPr>
          <w:rFonts w:ascii="Arial" w:cs="Arial" w:eastAsia="Arial" w:hAnsi="Arial"/>
          <w:sz w:val="16"/>
          <w:szCs w:val="16"/>
          <w:color w:val="auto"/>
        </w:rPr>
        <w:t>” means, at any date, an individual (a) who is a member of the board of directors of the Company on the Closing Date or</w:t>
      </w:r>
    </w:p>
    <w:p>
      <w:pPr>
        <w:spacing w:after="0" w:line="46" w:lineRule="exact"/>
        <w:rPr>
          <w:sz w:val="20"/>
          <w:szCs w:val="20"/>
          <w:color w:val="auto"/>
        </w:rPr>
      </w:pPr>
    </w:p>
    <w:p>
      <w:pPr>
        <w:ind w:right="120" w:firstLine="8"/>
        <w:spacing w:after="0" w:line="261" w:lineRule="auto"/>
        <w:tabs>
          <w:tab w:leader="none" w:pos="25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who has been nominated or appointed to be a member of such board of directors, or approved or otherwise ratified, by a majority of the other Continuing Directors then in office.</w:t>
      </w:r>
    </w:p>
    <w:p>
      <w:pPr>
        <w:spacing w:after="0" w:line="184"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Term Loan</w:t>
      </w:r>
      <w:r>
        <w:rPr>
          <w:rFonts w:ascii="Arial" w:cs="Arial" w:eastAsia="Arial" w:hAnsi="Arial"/>
          <w:sz w:val="18"/>
          <w:szCs w:val="18"/>
          <w:color w:val="auto"/>
        </w:rPr>
        <w:t>” has the meaning assigned to such term in Section 2.27(a).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Term Loan Maturity Date</w:t>
      </w:r>
      <w:r>
        <w:rPr>
          <w:rFonts w:ascii="Arial" w:cs="Arial" w:eastAsia="Arial" w:hAnsi="Arial"/>
          <w:sz w:val="18"/>
          <w:szCs w:val="18"/>
          <w:color w:val="auto"/>
        </w:rPr>
        <w:t>” means April 17, 2020, which date is the first anniversary of the Termination Date.</w:t>
      </w:r>
    </w:p>
    <w:p>
      <w:pPr>
        <w:spacing w:after="0" w:line="225"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8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of the events specified in Section 8, whether or not any requirement for the giving of notice, the lapse of time, or both, has been satisfied.</w:t>
      </w:r>
    </w:p>
    <w:p>
      <w:pPr>
        <w:spacing w:after="0" w:line="17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at any time, a Lender (a) that has defaulted in its obligation to make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485" w:name="page486"/>
    <w:bookmarkEnd w:id="485"/>
    <w:p>
      <w:pPr>
        <w:ind w:right="1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Designated Principal Trade Name</w:t>
      </w:r>
      <w:r>
        <w:rPr>
          <w:rFonts w:ascii="Arial" w:cs="Arial" w:eastAsia="Arial" w:hAnsi="Arial"/>
          <w:sz w:val="18"/>
          <w:szCs w:val="18"/>
          <w:color w:val="auto"/>
        </w:rPr>
        <w:t xml:space="preserve">” means a Principal Trade Name, designated by the Company as the “Designated Principal Trade Name” in a written notice to the Administrative Agent pursuant to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only one Principal Trade Name may be designated as a “Designated Principal Trade Name” during the term of this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Designation Date</w:t>
      </w:r>
      <w:r>
        <w:rPr>
          <w:rFonts w:ascii="Arial" w:cs="Arial" w:eastAsia="Arial" w:hAnsi="Arial"/>
          <w:sz w:val="18"/>
          <w:szCs w:val="18"/>
          <w:color w:val="auto"/>
        </w:rPr>
        <w:t>” has the meaning assigned to such term in Section 3.11(b).</w:t>
      </w:r>
    </w:p>
    <w:p>
      <w:pPr>
        <w:spacing w:after="0" w:line="225" w:lineRule="exact"/>
        <w:rPr>
          <w:sz w:val="20"/>
          <w:szCs w:val="20"/>
          <w:color w:val="auto"/>
        </w:rPr>
      </w:pPr>
    </w:p>
    <w:p>
      <w:pPr>
        <w:ind w:right="30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with respect to any property, any sale, transfer or other disposition thereof; and the terms “Dispose” and “Disposed of” shall have correlative meanings;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7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the Administrative Agent shall use the relevant Exchange Rate in effect on the date upon which a Dollar Equivalent is required to be determined pursuant to the provisions of this Agreement. As appropriate, amounts specified herein as amounts in Dollars shall be or include any relevant Dollar Equivalent amount.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the United States.</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 Borrower</w:t>
      </w:r>
      <w:r>
        <w:rPr>
          <w:rFonts w:ascii="Arial" w:cs="Arial" w:eastAsia="Arial" w:hAnsi="Arial"/>
          <w:sz w:val="18"/>
          <w:szCs w:val="18"/>
          <w:color w:val="auto"/>
        </w:rPr>
        <w:t>” means any Subsidiary Borrower which is a Domestic Subsidiary.</w:t>
      </w:r>
    </w:p>
    <w:p>
      <w:pPr>
        <w:spacing w:after="0" w:line="225" w:lineRule="exact"/>
        <w:rPr>
          <w:sz w:val="20"/>
          <w:szCs w:val="20"/>
          <w:color w:val="auto"/>
        </w:rPr>
      </w:pPr>
    </w:p>
    <w:p>
      <w:pPr>
        <w:ind w:right="30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w:t>
      </w:r>
    </w:p>
    <w:p>
      <w:pPr>
        <w:ind w:firstLine="8"/>
        <w:spacing w:after="0" w:line="261" w:lineRule="auto"/>
        <w:tabs>
          <w:tab w:leader="none" w:pos="24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any institution established in an EEA Member Country which is a subsidiary of an institution described in clauses (a) or (b) of this definition and is subject to consolidated supervision with its parent.</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86" w:name="page487"/>
    <w:bookmarkEnd w:id="48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81"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Default</w:t>
      </w:r>
      <w:r>
        <w:rPr>
          <w:rFonts w:ascii="Arial" w:cs="Arial" w:eastAsia="Arial" w:hAnsi="Arial"/>
          <w:sz w:val="16"/>
          <w:szCs w:val="16"/>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w:t>
      </w:r>
    </w:p>
    <w:p>
      <w:pPr>
        <w:spacing w:after="0" w:line="1" w:lineRule="exact"/>
        <w:rPr>
          <w:sz w:val="20"/>
          <w:szCs w:val="20"/>
          <w:color w:val="auto"/>
        </w:rPr>
      </w:pPr>
    </w:p>
    <w:p>
      <w:pPr>
        <w:jc w:val="both"/>
        <w:ind w:right="60" w:firstLine="8"/>
        <w:spacing w:after="0" w:line="273" w:lineRule="auto"/>
        <w:tabs>
          <w:tab w:leader="none" w:pos="255"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7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Base Rate</w:t>
      </w:r>
      <w:r>
        <w:rPr>
          <w:rFonts w:ascii="Arial" w:cs="Arial" w:eastAsia="Arial" w:hAnsi="Arial"/>
          <w:sz w:val="16"/>
          <w:szCs w:val="16"/>
          <w:color w:val="auto"/>
        </w:rPr>
        <w:t>” means, with respect to each day during each Interest Period pertaining to a Eurocurrency Loan, the London Interbank offered rate as administered by the ICE Benchmark Administration (or any other Person that takes over the administration of such rate) for Dollars for a period equal to such Interest Period commencing on the first day of such Interest Period as displayed on page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with the consent of the Company (such consent not to be unreasonably withheld); in each case, the “</w:t>
      </w:r>
      <w:r>
        <w:rPr>
          <w:rFonts w:ascii="Arial" w:cs="Arial" w:eastAsia="Arial" w:hAnsi="Arial"/>
          <w:sz w:val="16"/>
          <w:szCs w:val="16"/>
          <w:u w:val="single" w:color="auto"/>
          <w:color w:val="auto"/>
        </w:rPr>
        <w:t>Screen Rate</w:t>
      </w:r>
      <w:r>
        <w:rPr>
          <w:rFonts w:ascii="Arial" w:cs="Arial" w:eastAsia="Arial" w:hAnsi="Arial"/>
          <w:sz w:val="16"/>
          <w:szCs w:val="16"/>
          <w:color w:val="auto"/>
        </w:rPr>
        <w:t xml:space="preserve">”) as of 11:00 A.M., London time, on the Quotation Date;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Screen Rate shall not be available at such time for such Interest Period (an “</w:t>
      </w:r>
      <w:r>
        <w:rPr>
          <w:rFonts w:ascii="Arial" w:cs="Arial" w:eastAsia="Arial" w:hAnsi="Arial"/>
          <w:sz w:val="16"/>
          <w:szCs w:val="16"/>
          <w:u w:val="single" w:color="auto"/>
          <w:color w:val="auto"/>
        </w:rPr>
        <w:t>Impacted Interest Period</w:t>
      </w:r>
      <w:r>
        <w:rPr>
          <w:rFonts w:ascii="Arial" w:cs="Arial" w:eastAsia="Arial" w:hAnsi="Arial"/>
          <w:sz w:val="16"/>
          <w:szCs w:val="16"/>
          <w:color w:val="auto"/>
        </w:rPr>
        <w:t xml:space="preserve">”) with respect to Dollars, then the Eurocurrency Base Rate shall be the Interpolated Rate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Screen Rate shall be less than zero, such rate shall be deemed to be zero for purposes of this Agreement. “</w:t>
      </w:r>
      <w:r>
        <w:rPr>
          <w:rFonts w:ascii="Arial" w:cs="Arial" w:eastAsia="Arial" w:hAnsi="Arial"/>
          <w:sz w:val="16"/>
          <w:szCs w:val="16"/>
          <w:u w:val="single" w:color="auto"/>
          <w:color w:val="auto"/>
        </w:rPr>
        <w:t>Interpolated Rate</w:t>
      </w:r>
      <w:r>
        <w:rPr>
          <w:rFonts w:ascii="Arial" w:cs="Arial" w:eastAsia="Arial" w:hAnsi="Arial"/>
          <w:sz w:val="16"/>
          <w:szCs w:val="16"/>
          <w:color w:val="auto"/>
        </w:rPr>
        <w:t>” means, at any time, the rate per annum determined by the Administrative Agent (which determination shall be conclusive and binding absent manifest error) to be equal to the rate that results from interpolating on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487" w:name="page488"/>
    <w:bookmarkEnd w:id="487"/>
    <w:p>
      <w:pPr>
        <w:jc w:val="both"/>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linear basis between: (a) the Screen Rate for the longest period (for which that Screen Rate is available for Dollars) that is shorter than the Impacted Interest Period and (b) the Screen Rate for the shortest period (for which that Screen Rate is available for Dollars) that exceeds the Impacted Interest Period, in each case,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Interpolated Rate shall be less than zero, such rate shall be deemed to be zero for purposes of this Agreement.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Competitive Loans</w:t>
      </w:r>
      <w:r>
        <w:rPr>
          <w:rFonts w:ascii="Arial" w:cs="Arial" w:eastAsia="Arial" w:hAnsi="Arial"/>
          <w:sz w:val="17"/>
          <w:szCs w:val="17"/>
          <w:color w:val="auto"/>
        </w:rPr>
        <w:t>” means Competitive Loans bearing interest at a rate determined by reference to the Eurocurrency Rate.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Loans</w:t>
      </w:r>
      <w:r>
        <w:rPr>
          <w:rFonts w:ascii="Arial" w:cs="Arial" w:eastAsia="Arial" w:hAnsi="Arial"/>
          <w:sz w:val="18"/>
          <w:szCs w:val="18"/>
          <w:color w:val="auto"/>
        </w:rPr>
        <w:t>” means Loans the rate of interest applicable to which is based upon the Eurocurrency Rate.</w:t>
      </w:r>
    </w:p>
    <w:p>
      <w:pPr>
        <w:spacing w:after="0" w:line="225" w:lineRule="exact"/>
        <w:rPr>
          <w:sz w:val="20"/>
          <w:szCs w:val="20"/>
          <w:color w:val="auto"/>
        </w:rPr>
      </w:pPr>
    </w:p>
    <w:p>
      <w:pPr>
        <w:ind w:right="8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19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-10160</wp:posOffset>
            </wp:positionV>
            <wp:extent cx="196786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967865" cy="8890"/>
                    </a:xfrm>
                    <a:prstGeom prst="rect">
                      <a:avLst/>
                    </a:prstGeom>
                    <a:noFill/>
                  </pic:spPr>
                </pic:pic>
              </a:graphicData>
            </a:graphic>
          </wp:anchor>
        </w:drawing>
      </w:r>
    </w:p>
    <w:p>
      <w:pPr>
        <w:spacing w:after="0" w:line="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1.00 - Eurocurrency Reserve Requirements</w:t>
      </w:r>
    </w:p>
    <w:p>
      <w:pPr>
        <w:spacing w:after="0" w:line="224"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Reserve Requirements</w:t>
      </w:r>
      <w:r>
        <w:rPr>
          <w:rFonts w:ascii="Arial" w:cs="Arial" w:eastAsia="Arial" w:hAnsi="Arial"/>
          <w:sz w:val="17"/>
          <w:szCs w:val="17"/>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 under Regulation D. Eurocurrency Reserve Requirements shall be adjusted automatically on and as of the effective date of any change in any reserve percentage.</w:t>
      </w:r>
    </w:p>
    <w:p>
      <w:pPr>
        <w:spacing w:after="0" w:line="179"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Tranche</w:t>
      </w:r>
      <w:r>
        <w:rPr>
          <w:rFonts w:ascii="Arial" w:cs="Arial" w:eastAsia="Arial" w:hAnsi="Arial"/>
          <w:sz w:val="18"/>
          <w:szCs w:val="18"/>
          <w:color w:val="auto"/>
        </w:rPr>
        <w:t>” means the collective reference to Eurocurrency Loans under the Facility,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8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specified in Section 8, </w:t>
      </w:r>
      <w:r>
        <w:rPr>
          <w:rFonts w:ascii="Arial" w:cs="Arial" w:eastAsia="Arial" w:hAnsi="Arial"/>
          <w:sz w:val="18"/>
          <w:szCs w:val="18"/>
          <w:u w:val="single" w:color="auto"/>
          <w:color w:val="auto"/>
        </w:rPr>
        <w:t>provided</w:t>
      </w:r>
      <w:r>
        <w:rPr>
          <w:rFonts w:ascii="Arial" w:cs="Arial" w:eastAsia="Arial" w:hAnsi="Arial"/>
          <w:sz w:val="18"/>
          <w:szCs w:val="18"/>
          <w:color w:val="auto"/>
        </w:rPr>
        <w:t>, that any requirement for the giving of notice, the lapse of time, or both, has been satisfied.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w:t>
      </w:r>
    </w:p>
    <w:p>
      <w:pPr>
        <w:spacing w:after="0" w:line="22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for any day with respect to (i) any currency (other than Dollars or Brazilian Reais), the rate at which such currency may be exchanged into Dollars, as set forth at 11:00 A.M., London time, on such day on the applicable Reuters currency page with respect to such currency and</w:t>
      </w:r>
    </w:p>
    <w:p>
      <w:pPr>
        <w:jc w:val="both"/>
        <w:ind w:right="120" w:firstLine="8"/>
        <w:spacing w:after="0" w:line="255" w:lineRule="auto"/>
        <w:tabs>
          <w:tab w:leader="none" w:pos="26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Brazilian Reais, the exchange rate (</w:t>
      </w:r>
      <w:r>
        <w:rPr>
          <w:rFonts w:ascii="Arial" w:cs="Arial" w:eastAsia="Arial" w:hAnsi="Arial"/>
          <w:sz w:val="18"/>
          <w:szCs w:val="18"/>
          <w:i w:val="1"/>
          <w:iCs w:val="1"/>
          <w:color w:val="auto"/>
        </w:rPr>
        <w:t>taxa de</w:t>
      </w:r>
      <w:r>
        <w:rPr>
          <w:rFonts w:ascii="Arial" w:cs="Arial" w:eastAsia="Arial" w:hAnsi="Arial"/>
          <w:sz w:val="18"/>
          <w:szCs w:val="18"/>
          <w:color w:val="auto"/>
        </w:rPr>
        <w:t xml:space="preserve"> câmbio) at which such currency may be exchanged into Dollars disclosed by the Central Bank of Brazil on its website (which, at the date hereof, is located at http://www.bcb.gov.br/?txcambio), under transaction “Cotações e Boletins” option “Cotações de fechamento de todas as moedas em uma data”, “Venda” (or any successor screen established by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3" w:right="239" w:bottom="1440" w:gutter="0" w:footer="0" w:header="0"/>
        </w:sectPr>
      </w:pPr>
    </w:p>
    <w:bookmarkStart w:id="488" w:name="page489"/>
    <w:bookmarkEnd w:id="488"/>
    <w:p>
      <w:pPr>
        <w:ind w:right="2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Central Bank of Brazil), on such day. In the event that such rate does not appear on the applicable Reuters currency page or is not disclosed by the Central Bank of Brazil, as applicable,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or, with respect to Brazilian Reais, 11:00 A.M., São Paulo time, on such day for the purchase of Dollars with such currency, for delivery two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66"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means (a) GM Holdings, (b) each of the Initial Excluded Subsidiaries, (c) each Subsidiary of the Company that (i) 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contract, agreement, instrument, indenture or other Contractual Obligation shall not have been entered into in contemplation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Unconsolidated Subsidiary,</w:t>
      </w:r>
    </w:p>
    <w:p>
      <w:pPr>
        <w:spacing w:after="0" w:line="1" w:lineRule="exact"/>
        <w:rPr>
          <w:sz w:val="20"/>
          <w:szCs w:val="20"/>
          <w:color w:val="auto"/>
        </w:rPr>
      </w:pPr>
    </w:p>
    <w:p>
      <w:pPr>
        <w:ind w:right="180" w:firstLine="8"/>
        <w:spacing w:after="0" w:line="254" w:lineRule="auto"/>
        <w:tabs>
          <w:tab w:leader="none" w:pos="22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xml:space="preserve">each Finance Subsidiary of the Company, (g) each Subsidiary that is a dealership and (h) each Subsidiary acquired or formed after the Closing Date primarily to operate an Excluded Subsidiary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 Businesses</w:t>
      </w:r>
      <w:r>
        <w:rPr>
          <w:rFonts w:ascii="Arial" w:cs="Arial" w:eastAsia="Arial" w:hAnsi="Arial"/>
          <w:sz w:val="18"/>
          <w:szCs w:val="18"/>
          <w:color w:val="auto"/>
        </w:rPr>
        <w:t>” means the businesses and/or Subsidiaries indicated on Schedule 1.1E.</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as to any Lender at any time, (a) prior to the Termination Date, an amount equal to the aggregate principal amount of all Loans held by such Lender then outstanding and (b) thereafter, the aggregate unpaid principal amount of all Converted Term Loans held by such Lender then outstanding.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Commitments and the extensions of credit made thereunder.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has the meaning assigned to such term in Section 2.10(a).</w:t>
      </w:r>
    </w:p>
    <w:p>
      <w:pPr>
        <w:spacing w:after="0" w:line="225"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Fee Rate</w:t>
      </w:r>
      <w:r>
        <w:rPr>
          <w:rFonts w:ascii="Arial" w:cs="Arial" w:eastAsia="Arial" w:hAnsi="Arial"/>
          <w:sz w:val="17"/>
          <w:szCs w:val="17"/>
          <w:color w:val="auto"/>
        </w:rPr>
        <w:t>” means, for any day relating to the Facility, with respect to the Facility Fees payable hereunder, the applicable rate per annum set forth under the column heading “Facility Fee Rate” in the Applicable Pricing Grid, based upon the Applicable Rating in effect on such day.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Rating</w:t>
      </w:r>
      <w:r>
        <w:rPr>
          <w:rFonts w:ascii="Arial" w:cs="Arial" w:eastAsia="Arial" w:hAnsi="Arial"/>
          <w:sz w:val="16"/>
          <w:szCs w:val="16"/>
          <w:color w:val="auto"/>
        </w:rPr>
        <w:t>” means, as of any date, the credit rating provided by Moody’s, S&amp;P or Fitch, as applicable, for the Facility provided hereunder.</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489" w:name="page490"/>
    <w:bookmarkEnd w:id="489"/>
    <w:p>
      <w:pPr>
        <w:ind w:right="54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73"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Federal Funds Effective Rate shall be less than zero, such rate shall be deemed to be zero for purposes of this Agreement.</w:t>
      </w:r>
    </w:p>
    <w:p>
      <w:pPr>
        <w:spacing w:after="0" w:line="18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Date</w:t>
      </w:r>
      <w:r>
        <w:rPr>
          <w:rFonts w:ascii="Arial" w:cs="Arial" w:eastAsia="Arial" w:hAnsi="Arial"/>
          <w:sz w:val="18"/>
          <w:szCs w:val="18"/>
          <w:color w:val="auto"/>
        </w:rPr>
        <w:t>” means (a) the fifteenth day of each March, June, September and December (or, if any such day is not a Business Day, the next succeeding Business Day) and (b) the last day of the final Fee Payment Period.</w:t>
      </w:r>
    </w:p>
    <w:p>
      <w:pPr>
        <w:spacing w:after="0" w:line="170"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Payment Period</w:t>
      </w:r>
      <w:r>
        <w:rPr>
          <w:rFonts w:ascii="Arial" w:cs="Arial" w:eastAsia="Arial" w:hAnsi="Arial"/>
          <w:sz w:val="18"/>
          <w:szCs w:val="18"/>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Subsidiary</w:t>
      </w:r>
      <w:r>
        <w:rPr>
          <w:rFonts w:ascii="Arial" w:cs="Arial" w:eastAsia="Arial" w:hAnsi="Arial"/>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w:t>
      </w:r>
    </w:p>
    <w:p>
      <w:pPr>
        <w:spacing w:after="0" w:line="18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with respect to any Person, the chief financial officer, principal accounting officer, a financial vice president, treasurer, assistant treasurer, or controller of such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a business segment of Fitch Group, Inc. and its successors.</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 Competitive Loan bearing interest at a fixed rate per annum specified by the Lender making such Loan in its related Competitive Bid.</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Subsidiary Borrower that is not a Domestic Subsidiary.</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 Subsidiary substantially all of the Net Book Value of whose assets consists of Capital Stock (or other interests that could reasonably be characterized as equity for U.S. federal income tax purposes) of one or more Foreign Subsidiaries or other Foreign Subsidiary Holding Companies.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490" w:name="page491"/>
    <w:bookmarkEnd w:id="490"/>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Funding Office</w:t>
      </w:r>
      <w:r>
        <w:rPr>
          <w:rFonts w:ascii="Arial" w:cs="Arial" w:eastAsia="Arial" w:hAnsi="Arial"/>
          <w:sz w:val="18"/>
          <w:szCs w:val="18"/>
          <w:color w:val="auto"/>
        </w:rPr>
        <w:t>” means the office of the Administrative Agent specified in Section 10.2 or such other office as may be specified from time to time by the Administrative Agent as its funding office with respect to the Facility by written notice to the Company, any relevant Subsidiary Borrower and the applicable Lenders.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 Holdings</w:t>
      </w:r>
      <w:r>
        <w:rPr>
          <w:rFonts w:ascii="Arial" w:cs="Arial" w:eastAsia="Arial" w:hAnsi="Arial"/>
          <w:sz w:val="18"/>
          <w:szCs w:val="18"/>
          <w:color w:val="auto"/>
        </w:rPr>
        <w:t>” means General Motors Holdings LLC, a Delaware limited liability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GMB</w:t>
      </w:r>
      <w:r>
        <w:rPr>
          <w:rFonts w:ascii="Arial" w:cs="Arial" w:eastAsia="Arial" w:hAnsi="Arial"/>
          <w:sz w:val="18"/>
          <w:szCs w:val="18"/>
          <w:color w:val="auto"/>
        </w:rPr>
        <w:t>” means General Motors do Brasil Ltda, a Brazilian limited liability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GMF</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GMGTC</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the Guarantee Agreement to be executed and delivered by the Company, substantially in the form of Exhibit 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Joinder</w:t>
      </w:r>
      <w:r>
        <w:rPr>
          <w:rFonts w:ascii="Arial" w:cs="Arial" w:eastAsia="Arial" w:hAnsi="Arial"/>
          <w:sz w:val="18"/>
          <w:szCs w:val="18"/>
          <w:color w:val="auto"/>
        </w:rPr>
        <w:t>” means a joinder agreement substantially in the form of Annex I to the Guarantee.</w:t>
      </w:r>
    </w:p>
    <w:p>
      <w:pPr>
        <w:spacing w:after="0" w:line="225" w:lineRule="exact"/>
        <w:rPr>
          <w:sz w:val="20"/>
          <w:szCs w:val="20"/>
          <w:color w:val="auto"/>
        </w:rPr>
      </w:pPr>
    </w:p>
    <w:p>
      <w:pPr>
        <w:ind w:right="60"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including any obligation of the guaranteeing person, whether or not contingent, (a) to advance or supply funds for the purchase or payment of any such primary obligation</w:t>
      </w:r>
    </w:p>
    <w:p>
      <w:pPr>
        <w:spacing w:after="0" w:line="2" w:lineRule="exact"/>
        <w:rPr>
          <w:sz w:val="20"/>
          <w:szCs w:val="20"/>
          <w:color w:val="auto"/>
        </w:rPr>
      </w:pPr>
    </w:p>
    <w:p>
      <w:pPr>
        <w:ind w:right="20" w:firstLine="8"/>
        <w:spacing w:after="0" w:line="287" w:lineRule="auto"/>
        <w:tabs>
          <w:tab w:leader="none" w:pos="255" w:val="left"/>
        </w:tabs>
        <w:numPr>
          <w:ilvl w:val="0"/>
          <w:numId w:val="475"/>
        </w:numPr>
        <w:rPr>
          <w:rFonts w:ascii="Arial" w:cs="Arial" w:eastAsia="Arial" w:hAnsi="Arial"/>
          <w:sz w:val="16"/>
          <w:szCs w:val="16"/>
          <w:color w:val="auto"/>
        </w:rPr>
      </w:pPr>
      <w:r>
        <w:rPr>
          <w:rFonts w:ascii="Arial" w:cs="Arial" w:eastAsia="Arial" w:hAnsi="Arial"/>
          <w:sz w:val="16"/>
          <w:szCs w:val="16"/>
          <w:color w:val="auto"/>
        </w:rPr>
        <w:t xml:space="preserve">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491" w:name="page492"/>
    <w:bookmarkEnd w:id="491"/>
    <w:p>
      <w:pPr>
        <w:ind w:right="20"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Guarantee Reinstatement Date</w:t>
      </w:r>
      <w:r>
        <w:rPr>
          <w:rFonts w:ascii="Arial" w:cs="Arial" w:eastAsia="Arial" w:hAnsi="Arial"/>
          <w:sz w:val="16"/>
          <w:szCs w:val="16"/>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65" w:lineRule="exact"/>
        <w:rPr>
          <w:sz w:val="20"/>
          <w:szCs w:val="20"/>
          <w:color w:val="auto"/>
        </w:rPr>
      </w:pPr>
    </w:p>
    <w:p>
      <w:pPr>
        <w:jc w:val="both"/>
        <w:ind w:right="12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Release Date</w:t>
      </w:r>
      <w:r>
        <w:rPr>
          <w:rFonts w:ascii="Arial" w:cs="Arial" w:eastAsia="Arial" w:hAnsi="Arial"/>
          <w:sz w:val="16"/>
          <w:szCs w:val="16"/>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w:t>
      </w:r>
    </w:p>
    <w:p>
      <w:pPr>
        <w:ind w:firstLine="8"/>
        <w:spacing w:after="0" w:line="251" w:lineRule="auto"/>
        <w:tabs>
          <w:tab w:leader="none" w:pos="255"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198" w:lineRule="exact"/>
        <w:rPr>
          <w:sz w:val="20"/>
          <w:szCs w:val="20"/>
          <w:color w:val="auto"/>
        </w:rPr>
      </w:pPr>
    </w:p>
    <w:p>
      <w:pPr>
        <w:ind w:right="6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collectively, the Company (with respect to the Obligations of any Subsidiary Borrower) and, during any Reinstated Guarantee Period, the Subsidiary Guarantors. For the avoidance of doubt, GM Holdings does not and shall not constitute a Guarantor.</w:t>
      </w:r>
    </w:p>
    <w:p>
      <w:pPr>
        <w:spacing w:after="0" w:line="124"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Obligations</w:t>
      </w:r>
      <w:r>
        <w:rPr>
          <w:rFonts w:ascii="Arial" w:cs="Arial" w:eastAsia="Arial" w:hAnsi="Arial"/>
          <w:sz w:val="17"/>
          <w:szCs w:val="17"/>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HMRC</w:t>
      </w:r>
      <w:r>
        <w:rPr>
          <w:rFonts w:ascii="Arial" w:cs="Arial" w:eastAsia="Arial" w:hAnsi="Arial"/>
          <w:sz w:val="18"/>
          <w:szCs w:val="18"/>
          <w:color w:val="auto"/>
        </w:rPr>
        <w:t>” means Her Majesty’s Revenue and Customs.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HMRC DT Treaty Passport scheme</w:t>
      </w:r>
      <w:r>
        <w:rPr>
          <w:rFonts w:ascii="Arial" w:cs="Arial" w:eastAsia="Arial" w:hAnsi="Arial"/>
          <w:sz w:val="18"/>
          <w:szCs w:val="18"/>
          <w:color w:val="auto"/>
        </w:rPr>
        <w:t>” means the HMRC Double Taxation Treaty Passport scheme.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492" w:name="page493"/>
    <w:bookmarkEnd w:id="49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 Rating</w:t>
      </w:r>
      <w:r>
        <w:rPr>
          <w:rFonts w:ascii="Arial" w:cs="Arial" w:eastAsia="Arial" w:hAnsi="Arial"/>
          <w:sz w:val="18"/>
          <w:szCs w:val="18"/>
          <w:color w:val="auto"/>
        </w:rPr>
        <w:t>” means, as of any date, the credit rating provided by Moody’s, S&amp;P or Fitch, as applicable, for senior, unsecured, long-term Indebtedness of the Company.</w:t>
      </w:r>
    </w:p>
    <w:p>
      <w:pPr>
        <w:spacing w:after="0" w:line="17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Assignee</w:t>
      </w:r>
      <w:r>
        <w:rPr>
          <w:rFonts w:ascii="Arial" w:cs="Arial" w:eastAsia="Arial" w:hAnsi="Arial"/>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9"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Participant</w:t>
      </w:r>
      <w:r>
        <w:rPr>
          <w:rFonts w:ascii="Arial" w:cs="Arial" w:eastAsia="Arial" w:hAnsi="Arial"/>
          <w:sz w:val="16"/>
          <w:szCs w:val="16"/>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Excluded Subsidiary</w:t>
      </w:r>
      <w:r>
        <w:rPr>
          <w:rFonts w:ascii="Arial" w:cs="Arial" w:eastAsia="Arial" w:hAnsi="Arial"/>
          <w:sz w:val="18"/>
          <w:szCs w:val="18"/>
          <w:color w:val="auto"/>
        </w:rPr>
        <w:t>” means each Subsidiary listed on Schedule 1.1B.</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3" w:right="259" w:bottom="1440" w:gutter="0" w:footer="0" w:header="0"/>
        </w:sectPr>
      </w:pPr>
    </w:p>
    <w:bookmarkStart w:id="493" w:name="page494"/>
    <w:bookmarkEnd w:id="493"/>
    <w:p>
      <w:pPr>
        <w:ind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188"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 as to any Eurocurrency Loan (i) initially, the period commencing on the borrowing or conversion date, as the case may be, with respect to such Loan and ending one, two, three or six (or, if agreed to by all Lenders under the Facility, twelve) months (or additionally, in the case of any Eurocurrency Competitive Loan, one or three weeks) thereafter, as selected by the Company or relevant Subsidiary Borrower in its notice of borrowing, Competitive Bid Request or notice of conversion, as the case may be, given with respect thereto; and (ii) thereafter, each period commencing on the last day of the next preceding Interest Period applicable to such Loan and ending one, two, three or six (or, if agreed to by all Lenders under the Facility, twelve) months (or additionally, in the case of any Eurocurrency Competitive Loan, one or three weeks) thereafter, as selected by the Company or relevant Subsidiary Borrower by irrevocable notice to the Administrative Agent not later than 1:00 P.M., New York City time, on the date that is three Business Days prior to the last day of the then current Interest Period with respect thereto and (b) with respect to a Fixed Rate Loan, the period (which shall be not less than seven days or more than 360 days) commencing on the Borrowing Date thereof and ending on the date specified in the applicable Competitive Bid Accept/Reject Letter; </w:t>
      </w:r>
      <w:r>
        <w:rPr>
          <w:rFonts w:ascii="Arial" w:cs="Arial" w:eastAsia="Arial" w:hAnsi="Arial"/>
          <w:sz w:val="16"/>
          <w:szCs w:val="16"/>
          <w:u w:val="single" w:color="auto"/>
          <w:color w:val="auto"/>
        </w:rPr>
        <w:t>provided</w:t>
      </w:r>
      <w:r>
        <w:rPr>
          <w:rFonts w:ascii="Arial" w:cs="Arial" w:eastAsia="Arial" w:hAnsi="Arial"/>
          <w:sz w:val="16"/>
          <w:szCs w:val="16"/>
          <w:color w:val="auto"/>
        </w:rPr>
        <w:t>, that all of the foregoing provisions relating to Interest Periods are subject to the following:</w:t>
      </w:r>
    </w:p>
    <w:p>
      <w:pPr>
        <w:spacing w:after="0" w:line="61" w:lineRule="exact"/>
        <w:rPr>
          <w:sz w:val="20"/>
          <w:szCs w:val="20"/>
          <w:color w:val="auto"/>
        </w:rPr>
      </w:pPr>
    </w:p>
    <w:p>
      <w:pPr>
        <w:ind w:left="920" w:right="80" w:firstLine="421"/>
        <w:spacing w:after="0" w:line="286" w:lineRule="auto"/>
        <w:tabs>
          <w:tab w:leader="none" w:pos="1635" w:val="left"/>
        </w:tabs>
        <w:numPr>
          <w:ilvl w:val="0"/>
          <w:numId w:val="477"/>
        </w:numPr>
        <w:rPr>
          <w:rFonts w:ascii="Arial" w:cs="Arial" w:eastAsia="Arial" w:hAnsi="Arial"/>
          <w:sz w:val="17"/>
          <w:szCs w:val="17"/>
          <w:color w:val="auto"/>
        </w:rPr>
      </w:pPr>
      <w:r>
        <w:rPr>
          <w:rFonts w:ascii="Arial" w:cs="Arial" w:eastAsia="Arial" w:hAnsi="Arial"/>
          <w:sz w:val="17"/>
          <w:szCs w:val="17"/>
          <w:color w:val="auto"/>
        </w:rPr>
        <w:t>if any Interest Period is one month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57" w:lineRule="exact"/>
        <w:rPr>
          <w:rFonts w:ascii="Arial" w:cs="Arial" w:eastAsia="Arial" w:hAnsi="Arial"/>
          <w:sz w:val="17"/>
          <w:szCs w:val="17"/>
          <w:color w:val="auto"/>
        </w:rPr>
      </w:pPr>
    </w:p>
    <w:p>
      <w:pPr>
        <w:ind w:left="920" w:firstLine="421"/>
        <w:spacing w:after="0" w:line="312" w:lineRule="auto"/>
        <w:tabs>
          <w:tab w:leader="none" w:pos="1625" w:val="left"/>
        </w:tabs>
        <w:numPr>
          <w:ilvl w:val="0"/>
          <w:numId w:val="477"/>
        </w:numPr>
        <w:rPr>
          <w:rFonts w:ascii="Arial" w:cs="Arial" w:eastAsia="Arial" w:hAnsi="Arial"/>
          <w:sz w:val="16"/>
          <w:szCs w:val="16"/>
          <w:color w:val="auto"/>
        </w:rPr>
      </w:pPr>
      <w:r>
        <w:rPr>
          <w:rFonts w:ascii="Arial" w:cs="Arial" w:eastAsia="Arial" w:hAnsi="Arial"/>
          <w:sz w:val="16"/>
          <w:szCs w:val="16"/>
          <w:color w:val="auto"/>
        </w:rPr>
        <w:t>the Company or relevant Subsidiary Borrower may not select an Interest Period under the Facility that would extend beyond the earliest Termination Date then in effect for the Facility unless Loans are converted into Converted Term Loans pursuant to Section 2.27, in which case the applicable Borrower may not select an Interest Period that would extend beyond the Converted Term Loan Maturity Date; and</w:t>
      </w:r>
    </w:p>
    <w:p>
      <w:pPr>
        <w:spacing w:after="0" w:line="38" w:lineRule="exact"/>
        <w:rPr>
          <w:rFonts w:ascii="Arial" w:cs="Arial" w:eastAsia="Arial" w:hAnsi="Arial"/>
          <w:sz w:val="16"/>
          <w:szCs w:val="16"/>
          <w:color w:val="auto"/>
        </w:rPr>
      </w:pPr>
    </w:p>
    <w:p>
      <w:pPr>
        <w:ind w:left="920" w:right="80" w:firstLine="421"/>
        <w:spacing w:after="0" w:line="264" w:lineRule="auto"/>
        <w:tabs>
          <w:tab w:leader="none" w:pos="1625"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any Interest Period that is one month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10.13.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494" w:name="page495"/>
    <w:bookmarkEnd w:id="494"/>
    <w:p>
      <w:pPr>
        <w:ind w:right="10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Lender Insolvency Event</w:t>
      </w:r>
      <w:r>
        <w:rPr>
          <w:rFonts w:ascii="Arial" w:cs="Arial" w:eastAsia="Arial" w:hAnsi="Arial"/>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9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security interest, charge, conditional sale or other title retention agreement or other similar encumbrance.</w:t>
      </w:r>
    </w:p>
    <w:p>
      <w:pPr>
        <w:spacing w:after="0" w:line="170"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Guarantee, the Notes, each Borrower Joinder Agreement, each Guarantee Joinder and any amendment, waiver, supplement or other modification to any of the foregoing.</w:t>
      </w:r>
    </w:p>
    <w:p>
      <w:pPr>
        <w:spacing w:after="0" w:line="170"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xml:space="preserve">” means, collectively, (a) the Company and each Subsidiary Borrower and (b) during any Reinstated Guarantee Period, each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w:t>
      </w:r>
      <w:r>
        <w:rPr>
          <w:rFonts w:ascii="Arial" w:cs="Arial" w:eastAsia="Arial" w:hAnsi="Arial"/>
          <w:sz w:val="18"/>
          <w:szCs w:val="18"/>
          <w:color w:val="auto"/>
        </w:rPr>
        <w:t>” means, as to any Eurocurrency Competitive Loan, the margin to be added (or subtracted) from the Eurocurrency Rate to determine the rate of interest applicable to such Loan, as specified in the Competitive Bid relating to such Loan.</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81"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495" w:name="page496"/>
    <w:bookmarkEnd w:id="495"/>
    <w:p>
      <w:pPr>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Material Loan Party</w:t>
      </w:r>
      <w:r>
        <w:rPr>
          <w:rFonts w:ascii="Arial" w:cs="Arial" w:eastAsia="Arial" w:hAnsi="Arial"/>
          <w:sz w:val="18"/>
          <w:szCs w:val="18"/>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2017 10-K and thereafter in the most recent annual consolidated financial statements of the Company delivered or deemed delivered pursuant to Section 6.1 and (b) at all other times, the Company.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81"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Book Value</w:t>
      </w:r>
      <w:r>
        <w:rPr>
          <w:rFonts w:ascii="Arial" w:cs="Arial" w:eastAsia="Arial" w:hAnsi="Arial"/>
          <w:sz w:val="18"/>
          <w:szCs w:val="18"/>
          <w:color w:val="auto"/>
        </w:rPr>
        <w:t xml:space="preserve">” means with respect to any asset of any Person (a) other than accounts receivable, the gross book value of such asset on the balance sheet of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depreciation in respect of such asset on such balance sheet and (b) with respect to accounts receivable, the gross book value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specific reserves attributable thereto.</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has the meaning assigned to such term in Section 2.21(d).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assigned to such term in Section 2.19(g).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73"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collectively, the unpaid principal of and interest on the Loans and all other obligations and liabilities of the Company, any other Borrower and any Subsidiary Guarantor (including interest accruing at the then applicable rate provided in this Agreement after the maturity of the Loans and Post-Petition Interest) to the Administrative Agent or any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or the Lenders that are required to be paid by the Company, any of the Subsidiary Borrowers or any of the Subsidiary Guarantors pursuant to the terms of any of the Loan Documents).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to such term in Section 10.13.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496" w:name="page497"/>
    <w:bookmarkEnd w:id="496"/>
    <w:p>
      <w:pPr>
        <w:ind w:right="30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5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indebtedness for borrowed money, the aggregate outstanding principal amount thereof, (b) with respect to Hedging Obligations, the aggregate amount recorded by the applicable obligor as its termination liability thereunder and (c) with respect to any other obligations, the aggregate outstanding amount thereof.</w:t>
      </w:r>
    </w:p>
    <w:p>
      <w:pPr>
        <w:spacing w:after="0" w:line="18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xml:space="preserve">” means, for any day, the rate comprised of both overnight federal funds and overnight eurocurrency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Overnight Bank Funding Rate shall be less than zero, such rate shall be deemed to be zero for purposes of this Agreement.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10.6(c)(i).</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established pursuant to Subtitle A of Title IV of ERISA.</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w:t>
      </w:r>
      <w:r>
        <w:rPr>
          <w:rFonts w:ascii="Arial" w:cs="Arial" w:eastAsia="Arial" w:hAnsi="Arial"/>
          <w:sz w:val="18"/>
          <w:szCs w:val="18"/>
          <w:color w:val="auto"/>
        </w:rPr>
        <w:t>” means as to any Lender at any time, the percentage which such Lender’s Commitment then constitutes of the aggregate amount of the Commitments then in effect or, at any time after the Commitments shall have expired or terminated, the percentage which the aggregate Outstanding Amount of Extensions of Credit and Competitive Loans of such Lender then outstanding constitutes of the aggregate Outstanding Amount of Extensions of Credit and Competitive Loans of the Lenders then outstanding.</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920" w:right="60" w:firstLine="421"/>
        <w:spacing w:after="0" w:line="291" w:lineRule="auto"/>
        <w:tabs>
          <w:tab w:leader="none" w:pos="1585" w:val="left"/>
        </w:tabs>
        <w:numPr>
          <w:ilvl w:val="1"/>
          <w:numId w:val="478"/>
        </w:numPr>
        <w:rPr>
          <w:rFonts w:ascii="Arial" w:cs="Arial" w:eastAsia="Arial" w:hAnsi="Arial"/>
          <w:sz w:val="16"/>
          <w:szCs w:val="16"/>
          <w:color w:val="auto"/>
        </w:rPr>
      </w:pPr>
      <w:r>
        <w:rPr>
          <w:rFonts w:ascii="Arial" w:cs="Arial" w:eastAsia="Arial" w:hAnsi="Arial"/>
          <w:sz w:val="16"/>
          <w:szCs w:val="16"/>
          <w:color w:val="auto"/>
        </w:rPr>
        <w:t>Liens for Taxes, assessments, governmental charges and utility charges, in each case that (i) are not yet delinquent, (ii) are not yet subject to penalties or interest for non-payment, (iii) are due, but the Liens imposed for such Taxes, assessments or charges are unenforceable or</w:t>
      </w:r>
    </w:p>
    <w:p>
      <w:pPr>
        <w:ind w:left="920" w:right="420" w:firstLine="1"/>
        <w:spacing w:after="0" w:line="261" w:lineRule="auto"/>
        <w:tabs>
          <w:tab w:leader="none" w:pos="122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are being contested in good faith by appropriate actions or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that if and to the extent required by GAAP, adequate reserves with respect thereto are maintained on the books of the relevant Person in conformity with GAAP;</w:t>
      </w:r>
    </w:p>
    <w:p>
      <w:pPr>
        <w:spacing w:after="0" w:line="75" w:lineRule="exact"/>
        <w:rPr>
          <w:rFonts w:ascii="Arial" w:cs="Arial" w:eastAsia="Arial" w:hAnsi="Arial"/>
          <w:sz w:val="18"/>
          <w:szCs w:val="18"/>
          <w:color w:val="auto"/>
        </w:rPr>
      </w:pPr>
    </w:p>
    <w:p>
      <w:pPr>
        <w:jc w:val="both"/>
        <w:ind w:left="920" w:right="20" w:firstLine="421"/>
        <w:spacing w:after="0" w:line="264" w:lineRule="auto"/>
        <w:tabs>
          <w:tab w:leader="none" w:pos="1595" w:val="left"/>
        </w:tabs>
        <w:numPr>
          <w:ilvl w:val="1"/>
          <w:numId w:val="479"/>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3" w:right="299" w:bottom="1440" w:gutter="0" w:footer="0" w:header="0"/>
        </w:sectPr>
      </w:pPr>
    </w:p>
    <w:bookmarkStart w:id="497" w:name="page498"/>
    <w:bookmarkEnd w:id="497"/>
    <w:p>
      <w:pPr>
        <w:ind w:left="380" w:hanging="239"/>
        <w:spacing w:after="0"/>
        <w:tabs>
          <w:tab w:leader="none" w:pos="3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securing Hedging Obligations not entered into for speculative purposes;</w:t>
      </w:r>
    </w:p>
    <w:p>
      <w:pPr>
        <w:spacing w:after="0" w:line="117" w:lineRule="exact"/>
        <w:rPr>
          <w:rFonts w:ascii="Arial" w:cs="Arial" w:eastAsia="Arial" w:hAnsi="Arial"/>
          <w:sz w:val="18"/>
          <w:szCs w:val="18"/>
          <w:color w:val="auto"/>
        </w:rPr>
      </w:pPr>
    </w:p>
    <w:p>
      <w:pPr>
        <w:jc w:val="both"/>
        <w:ind w:left="-280" w:right="600" w:firstLine="421"/>
        <w:spacing w:after="0" w:line="264" w:lineRule="auto"/>
        <w:tabs>
          <w:tab w:leader="none" w:pos="39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73" w:lineRule="exact"/>
        <w:rPr>
          <w:rFonts w:ascii="Arial" w:cs="Arial" w:eastAsia="Arial" w:hAnsi="Arial"/>
          <w:sz w:val="18"/>
          <w:szCs w:val="18"/>
          <w:color w:val="auto"/>
        </w:rPr>
      </w:pPr>
    </w:p>
    <w:p>
      <w:pPr>
        <w:ind w:left="-280" w:right="40" w:firstLine="421"/>
        <w:spacing w:after="0" w:line="257" w:lineRule="auto"/>
        <w:tabs>
          <w:tab w:leader="none" w:pos="38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80" w:lineRule="exact"/>
        <w:rPr>
          <w:rFonts w:ascii="Arial" w:cs="Arial" w:eastAsia="Arial" w:hAnsi="Arial"/>
          <w:sz w:val="18"/>
          <w:szCs w:val="18"/>
          <w:color w:val="auto"/>
        </w:rPr>
      </w:pPr>
    </w:p>
    <w:p>
      <w:pPr>
        <w:ind w:left="-280" w:right="60" w:firstLine="421"/>
        <w:spacing w:after="0" w:line="277" w:lineRule="auto"/>
        <w:tabs>
          <w:tab w:leader="none" w:pos="36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62" w:lineRule="exact"/>
        <w:rPr>
          <w:rFonts w:ascii="Arial" w:cs="Arial" w:eastAsia="Arial" w:hAnsi="Arial"/>
          <w:sz w:val="18"/>
          <w:szCs w:val="18"/>
          <w:color w:val="auto"/>
        </w:rPr>
      </w:pPr>
    </w:p>
    <w:p>
      <w:pPr>
        <w:ind w:left="-280" w:right="80" w:firstLine="421"/>
        <w:spacing w:after="0" w:line="255" w:lineRule="auto"/>
        <w:tabs>
          <w:tab w:leader="none" w:pos="39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85" w:lineRule="exact"/>
        <w:rPr>
          <w:rFonts w:ascii="Arial" w:cs="Arial" w:eastAsia="Arial" w:hAnsi="Arial"/>
          <w:sz w:val="18"/>
          <w:szCs w:val="18"/>
          <w:color w:val="auto"/>
        </w:rPr>
      </w:pPr>
    </w:p>
    <w:p>
      <w:pPr>
        <w:ind w:left="-280" w:firstLine="421"/>
        <w:spacing w:after="0" w:line="264" w:lineRule="auto"/>
        <w:tabs>
          <w:tab w:leader="none" w:pos="39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73" w:lineRule="exact"/>
        <w:rPr>
          <w:rFonts w:ascii="Arial" w:cs="Arial" w:eastAsia="Arial" w:hAnsi="Arial"/>
          <w:sz w:val="18"/>
          <w:szCs w:val="18"/>
          <w:color w:val="auto"/>
        </w:rPr>
      </w:pPr>
    </w:p>
    <w:p>
      <w:pPr>
        <w:ind w:left="-280" w:right="80" w:firstLine="421"/>
        <w:spacing w:after="0" w:line="293" w:lineRule="auto"/>
        <w:tabs>
          <w:tab w:leader="none" w:pos="355" w:val="left"/>
        </w:tabs>
        <w:numPr>
          <w:ilvl w:val="0"/>
          <w:numId w:val="480"/>
        </w:numPr>
        <w:rPr>
          <w:rFonts w:ascii="Arial" w:cs="Arial" w:eastAsia="Arial" w:hAnsi="Arial"/>
          <w:sz w:val="16"/>
          <w:szCs w:val="16"/>
          <w:color w:val="auto"/>
        </w:rPr>
      </w:pPr>
      <w:r>
        <w:rPr>
          <w:rFonts w:ascii="Arial" w:cs="Arial" w:eastAsia="Arial" w:hAnsi="Arial"/>
          <w:sz w:val="16"/>
          <w:szCs w:val="16"/>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20"/>
          </w:cols>
          <w:pgMar w:left="1440" w:top="273" w:right="239" w:bottom="1440" w:gutter="0" w:footer="0" w:header="0"/>
        </w:sectPr>
      </w:pPr>
    </w:p>
    <w:bookmarkStart w:id="498" w:name="page499"/>
    <w:bookmarkEnd w:id="498"/>
    <w:p>
      <w:pPr>
        <w:ind w:left="-1" w:right="280" w:firstLine="421"/>
        <w:spacing w:after="0" w:line="264" w:lineRule="auto"/>
        <w:tabs>
          <w:tab w:leader="none" w:pos="634" w:val="left"/>
        </w:tabs>
        <w:numPr>
          <w:ilvl w:val="1"/>
          <w:numId w:val="4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in existence on the Closing Date and listed on Schedule 1.1D,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73" w:lineRule="exact"/>
        <w:rPr>
          <w:rFonts w:ascii="Arial" w:cs="Arial" w:eastAsia="Arial" w:hAnsi="Arial"/>
          <w:sz w:val="18"/>
          <w:szCs w:val="18"/>
          <w:color w:val="auto"/>
        </w:rPr>
      </w:pPr>
    </w:p>
    <w:p>
      <w:pPr>
        <w:jc w:val="both"/>
        <w:ind w:left="-1" w:right="60" w:firstLine="421"/>
        <w:spacing w:after="0" w:line="312" w:lineRule="auto"/>
        <w:tabs>
          <w:tab w:leader="none" w:pos="674" w:val="left"/>
        </w:tabs>
        <w:numPr>
          <w:ilvl w:val="1"/>
          <w:numId w:val="481"/>
        </w:numPr>
        <w:rPr>
          <w:rFonts w:ascii="Arial" w:cs="Arial" w:eastAsia="Arial" w:hAnsi="Arial"/>
          <w:sz w:val="16"/>
          <w:szCs w:val="16"/>
          <w:color w:val="auto"/>
        </w:rPr>
      </w:pPr>
      <w:r>
        <w:rPr>
          <w:rFonts w:ascii="Arial" w:cs="Arial" w:eastAsia="Arial" w:hAnsi="Arial"/>
          <w:sz w:val="16"/>
          <w:szCs w:val="16"/>
          <w:color w:val="auto"/>
        </w:rPr>
        <w:t xml:space="preserve">Liens on property or Capital Stock of a Person at the time such Person becomes a Loan Party or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Liens are not created, incurred or assumed in connection with, or in contemplation of, such other Person becoming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Lien may not extend to any other property owned by the Company or any Principal Domestic Subsidiary;</w:t>
      </w:r>
    </w:p>
    <w:p>
      <w:pPr>
        <w:spacing w:after="0" w:line="38" w:lineRule="exact"/>
        <w:rPr>
          <w:rFonts w:ascii="Arial" w:cs="Arial" w:eastAsia="Arial" w:hAnsi="Arial"/>
          <w:sz w:val="16"/>
          <w:szCs w:val="16"/>
          <w:color w:val="auto"/>
        </w:rPr>
      </w:pPr>
    </w:p>
    <w:p>
      <w:pPr>
        <w:ind w:left="-1" w:firstLine="421"/>
        <w:spacing w:after="0" w:line="279" w:lineRule="auto"/>
        <w:tabs>
          <w:tab w:leader="none" w:pos="634" w:val="left"/>
        </w:tabs>
        <w:numPr>
          <w:ilvl w:val="1"/>
          <w:numId w:val="481"/>
        </w:numPr>
        <w:rPr>
          <w:rFonts w:ascii="Arial" w:cs="Arial" w:eastAsia="Arial" w:hAnsi="Arial"/>
          <w:sz w:val="17"/>
          <w:szCs w:val="17"/>
          <w:color w:val="auto"/>
        </w:rPr>
      </w:pPr>
      <w:r>
        <w:rPr>
          <w:rFonts w:ascii="Arial" w:cs="Arial" w:eastAsia="Arial" w:hAnsi="Arial"/>
          <w:sz w:val="17"/>
          <w:szCs w:val="17"/>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Liens are not created, incurred or assumed in connection with, or in contemplation of, such acquisition;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Company or any Principal Domestic Subsidiary;</w:t>
      </w:r>
    </w:p>
    <w:p>
      <w:pPr>
        <w:spacing w:after="0" w:line="63" w:lineRule="exact"/>
        <w:rPr>
          <w:rFonts w:ascii="Arial" w:cs="Arial" w:eastAsia="Arial" w:hAnsi="Arial"/>
          <w:sz w:val="17"/>
          <w:szCs w:val="17"/>
          <w:color w:val="auto"/>
        </w:rPr>
      </w:pPr>
    </w:p>
    <w:p>
      <w:pPr>
        <w:jc w:val="both"/>
        <w:ind w:left="-1" w:right="20" w:firstLine="421"/>
        <w:spacing w:after="0" w:line="342" w:lineRule="auto"/>
        <w:tabs>
          <w:tab w:leader="none" w:pos="724" w:val="left"/>
        </w:tabs>
        <w:numPr>
          <w:ilvl w:val="1"/>
          <w:numId w:val="481"/>
        </w:numPr>
        <w:rPr>
          <w:rFonts w:ascii="Arial" w:cs="Arial" w:eastAsia="Arial" w:hAnsi="Arial"/>
          <w:sz w:val="16"/>
          <w:szCs w:val="16"/>
          <w:color w:val="auto"/>
        </w:rPr>
      </w:pPr>
      <w:r>
        <w:rPr>
          <w:rFonts w:ascii="Arial" w:cs="Arial" w:eastAsia="Arial" w:hAnsi="Arial"/>
          <w:sz w:val="16"/>
          <w:szCs w:val="16"/>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15" w:lineRule="exact"/>
        <w:rPr>
          <w:rFonts w:ascii="Arial" w:cs="Arial" w:eastAsia="Arial" w:hAnsi="Arial"/>
          <w:sz w:val="16"/>
          <w:szCs w:val="16"/>
          <w:color w:val="auto"/>
        </w:rPr>
      </w:pPr>
    </w:p>
    <w:p>
      <w:pPr>
        <w:ind w:left="-1" w:right="260" w:firstLine="421"/>
        <w:spacing w:after="0" w:line="277" w:lineRule="auto"/>
        <w:tabs>
          <w:tab w:leader="none" w:pos="674" w:val="left"/>
        </w:tabs>
        <w:numPr>
          <w:ilvl w:val="1"/>
          <w:numId w:val="481"/>
        </w:numPr>
        <w:rPr>
          <w:rFonts w:ascii="Arial" w:cs="Arial" w:eastAsia="Arial" w:hAnsi="Arial"/>
          <w:sz w:val="18"/>
          <w:szCs w:val="18"/>
          <w:color w:val="auto"/>
        </w:rPr>
      </w:pPr>
      <w:r>
        <w:rPr>
          <w:rFonts w:ascii="Arial" w:cs="Arial" w:eastAsia="Arial" w:hAnsi="Arial"/>
          <w:sz w:val="18"/>
          <w:szCs w:val="18"/>
          <w:color w:val="auto"/>
        </w:rPr>
        <w:t>any Lien arising out of claims under a judgment rendered, decree or claim filed so long as such judgments, decrees or claims do not constitute an Event of Default;</w:t>
      </w:r>
    </w:p>
    <w:p>
      <w:pPr>
        <w:spacing w:after="0" w:line="62" w:lineRule="exact"/>
        <w:rPr>
          <w:rFonts w:ascii="Arial" w:cs="Arial" w:eastAsia="Arial" w:hAnsi="Arial"/>
          <w:sz w:val="18"/>
          <w:szCs w:val="18"/>
          <w:color w:val="auto"/>
        </w:rPr>
      </w:pPr>
    </w:p>
    <w:p>
      <w:pPr>
        <w:ind w:left="679" w:hanging="259"/>
        <w:spacing w:after="0"/>
        <w:tabs>
          <w:tab w:leader="none" w:pos="679" w:val="left"/>
        </w:tabs>
        <w:numPr>
          <w:ilvl w:val="1"/>
          <w:numId w:val="481"/>
        </w:numPr>
        <w:rPr>
          <w:rFonts w:ascii="Arial" w:cs="Arial" w:eastAsia="Arial" w:hAnsi="Arial"/>
          <w:sz w:val="18"/>
          <w:szCs w:val="18"/>
          <w:color w:val="auto"/>
        </w:rPr>
      </w:pPr>
      <w:r>
        <w:rPr>
          <w:rFonts w:ascii="Arial" w:cs="Arial" w:eastAsia="Arial" w:hAnsi="Arial"/>
          <w:sz w:val="18"/>
          <w:szCs w:val="18"/>
          <w:color w:val="auto"/>
        </w:rPr>
        <w:t>any Lien consisting of rights reserved to or vested in any Governmental Authority by any statutory provision;</w:t>
      </w:r>
    </w:p>
    <w:p>
      <w:pPr>
        <w:spacing w:after="0" w:line="117" w:lineRule="exact"/>
        <w:rPr>
          <w:rFonts w:ascii="Arial" w:cs="Arial" w:eastAsia="Arial" w:hAnsi="Arial"/>
          <w:sz w:val="18"/>
          <w:szCs w:val="18"/>
          <w:color w:val="auto"/>
        </w:rPr>
      </w:pPr>
    </w:p>
    <w:p>
      <w:pPr>
        <w:ind w:left="679" w:hanging="259"/>
        <w:spacing w:after="0"/>
        <w:tabs>
          <w:tab w:leader="none" w:pos="679" w:val="left"/>
        </w:tabs>
        <w:numPr>
          <w:ilvl w:val="1"/>
          <w:numId w:val="481"/>
        </w:numPr>
        <w:rPr>
          <w:rFonts w:ascii="Arial" w:cs="Arial" w:eastAsia="Arial" w:hAnsi="Arial"/>
          <w:sz w:val="18"/>
          <w:szCs w:val="18"/>
          <w:color w:val="auto"/>
        </w:rPr>
      </w:pPr>
      <w:r>
        <w:rPr>
          <w:rFonts w:ascii="Arial" w:cs="Arial" w:eastAsia="Arial" w:hAnsi="Arial"/>
          <w:sz w:val="18"/>
          <w:szCs w:val="18"/>
          <w:color w:val="auto"/>
        </w:rPr>
        <w:t>Liens in favor of lessors pursuant to Sale/Leaseback Transactions;</w:t>
      </w:r>
    </w:p>
    <w:p>
      <w:pPr>
        <w:spacing w:after="0" w:line="117" w:lineRule="exact"/>
        <w:rPr>
          <w:rFonts w:ascii="Arial" w:cs="Arial" w:eastAsia="Arial" w:hAnsi="Arial"/>
          <w:sz w:val="18"/>
          <w:szCs w:val="18"/>
          <w:color w:val="auto"/>
        </w:rPr>
      </w:pPr>
    </w:p>
    <w:p>
      <w:pPr>
        <w:ind w:left="-1" w:firstLine="421"/>
        <w:spacing w:after="0" w:line="288" w:lineRule="auto"/>
        <w:tabs>
          <w:tab w:leader="none" w:pos="674" w:val="left"/>
        </w:tabs>
        <w:numPr>
          <w:ilvl w:val="1"/>
          <w:numId w:val="481"/>
        </w:numPr>
        <w:rPr>
          <w:rFonts w:ascii="Arial" w:cs="Arial" w:eastAsia="Arial" w:hAnsi="Arial"/>
          <w:sz w:val="16"/>
          <w:szCs w:val="16"/>
          <w:color w:val="auto"/>
        </w:rPr>
      </w:pPr>
      <w:r>
        <w:rPr>
          <w:rFonts w:ascii="Arial" w:cs="Arial" w:eastAsia="Arial" w:hAnsi="Arial"/>
          <w:sz w:val="16"/>
          <w:szCs w:val="16"/>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w:t>
      </w:r>
    </w:p>
    <w:p>
      <w:pPr>
        <w:ind w:left="-1" w:right="100" w:firstLine="1"/>
        <w:spacing w:after="0" w:line="281" w:lineRule="auto"/>
        <w:tabs>
          <w:tab w:leader="none" w:pos="304" w:val="left"/>
        </w:tabs>
        <w:numPr>
          <w:ilvl w:val="0"/>
          <w:numId w:val="482"/>
        </w:numPr>
        <w:rPr>
          <w:rFonts w:ascii="Arial" w:cs="Arial" w:eastAsia="Arial" w:hAnsi="Arial"/>
          <w:sz w:val="16"/>
          <w:szCs w:val="16"/>
          <w:color w:val="auto"/>
        </w:rPr>
      </w:pPr>
      <w:r>
        <w:rPr>
          <w:rFonts w:ascii="Arial" w:cs="Arial" w:eastAsia="Arial" w:hAnsi="Arial"/>
          <w:sz w:val="16"/>
          <w:szCs w:val="16"/>
          <w:color w:val="auto"/>
        </w:rPr>
        <w:t>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 purchasing and supply agreements, (viii) rental deposits, (ix) judicial appeals and</w:t>
      </w:r>
    </w:p>
    <w:p>
      <w:pPr>
        <w:spacing w:after="0" w:line="2" w:lineRule="exact"/>
        <w:rPr>
          <w:rFonts w:ascii="Arial" w:cs="Arial" w:eastAsia="Arial" w:hAnsi="Arial"/>
          <w:sz w:val="16"/>
          <w:szCs w:val="16"/>
          <w:color w:val="auto"/>
        </w:rPr>
      </w:pPr>
    </w:p>
    <w:p>
      <w:pPr>
        <w:ind w:left="259" w:hanging="259"/>
        <w:spacing w:after="0"/>
        <w:tabs>
          <w:tab w:leader="none" w:pos="259" w:val="left"/>
        </w:tabs>
        <w:numPr>
          <w:ilvl w:val="0"/>
          <w:numId w:val="483"/>
        </w:numPr>
        <w:rPr>
          <w:rFonts w:ascii="Arial" w:cs="Arial" w:eastAsia="Arial" w:hAnsi="Arial"/>
          <w:sz w:val="18"/>
          <w:szCs w:val="18"/>
          <w:color w:val="auto"/>
        </w:rPr>
      </w:pPr>
      <w:r>
        <w:rPr>
          <w:rFonts w:ascii="Arial" w:cs="Arial" w:eastAsia="Arial" w:hAnsi="Arial"/>
          <w:sz w:val="18"/>
          <w:szCs w:val="18"/>
          <w:color w:val="auto"/>
        </w:rPr>
        <w:t>service contracts;</w:t>
      </w:r>
    </w:p>
    <w:p>
      <w:pPr>
        <w:spacing w:after="0" w:line="102" w:lineRule="exact"/>
        <w:rPr>
          <w:rFonts w:ascii="Arial" w:cs="Arial" w:eastAsia="Arial" w:hAnsi="Arial"/>
          <w:sz w:val="18"/>
          <w:szCs w:val="18"/>
          <w:color w:val="auto"/>
        </w:rPr>
      </w:pPr>
    </w:p>
    <w:p>
      <w:pPr>
        <w:ind w:left="639" w:hanging="219"/>
        <w:spacing w:after="0"/>
        <w:tabs>
          <w:tab w:leader="none" w:pos="639" w:val="left"/>
        </w:tabs>
        <w:numPr>
          <w:ilvl w:val="1"/>
          <w:numId w:val="483"/>
        </w:numPr>
        <w:rPr>
          <w:rFonts w:ascii="Arial" w:cs="Arial" w:eastAsia="Arial" w:hAnsi="Arial"/>
          <w:sz w:val="17"/>
          <w:szCs w:val="17"/>
          <w:color w:val="auto"/>
        </w:rPr>
      </w:pPr>
      <w:r>
        <w:rPr>
          <w:rFonts w:ascii="Arial" w:cs="Arial" w:eastAsia="Arial" w:hAnsi="Arial"/>
          <w:sz w:val="17"/>
          <w:szCs w:val="17"/>
          <w:color w:val="auto"/>
        </w:rPr>
        <w:t>Liens securing Indebtedness or other obligations of a Subsidiary owing to the Company or any Principal Domestic Subsidiary;</w:t>
      </w:r>
    </w:p>
    <w:p>
      <w:pPr>
        <w:spacing w:after="0" w:line="128" w:lineRule="exact"/>
        <w:rPr>
          <w:rFonts w:ascii="Arial" w:cs="Arial" w:eastAsia="Arial" w:hAnsi="Arial"/>
          <w:sz w:val="17"/>
          <w:szCs w:val="17"/>
          <w:color w:val="auto"/>
        </w:rPr>
      </w:pPr>
    </w:p>
    <w:p>
      <w:pPr>
        <w:ind w:left="-1" w:right="420" w:firstLine="421"/>
        <w:spacing w:after="0" w:line="264" w:lineRule="auto"/>
        <w:tabs>
          <w:tab w:leader="none" w:pos="654" w:val="left"/>
        </w:tabs>
        <w:numPr>
          <w:ilvl w:val="1"/>
          <w:numId w:val="483"/>
        </w:numPr>
        <w:rPr>
          <w:rFonts w:ascii="Arial" w:cs="Arial" w:eastAsia="Arial" w:hAnsi="Arial"/>
          <w:sz w:val="18"/>
          <w:szCs w:val="18"/>
          <w:color w:val="auto"/>
        </w:rPr>
      </w:pPr>
      <w:r>
        <w:rPr>
          <w:rFonts w:ascii="Arial" w:cs="Arial" w:eastAsia="Arial" w:hAnsi="Arial"/>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14"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19"/>
          </w:cols>
          <w:pgMar w:left="1161" w:top="274" w:right="319" w:bottom="1440" w:gutter="0" w:footer="0" w:header="0"/>
        </w:sectPr>
      </w:pPr>
    </w:p>
    <w:bookmarkStart w:id="499" w:name="page500"/>
    <w:bookmarkEnd w:id="499"/>
    <w:p>
      <w:pPr>
        <w:ind w:left="920" w:right="200" w:firstLine="421"/>
        <w:spacing w:after="0" w:line="279" w:lineRule="auto"/>
        <w:tabs>
          <w:tab w:leader="none" w:pos="1555" w:val="left"/>
        </w:tabs>
        <w:numPr>
          <w:ilvl w:val="0"/>
          <w:numId w:val="4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63" w:lineRule="exact"/>
        <w:rPr>
          <w:rFonts w:ascii="Arial" w:cs="Arial" w:eastAsia="Arial" w:hAnsi="Arial"/>
          <w:sz w:val="17"/>
          <w:szCs w:val="17"/>
          <w:color w:val="auto"/>
        </w:rPr>
      </w:pPr>
    </w:p>
    <w:p>
      <w:pPr>
        <w:ind w:left="1600" w:hanging="259"/>
        <w:spacing w:after="0"/>
        <w:tabs>
          <w:tab w:leader="none" w:pos="16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Liens under industrial revenue, municipal or similar bonds;</w:t>
      </w:r>
    </w:p>
    <w:p>
      <w:pPr>
        <w:spacing w:after="0" w:line="117" w:lineRule="exact"/>
        <w:rPr>
          <w:rFonts w:ascii="Arial" w:cs="Arial" w:eastAsia="Arial" w:hAnsi="Arial"/>
          <w:sz w:val="18"/>
          <w:szCs w:val="18"/>
          <w:color w:val="auto"/>
        </w:rPr>
      </w:pPr>
    </w:p>
    <w:p>
      <w:pPr>
        <w:ind w:left="920" w:right="20" w:firstLine="421"/>
        <w:spacing w:after="0" w:line="264" w:lineRule="auto"/>
        <w:tabs>
          <w:tab w:leader="none" w:pos="1595" w:val="left"/>
        </w:tabs>
        <w:numPr>
          <w:ilvl w:val="0"/>
          <w:numId w:val="484"/>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0"/>
          <w:numId w:val="484"/>
        </w:numPr>
        <w:rPr>
          <w:rFonts w:ascii="Arial" w:cs="Arial" w:eastAsia="Arial" w:hAnsi="Arial"/>
          <w:sz w:val="17"/>
          <w:szCs w:val="17"/>
          <w:color w:val="auto"/>
        </w:rPr>
      </w:pPr>
      <w:r>
        <w:rPr>
          <w:rFonts w:ascii="Arial" w:cs="Arial" w:eastAsia="Arial" w:hAnsi="Arial"/>
          <w:sz w:val="17"/>
          <w:szCs w:val="17"/>
          <w:color w:val="auto"/>
        </w:rPr>
        <w:t>Liens arising from security interests granted by Persons who are not affiliates of the Company or any Subsidiary in such Person’s</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co-ownership interest in Intellectual Property that such Person co-owns together with the Company or any Subsidiary;</w:t>
      </w:r>
    </w:p>
    <w:p>
      <w:pPr>
        <w:spacing w:after="0" w:line="103" w:lineRule="exact"/>
        <w:rPr>
          <w:sz w:val="20"/>
          <w:szCs w:val="20"/>
          <w:color w:val="auto"/>
        </w:rPr>
      </w:pPr>
    </w:p>
    <w:p>
      <w:pPr>
        <w:ind w:left="920" w:firstLine="421"/>
        <w:spacing w:after="0" w:line="277" w:lineRule="auto"/>
        <w:tabs>
          <w:tab w:leader="none" w:pos="159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Liens under licensing agreements for use of Intellectual Property or licenses or sublicenses of Intellectual Property, in each case, entered into in the ordinary course of business;</w:t>
      </w:r>
    </w:p>
    <w:p>
      <w:pPr>
        <w:spacing w:after="0" w:line="62" w:lineRule="exact"/>
        <w:rPr>
          <w:rFonts w:ascii="Arial" w:cs="Arial" w:eastAsia="Arial" w:hAnsi="Arial"/>
          <w:sz w:val="18"/>
          <w:szCs w:val="18"/>
          <w:color w:val="auto"/>
        </w:rPr>
      </w:pPr>
    </w:p>
    <w:p>
      <w:pPr>
        <w:ind w:left="920" w:right="260" w:firstLine="421"/>
        <w:spacing w:after="0" w:line="277" w:lineRule="auto"/>
        <w:tabs>
          <w:tab w:leader="none" w:pos="159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Liens of sellers of goods to any Loan Party arising under Article 2 of the UCC or similar provisions of applicable law in the ordinary course of business; and</w:t>
      </w:r>
    </w:p>
    <w:p>
      <w:pPr>
        <w:spacing w:after="0" w:line="62" w:lineRule="exact"/>
        <w:rPr>
          <w:rFonts w:ascii="Arial" w:cs="Arial" w:eastAsia="Arial" w:hAnsi="Arial"/>
          <w:sz w:val="18"/>
          <w:szCs w:val="18"/>
          <w:color w:val="auto"/>
        </w:rPr>
      </w:pPr>
    </w:p>
    <w:p>
      <w:pPr>
        <w:ind w:left="920" w:right="60" w:firstLine="421"/>
        <w:spacing w:after="0" w:line="312" w:lineRule="auto"/>
        <w:tabs>
          <w:tab w:leader="none" w:pos="1585" w:val="left"/>
        </w:tabs>
        <w:numPr>
          <w:ilvl w:val="0"/>
          <w:numId w:val="485"/>
        </w:numPr>
        <w:rPr>
          <w:rFonts w:ascii="Arial" w:cs="Arial" w:eastAsia="Arial" w:hAnsi="Arial"/>
          <w:sz w:val="16"/>
          <w:szCs w:val="16"/>
          <w:color w:val="auto"/>
        </w:rPr>
      </w:pPr>
      <w:r>
        <w:rPr>
          <w:rFonts w:ascii="Arial" w:cs="Arial" w:eastAsia="Arial" w:hAnsi="Arial"/>
          <w:sz w:val="16"/>
          <w:szCs w:val="16"/>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47"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24"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70"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at a particular time, an employee pension benefit plan covered by Title IV of ERISA or Section 412 of the Code or Section 303 of ERISA, but excluding any Multiemployer Plan, (a) which is sponsored, established, contributed to or maintained by the Company or any ERISA Affiliate,</w:t>
      </w:r>
    </w:p>
    <w:p>
      <w:pPr>
        <w:ind w:right="40" w:firstLine="8"/>
        <w:spacing w:after="0" w:line="255" w:lineRule="auto"/>
        <w:tabs>
          <w:tab w:leader="none" w:pos="255" w:val="left"/>
        </w:tabs>
        <w:numPr>
          <w:ilvl w:val="0"/>
          <w:numId w:val="486"/>
        </w:numPr>
        <w:rPr>
          <w:rFonts w:ascii="Arial" w:cs="Arial" w:eastAsia="Arial" w:hAnsi="Arial"/>
          <w:sz w:val="18"/>
          <w:szCs w:val="18"/>
          <w:color w:val="auto"/>
        </w:rPr>
      </w:pPr>
      <w:r>
        <w:rPr>
          <w:rFonts w:ascii="Arial" w:cs="Arial" w:eastAsia="Arial" w:hAnsi="Arial"/>
          <w:sz w:val="18"/>
          <w:szCs w:val="18"/>
          <w:color w:val="auto"/>
        </w:rPr>
        <w:t>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190" w:lineRule="exact"/>
        <w:rPr>
          <w:sz w:val="20"/>
          <w:szCs w:val="20"/>
          <w:color w:val="auto"/>
        </w:rPr>
      </w:pPr>
    </w:p>
    <w:p>
      <w:pPr>
        <w:jc w:val="center"/>
        <w:ind w:left="540" w:right="6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means of 29 CFR § 2510.3-101 et seq., as modified by Section 3(42) of ERISA, as amended from time to time. 22</w:t>
      </w:r>
    </w:p>
    <w:p>
      <w:pPr>
        <w:sectPr>
          <w:pgSz w:w="11900" w:h="16838" w:orient="portrait"/>
          <w:cols w:equalWidth="0" w:num="1">
            <w:col w:w="11420"/>
          </w:cols>
          <w:pgMar w:left="240" w:top="274" w:right="239" w:bottom="1440" w:gutter="0" w:footer="0" w:header="0"/>
        </w:sectPr>
      </w:pPr>
    </w:p>
    <w:bookmarkStart w:id="500" w:name="page501"/>
    <w:bookmarkEnd w:id="500"/>
    <w:p>
      <w:pPr>
        <w:jc w:val="both"/>
        <w:ind w:right="10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Post-Petition Interest</w:t>
      </w:r>
      <w:r>
        <w:rPr>
          <w:rFonts w:ascii="Arial" w:cs="Arial" w:eastAsia="Arial" w:hAnsi="Arial"/>
          <w:sz w:val="17"/>
          <w:szCs w:val="17"/>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66" w:lineRule="exact"/>
        <w:rPr>
          <w:sz w:val="20"/>
          <w:szCs w:val="20"/>
          <w:color w:val="auto"/>
        </w:rPr>
      </w:pPr>
    </w:p>
    <w:p>
      <w:pPr>
        <w:ind w:right="30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Previously Pledged Assets</w:t>
      </w:r>
      <w:r>
        <w:rPr>
          <w:rFonts w:ascii="Arial" w:cs="Arial" w:eastAsia="Arial" w:hAnsi="Arial"/>
          <w:sz w:val="17"/>
          <w:szCs w:val="17"/>
          <w:color w:val="auto"/>
        </w:rPr>
        <w:t>” means the “Collateral,” under and as defined in that certain Three Year Revolving Credit Agreement, dated as of November 5, 2012, among General Motors Holdings LLC, GMF, GM Europe Treasury Company AB, GMB, the other subsidiary borrowers from time to time party thereto, the several lenders from time to time party thereto, JPMorgan Chase Bank, N.A., as administrative agent, Banco do Brasil S.A., as the Brazilian administrative agent, and the other agents party thereto, determined as if such agreement were still outstanding, and with each reference to Section 7.2(b) therein being deemed to be a reference to Section 7.2 hereof.</w:t>
      </w:r>
    </w:p>
    <w:p>
      <w:pPr>
        <w:spacing w:after="0" w:line="17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borrowers).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Domestic Subsidiary</w:t>
      </w:r>
      <w:r>
        <w:rPr>
          <w:rFonts w:ascii="Arial" w:cs="Arial" w:eastAsia="Arial" w:hAnsi="Arial"/>
          <w:sz w:val="16"/>
          <w:szCs w:val="16"/>
          <w:color w:val="auto"/>
        </w:rPr>
        <w:t>” means (a) during any Reinstated Guarantee Period, (i) GM Holdings and (ii) each Subsidiary Guarantor and</w:t>
      </w:r>
    </w:p>
    <w:p>
      <w:pPr>
        <w:spacing w:after="0" w:line="46" w:lineRule="exact"/>
        <w:rPr>
          <w:sz w:val="20"/>
          <w:szCs w:val="20"/>
          <w:color w:val="auto"/>
        </w:rPr>
      </w:pPr>
    </w:p>
    <w:p>
      <w:pPr>
        <w:ind w:right="60" w:firstLine="8"/>
        <w:spacing w:after="0" w:line="273" w:lineRule="auto"/>
        <w:tabs>
          <w:tab w:leader="none" w:pos="255" w:val="left"/>
        </w:tabs>
        <w:numPr>
          <w:ilvl w:val="0"/>
          <w:numId w:val="487"/>
        </w:numPr>
        <w:rPr>
          <w:rFonts w:ascii="Arial" w:cs="Arial" w:eastAsia="Arial" w:hAnsi="Arial"/>
          <w:sz w:val="17"/>
          <w:szCs w:val="17"/>
          <w:color w:val="auto"/>
        </w:rPr>
      </w:pPr>
      <w:r>
        <w:rPr>
          <w:rFonts w:ascii="Arial" w:cs="Arial" w:eastAsia="Arial" w:hAnsi="Arial"/>
          <w:sz w:val="17"/>
          <w:szCs w:val="17"/>
          <w:color w:val="auto"/>
        </w:rPr>
        <w:t>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2017 10-K), (B) at least 80% or more of the Capital Stock or Voting Stock of such Domestic Subsidiary is owned, directly or indirectly, by the Company and (C) none of the Capital Stock of such Domestic Subsidiary is publicly held.</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Trade Names</w:t>
      </w:r>
      <w:r>
        <w:rPr>
          <w:rFonts w:ascii="Arial" w:cs="Arial" w:eastAsia="Arial" w:hAnsi="Arial"/>
          <w:sz w:val="18"/>
          <w:szCs w:val="18"/>
          <w:color w:val="auto"/>
        </w:rPr>
        <w:t>” means GM, GMC, Chevrolet, Cadillac, and Buick and any variation thereof.</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 Holding Company</w:t>
      </w:r>
      <w:r>
        <w:rPr>
          <w:rFonts w:ascii="Arial" w:cs="Arial" w:eastAsia="Arial" w:hAnsi="Arial"/>
          <w:sz w:val="18"/>
          <w:szCs w:val="18"/>
          <w:color w:val="auto"/>
        </w:rPr>
        <w:t>” means any wholly-owned Foreign Subsidiary of the Company to which the Designated Principal Trade Name is transferred.</w:t>
      </w:r>
    </w:p>
    <w:p>
      <w:pPr>
        <w:spacing w:after="0" w:line="17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xml:space="preserve">” means, in relation to any period for which the Eurocurrency Base Rate is to be determined hereunder, the Business Day on which quotations would ordinarily be given by prime banks in the London Interbank market for deposits in Dollars is to be determined for delivery on the first day of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if for any such period quotations would ordinarily be given on more than one date, the Quotation Date for that period shall be the last of those dates.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has the meaning assigned to such term in Section 10.16.</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10.6(b)(iv).</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in effect from time to time.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3" w:right="239" w:bottom="1440" w:gutter="0" w:footer="0" w:header="0"/>
        </w:sectPr>
      </w:pPr>
    </w:p>
    <w:bookmarkStart w:id="501" w:name="page502"/>
    <w:bookmarkEnd w:id="50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in effect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in effect from time to time.</w:t>
      </w:r>
    </w:p>
    <w:p>
      <w:pPr>
        <w:spacing w:after="0" w:line="225"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Period</w:t>
      </w:r>
      <w:r>
        <w:rPr>
          <w:rFonts w:ascii="Arial" w:cs="Arial" w:eastAsia="Arial" w:hAnsi="Arial"/>
          <w:sz w:val="18"/>
          <w:szCs w:val="18"/>
          <w:color w:val="auto"/>
        </w:rPr>
        <w:t>” means a period from and including the 30</w:t>
      </w:r>
      <w:r>
        <w:rPr>
          <w:rFonts w:ascii="Arial" w:cs="Arial" w:eastAsia="Arial" w:hAnsi="Arial"/>
          <w:sz w:val="15"/>
          <w:szCs w:val="15"/>
          <w:color w:val="auto"/>
        </w:rPr>
        <w:t>th</w:t>
      </w:r>
      <w:r>
        <w:rPr>
          <w:rFonts w:ascii="Arial" w:cs="Arial" w:eastAsia="Arial" w:hAnsi="Arial"/>
          <w:sz w:val="18"/>
          <w:szCs w:val="18"/>
          <w:color w:val="auto"/>
        </w:rPr>
        <w:t xml:space="preserve"> day after any Guarantee Reinstatement Date to but excluding the following Guarantee Release Date, if any.</w:t>
      </w:r>
    </w:p>
    <w:p>
      <w:pPr>
        <w:spacing w:after="0" w:line="170"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Reinstated Guarantee Requirement Period</w:t>
      </w:r>
      <w:r>
        <w:rPr>
          <w:rFonts w:ascii="Arial" w:cs="Arial" w:eastAsia="Arial" w:hAnsi="Arial"/>
          <w:sz w:val="18"/>
          <w:szCs w:val="18"/>
          <w:color w:val="auto"/>
        </w:rPr>
        <w:t>” means a period from and including any Guarantee Reinstatement Date to but excluding the following Guarantee Release Date, if any.</w:t>
      </w:r>
    </w:p>
    <w:p>
      <w:pPr>
        <w:spacing w:after="0" w:line="170"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means, at any time, the holders of more than 50% of the aggregate amount of the Total Commitments (or, at any time after the Commitments shall have expired or terminated, the holders of more than 50% of the sum of the Total Extensions of Credit).</w:t>
      </w:r>
    </w:p>
    <w:p>
      <w:pPr>
        <w:spacing w:after="0" w:line="14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accounting officer, chief financial officer, controller, assistant controller, treasurer or assistant treasurer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and its successors.</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has the meaning assigned to such term in Section 4.15.</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List</w:t>
      </w:r>
      <w:r>
        <w:rPr>
          <w:rFonts w:ascii="Arial" w:cs="Arial" w:eastAsia="Arial" w:hAnsi="Arial"/>
          <w:sz w:val="18"/>
          <w:szCs w:val="18"/>
          <w:color w:val="auto"/>
        </w:rPr>
        <w:t>” has the meaning assigned to such term in Section 4.15.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has the meaning set forth in the definition of Eurocurrency Base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analogous Governmental Authority.</w:t>
      </w:r>
    </w:p>
    <w:p>
      <w:pPr>
        <w:spacing w:after="0" w:line="225"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3" w:right="239" w:bottom="1440" w:gutter="0" w:footer="0" w:header="0"/>
        </w:sectPr>
      </w:pPr>
    </w:p>
    <w:bookmarkStart w:id="502" w:name="page503"/>
    <w:bookmarkEnd w:id="50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happening of any contingency) is at the time directly or indirectly, owned or controlled by such Person and/or one or more Subsidiaries of such Person.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qualified, all references to a “Subsidiary” or to “Subsidiaries” in this Agreement shall refer to a Subsidiary or Subsidiaries of the Company.</w:t>
      </w:r>
    </w:p>
    <w:p>
      <w:pPr>
        <w:spacing w:after="0" w:line="234"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w:t>
      </w:r>
      <w:r>
        <w:rPr>
          <w:rFonts w:ascii="Arial" w:cs="Arial" w:eastAsia="Arial" w:hAnsi="Arial"/>
          <w:sz w:val="18"/>
          <w:szCs w:val="18"/>
          <w:color w:val="auto"/>
        </w:rPr>
        <w:t>” means GMGTC, GMF and any other Subsidiary that becomes a party hereto pursuant to Section 10.1(d) until such time as such Subsidiary Borrower is removed as a party hereto pursuant to Section 10.1(d).</w:t>
      </w:r>
    </w:p>
    <w:p>
      <w:pPr>
        <w:spacing w:after="0" w:line="170" w:lineRule="exact"/>
        <w:rPr>
          <w:sz w:val="20"/>
          <w:szCs w:val="20"/>
          <w:color w:val="auto"/>
        </w:rPr>
      </w:pPr>
    </w:p>
    <w:p>
      <w:pPr>
        <w:jc w:val="both"/>
        <w:ind w:right="4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xml:space="preserve">” means during any Reinstated Guarantee Period, each Domestic Subsidiary that was a Principal Domestic Subsidiary on the applicable Guarantee Reinstatement Date or that became a party to the Guarantee after such Guarantee Reinstatement Date pursuant to Section 6.6(a) or 6.6(b) or Section 10.1(b);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April 17, 2019 which is the date which is 364 calendar days following the Closing Date.</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Commitments</w:t>
      </w:r>
      <w:r>
        <w:rPr>
          <w:rFonts w:ascii="Arial" w:cs="Arial" w:eastAsia="Arial" w:hAnsi="Arial"/>
          <w:sz w:val="18"/>
          <w:szCs w:val="18"/>
          <w:color w:val="auto"/>
        </w:rPr>
        <w:t xml:space="preserve">” means, at any time, an amount equal to the excess, if any, of (a) the Total Commitments then in effect,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Total Extensions of Credit then outstanding.</w:t>
      </w:r>
    </w:p>
    <w:p>
      <w:pPr>
        <w:spacing w:after="0" w:line="170" w:lineRule="exact"/>
        <w:rPr>
          <w:sz w:val="20"/>
          <w:szCs w:val="20"/>
          <w:color w:val="auto"/>
        </w:rPr>
      </w:pPr>
    </w:p>
    <w:p>
      <w:pPr>
        <w:ind w:right="8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at any time, the aggregate amount of the Commitments then in effect. The original amount of the Total Commitments is $2.0 billion.</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Extensions of Credit</w:t>
      </w:r>
      <w:r>
        <w:rPr>
          <w:rFonts w:ascii="Arial" w:cs="Arial" w:eastAsia="Arial" w:hAnsi="Arial"/>
          <w:sz w:val="18"/>
          <w:szCs w:val="18"/>
          <w:color w:val="auto"/>
        </w:rPr>
        <w:t xml:space="preserve">” means, at any time, the aggregate Outstanding Amount of (a) the Extensions of Credit of the Lenders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Competitive Loans at such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Assignee or Participant.</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 as to any Loan (other than a Competitive Loan), its nature as an ABR Loan or a Eurocurrency Loan and (b) as to any Competitive Loan, its nature as a Eurocurrency Competitive Loan or a Fixed Rate Loan.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225"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Borrower</w:t>
      </w:r>
      <w:r>
        <w:rPr>
          <w:rFonts w:ascii="Arial" w:cs="Arial" w:eastAsia="Arial" w:hAnsi="Arial"/>
          <w:sz w:val="18"/>
          <w:szCs w:val="18"/>
          <w:color w:val="auto"/>
        </w:rPr>
        <w:t>” means any Borrower (i) that is incorporated under the laws of the United Kingdom or (ii) payments from which under this Agreement or any other Loan Document are subject to withholding Taxes imposed by the laws of the United Kingdom.</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CTA</w:t>
      </w:r>
      <w:r>
        <w:rPr>
          <w:rFonts w:ascii="Arial" w:cs="Arial" w:eastAsia="Arial" w:hAnsi="Arial"/>
          <w:sz w:val="18"/>
          <w:szCs w:val="18"/>
          <w:color w:val="auto"/>
        </w:rPr>
        <w:t>” means the United Kingdom Corporation Tax Act 2009, as amended or re-enacted.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ITA</w:t>
      </w:r>
      <w:r>
        <w:rPr>
          <w:rFonts w:ascii="Arial" w:cs="Arial" w:eastAsia="Arial" w:hAnsi="Arial"/>
          <w:sz w:val="18"/>
          <w:szCs w:val="18"/>
          <w:color w:val="auto"/>
        </w:rPr>
        <w:t>” means the United Kingdom Income Tax Act 2007, as amended or re-enacted.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274" w:right="339" w:bottom="1440" w:gutter="0" w:footer="0" w:header="0"/>
        </w:sectPr>
      </w:pPr>
    </w:p>
    <w:bookmarkStart w:id="503" w:name="page504"/>
    <w:bookmarkEnd w:id="503"/>
    <w:p>
      <w:pPr>
        <w:ind w:right="40"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UK Qualifying Lender</w:t>
      </w:r>
      <w:r>
        <w:rPr>
          <w:rFonts w:ascii="Arial" w:cs="Arial" w:eastAsia="Arial" w:hAnsi="Arial"/>
          <w:sz w:val="17"/>
          <w:szCs w:val="17"/>
          <w:color w:val="auto"/>
        </w:rPr>
        <w:t>” means (a) a Lender which is beneficially entitled to interest payable to that Lender in respect of an advance under a Loan Document and is: (i) a Lender: (A) which is a bank (as defined for the purpose of section 879 of the UK ITA) making an advance under a Loan Document and is within the charge to United Kingdom corporation tax as respects any payments of interest made in respect of that advance or would be within such charge as respects such payments apart from section 18A of the UK CTA; or (B) in respect of an advance made under a Loan Document by a person that was a bank (as defined for the purpose of section 879 of the UK ITA) at the time that that advance was made and within the charge to United Kingdom corporation tax as respects any payments of interest made in respect of that advance; or (ii) a Lender which is: (A) a company resident in the United Kingdom for United Kingdom tax purposes; (B)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 or (iii) a UK Treaty Lender; or (b) a Lender which is a building society (as defined for the purposes of section 880 of the UK ITA) making an advance under a Loan Document.</w:t>
      </w:r>
    </w:p>
    <w:p>
      <w:pPr>
        <w:spacing w:after="0" w:line="18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Tax Confirmation</w:t>
      </w:r>
      <w:r>
        <w:rPr>
          <w:rFonts w:ascii="Arial" w:cs="Arial" w:eastAsia="Arial" w:hAnsi="Arial"/>
          <w:sz w:val="16"/>
          <w:szCs w:val="16"/>
          <w:color w:val="auto"/>
        </w:rPr>
        <w:t>” means a confirmation by a Lender that the person beneficially entitled to interest payable to that Lender in respect of an advance under a Loan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w:t>
      </w:r>
    </w:p>
    <w:p>
      <w:pPr>
        <w:spacing w:after="0" w:line="167"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Tax Deduction</w:t>
      </w:r>
      <w:r>
        <w:rPr>
          <w:rFonts w:ascii="Arial" w:cs="Arial" w:eastAsia="Arial" w:hAnsi="Arial"/>
          <w:sz w:val="18"/>
          <w:szCs w:val="18"/>
          <w:color w:val="auto"/>
        </w:rPr>
        <w:t>” means a deduction or withholding for or on account of Taxes from a payment under a Loan Document, other than a deduction or withholding required by FATCA.</w:t>
      </w:r>
    </w:p>
    <w:p>
      <w:pPr>
        <w:spacing w:after="0" w:line="170" w:lineRule="exact"/>
        <w:rPr>
          <w:sz w:val="20"/>
          <w:szCs w:val="20"/>
          <w:color w:val="auto"/>
        </w:rPr>
      </w:pPr>
    </w:p>
    <w:p>
      <w:pPr>
        <w:jc w:val="both"/>
        <w:ind w:right="2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Treaty Lender</w:t>
      </w:r>
      <w:r>
        <w:rPr>
          <w:rFonts w:ascii="Arial" w:cs="Arial" w:eastAsia="Arial" w:hAnsi="Arial"/>
          <w:sz w:val="17"/>
          <w:szCs w:val="17"/>
          <w:color w:val="auto"/>
        </w:rPr>
        <w:t>” means a Lender which: (a) is treated as a resident of a UK Treaty State for the purposes of the relevant UK Treaty; (b) does not carry on a business in the United Kingdom through a permanent establishment with which that Lender’s participation in the Loan is effectively connected; and (c) meets all other conditions in the relevant UK Treaty for full exemption from Taxes imposed by the United Kingdom on interest payable to that Lender in respect of an advance under a Loan Document, including the completion of any necessary procedural formalities.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Treaty</w:t>
      </w:r>
      <w:r>
        <w:rPr>
          <w:rFonts w:ascii="Arial" w:cs="Arial" w:eastAsia="Arial" w:hAnsi="Arial"/>
          <w:sz w:val="18"/>
          <w:szCs w:val="18"/>
          <w:color w:val="auto"/>
        </w:rPr>
        <w:t>” has the meaning given to that term in the definition of UK Treaty State.</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Treaty State</w:t>
      </w:r>
      <w:r>
        <w:rPr>
          <w:rFonts w:ascii="Arial" w:cs="Arial" w:eastAsia="Arial" w:hAnsi="Arial"/>
          <w:sz w:val="18"/>
          <w:szCs w:val="18"/>
          <w:color w:val="auto"/>
        </w:rPr>
        <w:t>” means a jurisdiction having a double taxation agreement with the United Kingdom (a “</w:t>
      </w:r>
      <w:r>
        <w:rPr>
          <w:rFonts w:ascii="Arial" w:cs="Arial" w:eastAsia="Arial" w:hAnsi="Arial"/>
          <w:sz w:val="18"/>
          <w:szCs w:val="18"/>
          <w:u w:val="single" w:color="auto"/>
          <w:color w:val="auto"/>
        </w:rPr>
        <w:t>UK Treaty</w:t>
      </w:r>
      <w:r>
        <w:rPr>
          <w:rFonts w:ascii="Arial" w:cs="Arial" w:eastAsia="Arial" w:hAnsi="Arial"/>
          <w:sz w:val="18"/>
          <w:szCs w:val="18"/>
          <w:color w:val="auto"/>
        </w:rPr>
        <w:t>”) which makes provision for full exemption from tax imposed by the United Kingdom on interest.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and its territories and possessions.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504" w:name="page505"/>
    <w:bookmarkEnd w:id="504"/>
    <w:p>
      <w:pPr>
        <w:ind w:right="3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Unconsolidated Subsidiary</w:t>
      </w:r>
      <w:r>
        <w:rPr>
          <w:rFonts w:ascii="Arial" w:cs="Arial" w:eastAsia="Arial" w:hAnsi="Arial"/>
          <w:sz w:val="18"/>
          <w:szCs w:val="18"/>
          <w:color w:val="auto"/>
        </w:rPr>
        <w:t>” means a subsidiary of the Company or other Person whose financial results are not, in accordance with GAAP, included in the consolidated financial statements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has the meaning assigned to such term in Section 10.18.</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such Person’s Capital Stock having the right to vote for election of directors (or the equivalent thereof) of such Person under ordinary circumstances.</w:t>
      </w:r>
    </w:p>
    <w:p>
      <w:pPr>
        <w:spacing w:after="0" w:line="170"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73"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Definitional Provisions</w:t>
      </w:r>
      <w:r>
        <w:rPr>
          <w:rFonts w:ascii="Arial" w:cs="Arial" w:eastAsia="Arial" w:hAnsi="Arial"/>
          <w:sz w:val="17"/>
          <w:szCs w:val="17"/>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38" w:lineRule="exact"/>
        <w:rPr>
          <w:sz w:val="20"/>
          <w:szCs w:val="20"/>
          <w:color w:val="auto"/>
        </w:rPr>
      </w:pPr>
    </w:p>
    <w:p>
      <w:pPr>
        <w:ind w:left="1180" w:hanging="259"/>
        <w:spacing w:after="0"/>
        <w:tabs>
          <w:tab w:leader="none" w:pos="1180" w:val="left"/>
        </w:tabs>
        <w:numPr>
          <w:ilvl w:val="1"/>
          <w:numId w:val="488"/>
        </w:numPr>
        <w:rPr>
          <w:rFonts w:ascii="Arial" w:cs="Arial" w:eastAsia="Arial" w:hAnsi="Arial"/>
          <w:sz w:val="17"/>
          <w:szCs w:val="17"/>
          <w:color w:val="auto"/>
        </w:rPr>
      </w:pPr>
      <w:r>
        <w:rPr>
          <w:rFonts w:ascii="Arial" w:cs="Arial" w:eastAsia="Arial" w:hAnsi="Arial"/>
          <w:sz w:val="17"/>
          <w:szCs w:val="17"/>
          <w:color w:val="auto"/>
        </w:rPr>
        <w:t>As used herein and in the other Loan Documents, and any certificate or other document made or delivered pursuant hereto or thereto,</w:t>
      </w:r>
    </w:p>
    <w:p>
      <w:pPr>
        <w:spacing w:after="0" w:line="34" w:lineRule="exact"/>
        <w:rPr>
          <w:rFonts w:ascii="Arial" w:cs="Arial" w:eastAsia="Arial" w:hAnsi="Arial"/>
          <w:sz w:val="17"/>
          <w:szCs w:val="17"/>
          <w:color w:val="auto"/>
        </w:rPr>
      </w:pPr>
    </w:p>
    <w:p>
      <w:pPr>
        <w:ind w:right="20" w:firstLine="8"/>
        <w:spacing w:after="0" w:line="281" w:lineRule="auto"/>
        <w:tabs>
          <w:tab w:leader="none" w:pos="215" w:val="left"/>
        </w:tabs>
        <w:numPr>
          <w:ilvl w:val="0"/>
          <w:numId w:val="489"/>
        </w:numPr>
        <w:rPr>
          <w:rFonts w:ascii="Arial" w:cs="Arial" w:eastAsia="Arial" w:hAnsi="Arial"/>
          <w:sz w:val="16"/>
          <w:szCs w:val="16"/>
          <w:color w:val="auto"/>
        </w:rPr>
      </w:pPr>
      <w:r>
        <w:rPr>
          <w:rFonts w:ascii="Arial" w:cs="Arial" w:eastAsia="Arial" w:hAnsi="Arial"/>
          <w:sz w:val="16"/>
          <w:szCs w:val="16"/>
          <w:color w:val="auto"/>
        </w:rPr>
        <w:t>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w:t>
      </w:r>
    </w:p>
    <w:p>
      <w:pPr>
        <w:spacing w:after="0" w:line="1" w:lineRule="exact"/>
        <w:rPr>
          <w:rFonts w:ascii="Arial" w:cs="Arial" w:eastAsia="Arial" w:hAnsi="Arial"/>
          <w:sz w:val="16"/>
          <w:szCs w:val="16"/>
          <w:color w:val="auto"/>
        </w:rPr>
      </w:pPr>
    </w:p>
    <w:p>
      <w:pPr>
        <w:ind w:right="120" w:firstLine="8"/>
        <w:spacing w:after="0" w:line="281" w:lineRule="auto"/>
        <w:tabs>
          <w:tab w:leader="none" w:pos="315" w:val="left"/>
        </w:tabs>
        <w:numPr>
          <w:ilvl w:val="0"/>
          <w:numId w:val="490"/>
        </w:numPr>
        <w:rPr>
          <w:rFonts w:ascii="Arial" w:cs="Arial" w:eastAsia="Arial" w:hAnsi="Arial"/>
          <w:sz w:val="16"/>
          <w:szCs w:val="16"/>
          <w:color w:val="auto"/>
        </w:rPr>
      </w:pPr>
      <w:r>
        <w:rPr>
          <w:rFonts w:ascii="Arial" w:cs="Arial" w:eastAsia="Arial" w:hAnsi="Arial"/>
          <w:sz w:val="16"/>
          <w:szCs w:val="16"/>
          <w:color w:val="auto"/>
        </w:rPr>
        <w:t>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2" w:lineRule="exact"/>
        <w:rPr>
          <w:rFonts w:ascii="Arial" w:cs="Arial" w:eastAsia="Arial" w:hAnsi="Arial"/>
          <w:sz w:val="16"/>
          <w:szCs w:val="16"/>
          <w:color w:val="auto"/>
        </w:rPr>
      </w:pPr>
    </w:p>
    <w:p>
      <w:pPr>
        <w:ind w:right="120" w:firstLine="8"/>
        <w:spacing w:after="0" w:line="252" w:lineRule="auto"/>
        <w:tabs>
          <w:tab w:leader="none" w:pos="255" w:val="left"/>
        </w:tabs>
        <w:numPr>
          <w:ilvl w:val="0"/>
          <w:numId w:val="491"/>
        </w:numPr>
        <w:rPr>
          <w:rFonts w:ascii="Arial" w:cs="Arial" w:eastAsia="Arial" w:hAnsi="Arial"/>
          <w:sz w:val="18"/>
          <w:szCs w:val="18"/>
          <w:color w:val="auto"/>
        </w:rPr>
      </w:pPr>
      <w:r>
        <w:rPr>
          <w:rFonts w:ascii="Arial" w:cs="Arial" w:eastAsia="Arial" w:hAnsi="Arial"/>
          <w:sz w:val="18"/>
          <w:szCs w:val="18"/>
          <w:color w:val="auto"/>
        </w:rPr>
        <w:t>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86" w:lineRule="exact"/>
        <w:rPr>
          <w:rFonts w:ascii="Arial" w:cs="Arial" w:eastAsia="Arial" w:hAnsi="Arial"/>
          <w:sz w:val="18"/>
          <w:szCs w:val="18"/>
          <w:color w:val="auto"/>
        </w:rPr>
      </w:pPr>
    </w:p>
    <w:p>
      <w:pPr>
        <w:ind w:right="160" w:firstLine="921"/>
        <w:spacing w:after="0" w:line="264" w:lineRule="auto"/>
        <w:tabs>
          <w:tab w:leader="none" w:pos="1158" w:val="left"/>
        </w:tabs>
        <w:numPr>
          <w:ilvl w:val="1"/>
          <w:numId w:val="491"/>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Conversion of Foreign Currencies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9" w:lineRule="auto"/>
        <w:tabs>
          <w:tab w:leader="none" w:pos="1158"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505" w:name="page506"/>
    <w:bookmarkEnd w:id="505"/>
    <w:p>
      <w:pPr>
        <w:jc w:val="both"/>
        <w:ind w:right="100" w:firstLine="921"/>
        <w:spacing w:after="0" w:line="264" w:lineRule="auto"/>
        <w:tabs>
          <w:tab w:leader="none" w:pos="1168" w:val="left"/>
        </w:tabs>
        <w:numPr>
          <w:ilvl w:val="0"/>
          <w:numId w:val="4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w:t>
      </w:r>
    </w:p>
    <w:p>
      <w:pPr>
        <w:spacing w:after="0" w:line="73" w:lineRule="exact"/>
        <w:rPr>
          <w:rFonts w:ascii="Arial" w:cs="Arial" w:eastAsia="Arial" w:hAnsi="Arial"/>
          <w:sz w:val="18"/>
          <w:szCs w:val="18"/>
          <w:color w:val="auto"/>
        </w:rPr>
      </w:pPr>
    </w:p>
    <w:p>
      <w:pPr>
        <w:jc w:val="both"/>
        <w:ind w:right="140" w:firstLine="921"/>
        <w:spacing w:after="0" w:line="264" w:lineRule="auto"/>
        <w:tabs>
          <w:tab w:leader="none" w:pos="1158"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73"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2. AMOUNT AND TERMS OF COMMITMENTS</w:t>
      </w:r>
    </w:p>
    <w:p>
      <w:pPr>
        <w:spacing w:after="0" w:line="117"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Commitments</w:t>
      </w:r>
      <w:r>
        <w:rPr>
          <w:rFonts w:ascii="Arial" w:cs="Arial" w:eastAsia="Arial" w:hAnsi="Arial"/>
          <w:sz w:val="17"/>
          <w:szCs w:val="17"/>
          <w:color w:val="auto"/>
        </w:rPr>
        <w:t>. (a) Subject to the terms and conditions hereof, each Lender severally agrees to make (or cause its Applicable Lending Office to make) revolving loans (“</w:t>
      </w:r>
      <w:r>
        <w:rPr>
          <w:rFonts w:ascii="Arial" w:cs="Arial" w:eastAsia="Arial" w:hAnsi="Arial"/>
          <w:sz w:val="17"/>
          <w:szCs w:val="17"/>
          <w:u w:val="single" w:color="auto"/>
          <w:color w:val="auto"/>
        </w:rPr>
        <w:t>Loans</w:t>
      </w:r>
      <w:r>
        <w:rPr>
          <w:rFonts w:ascii="Arial" w:cs="Arial" w:eastAsia="Arial" w:hAnsi="Arial"/>
          <w:sz w:val="17"/>
          <w:szCs w:val="17"/>
          <w:color w:val="auto"/>
        </w:rPr>
        <w:t xml:space="preserve">”) in Dollars to the Company or any Subsidiary Borrower from time to time during the Commitment Period of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that, after giving effect to such borrowing and the use of proceeds thereof, (i) such Lender’s Extensions of Credit do not exceed the amount of such Lender’s Commitments and (ii) the Total Extensions of Credit shall not exceed the Total Commitments then in effect. During the Commitment Period of the applicable Lenders for the Facility, the Company and any Subsidiary Borrower may use the Commitments by borrowing, prepaying the Loans in whole or in part, and reborrowing, all in accordance with the terms and conditions hereof. The Loans may from time to time be Eurocurrency Loans, ABR Loans or any combination of the foregoing, as determined by the Company or the relevant Subsidiary Borrower and notified to the Administrative Agent in accordance with Section 2.2 and 2.14.</w:t>
      </w:r>
    </w:p>
    <w:p>
      <w:pPr>
        <w:spacing w:after="0" w:line="71" w:lineRule="exact"/>
        <w:rPr>
          <w:sz w:val="20"/>
          <w:szCs w:val="20"/>
          <w:color w:val="auto"/>
        </w:rPr>
      </w:pPr>
    </w:p>
    <w:p>
      <w:pPr>
        <w:ind w:right="320" w:firstLine="921"/>
        <w:spacing w:after="0" w:line="259" w:lineRule="auto"/>
        <w:tabs>
          <w:tab w:leader="none" w:pos="1168"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Company and, to the extent of its borrowings, any relevant Subsidiary Borrower shall repay all outstanding Loans of a Lender on the Termination Date for such Lender under the Facility unless Loans are converted into Converted Term Loans pursuant to Section 2.27, in which case the Company and, to the extent of its borrowings, any relevant Subsidiary Borrower shall repay all outstanding Converted Term Loans of a Lender on the Converted Term Loan Maturity Date.</w:t>
      </w:r>
    </w:p>
    <w:p>
      <w:pPr>
        <w:spacing w:after="0" w:line="79"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Procedure for Borrowing</w:t>
      </w:r>
      <w:r>
        <w:rPr>
          <w:rFonts w:ascii="Arial" w:cs="Arial" w:eastAsia="Arial" w:hAnsi="Arial"/>
          <w:sz w:val="16"/>
          <w:szCs w:val="16"/>
          <w:color w:val="auto"/>
        </w:rPr>
        <w:t xml:space="preserve">. The Company and any Subsidiary Borrower may borrow under the Commitments during the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or the relevant Subsidiary Borrower shall give the Administrative Agent a written Borrowing Request (or telephonic notice promptly confirmed with a written Borrowing Request) prior to (a) in the case of Eurocurrency Loans (i) in the case of requests made by the Company or any Subsidiary Borrower other than GMGTC, 1:00 P.M., New York City time, three Business Days prior to the requested Borrowing Date or</w:t>
      </w:r>
    </w:p>
    <w:p>
      <w:pPr>
        <w:spacing w:after="0" w:line="2" w:lineRule="exact"/>
        <w:rPr>
          <w:sz w:val="20"/>
          <w:szCs w:val="20"/>
          <w:color w:val="auto"/>
        </w:rPr>
      </w:pPr>
    </w:p>
    <w:p>
      <w:pPr>
        <w:ind w:right="40" w:firstLine="8"/>
        <w:spacing w:after="0" w:line="271" w:lineRule="auto"/>
        <w:tabs>
          <w:tab w:leader="none" w:pos="265" w:val="left"/>
        </w:tabs>
        <w:numPr>
          <w:ilvl w:val="0"/>
          <w:numId w:val="495"/>
        </w:numPr>
        <w:rPr>
          <w:rFonts w:ascii="Arial" w:cs="Arial" w:eastAsia="Arial" w:hAnsi="Arial"/>
          <w:sz w:val="17"/>
          <w:szCs w:val="17"/>
          <w:color w:val="auto"/>
        </w:rPr>
      </w:pPr>
      <w:r>
        <w:rPr>
          <w:rFonts w:ascii="Arial" w:cs="Arial" w:eastAsia="Arial" w:hAnsi="Arial"/>
          <w:sz w:val="17"/>
          <w:szCs w:val="17"/>
          <w:color w:val="auto"/>
        </w:rPr>
        <w:t xml:space="preserve">in the case of requests made by GMGTC, 1:00 P.M., London time, three Business Days prior to the requested Borrowing Date or (b) in the case of ABR Loans, 1:00 P.M., New York City time, on the date of the proposed borrowing, specifying (i) the amount and Type of Loans to be borrowed, (ii) the requested Borrowing Date and (iii) in the case of Eurocurrency Loans, the respective lengths of the initial Interest Period(s)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such Borrowing Request submitted by a Subsidiary Borrower shall include the written consent of the Company. If no election as to the Type of a Loan is specified in any such notice, then the requested borrowing shall be an ABR Loan. If no Interest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3" w:right="259" w:bottom="1440" w:gutter="0" w:footer="0" w:header="0"/>
        </w:sectPr>
      </w:pPr>
    </w:p>
    <w:bookmarkStart w:id="506" w:name="page507"/>
    <w:bookmarkEnd w:id="506"/>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Period with respect to a Eurocurrency Loan is specified in any such notice, then the Company or the relevant Subsidiary Borrower shall be deemed to have selected an Interest Period of one month’s duration. Each borrowing under the Commitments shall be in an amount equal to $25 million (or, if the Total Available Commitments at such time are less than $25 million, such lesser amount) or a whole multiple of $5 million in excess thereof. Upon receipt of any such notice from the Company or the relevant Subsidiary Borrower, the Administrative Agent shall promptly notify each Lender thereof. Each Lender will make (or cause its Applicable Lending Office to make) the amount of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each such borrowing available to the Administrative Agent for the account of the Company or the relevant Subsidiary Borrower at the Funding Office prior to 1:00 P.M. (or, in the case of an ABR Loan requested on the proposed Borrowing Date, 3:00 P.M.), New York City time, on the Borrowing Date requested (or deemed requested) by the Company or the relevant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the relevant Subsidiary Borrower may specify to the Administrative Agent with the aggregate of the amounts made available to the Administrative Agent by the Lenders and in like funds as received by the Administrative Agent.</w:t>
      </w:r>
    </w:p>
    <w:p>
      <w:pPr>
        <w:spacing w:after="0" w:line="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84"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Competitive Bid Procedure</w:t>
      </w:r>
      <w:r>
        <w:rPr>
          <w:rFonts w:ascii="Arial" w:cs="Arial" w:eastAsia="Arial" w:hAnsi="Arial"/>
          <w:sz w:val="16"/>
          <w:szCs w:val="16"/>
          <w:color w:val="auto"/>
        </w:rPr>
        <w:t xml:space="preserve">. (a) Subject to the terms and conditions set forth herein, from time to time during the Commitment Period, the Company or any Subsidiary Borrower may request Competitive Bids under the Facility and may (but shall not have any obligation to) accept Competitive Bids and borrow Competitive Loans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that, after giving effect to such borrowing and the use of proceeds thereof, the Total Extensions of Credit shall not exceed the Total Commitments then in effect. To request Competitive Bids under the Facility, the Company or the relevant Subsidiary Borrower shall give the Administrative Agent written notice (or telephonic notice promptly confirmed in writing) by delivery of a Competitive Bid Request not later than 12:00 Noon New York City time (A) four Business Days prior to the requested Borrowing Date, in the case of Eurocurrency Competitive Loans, or (B) one Business Day prior to the requested Borrowing Date, in the case of Fixed Rate Loans. Each such Competitive Bid Request shall specify</w:t>
      </w:r>
    </w:p>
    <w:p>
      <w:pPr>
        <w:spacing w:after="0" w:line="3" w:lineRule="exact"/>
        <w:rPr>
          <w:sz w:val="20"/>
          <w:szCs w:val="20"/>
          <w:color w:val="auto"/>
        </w:rPr>
      </w:pPr>
    </w:p>
    <w:p>
      <w:pPr>
        <w:ind w:right="40" w:firstLine="8"/>
        <w:spacing w:after="0" w:line="254" w:lineRule="auto"/>
        <w:tabs>
          <w:tab w:leader="none" w:pos="255" w:val="left"/>
        </w:tabs>
        <w:numPr>
          <w:ilvl w:val="0"/>
          <w:numId w:val="496"/>
        </w:numPr>
        <w:rPr>
          <w:rFonts w:ascii="Arial" w:cs="Arial" w:eastAsia="Arial" w:hAnsi="Arial"/>
          <w:sz w:val="18"/>
          <w:szCs w:val="18"/>
          <w:color w:val="auto"/>
        </w:rPr>
      </w:pPr>
      <w:r>
        <w:rPr>
          <w:rFonts w:ascii="Arial" w:cs="Arial" w:eastAsia="Arial" w:hAnsi="Arial"/>
          <w:sz w:val="18"/>
          <w:szCs w:val="18"/>
          <w:color w:val="auto"/>
        </w:rPr>
        <w:t xml:space="preserve">that it is a request for Competitive Loans under the Facility, (2) the amount (which shall be a minimum of $50 million) and Type of the requested Competitive Loans, (3) the requested Borrowing Date and (4) the requested Interest Period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or the relevant Subsidiary Borrower may request offers to make Competitive Loans under the Facility for more than one Interest Period or for multiple Types of Competitive Loans under the Facility in a single Competitive Bid Request.</w:t>
      </w:r>
    </w:p>
    <w:p>
      <w:pPr>
        <w:spacing w:after="0" w:line="81" w:lineRule="exact"/>
        <w:rPr>
          <w:rFonts w:ascii="Arial" w:cs="Arial" w:eastAsia="Arial" w:hAnsi="Arial"/>
          <w:sz w:val="18"/>
          <w:szCs w:val="18"/>
          <w:color w:val="auto"/>
        </w:rPr>
      </w:pPr>
    </w:p>
    <w:p>
      <w:pPr>
        <w:ind w:firstLine="921"/>
        <w:spacing w:after="0" w:line="264" w:lineRule="auto"/>
        <w:tabs>
          <w:tab w:leader="none" w:pos="1168" w:val="left"/>
        </w:tabs>
        <w:numPr>
          <w:ilvl w:val="1"/>
          <w:numId w:val="496"/>
        </w:numPr>
        <w:rPr>
          <w:rFonts w:ascii="Arial" w:cs="Arial" w:eastAsia="Arial" w:hAnsi="Arial"/>
          <w:sz w:val="18"/>
          <w:szCs w:val="18"/>
          <w:color w:val="auto"/>
        </w:rPr>
      </w:pPr>
      <w:r>
        <w:rPr>
          <w:rFonts w:ascii="Arial" w:cs="Arial" w:eastAsia="Arial" w:hAnsi="Arial"/>
          <w:sz w:val="18"/>
          <w:szCs w:val="18"/>
          <w:color w:val="auto"/>
        </w:rPr>
        <w:t>Promptly following receipt of a Competitive Bid Request conforming to the requirements of this Section 2.9 (but, in any event, no later than 3:00 P.M. New York City time on the date of receipt thereof), the Administrative Agent shall notify the Lenders of the details thereof, inviting such Lenders to submit Competitive Bids.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507" w:name="page508"/>
    <w:bookmarkEnd w:id="507"/>
    <w:p>
      <w:pPr>
        <w:ind w:left="-8" w:right="100" w:firstLine="921"/>
        <w:spacing w:after="0" w:line="284" w:lineRule="auto"/>
        <w:tabs>
          <w:tab w:leader="none" w:pos="1150" w:val="left"/>
        </w:tabs>
        <w:numPr>
          <w:ilvl w:val="1"/>
          <w:numId w:val="4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Lender under the Facility (or any Applicable Lending Office of such Lender) may (but shall not have any obligation to) make one or more Competitive Bids to the Company in response to a Competitive Bid Request. Each Competitive Bid by a Lender must be substantially in the form of Exhibit C and must be received by the Administrative Agent at its office specified in Section 10.2 not later than 9:30 A.M., New York City time, three Business Days before the proposed Borrowing Date, in the case of Eurocurrency Competitive Loans, or 9:30 A.M., New York City time, on the proposed Borrowing Date, in the case of Fixed Rate Loans. Competitive Bids that do not conform substantially to Exhibit C may be rejected by the Administrative Agent, and the Administrative Agent shall notify the applicable Lender as promptly as practicable if such bid is rejected. Each Competitive Bid shall specify</w:t>
      </w:r>
    </w:p>
    <w:p>
      <w:pPr>
        <w:spacing w:after="0" w:line="4" w:lineRule="exact"/>
        <w:rPr>
          <w:rFonts w:ascii="Arial" w:cs="Arial" w:eastAsia="Arial" w:hAnsi="Arial"/>
          <w:sz w:val="16"/>
          <w:szCs w:val="16"/>
          <w:color w:val="auto"/>
        </w:rPr>
      </w:pPr>
    </w:p>
    <w:p>
      <w:pPr>
        <w:ind w:left="-8" w:firstLine="8"/>
        <w:spacing w:after="0" w:line="252" w:lineRule="auto"/>
        <w:tabs>
          <w:tab w:leader="none" w:pos="207"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principal amount (which shall be a minimum of $5 million and which may equal the entire principal amount of the Competitive Loans requested by the Company or the relevant Subsidiary Borrower)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 A Competitive Bid may set forth up to five separate offers by a quoting Lender with respect to each Interest Period specified in a Competitive Bid Request. A Competitive Bid submitted pursuant to this paragraph (c) shall be irrevocable.</w:t>
      </w:r>
    </w:p>
    <w:p>
      <w:pPr>
        <w:spacing w:after="0" w:line="86" w:lineRule="exact"/>
        <w:rPr>
          <w:rFonts w:ascii="Arial" w:cs="Arial" w:eastAsia="Arial" w:hAnsi="Arial"/>
          <w:sz w:val="18"/>
          <w:szCs w:val="18"/>
          <w:color w:val="auto"/>
        </w:rPr>
      </w:pPr>
    </w:p>
    <w:p>
      <w:pPr>
        <w:ind w:left="-8" w:right="20" w:firstLine="921"/>
        <w:spacing w:after="0" w:line="257" w:lineRule="auto"/>
        <w:tabs>
          <w:tab w:leader="none" w:pos="116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Administrative Agent shall promptly (and, in any event, by no later than 10:00 A.M., New York City time (i) three Business Days before the proposed Borrowing Date, in the case of Eurocurrency Competitive Loans, and (ii) on the proposed Borrowing Date, in the case of Fixed Rate Loans) notify the Company or the relevant Subsidiary Borrower of the Competitive Bid Rate and the principal amount specified in each Competitive Bid and the identity of the Lender that shall have made such Competitive Bid and, as soon as practical thereafter, shall provide the Company with a copy of all Competitive Bids (including rejected bids).</w:t>
      </w:r>
    </w:p>
    <w:p>
      <w:pPr>
        <w:spacing w:after="0" w:line="80" w:lineRule="exact"/>
        <w:rPr>
          <w:rFonts w:ascii="Arial" w:cs="Arial" w:eastAsia="Arial" w:hAnsi="Arial"/>
          <w:sz w:val="18"/>
          <w:szCs w:val="18"/>
          <w:color w:val="auto"/>
        </w:rPr>
      </w:pPr>
    </w:p>
    <w:p>
      <w:pPr>
        <w:ind w:left="-8" w:right="20" w:firstLine="921"/>
        <w:spacing w:after="0" w:line="286" w:lineRule="auto"/>
        <w:tabs>
          <w:tab w:leader="none" w:pos="1150" w:val="left"/>
        </w:tabs>
        <w:numPr>
          <w:ilvl w:val="1"/>
          <w:numId w:val="498"/>
        </w:numPr>
        <w:rPr>
          <w:rFonts w:ascii="Arial" w:cs="Arial" w:eastAsia="Arial" w:hAnsi="Arial"/>
          <w:sz w:val="16"/>
          <w:szCs w:val="16"/>
          <w:color w:val="auto"/>
        </w:rPr>
      </w:pPr>
      <w:r>
        <w:rPr>
          <w:rFonts w:ascii="Arial" w:cs="Arial" w:eastAsia="Arial" w:hAnsi="Arial"/>
          <w:sz w:val="16"/>
          <w:szCs w:val="16"/>
          <w:color w:val="auto"/>
        </w:rPr>
        <w:t>Subject only to the provisions of this paragraph, the Company or the relevant Subsidiary Borrower may accept or reject any Competitive Bid. The Company or the relevant Subsidiary Borrower shall notify the Administrative Agent by telephone, promptly confirmed in writing by delivery of a Competitive Bid Accept/Reject Letter to the Administrative Agent, whether and to what extent it has decided to accept or reject each Competitive Bid not later than 10:30 A.M., New York City time (i) three Business Days before the proposed Borrowing Date, in the case of Eurocurrency Competitive Loans, and</w:t>
      </w:r>
    </w:p>
    <w:p>
      <w:pPr>
        <w:spacing w:after="0" w:line="1" w:lineRule="exact"/>
        <w:rPr>
          <w:rFonts w:ascii="Arial" w:cs="Arial" w:eastAsia="Arial" w:hAnsi="Arial"/>
          <w:sz w:val="16"/>
          <w:szCs w:val="16"/>
          <w:color w:val="auto"/>
        </w:rPr>
      </w:pPr>
    </w:p>
    <w:p>
      <w:pPr>
        <w:ind w:left="-8" w:firstLine="8"/>
        <w:spacing w:after="0" w:line="286" w:lineRule="auto"/>
        <w:tabs>
          <w:tab w:leader="none" w:pos="257" w:val="left"/>
        </w:tabs>
        <w:numPr>
          <w:ilvl w:val="0"/>
          <w:numId w:val="499"/>
        </w:numPr>
        <w:rPr>
          <w:rFonts w:ascii="Arial" w:cs="Arial" w:eastAsia="Arial" w:hAnsi="Arial"/>
          <w:sz w:val="16"/>
          <w:szCs w:val="16"/>
          <w:color w:val="auto"/>
        </w:rPr>
      </w:pPr>
      <w:r>
        <w:rPr>
          <w:rFonts w:ascii="Arial" w:cs="Arial" w:eastAsia="Arial" w:hAnsi="Arial"/>
          <w:sz w:val="16"/>
          <w:szCs w:val="16"/>
          <w:color w:val="auto"/>
        </w:rPr>
        <w:t xml:space="preserve">on the proposed Borrowing Date, in the case of Fixed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failure of the Company or the relevant Subsidiary Borrower to give such notice shall be deemed to be a rejection of each Competitive Bid, (B) the Company or the relevant Subsidiary Borrower shall not accept a Competitive Bid of a particular Type for a particular Interest Period made at a particular Competitive Bid Rate if the Company or such Subsidiary Borrower rejects a Competitive Bid for Loans of such Type and for such Interest Period made at a lower Competitive Bid Rate, (C) the aggregate amount of the Competitive Bids accepted by the Company or the relevant Subsidiary Borrower shall not exceed the aggregate amount of the requested Competitive Loans specified in the related Competitive Bid Request, (D) to the extent necessary to comply with clause (C) above, the Company or the relevant Subsidiary Borrower may accept Competitive Bids at the same Competitive Bid Rate in part, which acceptance, in the case of multiple Competitive Bids at such Competitive Bid Rate, shall be made (as nearly as possible)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 of each such Competitive Bid with such amounts rounded (as nearly as possible) to integral multiples of $1 million, in a manner determined by the Company or the relevant Subsidiary Borrower, and (E) except pursuant to clause (D) above, no Competitive Bid shall be accepted for a Competitive Loan made by a Lender unless such Competitive Loan is in a minimum principal amount of $5 million. A notice given by the Company or the relevant Subsidiary Borrower pursuant to this paragraph shall be irrevocable.</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72"/>
          </w:cols>
          <w:pgMar w:left="248" w:top="273" w:right="279" w:bottom="1440" w:gutter="0" w:footer="0" w:header="0"/>
        </w:sectPr>
      </w:pPr>
    </w:p>
    <w:bookmarkStart w:id="508" w:name="page509"/>
    <w:bookmarkEnd w:id="508"/>
    <w:p>
      <w:pPr>
        <w:ind w:right="60" w:firstLine="921"/>
        <w:spacing w:after="0" w:line="257" w:lineRule="auto"/>
        <w:tabs>
          <w:tab w:leader="none" w:pos="1138" w:val="left"/>
        </w:tabs>
        <w:numPr>
          <w:ilvl w:val="0"/>
          <w:numId w:val="5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promptly (and, in any event, by 11:00 A.M., New York City time (i) three Business Days before the proposed Borrowing Date, in the case of Eurocurrency Competitive Loans, and (ii) on the proposed Borrowing Date, in the case of Fixed Rate Loans) notify each bidding Lender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80" w:lineRule="exact"/>
        <w:rPr>
          <w:rFonts w:ascii="Arial" w:cs="Arial" w:eastAsia="Arial" w:hAnsi="Arial"/>
          <w:sz w:val="18"/>
          <w:szCs w:val="18"/>
          <w:color w:val="auto"/>
        </w:rPr>
      </w:pPr>
    </w:p>
    <w:p>
      <w:pPr>
        <w:jc w:val="both"/>
        <w:ind w:right="140" w:firstLine="921"/>
        <w:spacing w:after="0" w:line="264" w:lineRule="auto"/>
        <w:tabs>
          <w:tab w:leader="none" w:pos="1168" w:val="left"/>
        </w:tabs>
        <w:numPr>
          <w:ilvl w:val="0"/>
          <w:numId w:val="500"/>
        </w:numPr>
        <w:rPr>
          <w:rFonts w:ascii="Arial" w:cs="Arial" w:eastAsia="Arial" w:hAnsi="Arial"/>
          <w:sz w:val="18"/>
          <w:szCs w:val="18"/>
          <w:color w:val="auto"/>
        </w:rPr>
      </w:pPr>
      <w:r>
        <w:rPr>
          <w:rFonts w:ascii="Arial" w:cs="Arial" w:eastAsia="Arial" w:hAnsi="Arial"/>
          <w:sz w:val="18"/>
          <w:szCs w:val="18"/>
          <w:color w:val="auto"/>
        </w:rPr>
        <w:t>If the Administrative Agent shall elect to submit a Competitive Bid in its capacity as a Lender, it shall submit such Competitive Bid directly to the Company or the relevant Subsidiary Borrower at least one half of an hour earlier than the time by which the other Lenders are required to submit their Competitive Bids to the Administrative Agent pursuant to paragraph (c) of this Section 2.9.</w:t>
      </w:r>
    </w:p>
    <w:p>
      <w:pPr>
        <w:spacing w:after="0" w:line="73" w:lineRule="exact"/>
        <w:rPr>
          <w:rFonts w:ascii="Arial" w:cs="Arial" w:eastAsia="Arial" w:hAnsi="Arial"/>
          <w:sz w:val="18"/>
          <w:szCs w:val="18"/>
          <w:color w:val="auto"/>
        </w:rPr>
      </w:pPr>
    </w:p>
    <w:p>
      <w:pPr>
        <w:ind w:firstLine="921"/>
        <w:spacing w:after="0" w:line="277" w:lineRule="auto"/>
        <w:tabs>
          <w:tab w:leader="none" w:pos="1168"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Company or, to the extent of its borrowings, any relevant Subsidiary Borrower shall repay each outstanding Competitive Loan on the last day of the Interest Period therefor.</w:t>
      </w:r>
    </w:p>
    <w:p>
      <w:pPr>
        <w:spacing w:after="0" w:line="62"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Facility Fees, etc.</w:t>
      </w:r>
      <w:r>
        <w:rPr>
          <w:rFonts w:ascii="Arial" w:cs="Arial" w:eastAsia="Arial" w:hAnsi="Arial"/>
          <w:sz w:val="18"/>
          <w:szCs w:val="18"/>
          <w:color w:val="auto"/>
        </w:rPr>
        <w:t xml:space="preserve"> . (a) The Company agrees to pay to the Administrative Agent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for the account of each Lender for the period from and including the Closing Date (or such later date as of which such Lender shall become a Lender) to the date on which all Extensions of Credit of such Lender under the Facility have been paid in full and the Commitments of such Lender under the Facility have been terminated, computed at the Facility Fee Rate on the average daily amount of the Commitments of such Lender (whether used or unused) under the Facility, or, if such Commitments have been terminated, on the daily average Extensions of Credit and Competitive Loans of such Lender under the Facility during the related Fee Payment Period for which payment is made, payable in arrears on each Fee Payment Date, commencing on the first such date to occur after the Closing Date.</w:t>
      </w:r>
    </w:p>
    <w:p>
      <w:pPr>
        <w:spacing w:after="0" w:line="81" w:lineRule="exact"/>
        <w:rPr>
          <w:sz w:val="20"/>
          <w:szCs w:val="20"/>
          <w:color w:val="auto"/>
        </w:rPr>
      </w:pPr>
    </w:p>
    <w:p>
      <w:pPr>
        <w:ind w:right="40" w:firstLine="921"/>
        <w:spacing w:after="0" w:line="277" w:lineRule="auto"/>
        <w:tabs>
          <w:tab w:leader="none" w:pos="1168"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dates as set forth in the Administrative Agent Fee Letter, dated as of February 5, 2018 between the Company and the Administrative Agent.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509" w:name="page510"/>
    <w:bookmarkEnd w:id="509"/>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2.11 </w:t>
      </w:r>
      <w:r>
        <w:rPr>
          <w:rFonts w:ascii="Arial" w:cs="Arial" w:eastAsia="Arial" w:hAnsi="Arial"/>
          <w:sz w:val="17"/>
          <w:szCs w:val="17"/>
          <w:u w:val="single" w:color="auto"/>
          <w:color w:val="auto"/>
        </w:rPr>
        <w:t>Termination and Reduction of Commitments</w:t>
      </w:r>
      <w:r>
        <w:rPr>
          <w:rFonts w:ascii="Arial" w:cs="Arial" w:eastAsia="Arial" w:hAnsi="Arial"/>
          <w:sz w:val="17"/>
          <w:szCs w:val="17"/>
          <w:color w:val="auto"/>
        </w:rPr>
        <w:t>. The Company shall have the right, upon not less than three Business Days’ notice to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to terminate the Commitments under the Facility or, from time to time, to reduce the amount of Commitments under the Facility;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that no such termination or reduction of such Commitments shall be permitted if, after giving effect thereto and to any prepayments of the Loans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made on the effective date thereof, (x) the Total Extensions of Credit would exceed the Total Commitments then in effect or (y) the Extensions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of any Lender would exceed such Lender’s Commitment then in effect. In the event that the Administrative Agent receives such notice,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shall give notice thereof to the relevant Lenders as soon as practicable thereafter. Any such reduction shall be in an amount equal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 million or a whole multiple of $10 million in excess thereof and shall reduce permanently the Commitments then in effect under the Facility. Each notice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delivered by the Company pursuant to this Section 2.11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that a notice to terminate any Commitments delivered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state that such notice is conditioned upon the effectiveness of other credit facilities or a Change of Control, in which case, such notice may be revoked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(by notice to the Administrative Agent on or prior to the specified effective date) if such condition is not satisfied. Notwithstanding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foregoing, the revocation of a termination notice shall not affect the Company’s obligation to indemnify any Lender in accordance with Section 2.22 for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 or expense sustained or incurred as a consequence thereof.</w:t>
      </w:r>
    </w:p>
    <w:p>
      <w:pPr>
        <w:spacing w:after="0" w:line="10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Company and any relevant Subsidiary Borrower may at any time and from time to time prepay the Loans, in whole or in part, without premium or penalty, upon irrevocable notice delivered to the Administrative Agent no later than 1:00 P.M., New York City time, three Business Days prior thereto, in the case of Eurocurrency Loans, and no later than 1:00 P.M., New York City time, on the day of such prepayment, in the case of ABR Loans, in each case which notice shall specify the date and amount of prepayment and whether the prepayment is of Eurocurrency Loans or ABR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 Eurocurrency Loan is prepaid on any day other than the last day of the Interest Period applicable thereto, the Company or the relevant Subsidiary Borrower shall also pay any amounts owing pursuant to Section 2.22 and (b) unless otherwise agreed to between the Company and the relevant Subsidiary Borrower, on the one hand, and the applicable Lender, on the other hand, no Competitive Loan may be prepaid without the consent of the Lender thereof except for any prepayment in connection with a Change of Control or in order to cure an Event of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and no less than $25 million. Optional prepayments of Converted Term Loans may not be reborrowed.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Conversion and Continuation Options</w:t>
      </w:r>
      <w:r>
        <w:rPr>
          <w:rFonts w:ascii="Arial" w:cs="Arial" w:eastAsia="Arial" w:hAnsi="Arial"/>
          <w:sz w:val="18"/>
          <w:szCs w:val="18"/>
          <w:color w:val="auto"/>
        </w:rPr>
        <w:t xml:space="preserve">. (a) The Company or any Subsidiary Borrower may elect from time to time to convert Eurocurrency Loans in Dollars to ABR Loans by giving the Administrative Agent prior irrevocable notice of such election no later than 1:00 P.M., New York City time, on the third Business Day preceding the proposed conversion date,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conversion of Eurocurrency Loans that is not made on the last day of an Interest Period with respect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510" w:name="page511"/>
    <w:bookmarkEnd w:id="51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thereto shall be subject to Section 2.22. The Company or any Subsidiary Borrower may elect from time to time to convert ABR Loans to Eurocurrency Loans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no ABR Loan may be converted into a Eurocurrency Loan when (after giving effect to such Loan and to the application of proceeds thereof) any Event of Default has occurred and is continuing and the Administrative Agent has or the Required Lenders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w:t>
      </w:r>
    </w:p>
    <w:p>
      <w:pPr>
        <w:spacing w:after="0" w:line="59" w:lineRule="exact"/>
        <w:rPr>
          <w:sz w:val="20"/>
          <w:szCs w:val="20"/>
          <w:color w:val="auto"/>
        </w:rPr>
      </w:pPr>
    </w:p>
    <w:p>
      <w:pPr>
        <w:ind w:firstLine="921"/>
        <w:spacing w:after="0" w:line="288" w:lineRule="auto"/>
        <w:tabs>
          <w:tab w:leader="none" w:pos="1168" w:val="left"/>
        </w:tabs>
        <w:numPr>
          <w:ilvl w:val="0"/>
          <w:numId w:val="502"/>
        </w:numPr>
        <w:rPr>
          <w:rFonts w:ascii="Arial" w:cs="Arial" w:eastAsia="Arial" w:hAnsi="Arial"/>
          <w:sz w:val="16"/>
          <w:szCs w:val="16"/>
          <w:color w:val="auto"/>
        </w:rPr>
      </w:pPr>
      <w:r>
        <w:rPr>
          <w:rFonts w:ascii="Arial" w:cs="Arial" w:eastAsia="Arial" w:hAnsi="Arial"/>
          <w:sz w:val="16"/>
          <w:szCs w:val="16"/>
          <w:color w:val="auto"/>
        </w:rPr>
        <w:t xml:space="preserve">Any Eurocurrency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 contrary provision hereof, if (after giving effect to such Loan and to the application of proceeds thereof) an Event of Default has occurred and is continuing and the Administrative Agent, at the request of the Required Lenders or in its sole discretion, so notifies the Company, then, so long as an Event of Default is continuing, other than to the extent repaid, each Eurocurrency Loan under the Facility shall be converted to an ABR Loan at the end of the Interest Period applicable thereto;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or such Subsidiary Borrower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w:t>
      </w:r>
    </w:p>
    <w:p>
      <w:pPr>
        <w:spacing w:after="0" w:line="6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Limitations on Eurocurrency Tranches</w:t>
      </w:r>
      <w:r>
        <w:rPr>
          <w:rFonts w:ascii="Arial" w:cs="Arial" w:eastAsia="Arial" w:hAnsi="Arial"/>
          <w:sz w:val="18"/>
          <w:szCs w:val="18"/>
          <w:color w:val="auto"/>
        </w:rPr>
        <w:t>. Notwithstanding anything to the contrary in this Agreement, all borrowings, conversions and continuations of Eurocurrency Loans and all selections of Interest Periods shall be in such amounts and be made pursuant to such elections so that no more than ten (10) Eurocurrency Tranches shall be outstanding at any one time.</w:t>
      </w:r>
    </w:p>
    <w:p>
      <w:pPr>
        <w:spacing w:after="0" w:line="73" w:lineRule="exact"/>
        <w:rPr>
          <w:sz w:val="20"/>
          <w:szCs w:val="20"/>
          <w:color w:val="auto"/>
        </w:rPr>
      </w:pPr>
    </w:p>
    <w:p>
      <w:pPr>
        <w:ind w:right="400" w:firstLine="913"/>
        <w:spacing w:after="0" w:line="308"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Interest Rates and Payment Dates</w:t>
      </w:r>
      <w:r>
        <w:rPr>
          <w:rFonts w:ascii="Arial" w:cs="Arial" w:eastAsia="Arial" w:hAnsi="Arial"/>
          <w:sz w:val="17"/>
          <w:szCs w:val="17"/>
          <w:color w:val="auto"/>
        </w:rPr>
        <w:t xml:space="preserve">. (a) Each Eurocurrency Loan shall bear interest for each day during each Interest Period with respect thereto at a rate per annum equal to the Eurocurrency Rate determined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w:t>
      </w:r>
    </w:p>
    <w:p>
      <w:pPr>
        <w:spacing w:after="0" w:line="38" w:lineRule="exact"/>
        <w:rPr>
          <w:sz w:val="20"/>
          <w:szCs w:val="20"/>
          <w:color w:val="auto"/>
        </w:rPr>
      </w:pPr>
    </w:p>
    <w:p>
      <w:pPr>
        <w:ind w:right="100" w:firstLine="921"/>
        <w:spacing w:after="0" w:line="277" w:lineRule="auto"/>
        <w:tabs>
          <w:tab w:leader="none" w:pos="1168"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xml:space="preserve">Each Eurocurrency Competitive Loan shall bear interest at a rate per annum equal to the Eurocurrency Rate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minus, as applicable) the Margin.</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xml:space="preserve">Each ABR Loan shall bear interest at a rate per annum equal to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Each Fixed Rate Loan shall bear interest at the fixed rate applicable to such Loan.</w:t>
      </w:r>
    </w:p>
    <w:p>
      <w:pPr>
        <w:spacing w:after="0" w:line="117" w:lineRule="exact"/>
        <w:rPr>
          <w:rFonts w:ascii="Arial" w:cs="Arial" w:eastAsia="Arial" w:hAnsi="Arial"/>
          <w:sz w:val="18"/>
          <w:szCs w:val="18"/>
          <w:color w:val="auto"/>
        </w:rPr>
      </w:pPr>
    </w:p>
    <w:p>
      <w:pPr>
        <w:ind w:right="100" w:firstLine="921"/>
        <w:spacing w:after="0" w:line="259" w:lineRule="auto"/>
        <w:tabs>
          <w:tab w:leader="none" w:pos="1158"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xml:space="preserve">(i)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2.16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and (ii) if all or a portion of any interest payable on any Loan or any Facility Fee payable hereunder shall not be paid when due (whether at the stated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3" w:right="259" w:bottom="1440" w:gutter="0" w:footer="0" w:header="0"/>
        </w:sectPr>
      </w:pPr>
    </w:p>
    <w:bookmarkStart w:id="511" w:name="page512"/>
    <w:bookmarkEnd w:id="511"/>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maturity, by acceleration or otherwise), such overdue amount shall bear interest at a rate per annum equal to the rate then applicable to ABR Loans, in each case, with respect to clauses (i) and (ii) above, from the date of such nonpayment until such amount is paid in full (as well after as before judgment).</w:t>
      </w:r>
    </w:p>
    <w:p>
      <w:pPr>
        <w:spacing w:after="0" w:line="16" w:lineRule="exact"/>
        <w:rPr>
          <w:sz w:val="20"/>
          <w:szCs w:val="20"/>
          <w:color w:val="auto"/>
        </w:rPr>
      </w:pPr>
    </w:p>
    <w:p>
      <w:pPr>
        <w:ind w:right="20" w:firstLine="921"/>
        <w:spacing w:after="0" w:line="277" w:lineRule="auto"/>
        <w:tabs>
          <w:tab w:leader="none" w:pos="1138" w:val="left"/>
        </w:tabs>
        <w:numPr>
          <w:ilvl w:val="0"/>
          <w:numId w:val="504"/>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interest accruing pursuant to Section 2.16(e) shall be payable from time to time on demand.</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All interest hereunder shall be paid in Dollars.</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(a) Interest and fees payable pursuant hereto shall be calculated on the basis of a 360-day year for the actual days elapsed, except that interest computed by reference to ABR at times when ABR is based on the Prime Rate shall be computed on the basis of a year of 365 days (or 366 days in a leap year), and shall be payable for the actual number of days elapsed. The Administrative Agent shall as soon as practicable notify the Company or relevant Subsidiary Borrower and the Lenders of each determination of a Eurocurrency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w:t>
      </w:r>
    </w:p>
    <w:p>
      <w:pPr>
        <w:spacing w:after="0" w:line="70" w:lineRule="exact"/>
        <w:rPr>
          <w:sz w:val="20"/>
          <w:szCs w:val="20"/>
          <w:color w:val="auto"/>
        </w:rPr>
      </w:pPr>
    </w:p>
    <w:p>
      <w:pPr>
        <w:jc w:val="both"/>
        <w:ind w:right="80" w:firstLine="921"/>
        <w:spacing w:after="0" w:line="259" w:lineRule="auto"/>
        <w:tabs>
          <w:tab w:leader="none" w:pos="1168" w:val="left"/>
        </w:tabs>
        <w:numPr>
          <w:ilvl w:val="0"/>
          <w:numId w:val="505"/>
        </w:numPr>
        <w:rPr>
          <w:rFonts w:ascii="Arial" w:cs="Arial" w:eastAsia="Arial" w:hAnsi="Arial"/>
          <w:sz w:val="18"/>
          <w:szCs w:val="18"/>
          <w:color w:val="auto"/>
        </w:rPr>
      </w:pPr>
      <w:r>
        <w:rPr>
          <w:rFonts w:ascii="Arial" w:cs="Arial" w:eastAsia="Arial" w:hAnsi="Arial"/>
          <w:sz w:val="18"/>
          <w:szCs w:val="18"/>
          <w:color w:val="auto"/>
        </w:rPr>
        <w:t>Each determination of an interest rate by the Administrative Agent pursuant to any provision of this Agreement or any other Loan Document shall be conclusive and binding on the Company, any Subsidiary Borrower and the Lenders in the absence of manifest error. The Administrative Agent shall, at the request of the Company or any Subsidiary Borrower, deliver to the Company or such Subsidiary Borrower a statement showing the quotations used by the Administrative Agent in determining any interest rate pursuant to Section 2.17(a).</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Inability to Determine Interest Rate; Illegality</w:t>
      </w:r>
      <w:r>
        <w:rPr>
          <w:rFonts w:ascii="Arial" w:cs="Arial" w:eastAsia="Arial" w:hAnsi="Arial"/>
          <w:sz w:val="18"/>
          <w:szCs w:val="18"/>
          <w:color w:val="auto"/>
        </w:rPr>
        <w:t>. (a) If prior to the first day of any Interest Period:</w:t>
      </w:r>
    </w:p>
    <w:p>
      <w:pPr>
        <w:spacing w:after="0" w:line="117" w:lineRule="exact"/>
        <w:rPr>
          <w:sz w:val="20"/>
          <w:szCs w:val="20"/>
          <w:color w:val="auto"/>
        </w:rPr>
      </w:pPr>
    </w:p>
    <w:p>
      <w:pPr>
        <w:jc w:val="both"/>
        <w:ind w:right="680" w:firstLine="921"/>
        <w:spacing w:after="0" w:line="264" w:lineRule="auto"/>
        <w:tabs>
          <w:tab w:leader="none" w:pos="1128"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Company or relevant Subsidiary Borrower) that, by reason of circumstances affecting the relevant market, adequate and reasonable means do not exist for ascertaining the Eurocurrency Rate for such Interest Period; or</w:t>
      </w:r>
    </w:p>
    <w:p>
      <w:pPr>
        <w:spacing w:after="0" w:line="73" w:lineRule="exact"/>
        <w:rPr>
          <w:rFonts w:ascii="Arial" w:cs="Arial" w:eastAsia="Arial" w:hAnsi="Arial"/>
          <w:sz w:val="18"/>
          <w:szCs w:val="18"/>
          <w:color w:val="auto"/>
        </w:rPr>
      </w:pPr>
    </w:p>
    <w:p>
      <w:pPr>
        <w:jc w:val="both"/>
        <w:ind w:right="200" w:firstLine="921"/>
        <w:spacing w:after="0" w:line="264" w:lineRule="auto"/>
        <w:tabs>
          <w:tab w:leader="none" w:pos="1178"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Required Lenders that the Eurocurrency Rate determined or to be determined for such Interest Period will not adequately and fairly reflect the cost to such Lenders (as conclusively certified by such Lenders) of making or maintaining their affected Loans during such Interest Period;</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Administrative Agent shall give notice thereof to the Company and any relevant Subsidiary Borrower and the relevant Lenders as soon as practicable thereafter. If any such notice is given pursuant to clause (i) or (ii) of this Section 2.18(a) in respect of Eurocurrency Loans,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under the Facility requested to be made on the first day of such Interest Period shall be made as ABR Loans, (2) any ABR Loans that were to have been converted on the first day of such Interest Period to Eurocurrency Loans shall be continued as ABR Loans and (3) any outstanding Eurocurrency Loans shall be converted, on the last day of the then-current Interest Period, to ABR Loans.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3" w:right="259" w:bottom="1440" w:gutter="0" w:footer="0" w:header="0"/>
        </w:sectPr>
      </w:pPr>
    </w:p>
    <w:bookmarkStart w:id="512" w:name="page513"/>
    <w:bookmarkEnd w:id="512"/>
    <w:p>
      <w:pPr>
        <w:ind w:right="20" w:firstLine="921"/>
        <w:spacing w:after="0" w:line="270" w:lineRule="auto"/>
        <w:tabs>
          <w:tab w:leader="none" w:pos="1168" w:val="left"/>
        </w:tabs>
        <w:numPr>
          <w:ilvl w:val="0"/>
          <w:numId w:val="5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adoption of or any change in any Requirement of Law or in the interpretation or application thereof, in each case, made subsequent to the Closing Date, shall make it unlawful for any Lender to make or maintain Eurocurrency Loans as contemplated by this Agreement, such Lender shall give notice thereof to the Administrative Agent, the Company and any affected Subsidiary Borrower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continue such Eurocurrency Loans as such and convert ABR Loans to Eurocurrency Loans shall forthwith be cancelled and (ii) such Lender’s outstanding Eurocurrency Loans shall be converted automatically on the last day of the then current Interest Periods with respect to such Loans (or within such earlier period as shall be required by law) to ABR Loans. If any such conversion or prepayment of a Eurocurrency Loan occurs on a day which is not the last day of the then current Interest Period with respect thereto, the Company or relevant Subsidiary Borrower shall pay to any Lender whose Loan is converted or prepaid such amounts, if any, as may be required pursuant to Section 2.22.</w:t>
      </w:r>
    </w:p>
    <w:p>
      <w:pPr>
        <w:spacing w:after="0" w:line="69" w:lineRule="exact"/>
        <w:rPr>
          <w:rFonts w:ascii="Arial" w:cs="Arial" w:eastAsia="Arial" w:hAnsi="Arial"/>
          <w:sz w:val="17"/>
          <w:szCs w:val="17"/>
          <w:color w:val="auto"/>
        </w:rPr>
      </w:pPr>
    </w:p>
    <w:p>
      <w:pPr>
        <w:ind w:right="60" w:firstLine="921"/>
        <w:spacing w:after="0" w:line="285" w:lineRule="auto"/>
        <w:tabs>
          <w:tab w:leader="none" w:pos="1158" w:val="left"/>
        </w:tabs>
        <w:numPr>
          <w:ilvl w:val="0"/>
          <w:numId w:val="507"/>
        </w:numPr>
        <w:rPr>
          <w:rFonts w:ascii="Arial" w:cs="Arial" w:eastAsia="Arial" w:hAnsi="Arial"/>
          <w:sz w:val="16"/>
          <w:szCs w:val="16"/>
          <w:color w:val="auto"/>
        </w:rPr>
      </w:pPr>
      <w:r>
        <w:rPr>
          <w:rFonts w:ascii="Arial" w:cs="Arial" w:eastAsia="Arial" w:hAnsi="Arial"/>
          <w:sz w:val="16"/>
          <w:szCs w:val="16"/>
          <w:color w:val="auto"/>
        </w:rPr>
        <w:t xml:space="preserve">If at any time the Administrative Agent determines (which determination shall be conclusive and binding upon the Company or relevant Subsidiary Borrower) that (i) the circumstances set forth in clause (a)(i) have arisen and such circumstances are unlikely to be temporary or (ii) the circumstances set forth in clause (a)(i) have not arisen but the supervisor for the administrator of the Screen Rate or a Governmental Authority having jurisdiction over the Administrative Agent has made a public statement identifying a specific date after which the Screen Rate shall no longer be used for determining interest rates for loans, then the Administrative Agent and the Company shall use their commercially reasonable efforts to endeavor to promptly establish an alternate rate of interest to the Eurocurrency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changes will not include a reduction in the Applicable Margin). Notwithstanding anything to the contrary in Section 10.1,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alternate rate of interest shall be less than zero, such rate shall be deemed to be zero for the purposes of this Agreement. Until an alternate rate of interest shall be determined in accordance with this clause (c) (but, only to the extent the Screen Rate for such Interest Period is not available or published at such time on a current basis), (A) any notice that requests the conversion of any Loans to, or continuation of any Loans as, Eurocurrency Loans shall be ineffective, (B) if any Borrowing Request requests a Eurocurrency Loan, such Loan shall be made as an ABR Loan and (C) any request by the Borrower for a Eurocurrency Competitive Loan shall be ineffective.</w:t>
      </w:r>
    </w:p>
    <w:p>
      <w:pPr>
        <w:spacing w:after="0" w:line="7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2.19 </w:t>
      </w:r>
      <w:r>
        <w:rPr>
          <w:rFonts w:ascii="Arial" w:cs="Arial" w:eastAsia="Arial" w:hAnsi="Arial"/>
          <w:sz w:val="17"/>
          <w:szCs w:val="17"/>
          <w:u w:val="single" w:color="auto"/>
          <w:color w:val="auto"/>
        </w:rPr>
        <w:t>Pro Rata Treatment and Payments; Evidence of Debt</w:t>
      </w:r>
      <w:r>
        <w:rPr>
          <w:rFonts w:ascii="Arial" w:cs="Arial" w:eastAsia="Arial" w:hAnsi="Arial"/>
          <w:sz w:val="17"/>
          <w:szCs w:val="17"/>
          <w:color w:val="auto"/>
        </w:rPr>
        <w:t xml:space="preserve">. (a) Each borrowing of Loans under the Facility by the Company or any Subsidiary Borrower from the Lenders under the Facility, each payment by the Company or any Subsidiary Borrower on account of any Facility Fee and any reduction of the Commitments of the Lenders under the Facility shall be made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according to the respective Percentages under the Facility, of the relevant Lenders in the Facility except to the extent required or permitted pursuant to Sections 2.9, 2.11, 2.24 and 2.25.</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3" w:right="239" w:bottom="1440" w:gutter="0" w:footer="0" w:header="0"/>
        </w:sectPr>
      </w:pPr>
    </w:p>
    <w:bookmarkStart w:id="513" w:name="page514"/>
    <w:bookmarkEnd w:id="513"/>
    <w:p>
      <w:pPr>
        <w:ind w:left="-8" w:right="20" w:firstLine="921"/>
        <w:spacing w:after="0" w:line="259" w:lineRule="auto"/>
        <w:tabs>
          <w:tab w:leader="none" w:pos="1160" w:val="left"/>
        </w:tabs>
        <w:numPr>
          <w:ilvl w:val="1"/>
          <w:numId w:val="5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payment (including each prepayment) by the Company or any Subsidiary Borrower on account of principal of and interest on the Loans under the Facility shall be made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to the Lenders under the Facility according to the respective outstanding principal amounts of the Loans under the Facility then held by the Lenders under the Facility except to the extent required or permitted pursuant to Sections 2.9, 2.11, 2.24 and 2.25. Each such payment shall be paid in Dollars.</w:t>
      </w:r>
    </w:p>
    <w:p>
      <w:pPr>
        <w:spacing w:after="0" w:line="78" w:lineRule="exact"/>
        <w:rPr>
          <w:rFonts w:ascii="Arial" w:cs="Arial" w:eastAsia="Arial" w:hAnsi="Arial"/>
          <w:sz w:val="18"/>
          <w:szCs w:val="18"/>
          <w:color w:val="auto"/>
        </w:rPr>
      </w:pPr>
    </w:p>
    <w:p>
      <w:pPr>
        <w:ind w:left="-8" w:right="40" w:firstLine="921"/>
        <w:spacing w:after="0" w:line="270" w:lineRule="auto"/>
        <w:tabs>
          <w:tab w:leader="none" w:pos="1150" w:val="left"/>
        </w:tabs>
        <w:numPr>
          <w:ilvl w:val="1"/>
          <w:numId w:val="508"/>
        </w:numPr>
        <w:rPr>
          <w:rFonts w:ascii="Arial" w:cs="Arial" w:eastAsia="Arial" w:hAnsi="Arial"/>
          <w:sz w:val="17"/>
          <w:szCs w:val="17"/>
          <w:color w:val="auto"/>
        </w:rPr>
      </w:pPr>
      <w:r>
        <w:rPr>
          <w:rFonts w:ascii="Arial" w:cs="Arial" w:eastAsia="Arial" w:hAnsi="Arial"/>
          <w:sz w:val="17"/>
          <w:szCs w:val="17"/>
          <w:color w:val="auto"/>
        </w:rPr>
        <w:t>All payments (including prepayments) to be made by the Company or any Subsidiary Borrower hereunder, whether on account of principal, interest, fees or otherwise, shall be made without setoff or counterclaim and shall be made prior to 3:00 P.M., New York time, on the due date thereof to the Administrative Agent, for the account of the applicable Lenders, at the Funding Office, in Dollars and in immediately available funds.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69" w:lineRule="exact"/>
        <w:rPr>
          <w:rFonts w:ascii="Arial" w:cs="Arial" w:eastAsia="Arial" w:hAnsi="Arial"/>
          <w:sz w:val="17"/>
          <w:szCs w:val="17"/>
          <w:color w:val="auto"/>
        </w:rPr>
      </w:pPr>
    </w:p>
    <w:p>
      <w:pPr>
        <w:ind w:left="-8" w:right="60" w:firstLine="921"/>
        <w:spacing w:after="0" w:line="285" w:lineRule="auto"/>
        <w:tabs>
          <w:tab w:leader="none" w:pos="1160" w:val="left"/>
        </w:tabs>
        <w:numPr>
          <w:ilvl w:val="1"/>
          <w:numId w:val="508"/>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at a rate up to the greater of</w:t>
      </w:r>
    </w:p>
    <w:p>
      <w:pPr>
        <w:spacing w:after="0" w:line="2" w:lineRule="exact"/>
        <w:rPr>
          <w:rFonts w:ascii="Arial" w:cs="Arial" w:eastAsia="Arial" w:hAnsi="Arial"/>
          <w:sz w:val="16"/>
          <w:szCs w:val="16"/>
          <w:color w:val="auto"/>
        </w:rPr>
      </w:pPr>
    </w:p>
    <w:p>
      <w:pPr>
        <w:ind w:left="-8" w:firstLine="8"/>
        <w:spacing w:after="0" w:line="252" w:lineRule="auto"/>
        <w:tabs>
          <w:tab w:leader="none" w:pos="207"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Federal Funds Effective Rate and (ii) a rate reasonably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Facility, on demand, from the Company or the relevant Subsidiary Borrower.</w:t>
      </w:r>
    </w:p>
    <w:p>
      <w:pPr>
        <w:spacing w:after="0" w:line="86" w:lineRule="exact"/>
        <w:rPr>
          <w:rFonts w:ascii="Arial" w:cs="Arial" w:eastAsia="Arial" w:hAnsi="Arial"/>
          <w:sz w:val="18"/>
          <w:szCs w:val="18"/>
          <w:color w:val="auto"/>
        </w:rPr>
      </w:pPr>
    </w:p>
    <w:p>
      <w:pPr>
        <w:ind w:left="-8" w:firstLine="921"/>
        <w:spacing w:after="0" w:line="290" w:lineRule="auto"/>
        <w:tabs>
          <w:tab w:leader="none" w:pos="1150" w:val="left"/>
        </w:tabs>
        <w:numPr>
          <w:ilvl w:val="1"/>
          <w:numId w:val="509"/>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been notified in writing by the Company or relevant Subsidiary Borrower prior to the date of any payment due to be made by the Company or such Subsidiary Borrower under the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the Facility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such amount with interest thereon at the rate per annum equal to the daily average Federal Funds Effective Rate. Nothing herein shall be deemed to limit the rights of the Administrative Agent or any Lender against the Company or any Subsidiary Borrower.</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72"/>
          </w:cols>
          <w:pgMar w:left="248" w:top="274" w:right="279" w:bottom="1440" w:gutter="0" w:footer="0" w:header="0"/>
        </w:sectPr>
      </w:pPr>
    </w:p>
    <w:bookmarkStart w:id="514" w:name="page515"/>
    <w:bookmarkEnd w:id="514"/>
    <w:p>
      <w:pPr>
        <w:ind w:right="100" w:firstLine="921"/>
        <w:spacing w:after="0" w:line="264" w:lineRule="auto"/>
        <w:tabs>
          <w:tab w:leader="none" w:pos="1138" w:val="left"/>
        </w:tabs>
        <w:numPr>
          <w:ilvl w:val="0"/>
          <w:numId w:val="5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73" w:lineRule="exact"/>
        <w:rPr>
          <w:rFonts w:ascii="Arial" w:cs="Arial" w:eastAsia="Arial" w:hAnsi="Arial"/>
          <w:sz w:val="18"/>
          <w:szCs w:val="18"/>
          <w:color w:val="auto"/>
        </w:rPr>
      </w:pPr>
    </w:p>
    <w:p>
      <w:pPr>
        <w:ind w:firstLine="921"/>
        <w:spacing w:after="0" w:line="312" w:lineRule="auto"/>
        <w:tabs>
          <w:tab w:leader="none" w:pos="1168" w:val="left"/>
        </w:tabs>
        <w:numPr>
          <w:ilvl w:val="0"/>
          <w:numId w:val="510"/>
        </w:numPr>
        <w:rPr>
          <w:rFonts w:ascii="Arial" w:cs="Arial" w:eastAsia="Arial" w:hAnsi="Arial"/>
          <w:sz w:val="16"/>
          <w:szCs w:val="16"/>
          <w:color w:val="auto"/>
        </w:rPr>
      </w:pPr>
      <w:r>
        <w:rPr>
          <w:rFonts w:ascii="Arial" w:cs="Arial" w:eastAsia="Arial" w:hAnsi="Arial"/>
          <w:sz w:val="16"/>
          <w:szCs w:val="16"/>
          <w:color w:val="auto"/>
        </w:rPr>
        <w:t>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Arial" w:cs="Arial" w:eastAsia="Arial" w:hAnsi="Arial"/>
          <w:sz w:val="16"/>
          <w:szCs w:val="16"/>
          <w:u w:val="single" w:color="auto"/>
          <w:color w:val="auto"/>
        </w:rPr>
        <w:t>Note</w:t>
      </w:r>
      <w:r>
        <w:rPr>
          <w:rFonts w:ascii="Arial" w:cs="Arial" w:eastAsia="Arial" w:hAnsi="Arial"/>
          <w:sz w:val="16"/>
          <w:szCs w:val="16"/>
          <w:color w:val="auto"/>
        </w:rPr>
        <w:t>”), with appropriate insertions as to date and principal amount.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Except with respect to Competitive Loans to which this Section 2.20 shall not apply: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If any Change in Law shall:</w:t>
      </w:r>
    </w:p>
    <w:p>
      <w:pPr>
        <w:spacing w:after="0" w:line="117" w:lineRule="exact"/>
        <w:rPr>
          <w:sz w:val="20"/>
          <w:szCs w:val="20"/>
          <w:color w:val="auto"/>
        </w:rPr>
      </w:pPr>
    </w:p>
    <w:p>
      <w:pPr>
        <w:ind w:right="60" w:firstLine="921"/>
        <w:spacing w:after="0" w:line="264" w:lineRule="auto"/>
        <w:tabs>
          <w:tab w:leader="none" w:pos="112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impose on such Lender or any London Interbank market any other condition;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and the result of any of the foregoing is to increase the cost to the Administrative Agent or such Lender (or its affiliate, as the case may be), by an amount that the Administrative Agent or such Lender reasonably deems material, of making, converting into, continuing or maintaining Eurocurrency Loans or to reduce any amount receivable hereunder in respect thereof, then, in any such case, the Company and any relevant Subsidiary Borrower shall pay the Administrative Agent or such Lender, within 15 Business Days of receipt of notice from the Administrative Agent or the relevant Lender as described below, any additional amounts 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w:t>
      </w:r>
    </w:p>
    <w:p>
      <w:pPr>
        <w:spacing w:after="0" w:line="74" w:lineRule="exact"/>
        <w:rPr>
          <w:sz w:val="20"/>
          <w:szCs w:val="20"/>
          <w:color w:val="auto"/>
        </w:rPr>
      </w:pPr>
    </w:p>
    <w:p>
      <w:pPr>
        <w:ind w:right="100" w:firstLine="921"/>
        <w:spacing w:after="0" w:line="290" w:lineRule="auto"/>
        <w:tabs>
          <w:tab w:leader="none" w:pos="1168" w:val="left"/>
        </w:tabs>
        <w:numPr>
          <w:ilvl w:val="0"/>
          <w:numId w:val="512"/>
        </w:numPr>
        <w:rPr>
          <w:rFonts w:ascii="Arial" w:cs="Arial" w:eastAsia="Arial" w:hAnsi="Arial"/>
          <w:sz w:val="16"/>
          <w:szCs w:val="16"/>
          <w:color w:val="auto"/>
        </w:rPr>
      </w:pPr>
      <w:r>
        <w:rPr>
          <w:rFonts w:ascii="Arial" w:cs="Arial" w:eastAsia="Arial" w:hAnsi="Arial"/>
          <w:sz w:val="16"/>
          <w:szCs w:val="16"/>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515" w:name="page516"/>
    <w:bookmarkEnd w:id="515"/>
    <w:p>
      <w:pPr>
        <w:ind w:firstLine="921"/>
        <w:spacing w:after="0" w:line="287" w:lineRule="auto"/>
        <w:tabs>
          <w:tab w:leader="none" w:pos="1158" w:val="left"/>
        </w:tabs>
        <w:numPr>
          <w:ilvl w:val="0"/>
          <w:numId w:val="5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certificate as to any additional amounts payable pursuant to this Section 2.20 submitted by the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under any obligation to verify any such request of a Lender) and (ii) the Company and any relevant Subsidiary Borrower shall not be required to compensate the Administrative Agent or a Lender pursuant to this Section 2.20 for any amounts incurred more than 90 days prior to the date that the Administrative Agent or such Lender notifies the Company or relevant Subsidiary Borrower of the Administrative Agent’s or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w:t>
      </w:r>
    </w:p>
    <w:p>
      <w:pPr>
        <w:spacing w:after="0" w:line="61"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Taxes</w:t>
      </w:r>
      <w:r>
        <w:rPr>
          <w:rFonts w:ascii="Arial" w:cs="Arial" w:eastAsia="Arial" w:hAnsi="Arial"/>
          <w:sz w:val="17"/>
          <w:szCs w:val="17"/>
          <w:color w:val="auto"/>
        </w:rPr>
        <w:t>. (a) All payments made by or on behalf of any Loan Party under this Agreement (other than in respect of any Competitive Loans as to which this Section 2.21(a) shall not apply) or any other Loan Document shall be made free and clear of, and without deduction or withholding for or on account of, any present or future Taxes, excluding (i) Taxes imposed on or measured by income or profits (including franchise taxes imposed in lieu of or in addition to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 (i) above and (iii) any Taxes imposed by reason of FATCA (any such non-excluded Taxes, “</w:t>
      </w:r>
      <w:r>
        <w:rPr>
          <w:rFonts w:ascii="Arial" w:cs="Arial" w:eastAsia="Arial" w:hAnsi="Arial"/>
          <w:sz w:val="17"/>
          <w:szCs w:val="17"/>
          <w:u w:val="single" w:color="auto"/>
          <w:color w:val="auto"/>
        </w:rPr>
        <w:t>Non-Excluded Taxes</w:t>
      </w:r>
      <w:r>
        <w:rPr>
          <w:rFonts w:ascii="Arial" w:cs="Arial" w:eastAsia="Arial" w:hAnsi="Arial"/>
          <w:sz w:val="17"/>
          <w:szCs w:val="17"/>
          <w:color w:val="auto"/>
        </w:rPr>
        <w:t xml:space="preserve">”). If any Taxes are required to be withheld from any amounts payable to the Administrative Agent or any Lender under any Loan Document, as determined in good faith by the applicable withholding agent or by the relevant Borrower, to the extent there is no withholding agent, the applicable withholding agent or the relevant Borrower shall make such deductions and shall pay the full amount deducted to the relevant Governmental Authority in accordance with applicable laws. In the case of any Non-Excluded Taxes or Other Taxes, the amounts so payable by the applicable Loan Party to the Administrative Agent or such Lender shall be increased to the extent necessary to yield to the Administrative Agent or such Lender (after payment of all Non-Excluded Taxes and Other Taxes) an amount equal to the sum which would have been received had no such deduction or withholding been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Loan Party shall be required to increase any such amounts payable to the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7"/>
          <w:szCs w:val="17"/>
          <w:u w:val="single" w:color="auto"/>
          <w:color w:val="auto"/>
        </w:rPr>
        <w:t>Change in Tax Law</w:t>
      </w:r>
      <w:r>
        <w:rPr>
          <w:rFonts w:ascii="Arial" w:cs="Arial" w:eastAsia="Arial" w:hAnsi="Arial"/>
          <w:sz w:val="17"/>
          <w:szCs w:val="17"/>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3" w:right="259" w:bottom="1440" w:gutter="0" w:footer="0" w:header="0"/>
        </w:sectPr>
      </w:pPr>
    </w:p>
    <w:bookmarkStart w:id="516" w:name="page517"/>
    <w:bookmarkEnd w:id="51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such Non-Excluded Taxes pursuant to this Section 2.21. Notwithstanding anything to the contrary herein, neither the Company nor any Subsidiary Borrower shall be required to increase any amounts payable to the Administrative Agent or any Lender with respect to any Non-Excluded Taxes that are attributable to such Person’s failure to comply with the requirements of paragraph (d) or (f) of this Section 2.21 except as such failure relates to a Change in Tax Law rendering such Person legally unable to comply.</w:t>
      </w:r>
    </w:p>
    <w:p>
      <w:pPr>
        <w:spacing w:after="0" w:line="79" w:lineRule="exact"/>
        <w:rPr>
          <w:sz w:val="20"/>
          <w:szCs w:val="20"/>
          <w:color w:val="auto"/>
        </w:rPr>
      </w:pPr>
    </w:p>
    <w:p>
      <w:pPr>
        <w:ind w:left="1180" w:hanging="259"/>
        <w:spacing w:after="0"/>
        <w:tabs>
          <w:tab w:leader="none" w:pos="118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In addition, each Loan Party shall pay any Other Taxes over to the relevant Governmental Authority in accordance with applicable law.</w:t>
      </w:r>
    </w:p>
    <w:p>
      <w:pPr>
        <w:spacing w:after="0" w:line="128" w:lineRule="exact"/>
        <w:rPr>
          <w:rFonts w:ascii="Arial" w:cs="Arial" w:eastAsia="Arial" w:hAnsi="Arial"/>
          <w:sz w:val="17"/>
          <w:szCs w:val="17"/>
          <w:color w:val="auto"/>
        </w:rPr>
      </w:pPr>
    </w:p>
    <w:p>
      <w:pPr>
        <w:ind w:firstLine="921"/>
        <w:spacing w:after="0" w:line="269" w:lineRule="auto"/>
        <w:tabs>
          <w:tab w:leader="none" w:pos="1158" w:val="left"/>
        </w:tabs>
        <w:numPr>
          <w:ilvl w:val="0"/>
          <w:numId w:val="514"/>
        </w:numPr>
        <w:rPr>
          <w:rFonts w:ascii="Arial" w:cs="Arial" w:eastAsia="Arial" w:hAnsi="Arial"/>
          <w:sz w:val="17"/>
          <w:szCs w:val="17"/>
          <w:color w:val="auto"/>
        </w:rPr>
      </w:pPr>
      <w:r>
        <w:rPr>
          <w:rFonts w:ascii="Arial" w:cs="Arial" w:eastAsia="Arial" w:hAnsi="Arial"/>
          <w:sz w:val="17"/>
          <w:szCs w:val="17"/>
          <w:color w:val="auto"/>
        </w:rPr>
        <w:t>Whenever any Non-Excluded Taxes or Other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Non-Excluded Taxes or Other Taxes when due to the appropriate taxing authority, (ii) any Loan Party fails to remit to the Administrative Agent the required receipts or other required documentary evidence or (iii) any Non-Excluded Taxes or Other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or such Lender (as the case may be) makes a written demand therefor (together with a reasonably detailed calculation of such amounts). The UK Borrower shall not be required to indemnify the Administrative Agent or the Lenders for any amount which would have been compensated for by an increased payment pursuant to Section 2.21(a) but was not so compensated solely because one of the exclusions in Section 2.21(e)(ii) applied.</w:t>
      </w:r>
    </w:p>
    <w:p>
      <w:pPr>
        <w:spacing w:after="0" w:line="71" w:lineRule="exact"/>
        <w:rPr>
          <w:rFonts w:ascii="Arial" w:cs="Arial" w:eastAsia="Arial" w:hAnsi="Arial"/>
          <w:sz w:val="17"/>
          <w:szCs w:val="17"/>
          <w:color w:val="auto"/>
        </w:rPr>
      </w:pPr>
    </w:p>
    <w:p>
      <w:pPr>
        <w:ind w:right="80" w:firstLine="921"/>
        <w:spacing w:after="0" w:line="268" w:lineRule="auto"/>
        <w:tabs>
          <w:tab w:leader="none" w:pos="1168" w:val="left"/>
        </w:tabs>
        <w:numPr>
          <w:ilvl w:val="0"/>
          <w:numId w:val="514"/>
        </w:numPr>
        <w:rPr>
          <w:rFonts w:ascii="Arial" w:cs="Arial" w:eastAsia="Arial" w:hAnsi="Arial"/>
          <w:sz w:val="17"/>
          <w:szCs w:val="17"/>
          <w:color w:val="auto"/>
        </w:rPr>
      </w:pPr>
      <w:r>
        <w:rPr>
          <w:rFonts w:ascii="Arial" w:cs="Arial" w:eastAsia="Arial" w:hAnsi="Arial"/>
          <w:sz w:val="17"/>
          <w:szCs w:val="17"/>
          <w:color w:val="auto"/>
        </w:rPr>
        <w:t>Each Lender (or Transferee) (i) that is not a “United States person” as defined in Section 7701(a)(30) of the Code (a “</w:t>
      </w:r>
      <w:r>
        <w:rPr>
          <w:rFonts w:ascii="Arial" w:cs="Arial" w:eastAsia="Arial" w:hAnsi="Arial"/>
          <w:sz w:val="17"/>
          <w:szCs w:val="17"/>
          <w:u w:val="single" w:color="auto"/>
          <w:color w:val="auto"/>
        </w:rPr>
        <w:t>Non-U.S. Lender</w:t>
      </w:r>
      <w:r>
        <w:rPr>
          <w:rFonts w:ascii="Arial" w:cs="Arial" w:eastAsia="Arial" w:hAnsi="Arial"/>
          <w:sz w:val="17"/>
          <w:szCs w:val="17"/>
          <w:color w:val="auto"/>
        </w:rPr>
        <w:t>”)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any relevant Domestic Subsidiary Borrower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 Each Lender shall deliver to the Company, any relevant Domestic Subsidiary Borrower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517" w:name="page518"/>
    <w:bookmarkEnd w:id="51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75" w:lineRule="exact"/>
        <w:rPr>
          <w:sz w:val="20"/>
          <w:szCs w:val="20"/>
          <w:color w:val="auto"/>
        </w:rPr>
      </w:pPr>
    </w:p>
    <w:p>
      <w:pPr>
        <w:ind w:left="1160" w:hanging="239"/>
        <w:spacing w:after="0"/>
        <w:tabs>
          <w:tab w:leader="none" w:pos="1160"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Additional United Kingdom Withholding Tax Matters</w:t>
      </w:r>
      <w:r>
        <w:rPr>
          <w:rFonts w:ascii="Arial" w:cs="Arial" w:eastAsia="Arial" w:hAnsi="Arial"/>
          <w:sz w:val="18"/>
          <w:szCs w:val="18"/>
          <w:color w:val="auto"/>
        </w:rPr>
        <w:t>.</w:t>
      </w:r>
    </w:p>
    <w:p>
      <w:pPr>
        <w:spacing w:after="0" w:line="117" w:lineRule="exact"/>
        <w:rPr>
          <w:sz w:val="20"/>
          <w:szCs w:val="20"/>
          <w:color w:val="auto"/>
        </w:rPr>
      </w:pPr>
    </w:p>
    <w:p>
      <w:pPr>
        <w:jc w:val="both"/>
        <w:ind w:right="80" w:firstLine="921"/>
        <w:spacing w:after="0" w:line="259" w:lineRule="auto"/>
        <w:tabs>
          <w:tab w:leader="none" w:pos="1128" w:val="left"/>
        </w:tabs>
        <w:numPr>
          <w:ilvl w:val="0"/>
          <w:numId w:val="516"/>
        </w:numPr>
        <w:rPr>
          <w:rFonts w:ascii="Arial" w:cs="Arial" w:eastAsia="Arial" w:hAnsi="Arial"/>
          <w:sz w:val="18"/>
          <w:szCs w:val="18"/>
          <w:color w:val="auto"/>
        </w:rPr>
      </w:pPr>
      <w:r>
        <w:rPr>
          <w:rFonts w:ascii="Arial" w:cs="Arial" w:eastAsia="Arial" w:hAnsi="Arial"/>
          <w:sz w:val="18"/>
          <w:szCs w:val="18"/>
          <w:color w:val="auto"/>
        </w:rPr>
        <w:t>Each UK Borrower shall promptly upon becoming aware that it must make a UK Tax Deduction (or that there is any change in the rate or the basis of a UK Tax Deduction) notify the Administrative Agent accordingly. Similarly, a Lender shall promptly notify the Administrative Agent on becoming so aware in respect of a payment payable by any UK Borrower to that Lender. If the Administrative Agent receives such notification from a Lender it shall notify the relevant UK Borrower.</w:t>
      </w:r>
    </w:p>
    <w:p>
      <w:pPr>
        <w:spacing w:after="0" w:line="78" w:lineRule="exact"/>
        <w:rPr>
          <w:rFonts w:ascii="Arial" w:cs="Arial" w:eastAsia="Arial" w:hAnsi="Arial"/>
          <w:sz w:val="18"/>
          <w:szCs w:val="18"/>
          <w:color w:val="auto"/>
        </w:rPr>
      </w:pPr>
    </w:p>
    <w:p>
      <w:pPr>
        <w:ind w:right="20" w:firstLine="921"/>
        <w:spacing w:after="0" w:line="286" w:lineRule="auto"/>
        <w:tabs>
          <w:tab w:leader="none" w:pos="1178" w:val="left"/>
        </w:tabs>
        <w:numPr>
          <w:ilvl w:val="0"/>
          <w:numId w:val="516"/>
        </w:numPr>
        <w:rPr>
          <w:rFonts w:ascii="Arial" w:cs="Arial" w:eastAsia="Arial" w:hAnsi="Arial"/>
          <w:sz w:val="16"/>
          <w:szCs w:val="16"/>
          <w:color w:val="auto"/>
        </w:rPr>
      </w:pPr>
      <w:r>
        <w:rPr>
          <w:rFonts w:ascii="Arial" w:cs="Arial" w:eastAsia="Arial" w:hAnsi="Arial"/>
          <w:sz w:val="16"/>
          <w:szCs w:val="16"/>
          <w:color w:val="auto"/>
        </w:rPr>
        <w:t>Without prejudice to the generality of Section 2.21(a), a payment from a UK Borrower shall not be increased pursuant to Section 2.21(a) by reason of a UK Tax Deduction on account of Taxes imposed by the United Kingdom, if on the date on which the payment falls due: (A) the payment could have been made to the relevant Lender without a UK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UK Treaty or any published practice or published concession of any relevant taxing authority; or (B) the relevant Lender is a UK Qualifying Lender solely by virtue of paragraph (a)(ii) of the definition of “UK Qualifying Lender”; an officer of HMRC has given (and not revoked) a direction (a “</w:t>
      </w:r>
      <w:r>
        <w:rPr>
          <w:rFonts w:ascii="Arial" w:cs="Arial" w:eastAsia="Arial" w:hAnsi="Arial"/>
          <w:sz w:val="16"/>
          <w:szCs w:val="16"/>
          <w:u w:val="single" w:color="auto"/>
          <w:color w:val="auto"/>
        </w:rPr>
        <w:t>Direction</w:t>
      </w:r>
      <w:r>
        <w:rPr>
          <w:rFonts w:ascii="Arial" w:cs="Arial" w:eastAsia="Arial" w:hAnsi="Arial"/>
          <w:sz w:val="16"/>
          <w:szCs w:val="16"/>
          <w:color w:val="auto"/>
        </w:rPr>
        <w:t>”) under section 931 of the UK ITA which relates to the payment and that Lender has received from the relevant UK Borrower (or from the Company) a certified copy of that Direction; and the payment could have been made to the Lender without any UK Tax Deduction if that Direction had not been made; or (C) the relevant Lender is a UK Qualifying Lender solely by virtue of paragraph (a)(ii) of the definition of “UK Qualifying Lender”; the relevant Lender has not given a UK Tax Confirmation to the relevant UK Borrower; and the payment could have been made to the Lender without any UK Tax Deduction if the Lender had given a UK Tax Confirmation to the relevant UK Borrower, on the basis that the UK Tax Confirmation would have enabled the relevant UK Borrower to have formed a reasonable belief that the payment was an “excepted payment” for the purpose of section 930 of the UK ITA; or (D) the relevant Lender is a UK Treaty Lender (or would be a UK Treaty Lender following the completion of any necessary procedural formalities) and the relevant UK Borrower is able to demonstrate that the payment could have been made to the Lender without the UK Tax Deduction had that Lender complied with its obligations under Section 2.21(e)(iii) or Section 2.21(e)(iv) (as applicable) below.</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518" w:name="page519"/>
    <w:bookmarkEnd w:id="518"/>
    <w:p>
      <w:pPr>
        <w:ind w:left="-8" w:right="20" w:firstLine="921"/>
        <w:spacing w:after="0" w:line="342" w:lineRule="auto"/>
        <w:tabs>
          <w:tab w:leader="none" w:pos="1220" w:val="left"/>
        </w:tabs>
        <w:numPr>
          <w:ilvl w:val="1"/>
          <w:numId w:val="5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clause (e)(iv) below, each Lender and each UK Borrower which makes a payment to which that Lender is entitled shall co-operate in completing any procedural formalities necessary for such UK Borrower to obtain authorization to make such payment without a UK Tax Deduction.</w:t>
      </w:r>
    </w:p>
    <w:p>
      <w:pPr>
        <w:spacing w:after="0" w:line="15" w:lineRule="exact"/>
        <w:rPr>
          <w:rFonts w:ascii="Arial" w:cs="Arial" w:eastAsia="Arial" w:hAnsi="Arial"/>
          <w:sz w:val="16"/>
          <w:szCs w:val="16"/>
          <w:color w:val="auto"/>
        </w:rPr>
      </w:pPr>
    </w:p>
    <w:p>
      <w:pPr>
        <w:ind w:left="1212" w:hanging="299"/>
        <w:spacing w:after="0"/>
        <w:tabs>
          <w:tab w:leader="none" w:pos="1212" w:val="left"/>
        </w:tabs>
        <w:numPr>
          <w:ilvl w:val="1"/>
          <w:numId w:val="517"/>
        </w:numPr>
        <w:rPr>
          <w:rFonts w:ascii="Arial" w:cs="Arial" w:eastAsia="Arial" w:hAnsi="Arial"/>
          <w:sz w:val="16"/>
          <w:szCs w:val="16"/>
          <w:color w:val="auto"/>
        </w:rPr>
      </w:pPr>
      <w:r>
        <w:rPr>
          <w:rFonts w:ascii="Arial" w:cs="Arial" w:eastAsia="Arial" w:hAnsi="Arial"/>
          <w:sz w:val="16"/>
          <w:szCs w:val="16"/>
          <w:color w:val="auto"/>
        </w:rPr>
        <w:t>(A) A Lender on the day on which this Agreement is entered into that (x) holds a passport under the HMRC DT Treaty Passport scheme and</w:t>
      </w:r>
    </w:p>
    <w:p>
      <w:pPr>
        <w:spacing w:after="0" w:line="46" w:lineRule="exact"/>
        <w:rPr>
          <w:rFonts w:ascii="Arial" w:cs="Arial" w:eastAsia="Arial" w:hAnsi="Arial"/>
          <w:sz w:val="16"/>
          <w:szCs w:val="16"/>
          <w:color w:val="auto"/>
        </w:rPr>
      </w:pPr>
    </w:p>
    <w:p>
      <w:pPr>
        <w:ind w:left="-8" w:right="100" w:firstLine="8"/>
        <w:spacing w:after="0" w:line="261" w:lineRule="auto"/>
        <w:tabs>
          <w:tab w:leader="none" w:pos="247" w:val="left"/>
        </w:tabs>
        <w:numPr>
          <w:ilvl w:val="0"/>
          <w:numId w:val="518"/>
        </w:numPr>
        <w:rPr>
          <w:rFonts w:ascii="Arial" w:cs="Arial" w:eastAsia="Arial" w:hAnsi="Arial"/>
          <w:sz w:val="18"/>
          <w:szCs w:val="18"/>
          <w:color w:val="auto"/>
        </w:rPr>
      </w:pPr>
      <w:r>
        <w:rPr>
          <w:rFonts w:ascii="Arial" w:cs="Arial" w:eastAsia="Arial" w:hAnsi="Arial"/>
          <w:sz w:val="18"/>
          <w:szCs w:val="18"/>
          <w:color w:val="auto"/>
        </w:rPr>
        <w:t>wishes such scheme to apply to this Agreement, shall confirm its scheme reference number and its jurisdiction of tax residence to each UK Borrower and the Administrative Agent; and</w:t>
      </w:r>
    </w:p>
    <w:p>
      <w:pPr>
        <w:spacing w:after="0" w:line="75" w:lineRule="exact"/>
        <w:rPr>
          <w:rFonts w:ascii="Arial" w:cs="Arial" w:eastAsia="Arial" w:hAnsi="Arial"/>
          <w:sz w:val="18"/>
          <w:szCs w:val="18"/>
          <w:color w:val="auto"/>
        </w:rPr>
      </w:pPr>
    </w:p>
    <w:p>
      <w:pPr>
        <w:ind w:left="912" w:firstLine="421"/>
        <w:spacing w:after="0" w:line="259" w:lineRule="auto"/>
        <w:tabs>
          <w:tab w:leader="none" w:pos="1617" w:val="left"/>
        </w:tabs>
        <w:numPr>
          <w:ilvl w:val="2"/>
          <w:numId w:val="518"/>
        </w:numPr>
        <w:rPr>
          <w:rFonts w:ascii="Arial" w:cs="Arial" w:eastAsia="Arial" w:hAnsi="Arial"/>
          <w:sz w:val="18"/>
          <w:szCs w:val="18"/>
          <w:color w:val="auto"/>
        </w:rPr>
      </w:pPr>
      <w:r>
        <w:rPr>
          <w:rFonts w:ascii="Arial" w:cs="Arial" w:eastAsia="Arial" w:hAnsi="Arial"/>
          <w:sz w:val="18"/>
          <w:szCs w:val="18"/>
          <w:color w:val="auto"/>
        </w:rPr>
        <w:t>A Lender which becomes a Lender hereunder after the day on which this Agreement is entered into (including, for the avoidance of doubt, any Transferee) that (x) holds a passport under the HMRC DT Treaty Passport scheme and (y) wishes such scheme to apply to this Agreement, shall confirm its scheme reference number and its jurisdiction of tax residence to each UK Borrower and the Administrative Agent in the documentation which it executes upon becoming a party to this Agreement, and</w:t>
      </w:r>
    </w:p>
    <w:p>
      <w:pPr>
        <w:spacing w:after="0" w:line="78" w:lineRule="exact"/>
        <w:rPr>
          <w:rFonts w:ascii="Arial" w:cs="Arial" w:eastAsia="Arial" w:hAnsi="Arial"/>
          <w:sz w:val="18"/>
          <w:szCs w:val="18"/>
          <w:color w:val="auto"/>
        </w:rPr>
      </w:pPr>
    </w:p>
    <w:p>
      <w:pPr>
        <w:ind w:left="1612" w:hanging="279"/>
        <w:spacing w:after="0"/>
        <w:tabs>
          <w:tab w:leader="none" w:pos="1612" w:val="left"/>
        </w:tabs>
        <w:numPr>
          <w:ilvl w:val="2"/>
          <w:numId w:val="518"/>
        </w:numPr>
        <w:rPr>
          <w:rFonts w:ascii="Arial" w:cs="Arial" w:eastAsia="Arial" w:hAnsi="Arial"/>
          <w:sz w:val="18"/>
          <w:szCs w:val="18"/>
          <w:color w:val="auto"/>
        </w:rPr>
      </w:pPr>
      <w:r>
        <w:rPr>
          <w:rFonts w:ascii="Arial" w:cs="Arial" w:eastAsia="Arial" w:hAnsi="Arial"/>
          <w:sz w:val="18"/>
          <w:szCs w:val="18"/>
          <w:color w:val="auto"/>
        </w:rPr>
        <w:t>Upon satisfying either clause (A) or (B) above, such Lender shall have satisfied its obligation under clause (e)(iii) above.</w:t>
      </w:r>
    </w:p>
    <w:p>
      <w:pPr>
        <w:spacing w:after="0" w:line="117" w:lineRule="exact"/>
        <w:rPr>
          <w:rFonts w:ascii="Arial" w:cs="Arial" w:eastAsia="Arial" w:hAnsi="Arial"/>
          <w:sz w:val="18"/>
          <w:szCs w:val="18"/>
          <w:color w:val="auto"/>
        </w:rPr>
      </w:pPr>
    </w:p>
    <w:p>
      <w:pPr>
        <w:ind w:left="-8" w:right="180" w:firstLine="921"/>
        <w:spacing w:after="0" w:line="277" w:lineRule="auto"/>
        <w:tabs>
          <w:tab w:leader="none" w:pos="1160" w:val="left"/>
        </w:tabs>
        <w:numPr>
          <w:ilvl w:val="1"/>
          <w:numId w:val="518"/>
        </w:numPr>
        <w:rPr>
          <w:rFonts w:ascii="Arial" w:cs="Arial" w:eastAsia="Arial" w:hAnsi="Arial"/>
          <w:sz w:val="18"/>
          <w:szCs w:val="18"/>
          <w:color w:val="auto"/>
        </w:rPr>
      </w:pPr>
      <w:r>
        <w:rPr>
          <w:rFonts w:ascii="Arial" w:cs="Arial" w:eastAsia="Arial" w:hAnsi="Arial"/>
          <w:sz w:val="18"/>
          <w:szCs w:val="18"/>
          <w:color w:val="auto"/>
        </w:rPr>
        <w:t xml:space="preserve">If a Lender has confirmed its scheme reference number and its jurisdiction of tax residence in accordance with clause (e)(iv) above, the UK Borrower(s) shall make a Borrower DTTP Filing with respect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if:</w:t>
      </w:r>
    </w:p>
    <w:p>
      <w:pPr>
        <w:spacing w:after="0" w:line="62" w:lineRule="exact"/>
        <w:rPr>
          <w:rFonts w:ascii="Arial" w:cs="Arial" w:eastAsia="Arial" w:hAnsi="Arial"/>
          <w:sz w:val="18"/>
          <w:szCs w:val="18"/>
          <w:color w:val="auto"/>
        </w:rPr>
      </w:pPr>
    </w:p>
    <w:p>
      <w:pPr>
        <w:ind w:left="1632" w:hanging="299"/>
        <w:spacing w:after="0"/>
        <w:tabs>
          <w:tab w:leader="none" w:pos="1632" w:val="left"/>
        </w:tabs>
        <w:numPr>
          <w:ilvl w:val="2"/>
          <w:numId w:val="519"/>
        </w:numPr>
        <w:rPr>
          <w:rFonts w:ascii="Arial" w:cs="Arial" w:eastAsia="Arial" w:hAnsi="Arial"/>
          <w:sz w:val="18"/>
          <w:szCs w:val="18"/>
          <w:color w:val="auto"/>
        </w:rPr>
      </w:pPr>
      <w:r>
        <w:rPr>
          <w:rFonts w:ascii="Arial" w:cs="Arial" w:eastAsia="Arial" w:hAnsi="Arial"/>
          <w:sz w:val="18"/>
          <w:szCs w:val="18"/>
          <w:color w:val="auto"/>
        </w:rPr>
        <w:t>a UK Borrower making a payment to such Lender has not made a Borrower DTTP Filing in respect of such Lender; or</w:t>
      </w:r>
    </w:p>
    <w:p>
      <w:pPr>
        <w:spacing w:after="0" w:line="117" w:lineRule="exact"/>
        <w:rPr>
          <w:rFonts w:ascii="Arial" w:cs="Arial" w:eastAsia="Arial" w:hAnsi="Arial"/>
          <w:sz w:val="18"/>
          <w:szCs w:val="18"/>
          <w:color w:val="auto"/>
        </w:rPr>
      </w:pPr>
    </w:p>
    <w:p>
      <w:pPr>
        <w:ind w:left="1612" w:hanging="279"/>
        <w:spacing w:after="0"/>
        <w:tabs>
          <w:tab w:leader="none" w:pos="1612" w:val="left"/>
        </w:tabs>
        <w:numPr>
          <w:ilvl w:val="2"/>
          <w:numId w:val="519"/>
        </w:numPr>
        <w:rPr>
          <w:rFonts w:ascii="Arial" w:cs="Arial" w:eastAsia="Arial" w:hAnsi="Arial"/>
          <w:sz w:val="18"/>
          <w:szCs w:val="18"/>
          <w:color w:val="auto"/>
        </w:rPr>
      </w:pPr>
      <w:r>
        <w:rPr>
          <w:rFonts w:ascii="Arial" w:cs="Arial" w:eastAsia="Arial" w:hAnsi="Arial"/>
          <w:sz w:val="18"/>
          <w:szCs w:val="18"/>
          <w:color w:val="auto"/>
        </w:rPr>
        <w:t>a UK Borrower making a payment to such Lender has made a Borrower DTTP Filing in respect of such Lender but:</w:t>
      </w:r>
    </w:p>
    <w:p>
      <w:pPr>
        <w:spacing w:after="0" w:line="130" w:lineRule="exact"/>
        <w:rPr>
          <w:rFonts w:ascii="Arial" w:cs="Arial" w:eastAsia="Arial" w:hAnsi="Arial"/>
          <w:sz w:val="18"/>
          <w:szCs w:val="18"/>
          <w:color w:val="auto"/>
        </w:rPr>
      </w:pPr>
    </w:p>
    <w:p>
      <w:pPr>
        <w:ind w:left="2372" w:hanging="441"/>
        <w:spacing w:after="0"/>
        <w:tabs>
          <w:tab w:leader="none" w:pos="2372" w:val="left"/>
        </w:tabs>
        <w:numPr>
          <w:ilvl w:val="3"/>
          <w:numId w:val="519"/>
        </w:numPr>
        <w:rPr>
          <w:rFonts w:ascii="Arial" w:cs="Arial" w:eastAsia="Arial" w:hAnsi="Arial"/>
          <w:sz w:val="18"/>
          <w:szCs w:val="18"/>
          <w:color w:val="auto"/>
        </w:rPr>
      </w:pPr>
      <w:r>
        <w:rPr>
          <w:rFonts w:ascii="Arial" w:cs="Arial" w:eastAsia="Arial" w:hAnsi="Arial"/>
          <w:sz w:val="18"/>
          <w:szCs w:val="18"/>
          <w:color w:val="auto"/>
        </w:rPr>
        <w:t>such Borrower DTTP Filing has been rejected by HMRC; or</w:t>
      </w:r>
    </w:p>
    <w:p>
      <w:pPr>
        <w:spacing w:after="0" w:line="130" w:lineRule="exact"/>
        <w:rPr>
          <w:rFonts w:ascii="Arial" w:cs="Arial" w:eastAsia="Arial" w:hAnsi="Arial"/>
          <w:sz w:val="18"/>
          <w:szCs w:val="18"/>
          <w:color w:val="auto"/>
        </w:rPr>
      </w:pPr>
    </w:p>
    <w:p>
      <w:pPr>
        <w:ind w:left="2372" w:right="40" w:hanging="441"/>
        <w:spacing w:after="0" w:line="277" w:lineRule="auto"/>
        <w:tabs>
          <w:tab w:leader="none" w:pos="2372" w:val="left"/>
        </w:tabs>
        <w:numPr>
          <w:ilvl w:val="3"/>
          <w:numId w:val="519"/>
        </w:numPr>
        <w:rPr>
          <w:rFonts w:ascii="Arial" w:cs="Arial" w:eastAsia="Arial" w:hAnsi="Arial"/>
          <w:sz w:val="18"/>
          <w:szCs w:val="18"/>
          <w:color w:val="auto"/>
        </w:rPr>
      </w:pPr>
      <w:r>
        <w:rPr>
          <w:rFonts w:ascii="Arial" w:cs="Arial" w:eastAsia="Arial" w:hAnsi="Arial"/>
          <w:sz w:val="18"/>
          <w:szCs w:val="18"/>
          <w:color w:val="auto"/>
        </w:rPr>
        <w:t>HMRC has not given such UK Borrower authority to make payments to such Lender without a UK Tax Deduction within 60 days of the date of such Borrower DTTP Filing;</w:t>
      </w:r>
    </w:p>
    <w:p>
      <w:pPr>
        <w:spacing w:after="0" w:line="62" w:lineRule="exact"/>
        <w:rPr>
          <w:sz w:val="20"/>
          <w:szCs w:val="20"/>
          <w:color w:val="auto"/>
        </w:rPr>
      </w:pPr>
    </w:p>
    <w:p>
      <w:pPr>
        <w:ind w:left="1932" w:right="40"/>
        <w:spacing w:after="0" w:line="264" w:lineRule="auto"/>
        <w:rPr>
          <w:sz w:val="20"/>
          <w:szCs w:val="20"/>
          <w:color w:val="auto"/>
        </w:rPr>
      </w:pPr>
      <w:r>
        <w:rPr>
          <w:rFonts w:ascii="Arial" w:cs="Arial" w:eastAsia="Arial" w:hAnsi="Arial"/>
          <w:sz w:val="18"/>
          <w:szCs w:val="18"/>
          <w:color w:val="auto"/>
        </w:rPr>
        <w:t>and in each case, such UK Borrower has notified that Lender in writing of either clause (1) or (2) above, then such Lender and such UK Borrower shall co-operate in completing any additional procedural formalities necessary for such UK Borrower to obtain authorization to make that payment without a UK Tax Deduction.</w:t>
      </w:r>
    </w:p>
    <w:p>
      <w:pPr>
        <w:spacing w:after="0" w:line="73" w:lineRule="exact"/>
        <w:rPr>
          <w:sz w:val="20"/>
          <w:szCs w:val="20"/>
          <w:color w:val="auto"/>
        </w:rPr>
      </w:pPr>
    </w:p>
    <w:p>
      <w:pPr>
        <w:ind w:left="-8" w:right="120" w:firstLine="921"/>
        <w:spacing w:after="0" w:line="264" w:lineRule="auto"/>
        <w:tabs>
          <w:tab w:leader="none" w:pos="121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If a Lender has not confirmed its scheme reference number and jurisdiction of tax residence in accordance with clause (e)(iv) above, no UK Borrower shall make a Borrower DTTP Filing or file any other form relating to the HMRC DT Treaty Passport scheme in respect of that Lender’s Commitment(s) or its participation in any Loan unless the Lender otherwise agrees.</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92"/>
          </w:cols>
          <w:pgMar w:left="248" w:top="274" w:right="259" w:bottom="1440" w:gutter="0" w:footer="0" w:header="0"/>
        </w:sectPr>
      </w:pPr>
    </w:p>
    <w:bookmarkStart w:id="519" w:name="page520"/>
    <w:bookmarkEnd w:id="519"/>
    <w:p>
      <w:pPr>
        <w:ind w:left="-20" w:firstLine="921"/>
        <w:spacing w:after="0" w:line="277" w:lineRule="auto"/>
        <w:tabs>
          <w:tab w:leader="none" w:pos="1248" w:val="left"/>
        </w:tabs>
        <w:numPr>
          <w:ilvl w:val="0"/>
          <w:numId w:val="5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UK Borrower shall, promptly on making a Borrower DTTP Filing, deliver a copy of such Borrower DTTP Filing to the Administrative Agent for delivery to the relevant Lender.</w:t>
      </w:r>
    </w:p>
    <w:p>
      <w:pPr>
        <w:spacing w:after="0" w:line="62" w:lineRule="exact"/>
        <w:rPr>
          <w:rFonts w:ascii="Arial" w:cs="Arial" w:eastAsia="Arial" w:hAnsi="Arial"/>
          <w:sz w:val="18"/>
          <w:szCs w:val="18"/>
          <w:color w:val="auto"/>
        </w:rPr>
      </w:pPr>
    </w:p>
    <w:p>
      <w:pPr>
        <w:ind w:left="-20" w:right="100" w:firstLine="921"/>
        <w:spacing w:after="0" w:line="259" w:lineRule="auto"/>
        <w:tabs>
          <w:tab w:leader="none" w:pos="1298" w:val="left"/>
        </w:tabs>
        <w:numPr>
          <w:ilvl w:val="0"/>
          <w:numId w:val="521"/>
        </w:numPr>
        <w:rPr>
          <w:rFonts w:ascii="Arial" w:cs="Arial" w:eastAsia="Arial" w:hAnsi="Arial"/>
          <w:sz w:val="18"/>
          <w:szCs w:val="18"/>
          <w:color w:val="auto"/>
        </w:rPr>
      </w:pPr>
      <w:r>
        <w:rPr>
          <w:rFonts w:ascii="Arial" w:cs="Arial" w:eastAsia="Arial" w:hAnsi="Arial"/>
          <w:sz w:val="18"/>
          <w:szCs w:val="18"/>
          <w:color w:val="auto"/>
        </w:rPr>
        <w:t>Each Lender shall notify HMRC, each UK Borrower and the Administrative Agent if it determines in its sole discretion that it is not or ceases to be entitled to claim the benefits of the applicable UK Treaty with respect to payments made by any UK Borrower hereunder, including as the result of any participation under Section 10.6(c) pursuant to which it ceases to be beneficially entitled to any interest payable to it by any UK Borrower under any Loan Document.</w:t>
      </w:r>
    </w:p>
    <w:p>
      <w:pPr>
        <w:spacing w:after="0" w:line="78" w:lineRule="exact"/>
        <w:rPr>
          <w:rFonts w:ascii="Arial" w:cs="Arial" w:eastAsia="Arial" w:hAnsi="Arial"/>
          <w:sz w:val="18"/>
          <w:szCs w:val="18"/>
          <w:color w:val="auto"/>
        </w:rPr>
      </w:pPr>
    </w:p>
    <w:p>
      <w:pPr>
        <w:ind w:left="-20" w:firstLine="921"/>
        <w:spacing w:after="0" w:line="271" w:lineRule="auto"/>
        <w:tabs>
          <w:tab w:leader="none" w:pos="1198" w:val="left"/>
        </w:tabs>
        <w:numPr>
          <w:ilvl w:val="0"/>
          <w:numId w:val="521"/>
        </w:numPr>
        <w:rPr>
          <w:rFonts w:ascii="Arial" w:cs="Arial" w:eastAsia="Arial" w:hAnsi="Arial"/>
          <w:sz w:val="17"/>
          <w:szCs w:val="17"/>
          <w:color w:val="auto"/>
        </w:rPr>
      </w:pPr>
      <w:r>
        <w:rPr>
          <w:rFonts w:ascii="Arial" w:cs="Arial" w:eastAsia="Arial" w:hAnsi="Arial"/>
          <w:sz w:val="17"/>
          <w:szCs w:val="17"/>
          <w:color w:val="auto"/>
        </w:rPr>
        <w:t>Each Lender which becomes a party to this Agreement after the date of this Agreement shall indicate, in the documentation which it executes on becoming a party, and for the benefit of the Administrative Agent and without liability to any Loan Party, which of the following categories it falls in with respect to any UK Borrower to which it will make advances under any Loan Document: (A) not a UK Qualifying Lender; (B) a UK Qualifying Lender (other than a UK Treaty Lender); or (C) a UK Treaty Lender. If such a Lender fails to indicate its status in accordance with this Section 2.21(e)(ix) then that Lender shall be treated for the purposes of this Agreement (including by each UK Borrower) as if it is not a UK Qualifying Lender until such time as it notifies the Administrative Agent which category applies (and the Administrative Agent, upon receipt of such notification, shall inform the Company). For the avoidance of doubt, the documentation which a Lender executes on becoming a party to this Agreement shall not be invalidated by any failure of a Lender to comply with this Section 2.21(e)(ix).</w:t>
      </w:r>
    </w:p>
    <w:p>
      <w:pPr>
        <w:spacing w:after="0" w:line="71" w:lineRule="exact"/>
        <w:rPr>
          <w:sz w:val="20"/>
          <w:szCs w:val="20"/>
          <w:color w:val="auto"/>
        </w:rPr>
      </w:pPr>
    </w:p>
    <w:p>
      <w:pPr>
        <w:ind w:left="-20" w:firstLine="921"/>
        <w:spacing w:after="0" w:line="269" w:lineRule="auto"/>
        <w:tabs>
          <w:tab w:leader="none" w:pos="1118" w:val="left"/>
        </w:tabs>
        <w:numPr>
          <w:ilvl w:val="0"/>
          <w:numId w:val="522"/>
        </w:numPr>
        <w:rPr>
          <w:rFonts w:ascii="Arial" w:cs="Arial" w:eastAsia="Arial" w:hAnsi="Arial"/>
          <w:sz w:val="17"/>
          <w:szCs w:val="17"/>
          <w:color w:val="auto"/>
        </w:rPr>
      </w:pPr>
      <w:r>
        <w:rPr>
          <w:rFonts w:ascii="Arial" w:cs="Arial" w:eastAsia="Arial" w:hAnsi="Arial"/>
          <w:sz w:val="17"/>
          <w:szCs w:val="17"/>
          <w:color w:val="auto"/>
        </w:rPr>
        <w:t>With respect to each Foreign Subsidiary Borrower a Lender or Transferee shall, to the extent it is legally able to do so, deliver to the Company (with a copy to the Administrative Agent), prior to the first date any payment is due to be paid from or by such Foreign Subsidiary Borrower to it hereunder, any form or certificate required in order that any payment by such Foreign Subsidiary Borrower under this Agreement or the other Loan Documents to such Lender may be made free and clear of, and without deduction or withholding for or on account of, any Non-Excluded Taxes imposed on such payment under the laws of the jurisdiction under which such Foreign Subsidiary Borrower is incorporated or organized. If any Commitment is reallocated in accordance with Section 2.11(c) or 2.11(d), then the relevant Lender (to whom such Commitment has been reallocated) shall deliver on the effective date of such reallocation, all such forms that it is legally able to deliver, including any form claiming a reduced rate of non-U.S. withholding tax on payments made by the relevant Foreign Subsidiary Borrower to such Lender under this Agreement and the other Loan Documents. In the event of a Change in Tax Law after the date such Foreign Subsidiary Borrower makes the first payment, a Lender or Transferee shall deliver all such required forms that it is legally able to deliver, including any form claiming a reduced rate of non-U.S. withholding tax on payments by such Foreign Subsidiary Borrower under this Agreement and the other Loan Documents. With respect to any UK Borrower, in the case of any conflict between this Section 2.21(f) and Section 2.21(e), the provisions of Section 2.21(e) shall prevail.</w:t>
      </w:r>
    </w:p>
    <w:p>
      <w:pPr>
        <w:spacing w:after="0" w:line="71" w:lineRule="exact"/>
        <w:rPr>
          <w:rFonts w:ascii="Arial" w:cs="Arial" w:eastAsia="Arial" w:hAnsi="Arial"/>
          <w:sz w:val="17"/>
          <w:szCs w:val="17"/>
          <w:color w:val="auto"/>
        </w:rPr>
      </w:pPr>
    </w:p>
    <w:p>
      <w:pPr>
        <w:ind w:left="-20" w:firstLine="921"/>
        <w:spacing w:after="0" w:line="271" w:lineRule="auto"/>
        <w:tabs>
          <w:tab w:leader="none" w:pos="1148" w:val="left"/>
        </w:tabs>
        <w:numPr>
          <w:ilvl w:val="0"/>
          <w:numId w:val="522"/>
        </w:numPr>
        <w:rPr>
          <w:rFonts w:ascii="Arial" w:cs="Arial" w:eastAsia="Arial" w:hAnsi="Arial"/>
          <w:sz w:val="17"/>
          <w:szCs w:val="17"/>
          <w:color w:val="auto"/>
        </w:rPr>
      </w:pPr>
      <w:r>
        <w:rPr>
          <w:rFonts w:ascii="Arial" w:cs="Arial" w:eastAsia="Arial" w:hAnsi="Arial"/>
          <w:sz w:val="17"/>
          <w:szCs w:val="17"/>
          <w:color w:val="auto"/>
        </w:rPr>
        <w:t xml:space="preserve">If the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Non-Excluded Taxes or Other Taxes giving rise to such refund), net of all out-of-pocket expenses of the Administrative Agent, such Transferee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Loan Party, upon the request of the Administrative Agent, such Transferee or such Lender, agrees to repay the amount paid over to such Loan Party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penalties, interest or other charges imposed by the relevant Governmental Authority) to the Administrative Agent, such Transferee or such Lender in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60" w:top="274" w:right="259" w:bottom="1440" w:gutter="0" w:footer="0" w:header="0"/>
        </w:sectPr>
      </w:pPr>
    </w:p>
    <w:bookmarkStart w:id="520" w:name="page521"/>
    <w:bookmarkEnd w:id="52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w:t>
      </w:r>
    </w:p>
    <w:p>
      <w:pPr>
        <w:ind w:right="220" w:firstLine="8"/>
        <w:spacing w:after="0" w:line="295" w:lineRule="auto"/>
        <w:tabs>
          <w:tab w:leader="none" w:pos="265" w:val="left"/>
        </w:tabs>
        <w:numPr>
          <w:ilvl w:val="0"/>
          <w:numId w:val="523"/>
        </w:numPr>
        <w:rPr>
          <w:rFonts w:ascii="Arial" w:cs="Arial" w:eastAsia="Arial" w:hAnsi="Arial"/>
          <w:sz w:val="16"/>
          <w:szCs w:val="16"/>
          <w:color w:val="auto"/>
        </w:rPr>
      </w:pPr>
      <w:r>
        <w:rPr>
          <w:rFonts w:ascii="Arial" w:cs="Arial" w:eastAsia="Arial" w:hAnsi="Arial"/>
          <w:sz w:val="16"/>
          <w:szCs w:val="16"/>
          <w:color w:val="auto"/>
        </w:rPr>
        <w:t>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53" w:lineRule="exact"/>
        <w:rPr>
          <w:rFonts w:ascii="Arial" w:cs="Arial" w:eastAsia="Arial" w:hAnsi="Arial"/>
          <w:sz w:val="16"/>
          <w:szCs w:val="16"/>
          <w:color w:val="auto"/>
        </w:rPr>
      </w:pPr>
    </w:p>
    <w:p>
      <w:pPr>
        <w:ind w:firstLine="921"/>
        <w:spacing w:after="0" w:line="255" w:lineRule="auto"/>
        <w:tabs>
          <w:tab w:leader="none" w:pos="1168" w:val="left"/>
        </w:tabs>
        <w:numPr>
          <w:ilvl w:val="1"/>
          <w:numId w:val="523"/>
        </w:numPr>
        <w:rPr>
          <w:rFonts w:ascii="Arial" w:cs="Arial" w:eastAsia="Arial" w:hAnsi="Arial"/>
          <w:sz w:val="18"/>
          <w:szCs w:val="18"/>
          <w:color w:val="auto"/>
        </w:rPr>
      </w:pPr>
      <w:r>
        <w:rPr>
          <w:rFonts w:ascii="Arial" w:cs="Arial" w:eastAsia="Arial" w:hAnsi="Arial"/>
          <w:sz w:val="18"/>
          <w:szCs w:val="18"/>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85" w:lineRule="exact"/>
        <w:rPr>
          <w:rFonts w:ascii="Arial" w:cs="Arial" w:eastAsia="Arial" w:hAnsi="Arial"/>
          <w:sz w:val="18"/>
          <w:szCs w:val="18"/>
          <w:color w:val="auto"/>
        </w:rPr>
      </w:pPr>
    </w:p>
    <w:p>
      <w:pPr>
        <w:ind w:left="1140" w:hanging="219"/>
        <w:spacing w:after="0"/>
        <w:tabs>
          <w:tab w:leader="none" w:pos="114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Each Assignee shall be bound by this Section 2.21.</w:t>
      </w:r>
    </w:p>
    <w:p>
      <w:pPr>
        <w:spacing w:after="0" w:line="117" w:lineRule="exact"/>
        <w:rPr>
          <w:rFonts w:ascii="Arial" w:cs="Arial" w:eastAsia="Arial" w:hAnsi="Arial"/>
          <w:sz w:val="18"/>
          <w:szCs w:val="18"/>
          <w:color w:val="auto"/>
        </w:rPr>
      </w:pPr>
    </w:p>
    <w:p>
      <w:pPr>
        <w:ind w:right="460" w:firstLine="921"/>
        <w:spacing w:after="0" w:line="277" w:lineRule="auto"/>
        <w:tabs>
          <w:tab w:leader="none" w:pos="1128" w:val="left"/>
        </w:tabs>
        <w:numPr>
          <w:ilvl w:val="1"/>
          <w:numId w:val="523"/>
        </w:numPr>
        <w:rPr>
          <w:rFonts w:ascii="Arial" w:cs="Arial" w:eastAsia="Arial" w:hAnsi="Arial"/>
          <w:sz w:val="18"/>
          <w:szCs w:val="18"/>
          <w:color w:val="auto"/>
        </w:rPr>
      </w:pPr>
      <w:r>
        <w:rPr>
          <w:rFonts w:ascii="Arial" w:cs="Arial" w:eastAsia="Arial" w:hAnsi="Arial"/>
          <w:sz w:val="18"/>
          <w:szCs w:val="18"/>
          <w:color w:val="auto"/>
        </w:rPr>
        <w:t>The agreements in this Section 2.21 shall survive the termination of this Agreement and the payment of the Loans and all other amounts payable hereunder and the other Loan Documents.</w:t>
      </w:r>
    </w:p>
    <w:p>
      <w:pPr>
        <w:spacing w:after="0" w:line="62"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Eurocurrency Loans after the Company or such Subsidiary Borrower has given a notice requesting the same in accordance with the provisions of this Agreement, (b) default by the Company or relevant Subsidiary Borrower in making any prepayment of or conversion from Eurocurrency Loans after the Company or such Subsidiary Borrower has given a notice thereof in accordance with the provisions of this Agreement, (c) 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3" w:right="259" w:bottom="1440" w:gutter="0" w:footer="0" w:header="0"/>
        </w:sectPr>
      </w:pPr>
    </w:p>
    <w:bookmarkStart w:id="521" w:name="page522"/>
    <w:bookmarkEnd w:id="521"/>
    <w:p>
      <w:pPr>
        <w:ind w:right="40"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2.23 </w:t>
      </w:r>
      <w:r>
        <w:rPr>
          <w:rFonts w:ascii="Arial" w:cs="Arial" w:eastAsia="Arial" w:hAnsi="Arial"/>
          <w:sz w:val="16"/>
          <w:szCs w:val="16"/>
          <w:u w:val="single" w:color="auto"/>
          <w:color w:val="auto"/>
        </w:rPr>
        <w:t>Change of Applicable Lending Office</w:t>
      </w:r>
      <w:r>
        <w:rPr>
          <w:rFonts w:ascii="Arial" w:cs="Arial" w:eastAsia="Arial" w:hAnsi="Arial"/>
          <w:sz w:val="16"/>
          <w:szCs w:val="16"/>
          <w:color w:val="auto"/>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affected by such event with the object of avoiding or minimizing the consequences of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nothing in this Section 2.23 shall affect or postpone any of the obligations of the Company or the rights of any Lender pursuant to Section 2.20 or 2.21(a).</w:t>
      </w:r>
    </w:p>
    <w:p>
      <w:pPr>
        <w:spacing w:after="0" w:line="165"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Replacement/Termination of Lenders</w:t>
      </w:r>
      <w:r>
        <w:rPr>
          <w:rFonts w:ascii="Arial" w:cs="Arial" w:eastAsia="Arial" w:hAnsi="Arial"/>
          <w:sz w:val="16"/>
          <w:szCs w:val="16"/>
          <w:color w:val="auto"/>
        </w:rPr>
        <w:t xml:space="preserve">. The Company shall be permitted to replace with a replacement financial institution or terminate the Commitments under the Facility and repay any outstanding Loans at par under the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the Facility (and such Lender is an affected Lender) and for which the Required Lenders have consented or (iii) fails to give its consent to an extension of the Termination Date or the Converted Term Loan Maturity Date to which the Required Lenders have consented;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Eurocurrency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Defaulting Lender</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62" w:lineRule="exact"/>
        <w:rPr>
          <w:sz w:val="20"/>
          <w:szCs w:val="20"/>
          <w:color w:val="auto"/>
        </w:rPr>
      </w:pPr>
    </w:p>
    <w:p>
      <w:pPr>
        <w:ind w:left="1160" w:hanging="239"/>
        <w:spacing w:after="0"/>
        <w:tabs>
          <w:tab w:leader="none" w:pos="11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Facility Fees, if any, shall cease to accrue on the unfunded Commitment of such Defaulting Lender pursuant to Section 2.10; and</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522" w:name="page523"/>
    <w:bookmarkEnd w:id="522"/>
    <w:p>
      <w:pPr>
        <w:ind w:right="180" w:firstLine="921"/>
        <w:spacing w:after="0" w:line="290" w:lineRule="auto"/>
        <w:tabs>
          <w:tab w:leader="none" w:pos="1168" w:val="left"/>
        </w:tabs>
        <w:numPr>
          <w:ilvl w:val="0"/>
          <w:numId w:val="5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Defaulting Lender and the Commitment and Extensions of Credit of such Defaulting Lender shall not be included in determining whether the Lenders, the Required Lenders or any directly affected Lender under the Facility have taken or may take any action hereunder (including any consent to any amendment, consent, waiver or other modification pursuant to Section 10.1);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166"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Reallocation of Payments for the Account of Defaulting Lenders</w:t>
      </w:r>
      <w:r>
        <w:rPr>
          <w:rFonts w:ascii="Arial" w:cs="Arial" w:eastAsia="Arial" w:hAnsi="Arial"/>
          <w:sz w:val="16"/>
          <w:szCs w:val="16"/>
          <w:color w:val="auto"/>
        </w:rPr>
        <w:t xml:space="preserve">. Any payment of principal, interest, fees or other amounts received by the Administrative Agent for the account of any Defaulting Lender under the Facility (whether voluntary or mandatory, at or prior to maturity, or otherwise),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to the payment of any amounts owing by such Defaulting Lender to the Administrative Agent hereunder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 amounts owed by such Defaulting Lender to the Administrative Agent);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as the Company may request (so long as no Event of Default has occurred and is continuing), to the funding of any Loan under the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Company, to be held in an interest bearing deposit account and released from time to time in order to satisfy obligations of such Defaulting Lender to fund Loans under the Facility (it being understood and agreed that the accrued interest thereon shall be held as additional collateral for such obligations);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Lenders under the Facility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under the Facility of all non-Defaulting Lenders under the Facility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prior to being applied to the payment of any Loans of such Defaulting Lender. Any payments, prepayments or other amounts paid or payable to a Defaulting Lender that are applied (or held) to pay amounts owed by such Defaulting Lender pursuant to this Section 2.26 shall be deemed paid to and redirected by such Defaulting Lender, and each Lender under the Facility irrevocably consents hereto.</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Term Loan Conversion; Repayment of Converted Term Loans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72" w:lineRule="auto"/>
        <w:tabs>
          <w:tab w:leader="none" w:pos="1158" w:val="left"/>
        </w:tabs>
        <w:numPr>
          <w:ilvl w:val="0"/>
          <w:numId w:val="526"/>
        </w:numPr>
        <w:rPr>
          <w:rFonts w:ascii="Arial" w:cs="Arial" w:eastAsia="Arial" w:hAnsi="Arial"/>
          <w:sz w:val="17"/>
          <w:szCs w:val="17"/>
          <w:color w:val="auto"/>
        </w:rPr>
      </w:pPr>
      <w:r>
        <w:rPr>
          <w:rFonts w:ascii="Arial" w:cs="Arial" w:eastAsia="Arial" w:hAnsi="Arial"/>
          <w:sz w:val="17"/>
          <w:szCs w:val="17"/>
          <w:color w:val="auto"/>
        </w:rPr>
        <w:t>In the event that there are any Loans outstanding on the Termination Date, at the option of the applicable Borrower or the Company, all or a portion of such Loans may be converted to term loans (each, a “</w:t>
      </w:r>
      <w:r>
        <w:rPr>
          <w:rFonts w:ascii="Arial" w:cs="Arial" w:eastAsia="Arial" w:hAnsi="Arial"/>
          <w:sz w:val="17"/>
          <w:szCs w:val="17"/>
          <w:u w:val="single" w:color="auto"/>
          <w:color w:val="auto"/>
        </w:rPr>
        <w:t>Converted Term Loan</w:t>
      </w:r>
      <w:r>
        <w:rPr>
          <w:rFonts w:ascii="Arial" w:cs="Arial" w:eastAsia="Arial" w:hAnsi="Arial"/>
          <w:sz w:val="17"/>
          <w:szCs w:val="17"/>
          <w:color w:val="auto"/>
        </w:rPr>
        <w:t xml:space="preserve">”) on such date and the Commitments shall automatically terminate. Upon the conversion of such Loans to Converted Term Loans, (i) each Borrower’s obligations in respect of such Loans shall remain in effect except as otherwise expressly provided for herein and (ii) each Lender shall be deemed to hold its applicable Percentage (determined immediately prior to giving effect to the Termination Date) of each of the Converted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 that immediately before and after giving effect to such conversion each of the representations and warranties made by the Company in or pursuant to the Loan Documents shall be true and correct in all material respects on and as of such date of conversion as if made on and as of such date (except to the extent such representations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3" w:right="239" w:bottom="1440" w:gutter="0" w:footer="0" w:header="0"/>
        </w:sectPr>
      </w:pPr>
    </w:p>
    <w:bookmarkStart w:id="523" w:name="page524"/>
    <w:bookmarkEnd w:id="52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warranties relate to an earlier date (including those set forth in Sections 4.1, 4.2, 4.6, 4.7, 4.8, 4.9 and 4.13), in which case, such representations and warranties shall have been true and correct in all material respects on and as of such earlier date), (ii) that immediately before and after giving effect to such conversion no Default or Event of Default shall have occurred and be continuing and (iii) the applicable Borrower or the Company shall have paid a fee to the Administrative Agent, for the account of each Lender holding Converted Term Loans, in an amount equal to 1.00% of aggregate principal amount of such Converted Term Loans held by such Lender.</w:t>
      </w:r>
    </w:p>
    <w:p>
      <w:pPr>
        <w:spacing w:after="0" w:line="80" w:lineRule="exact"/>
        <w:rPr>
          <w:sz w:val="20"/>
          <w:szCs w:val="20"/>
          <w:color w:val="auto"/>
        </w:rPr>
      </w:pPr>
    </w:p>
    <w:p>
      <w:pPr>
        <w:ind w:firstLine="921"/>
        <w:spacing w:after="0" w:line="297" w:lineRule="auto"/>
        <w:tabs>
          <w:tab w:leader="none" w:pos="1168" w:val="left"/>
        </w:tabs>
        <w:numPr>
          <w:ilvl w:val="0"/>
          <w:numId w:val="527"/>
        </w:numPr>
        <w:rPr>
          <w:rFonts w:ascii="Arial" w:cs="Arial" w:eastAsia="Arial" w:hAnsi="Arial"/>
          <w:sz w:val="16"/>
          <w:szCs w:val="16"/>
          <w:color w:val="auto"/>
        </w:rPr>
      </w:pPr>
      <w:r>
        <w:rPr>
          <w:rFonts w:ascii="Arial" w:cs="Arial" w:eastAsia="Arial" w:hAnsi="Arial"/>
          <w:sz w:val="16"/>
          <w:szCs w:val="16"/>
          <w:color w:val="auto"/>
        </w:rPr>
        <w:t xml:space="preserve">Each Converted Term Loan shall continue to bear interest at the same rate as, and contain such other terms that are identical to, the Loan from which such Converted Term Loan was converted (including, in the case of a Converted Term Loan that was converted from a Loan that was a Eurodollar Loan at the time of conversion, the same Interest Period applicable to such Loan at the time of conversion) each reference herein to “Loans” shall be deemed to be a reference to “Converted Term Loans” as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amounts paid or prepaid in respect of Converted Term Loans may not be reborrowed. To the extent not previously paid, all Converted Term Loans shall be due and payable on the Converted Term Loan Maturity Date.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 [RESERVED]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 REPRESENTATIONS AND WARRANTIES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induce the Lenders to enter into this Agreement and to make the Loans the Company hereby represents and warrants to each Lender that:</w:t>
      </w:r>
    </w:p>
    <w:p>
      <w:pPr>
        <w:spacing w:after="0" w:line="248"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The consolidated financial statements of the Company included in its Annual Report on Form 10-K, for the twelve-month period ended December 31, 2017 (the “</w:t>
      </w:r>
      <w:r>
        <w:rPr>
          <w:rFonts w:ascii="Arial" w:cs="Arial" w:eastAsia="Arial" w:hAnsi="Arial"/>
          <w:sz w:val="18"/>
          <w:szCs w:val="18"/>
          <w:u w:val="single" w:color="auto"/>
          <w:color w:val="auto"/>
        </w:rPr>
        <w:t>2017 10-K</w:t>
      </w:r>
      <w:r>
        <w:rPr>
          <w:rFonts w:ascii="Arial" w:cs="Arial" w:eastAsia="Arial" w:hAnsi="Arial"/>
          <w:sz w:val="18"/>
          <w:szCs w:val="18"/>
          <w:color w:val="auto"/>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2017;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89"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Change</w:t>
      </w:r>
      <w:r>
        <w:rPr>
          <w:rFonts w:ascii="Arial" w:cs="Arial" w:eastAsia="Arial" w:hAnsi="Arial"/>
          <w:sz w:val="18"/>
          <w:szCs w:val="18"/>
          <w:color w:val="auto"/>
        </w:rPr>
        <w:t>. Between the date of the financial statements included in the 2017 10-K and the Closing Date, there has been no development or event which has had a Material Adverse Effect.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Existence</w:t>
      </w:r>
      <w:r>
        <w:rPr>
          <w:rFonts w:ascii="Arial" w:cs="Arial" w:eastAsia="Arial" w:hAnsi="Arial"/>
          <w:sz w:val="17"/>
          <w:szCs w:val="17"/>
          <w:color w:val="auto"/>
        </w:rPr>
        <w:t>. Each Loan Party (a) is duly organized, validly existing and in good standing under the laws of its jurisdiction of organization,</w:t>
      </w:r>
    </w:p>
    <w:p>
      <w:pPr>
        <w:spacing w:after="0" w:line="35" w:lineRule="exact"/>
        <w:rPr>
          <w:sz w:val="20"/>
          <w:szCs w:val="20"/>
          <w:color w:val="auto"/>
        </w:rPr>
      </w:pPr>
    </w:p>
    <w:p>
      <w:pPr>
        <w:ind w:right="80" w:firstLine="8"/>
        <w:spacing w:after="0" w:line="255" w:lineRule="auto"/>
        <w:tabs>
          <w:tab w:leader="none" w:pos="255" w:val="left"/>
        </w:tabs>
        <w:numPr>
          <w:ilvl w:val="0"/>
          <w:numId w:val="528"/>
        </w:numPr>
        <w:rPr>
          <w:rFonts w:ascii="Arial" w:cs="Arial" w:eastAsia="Arial" w:hAnsi="Arial"/>
          <w:sz w:val="18"/>
          <w:szCs w:val="18"/>
          <w:color w:val="auto"/>
        </w:rPr>
      </w:pPr>
      <w:r>
        <w:rPr>
          <w:rFonts w:ascii="Arial" w:cs="Arial" w:eastAsia="Arial" w:hAnsi="Arial"/>
          <w:sz w:val="18"/>
          <w:szCs w:val="18"/>
          <w:color w:val="auto"/>
        </w:rPr>
        <w:t>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9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Power; Authorization; Enforceable Obligations</w:t>
      </w:r>
      <w:r>
        <w:rPr>
          <w:rFonts w:ascii="Arial" w:cs="Arial" w:eastAsia="Arial" w:hAnsi="Arial"/>
          <w:sz w:val="18"/>
          <w:szCs w:val="18"/>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 (d) each such Loan Document constitutes a legal, valid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3" w:right="259" w:bottom="1440" w:gutter="0" w:footer="0" w:header="0"/>
        </w:sectPr>
      </w:pPr>
    </w:p>
    <w:bookmarkStart w:id="524" w:name="page525"/>
    <w:bookmarkEnd w:id="524"/>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1"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 Legal Bar</w:t>
      </w:r>
      <w:r>
        <w:rPr>
          <w:rFonts w:ascii="Arial" w:cs="Arial" w:eastAsia="Arial" w:hAnsi="Arial"/>
          <w:sz w:val="17"/>
          <w:szCs w:val="17"/>
          <w:color w:val="auto"/>
        </w:rPr>
        <w:t>. The execution, delivery and performance of this Agreement and the other Loan Documents by each Loan Party that is party to such documents,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71"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Litigation</w:t>
      </w:r>
      <w:r>
        <w:rPr>
          <w:rFonts w:ascii="Arial" w:cs="Arial" w:eastAsia="Arial" w:hAnsi="Arial"/>
          <w:sz w:val="16"/>
          <w:szCs w:val="16"/>
          <w:color w:val="auto"/>
        </w:rPr>
        <w:t>. Except as set forth on Schedule 4.6 and except as set forth in the 2017 10-K or on any Current Report on Form 8-K of the Company filed with the SEC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Default</w:t>
      </w:r>
      <w:r>
        <w:rPr>
          <w:rFonts w:ascii="Arial" w:cs="Arial" w:eastAsia="Arial" w:hAnsi="Arial"/>
          <w:sz w:val="18"/>
          <w:szCs w:val="18"/>
          <w:color w:val="auto"/>
        </w:rPr>
        <w:t>. As of the Closing Date no Default or Event of Default has occurred and is continuing.</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Ownership of Property</w:t>
      </w:r>
      <w:r>
        <w:rPr>
          <w:rFonts w:ascii="Arial" w:cs="Arial" w:eastAsia="Arial" w:hAnsi="Arial"/>
          <w:sz w:val="18"/>
          <w:szCs w:val="18"/>
          <w:color w:val="auto"/>
        </w:rPr>
        <w:t xml:space="preserve">. As of the Closing Date, the Company and each Principal Domestic Subsidiary, as applicable, has good title to, or a valid leasehold interest in, all of its other property then owned or leased by it;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92" w:lineRule="exact"/>
        <w:rPr>
          <w:sz w:val="20"/>
          <w:szCs w:val="20"/>
          <w:color w:val="auto"/>
        </w:rPr>
      </w:pPr>
    </w:p>
    <w:p>
      <w:pPr>
        <w:jc w:val="both"/>
        <w:ind w:right="220" w:firstLine="913"/>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66"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Federal Regulations</w:t>
      </w:r>
      <w:r>
        <w:rPr>
          <w:rFonts w:ascii="Arial" w:cs="Arial" w:eastAsia="Arial" w:hAnsi="Arial"/>
          <w:sz w:val="18"/>
          <w:szCs w:val="18"/>
          <w:color w:val="auto"/>
        </w:rPr>
        <w:t>. No part of the proceeds of any Loans, and no other extensions of credit hereunder, will be used for any purpose that violates the provisions of Regulation T, U or X of the Board.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ERISA</w:t>
      </w:r>
      <w:r>
        <w:rPr>
          <w:rFonts w:ascii="Arial" w:cs="Arial" w:eastAsia="Arial" w:hAnsi="Arial"/>
          <w:sz w:val="18"/>
          <w:szCs w:val="18"/>
          <w:color w:val="auto"/>
        </w:rPr>
        <w:t>. No ERISA Default has occurred and is continuing.</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Loan Party is an “investment company”, or a company “controlled” by an “investment company”, registered or required to be registered as such under the Investment Company Act of 1940, as amended.</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Ownership of the Subsidiary Borrowers</w:t>
      </w:r>
      <w:r>
        <w:rPr>
          <w:rFonts w:ascii="Arial" w:cs="Arial" w:eastAsia="Arial" w:hAnsi="Arial"/>
          <w:sz w:val="18"/>
          <w:szCs w:val="18"/>
          <w:color w:val="auto"/>
        </w:rPr>
        <w:t>. As of the Closing Date, each Subsidiary Borrower is a direct or indirect wholly-owned Subsidiary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25" w:name="page526"/>
    <w:bookmarkEnd w:id="525"/>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81"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or the U.S. Department of State or the European Union (collectively, the “</w:t>
      </w:r>
      <w:r>
        <w:rPr>
          <w:rFonts w:ascii="Arial" w:cs="Arial" w:eastAsia="Arial" w:hAnsi="Arial"/>
          <w:sz w:val="17"/>
          <w:szCs w:val="17"/>
          <w:u w:val="single" w:color="auto"/>
          <w:color w:val="auto"/>
        </w:rPr>
        <w:t>Sanctions Lists</w:t>
      </w:r>
      <w:r>
        <w:rPr>
          <w:rFonts w:ascii="Arial" w:cs="Arial" w:eastAsia="Arial" w:hAnsi="Arial"/>
          <w:sz w:val="17"/>
          <w:szCs w:val="17"/>
          <w:color w:val="auto"/>
        </w:rPr>
        <w:t>”). Neither the Company nor any of its Subsidiaries has a physical place of business, or is organized or resident, in (a) Cuba, Iran, North Korea, Syria or Crimea or (b) in any other Sanctioned Country in violation of U.S. law. The Company and its Subsidiary Borrowers will not knowingly use the proceeds of the Loans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 CONDITIONS PRECEDENT</w:t>
      </w:r>
    </w:p>
    <w:p>
      <w:pPr>
        <w:spacing w:after="0" w:line="225"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Closing Date</w:t>
      </w:r>
      <w:r>
        <w:rPr>
          <w:rFonts w:ascii="Arial" w:cs="Arial" w:eastAsia="Arial" w:hAnsi="Arial"/>
          <w:sz w:val="18"/>
          <w:szCs w:val="18"/>
          <w:color w:val="auto"/>
        </w:rPr>
        <w:t>. This Agreement and the obligation of each Lender to make extensions of credit requested to be made by it hereunder shall be effective upon (1) the execution and delivery of this Agreement by each of the Administrative Agent, the Syndication Agent, the Co-Syndication Agent, the Company, each other Borrower,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80" w:lineRule="exact"/>
        <w:rPr>
          <w:sz w:val="20"/>
          <w:szCs w:val="20"/>
          <w:color w:val="auto"/>
        </w:rPr>
      </w:pPr>
    </w:p>
    <w:p>
      <w:pPr>
        <w:ind w:left="1160" w:hanging="239"/>
        <w:spacing w:after="0"/>
        <w:tabs>
          <w:tab w:leader="none" w:pos="1160" w:val="left"/>
        </w:tabs>
        <w:numPr>
          <w:ilvl w:val="0"/>
          <w:numId w:val="529"/>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The Company shall have executed and delivered the Guarantee.</w:t>
      </w:r>
    </w:p>
    <w:p>
      <w:pPr>
        <w:spacing w:after="0" w:line="117" w:lineRule="exact"/>
        <w:rPr>
          <w:rFonts w:ascii="Arial" w:cs="Arial" w:eastAsia="Arial" w:hAnsi="Arial"/>
          <w:sz w:val="18"/>
          <w:szCs w:val="18"/>
          <w:color w:val="auto"/>
        </w:rPr>
      </w:pPr>
    </w:p>
    <w:p>
      <w:pPr>
        <w:ind w:right="240" w:firstLine="921"/>
        <w:spacing w:after="0" w:line="277" w:lineRule="auto"/>
        <w:tabs>
          <w:tab w:leader="none" w:pos="1168" w:val="left"/>
        </w:tabs>
        <w:numPr>
          <w:ilvl w:val="0"/>
          <w:numId w:val="529"/>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62" w:lineRule="exact"/>
        <w:rPr>
          <w:rFonts w:ascii="Arial" w:cs="Arial" w:eastAsia="Arial" w:hAnsi="Arial"/>
          <w:sz w:val="18"/>
          <w:szCs w:val="18"/>
          <w:color w:val="auto"/>
        </w:rPr>
      </w:pPr>
    </w:p>
    <w:p>
      <w:pPr>
        <w:ind w:right="60" w:firstLine="921"/>
        <w:spacing w:after="0" w:line="293" w:lineRule="auto"/>
        <w:tabs>
          <w:tab w:leader="none" w:pos="1157" w:val="left"/>
        </w:tabs>
        <w:numPr>
          <w:ilvl w:val="0"/>
          <w:numId w:val="529"/>
        </w:numPr>
        <w:rPr>
          <w:rFonts w:ascii="Arial" w:cs="Arial" w:eastAsia="Arial" w:hAnsi="Arial"/>
          <w:sz w:val="16"/>
          <w:szCs w:val="16"/>
          <w:color w:val="auto"/>
        </w:rPr>
      </w:pPr>
      <w:r>
        <w:rPr>
          <w:rFonts w:ascii="Arial" w:cs="Arial" w:eastAsia="Arial" w:hAnsi="Arial"/>
          <w:sz w:val="16"/>
          <w:szCs w:val="16"/>
          <w:u w:val="single" w:color="auto"/>
          <w:color w:val="auto"/>
        </w:rPr>
        <w:t>Closing Certificate; Certified Certificate of Incorporation; Good Standing Certificates</w:t>
      </w:r>
      <w:r>
        <w:rPr>
          <w:rFonts w:ascii="Arial" w:cs="Arial" w:eastAsia="Arial" w:hAnsi="Arial"/>
          <w:sz w:val="16"/>
          <w:szCs w:val="16"/>
          <w:color w:val="auto"/>
        </w:rPr>
        <w:t>. The Administrative Agent shall have received (i) a certificate of each Loan Party other than GMGTC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(iii) a certificate of the Company, dated the Closing Date, to the effect that the conditions set forth in Section 5.2 have been satisfied or waived and (iv) a</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3" w:right="259" w:bottom="1440" w:gutter="0" w:footer="0" w:header="0"/>
        </w:sectPr>
      </w:pPr>
    </w:p>
    <w:bookmarkStart w:id="526" w:name="page527"/>
    <w:bookmarkEnd w:id="526"/>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from GMGTC (signed by an authorised signatory), with appropriate insertions and attachments, including its constitutional documents, certifying that: (A) borrowing, guaranteeing or securing (as appropriate) under this Agreement would not cause any borrowing, guarantee, security or similar limit binding on it to be exceeded; and (B) each copy document relating to it in this Section 5.1 (including its constitutional documents) is correct, complete and in full force and effect and has not been amended or superseded prior to the date of this Agreement.</w:t>
      </w:r>
    </w:p>
    <w:p>
      <w:pPr>
        <w:spacing w:after="0" w:line="63" w:lineRule="exact"/>
        <w:rPr>
          <w:sz w:val="20"/>
          <w:szCs w:val="20"/>
          <w:color w:val="auto"/>
        </w:rPr>
      </w:pPr>
    </w:p>
    <w:p>
      <w:pPr>
        <w:ind w:right="40" w:firstLine="921"/>
        <w:spacing w:after="0" w:line="264" w:lineRule="auto"/>
        <w:tabs>
          <w:tab w:leader="none" w:pos="1168"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shall have received the executed legal opinion of (i) in house counsel to the Loan Parties, (ii) Weil Gotshal &amp; Manges LLP, special UK counsel to GMGTC and (iii) Weil Gotshal &amp; Manges LLP, counsel to the Loan Parties, each in form and substance reasonably acceptable to the Administrative Agent.</w:t>
      </w:r>
    </w:p>
    <w:p>
      <w:pPr>
        <w:spacing w:after="0" w:line="73" w:lineRule="exact"/>
        <w:rPr>
          <w:rFonts w:ascii="Arial" w:cs="Arial" w:eastAsia="Arial" w:hAnsi="Arial"/>
          <w:sz w:val="18"/>
          <w:szCs w:val="18"/>
          <w:color w:val="auto"/>
        </w:rPr>
      </w:pPr>
    </w:p>
    <w:p>
      <w:pPr>
        <w:ind w:right="20" w:firstLine="921"/>
        <w:spacing w:after="0" w:line="342" w:lineRule="auto"/>
        <w:tabs>
          <w:tab w:leader="none" w:pos="1157" w:val="left"/>
        </w:tabs>
        <w:numPr>
          <w:ilvl w:val="0"/>
          <w:numId w:val="530"/>
        </w:numPr>
        <w:rPr>
          <w:rFonts w:ascii="Arial" w:cs="Arial" w:eastAsia="Arial" w:hAnsi="Arial"/>
          <w:sz w:val="16"/>
          <w:szCs w:val="16"/>
          <w:color w:val="auto"/>
        </w:rPr>
      </w:pPr>
      <w:r>
        <w:rPr>
          <w:rFonts w:ascii="Arial" w:cs="Arial" w:eastAsia="Arial" w:hAnsi="Arial"/>
          <w:sz w:val="16"/>
          <w:szCs w:val="16"/>
          <w:u w:val="single" w:color="auto"/>
          <w:color w:val="auto"/>
        </w:rPr>
        <w:t>USA Patriot Act</w:t>
      </w:r>
      <w:r>
        <w:rPr>
          <w:rFonts w:ascii="Arial" w:cs="Arial" w:eastAsia="Arial" w:hAnsi="Arial"/>
          <w:sz w:val="16"/>
          <w:szCs w:val="16"/>
          <w:color w:val="auto"/>
        </w:rPr>
        <w:t>. The Administrative Agent shall have received all documentation and other information reasonably requested by the Administrative Agent or any Lender under applicable “know your customer” and anti-money-laundering rules and regulations, including the USA Patriot Act.</w:t>
      </w:r>
    </w:p>
    <w:p>
      <w:pPr>
        <w:spacing w:after="0" w:line="16"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Each Extension of Credit</w:t>
      </w:r>
      <w:r>
        <w:rPr>
          <w:rFonts w:ascii="Arial" w:cs="Arial" w:eastAsia="Arial" w:hAnsi="Arial"/>
          <w:sz w:val="18"/>
          <w:szCs w:val="18"/>
          <w:color w:val="auto"/>
        </w:rPr>
        <w:t>. The agreement of each Lender to make any Loan (it being expressly understood and agreed that the foregoing shall not apply to any conversion or continuation of an outstanding Loan) requested to be made by it on any date (including its initial extension of credit) is subject to the Closing Date having occurred and to the satisfaction (or waiver pursuant to Section 10.1) of the following conditions precedent as of the borrowing date for such Loan:</w:t>
      </w:r>
    </w:p>
    <w:p>
      <w:pPr>
        <w:spacing w:after="0" w:line="79" w:lineRule="exact"/>
        <w:rPr>
          <w:sz w:val="20"/>
          <w:szCs w:val="20"/>
          <w:color w:val="auto"/>
        </w:rPr>
      </w:pPr>
    </w:p>
    <w:p>
      <w:pPr>
        <w:ind w:firstLine="921"/>
        <w:spacing w:after="0" w:line="259" w:lineRule="auto"/>
        <w:tabs>
          <w:tab w:leader="none" w:pos="1157" w:val="left"/>
        </w:tabs>
        <w:numPr>
          <w:ilvl w:val="1"/>
          <w:numId w:val="53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w:t>
      </w:r>
    </w:p>
    <w:p>
      <w:pPr>
        <w:spacing w:after="0" w:line="78" w:lineRule="exact"/>
        <w:rPr>
          <w:rFonts w:ascii="Arial" w:cs="Arial" w:eastAsia="Arial" w:hAnsi="Arial"/>
          <w:sz w:val="18"/>
          <w:szCs w:val="18"/>
          <w:color w:val="auto"/>
        </w:rPr>
      </w:pPr>
    </w:p>
    <w:p>
      <w:pPr>
        <w:ind w:right="120" w:firstLine="921"/>
        <w:spacing w:after="0" w:line="277" w:lineRule="auto"/>
        <w:tabs>
          <w:tab w:leader="none" w:pos="1168" w:val="left"/>
        </w:tabs>
        <w:numPr>
          <w:ilvl w:val="1"/>
          <w:numId w:val="531"/>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after giving effect to the extensions of credit requested to be made on such date and the use of proceeds thereof.</w:t>
      </w:r>
    </w:p>
    <w:p>
      <w:pPr>
        <w:spacing w:after="0" w:line="62" w:lineRule="exact"/>
        <w:rPr>
          <w:rFonts w:ascii="Arial" w:cs="Arial" w:eastAsia="Arial" w:hAnsi="Arial"/>
          <w:sz w:val="18"/>
          <w:szCs w:val="18"/>
          <w:color w:val="auto"/>
        </w:rPr>
      </w:pPr>
    </w:p>
    <w:p>
      <w:pPr>
        <w:ind w:right="20" w:firstLine="921"/>
        <w:spacing w:after="0" w:line="285" w:lineRule="auto"/>
        <w:tabs>
          <w:tab w:leader="none" w:pos="1157" w:val="left"/>
        </w:tabs>
        <w:numPr>
          <w:ilvl w:val="1"/>
          <w:numId w:val="531"/>
        </w:numPr>
        <w:rPr>
          <w:rFonts w:ascii="Arial" w:cs="Arial" w:eastAsia="Arial" w:hAnsi="Arial"/>
          <w:sz w:val="16"/>
          <w:szCs w:val="16"/>
          <w:color w:val="auto"/>
        </w:rPr>
      </w:pPr>
      <w:r>
        <w:rPr>
          <w:rFonts w:ascii="Arial" w:cs="Arial" w:eastAsia="Arial" w:hAnsi="Arial"/>
          <w:sz w:val="16"/>
          <w:szCs w:val="16"/>
          <w:u w:val="single" w:color="auto"/>
          <w:color w:val="auto"/>
        </w:rPr>
        <w:t>No Subsidiary Borrower Bankruptcy Events</w:t>
      </w:r>
      <w:r>
        <w:rPr>
          <w:rFonts w:ascii="Arial" w:cs="Arial" w:eastAsia="Arial" w:hAnsi="Arial"/>
          <w:sz w:val="16"/>
          <w:szCs w:val="16"/>
          <w:color w:val="auto"/>
        </w:rPr>
        <w:t>. With respect to any Loan made to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w:t>
      </w:r>
    </w:p>
    <w:p>
      <w:pPr>
        <w:spacing w:after="0" w:line="2" w:lineRule="exact"/>
        <w:rPr>
          <w:rFonts w:ascii="Arial" w:cs="Arial" w:eastAsia="Arial" w:hAnsi="Arial"/>
          <w:sz w:val="16"/>
          <w:szCs w:val="16"/>
          <w:color w:val="auto"/>
        </w:rPr>
      </w:pPr>
    </w:p>
    <w:p>
      <w:pPr>
        <w:ind w:right="200" w:firstLine="8"/>
        <w:spacing w:after="0" w:line="281" w:lineRule="auto"/>
        <w:tabs>
          <w:tab w:leader="none" w:pos="285" w:val="left"/>
        </w:tabs>
        <w:numPr>
          <w:ilvl w:val="0"/>
          <w:numId w:val="532"/>
        </w:numPr>
        <w:rPr>
          <w:rFonts w:ascii="Arial" w:cs="Arial" w:eastAsia="Arial" w:hAnsi="Arial"/>
          <w:sz w:val="16"/>
          <w:szCs w:val="16"/>
          <w:color w:val="auto"/>
        </w:rPr>
      </w:pPr>
      <w:r>
        <w:rPr>
          <w:rFonts w:ascii="Arial" w:cs="Arial" w:eastAsia="Arial" w:hAnsi="Arial"/>
          <w:sz w:val="16"/>
          <w:szCs w:val="16"/>
          <w:color w:val="auto"/>
        </w:rPr>
        <w:t>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remains undismissed, undischarged or unbonded for a period of 90 days.</w:t>
      </w:r>
    </w:p>
    <w:p>
      <w:pPr>
        <w:spacing w:after="0" w:line="211" w:lineRule="exact"/>
        <w:rPr>
          <w:sz w:val="20"/>
          <w:szCs w:val="20"/>
          <w:color w:val="auto"/>
        </w:rPr>
      </w:pPr>
    </w:p>
    <w:p>
      <w:pPr>
        <w:ind w:right="300" w:firstLine="913"/>
        <w:spacing w:after="0" w:line="308" w:lineRule="auto"/>
        <w:rPr>
          <w:sz w:val="20"/>
          <w:szCs w:val="20"/>
          <w:color w:val="auto"/>
        </w:rPr>
      </w:pPr>
      <w:r>
        <w:rPr>
          <w:rFonts w:ascii="Arial" w:cs="Arial" w:eastAsia="Arial" w:hAnsi="Arial"/>
          <w:sz w:val="17"/>
          <w:szCs w:val="17"/>
          <w:color w:val="auto"/>
        </w:rPr>
        <w:t>Each borrowing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527" w:name="page528"/>
    <w:bookmarkEnd w:id="5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 AFFIRMATIVE COVENANTS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agrees that, so long as the Commitments remain in effect or any Loan, interest or fee payable hereunder or under any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Document is owing to any Lender:</w:t>
      </w:r>
    </w:p>
    <w:p>
      <w:pPr>
        <w:spacing w:after="0" w:line="21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financial statements shall be deemed to be delivered upon the filing with the SEC of its Form 10-K or Form 10-Q for the relevant fiscal period;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restatement of previously delivered (or deemed delivered) financial statements shall not constitute a breach or violation of this Section 6.1.</w:t>
      </w:r>
    </w:p>
    <w:p>
      <w:pPr>
        <w:spacing w:after="0" w:line="19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Maintenance of Business; Existence</w:t>
      </w:r>
      <w:r>
        <w:rPr>
          <w:rFonts w:ascii="Arial" w:cs="Arial" w:eastAsia="Arial" w:hAnsi="Arial"/>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7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3" w:right="239" w:bottom="1440" w:gutter="0" w:footer="0" w:header="0"/>
        </w:sectPr>
      </w:pPr>
    </w:p>
    <w:bookmarkStart w:id="528" w:name="page529"/>
    <w:bookmarkEnd w:id="528"/>
    <w:p>
      <w:pPr>
        <w:jc w:val="both"/>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6.6 </w:t>
      </w:r>
      <w:r>
        <w:rPr>
          <w:rFonts w:ascii="Arial" w:cs="Arial" w:eastAsia="Arial" w:hAnsi="Arial"/>
          <w:sz w:val="18"/>
          <w:szCs w:val="18"/>
          <w:u w:val="single" w:color="auto"/>
          <w:color w:val="auto"/>
        </w:rPr>
        <w:t>Reinstated Guarantors, etc.</w:t>
      </w:r>
      <w:r>
        <w:rPr>
          <w:rFonts w:ascii="Arial" w:cs="Arial" w:eastAsia="Arial" w:hAnsi="Arial"/>
          <w:sz w:val="18"/>
          <w:szCs w:val="18"/>
          <w:color w:val="auto"/>
        </w:rPr>
        <w:t xml:space="preserve">. (a) Within 30 days after any Guarantee Reinstatement Date, the Company shall deliver, or cause to be delivered to the Administrative Agent a Guarantee Joinder, executed and delivered by each Domestic Subsidiary that is a Principal Domestic Subsidiary (other than an Excluded Subsidiary) on such Guarantee Reinstatement Date, together with customary secretary’s certificates, resolutions and legal opinions;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foregoing requirements shall not apply to GM Holdings.</w:t>
      </w:r>
    </w:p>
    <w:p>
      <w:pPr>
        <w:spacing w:after="0" w:line="79" w:lineRule="exact"/>
        <w:rPr>
          <w:sz w:val="20"/>
          <w:szCs w:val="20"/>
          <w:color w:val="auto"/>
        </w:rPr>
      </w:pPr>
    </w:p>
    <w:p>
      <w:pPr>
        <w:ind w:left="1180" w:hanging="259"/>
        <w:spacing w:after="0"/>
        <w:tabs>
          <w:tab w:leader="none" w:pos="1180" w:val="left"/>
        </w:tabs>
        <w:numPr>
          <w:ilvl w:val="1"/>
          <w:numId w:val="534"/>
        </w:numPr>
        <w:rPr>
          <w:rFonts w:ascii="Arial" w:cs="Arial" w:eastAsia="Arial" w:hAnsi="Arial"/>
          <w:sz w:val="17"/>
          <w:szCs w:val="17"/>
          <w:color w:val="auto"/>
        </w:rPr>
      </w:pPr>
      <w:r>
        <w:rPr>
          <w:rFonts w:ascii="Arial" w:cs="Arial" w:eastAsia="Arial" w:hAnsi="Arial"/>
          <w:sz w:val="17"/>
          <w:szCs w:val="17"/>
          <w:color w:val="auto"/>
        </w:rPr>
        <w:t>During any Reinstated Guarantee Requirement Period, within 90 days after the end of any fiscal quarter of the Company, during which</w:t>
      </w:r>
    </w:p>
    <w:p>
      <w:pPr>
        <w:spacing w:after="0" w:line="34" w:lineRule="exact"/>
        <w:rPr>
          <w:rFonts w:ascii="Arial" w:cs="Arial" w:eastAsia="Arial" w:hAnsi="Arial"/>
          <w:sz w:val="17"/>
          <w:szCs w:val="17"/>
          <w:color w:val="auto"/>
        </w:rPr>
      </w:pPr>
    </w:p>
    <w:p>
      <w:pPr>
        <w:ind w:right="20" w:firstLine="8"/>
        <w:spacing w:after="0" w:line="287" w:lineRule="auto"/>
        <w:tabs>
          <w:tab w:leader="none" w:pos="295" w:val="left"/>
        </w:tabs>
        <w:numPr>
          <w:ilvl w:val="0"/>
          <w:numId w:val="535"/>
        </w:numPr>
        <w:rPr>
          <w:rFonts w:ascii="Arial" w:cs="Arial" w:eastAsia="Arial" w:hAnsi="Arial"/>
          <w:sz w:val="16"/>
          <w:szCs w:val="16"/>
          <w:color w:val="auto"/>
        </w:rPr>
      </w:pPr>
      <w:r>
        <w:rPr>
          <w:rFonts w:ascii="Arial" w:cs="Arial" w:eastAsia="Arial" w:hAnsi="Arial"/>
          <w:sz w:val="16"/>
          <w:szCs w:val="16"/>
          <w:color w:val="auto"/>
        </w:rPr>
        <w:t>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become a party to the Guarantee pursuant to a Guarantee Joinder and to deliver customary secretary’s certificates, resolutions and legal opinions in connection therewith.</w:t>
      </w:r>
    </w:p>
    <w:p>
      <w:pPr>
        <w:spacing w:after="0" w:line="58" w:lineRule="exact"/>
        <w:rPr>
          <w:rFonts w:ascii="Arial" w:cs="Arial" w:eastAsia="Arial" w:hAnsi="Arial"/>
          <w:sz w:val="16"/>
          <w:szCs w:val="16"/>
          <w:color w:val="auto"/>
        </w:rPr>
      </w:pPr>
    </w:p>
    <w:p>
      <w:pPr>
        <w:ind w:right="420" w:firstLine="921"/>
        <w:spacing w:after="0" w:line="277" w:lineRule="auto"/>
        <w:tabs>
          <w:tab w:leader="none" w:pos="1158" w:val="left"/>
        </w:tabs>
        <w:numPr>
          <w:ilvl w:val="1"/>
          <w:numId w:val="535"/>
        </w:numPr>
        <w:rPr>
          <w:rFonts w:ascii="Arial" w:cs="Arial" w:eastAsia="Arial" w:hAnsi="Arial"/>
          <w:sz w:val="18"/>
          <w:szCs w:val="18"/>
          <w:color w:val="auto"/>
        </w:rPr>
      </w:pPr>
      <w:r>
        <w:rPr>
          <w:rFonts w:ascii="Arial" w:cs="Arial" w:eastAsia="Arial" w:hAnsi="Arial"/>
          <w:sz w:val="18"/>
          <w:szCs w:val="18"/>
          <w:color w:val="auto"/>
        </w:rPr>
        <w:t>Notwithstanding the foregoing or anything in any Loan Document to the contrary, in no event shall GM Holdings or any other Excluded Subsidiary be required to be a Guarantor or a Subsidiary Guarantor.</w:t>
      </w:r>
    </w:p>
    <w:p>
      <w:pPr>
        <w:spacing w:after="0" w:line="17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81"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Ratings</w:t>
      </w:r>
      <w:r>
        <w:rPr>
          <w:rFonts w:ascii="Arial" w:cs="Arial" w:eastAsia="Arial" w:hAnsi="Arial"/>
          <w:sz w:val="18"/>
          <w:szCs w:val="18"/>
          <w:color w:val="auto"/>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not be required to obtain or maintain, as applicable, a specific Index Debt Rating.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 NEGATIVE COVENANTS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agrees that, so long as the Commitments remain in effect or any Loan, interest or fee payable hereunder or under any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Document is owing to any Lender:</w:t>
      </w:r>
    </w:p>
    <w:p>
      <w:pPr>
        <w:spacing w:after="0" w:line="211"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Minimum Liquidity</w:t>
      </w:r>
      <w:r>
        <w:rPr>
          <w:rFonts w:ascii="Arial" w:cs="Arial" w:eastAsia="Arial" w:hAnsi="Arial"/>
          <w:sz w:val="18"/>
          <w:szCs w:val="18"/>
          <w:color w:val="auto"/>
        </w:rPr>
        <w:t>. The Company shall not at any time permit the Consolidated Global Liquidity to be less than $4 billion or the Consolidated Domestic Liquidity to be less than $2 billion.</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Indebtedness</w:t>
      </w:r>
      <w:r>
        <w:rPr>
          <w:rFonts w:ascii="Arial" w:cs="Arial" w:eastAsia="Arial" w:hAnsi="Arial"/>
          <w:sz w:val="18"/>
          <w:szCs w:val="18"/>
          <w:color w:val="auto"/>
        </w:rPr>
        <w:t>. The Company shall not, and shall not permit any Principal Domestic Subsidiary to, incur Indebtedness that is secured by a Lien on any Previously Pledged Assets other than (A) Indebtedness secured by Permitted Liens on such Previously Pledged Assets and (B) Indebtedness secured by Liens on such Previously Pledged Assets, in an aggregate principal amount, the Dollar Equivalent of which, at the time of the incurrence thereof, does not exceed 7.5% of Consolidated Tangible Assets.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529" w:name="page530"/>
    <w:bookmarkEnd w:id="529"/>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7.3 </w:t>
      </w:r>
      <w:r>
        <w:rPr>
          <w:rFonts w:ascii="Arial" w:cs="Arial" w:eastAsia="Arial" w:hAnsi="Arial"/>
          <w:sz w:val="18"/>
          <w:szCs w:val="18"/>
          <w:u w:val="single" w:color="auto"/>
          <w:color w:val="auto"/>
        </w:rPr>
        <w:t>Asset Sale Restrictions</w:t>
      </w:r>
      <w:r>
        <w:rPr>
          <w:rFonts w:ascii="Arial" w:cs="Arial" w:eastAsia="Arial" w:hAnsi="Arial"/>
          <w:sz w:val="18"/>
          <w:szCs w:val="18"/>
          <w:color w:val="auto"/>
        </w:rPr>
        <w:t>.</w:t>
      </w:r>
    </w:p>
    <w:p>
      <w:pPr>
        <w:spacing w:after="0" w:line="117" w:lineRule="exact"/>
        <w:rPr>
          <w:sz w:val="20"/>
          <w:szCs w:val="20"/>
          <w:color w:val="auto"/>
        </w:rPr>
      </w:pPr>
    </w:p>
    <w:p>
      <w:pPr>
        <w:ind w:left="-40" w:right="160" w:firstLine="921"/>
        <w:spacing w:after="0" w:line="255" w:lineRule="auto"/>
        <w:tabs>
          <w:tab w:leader="none" w:pos="1117" w:val="left"/>
        </w:tabs>
        <w:numPr>
          <w:ilvl w:val="0"/>
          <w:numId w:val="536"/>
        </w:numPr>
        <w:rPr>
          <w:rFonts w:ascii="Arial" w:cs="Arial" w:eastAsia="Arial" w:hAnsi="Arial"/>
          <w:sz w:val="18"/>
          <w:szCs w:val="18"/>
          <w:color w:val="auto"/>
        </w:rPr>
      </w:pPr>
      <w:r>
        <w:rPr>
          <w:rFonts w:ascii="Arial" w:cs="Arial" w:eastAsia="Arial" w:hAnsi="Arial"/>
          <w:sz w:val="18"/>
          <w:szCs w:val="18"/>
          <w:u w:val="single" w:color="auto"/>
          <w:color w:val="auto"/>
        </w:rPr>
        <w:t>All or Substantially All</w:t>
      </w:r>
      <w:r>
        <w:rPr>
          <w:rFonts w:ascii="Arial" w:cs="Arial" w:eastAsia="Arial" w:hAnsi="Arial"/>
          <w:sz w:val="18"/>
          <w:szCs w:val="18"/>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any Reinstated Guarantee Period, any such transfer from a Subsidiary Guarantor shall be to another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the foregoing the Company or any of its Principal Domestic Subsidiaries may Dispose of all or any portion of an Excluded Subsidiary Business to one or more Excluded Subsidiaries.</w:t>
      </w:r>
    </w:p>
    <w:p>
      <w:pPr>
        <w:spacing w:after="0" w:line="81" w:lineRule="exact"/>
        <w:rPr>
          <w:rFonts w:ascii="Arial" w:cs="Arial" w:eastAsia="Arial" w:hAnsi="Arial"/>
          <w:sz w:val="18"/>
          <w:szCs w:val="18"/>
          <w:color w:val="auto"/>
        </w:rPr>
      </w:pPr>
    </w:p>
    <w:p>
      <w:pPr>
        <w:ind w:left="-40" w:right="120" w:firstLine="921"/>
        <w:spacing w:after="0" w:line="255" w:lineRule="auto"/>
        <w:tabs>
          <w:tab w:leader="none" w:pos="1128" w:val="left"/>
        </w:tabs>
        <w:numPr>
          <w:ilvl w:val="0"/>
          <w:numId w:val="536"/>
        </w:numPr>
        <w:rPr>
          <w:rFonts w:ascii="Arial" w:cs="Arial" w:eastAsia="Arial" w:hAnsi="Arial"/>
          <w:sz w:val="18"/>
          <w:szCs w:val="18"/>
          <w:color w:val="auto"/>
        </w:rPr>
      </w:pPr>
      <w:r>
        <w:rPr>
          <w:rFonts w:ascii="Arial" w:cs="Arial" w:eastAsia="Arial" w:hAnsi="Arial"/>
          <w:sz w:val="18"/>
          <w:szCs w:val="18"/>
          <w:u w:val="single" w:color="auto"/>
          <w:color w:val="auto"/>
        </w:rPr>
        <w:t>Principal Trade Names</w:t>
      </w:r>
      <w:r>
        <w:rPr>
          <w:rFonts w:ascii="Arial" w:cs="Arial" w:eastAsia="Arial" w:hAnsi="Arial"/>
          <w:sz w:val="18"/>
          <w:szCs w:val="18"/>
          <w:color w:val="auto"/>
        </w:rPr>
        <w:t xml:space="preserve">.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117" w:lineRule="exact"/>
        <w:rPr>
          <w:sz w:val="20"/>
          <w:szCs w:val="20"/>
          <w:color w:val="auto"/>
        </w:rPr>
      </w:pPr>
    </w:p>
    <w:p>
      <w:pPr>
        <w:ind w:left="-40" w:firstLine="921"/>
        <w:spacing w:after="0" w:line="287" w:lineRule="auto"/>
        <w:tabs>
          <w:tab w:leader="none" w:pos="1118" w:val="left"/>
        </w:tabs>
        <w:numPr>
          <w:ilvl w:val="0"/>
          <w:numId w:val="537"/>
        </w:numPr>
        <w:rPr>
          <w:rFonts w:ascii="Arial" w:cs="Arial" w:eastAsia="Arial" w:hAnsi="Arial"/>
          <w:sz w:val="16"/>
          <w:szCs w:val="16"/>
          <w:color w:val="auto"/>
        </w:rPr>
      </w:pPr>
      <w:r>
        <w:rPr>
          <w:rFonts w:ascii="Arial" w:cs="Arial" w:eastAsia="Arial" w:hAnsi="Arial"/>
          <w:sz w:val="16"/>
          <w:szCs w:val="16"/>
          <w:color w:val="auto"/>
        </w:rPr>
        <w:t xml:space="preserve">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(or, in the case of any Subsidiary Borrower organized outside of the United States, the jurisdiction of incorporation of such Subsidiary Borrower or any other Foreign Subsidiary Borrower) that expressly assumes all the obligations of such Borrower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such Borrower;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that, so long as no Obligations are owed by the applicable Subsidiary Borrower, the Company may elect for such Subsidiary to cease to be a “Borrower” hereunder pursuant to Section 10.1(d) hereof and, thereafter, such Subsidiary shall not be subject to the restrictions contained in this paragraph.</w:t>
      </w:r>
    </w:p>
    <w:p>
      <w:pPr>
        <w:spacing w:after="0" w:line="64" w:lineRule="exact"/>
        <w:rPr>
          <w:rFonts w:ascii="Arial" w:cs="Arial" w:eastAsia="Arial" w:hAnsi="Arial"/>
          <w:sz w:val="16"/>
          <w:szCs w:val="16"/>
          <w:color w:val="auto"/>
        </w:rPr>
      </w:pPr>
    </w:p>
    <w:p>
      <w:pPr>
        <w:jc w:val="both"/>
        <w:ind w:left="-40" w:firstLine="921"/>
        <w:spacing w:after="0" w:line="302" w:lineRule="auto"/>
        <w:tabs>
          <w:tab w:leader="none" w:pos="1128" w:val="left"/>
        </w:tabs>
        <w:numPr>
          <w:ilvl w:val="0"/>
          <w:numId w:val="537"/>
        </w:numPr>
        <w:rPr>
          <w:rFonts w:ascii="Arial" w:cs="Arial" w:eastAsia="Arial" w:hAnsi="Arial"/>
          <w:sz w:val="16"/>
          <w:szCs w:val="16"/>
          <w:color w:val="auto"/>
        </w:rPr>
      </w:pPr>
      <w:r>
        <w:rPr>
          <w:rFonts w:ascii="Arial" w:cs="Arial" w:eastAsia="Arial" w:hAnsi="Arial"/>
          <w:sz w:val="16"/>
          <w:szCs w:val="16"/>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80" w:top="274" w:right="279" w:bottom="1440" w:gutter="0" w:footer="0" w:header="0"/>
        </w:sectPr>
      </w:pPr>
    </w:p>
    <w:bookmarkStart w:id="530" w:name="page531"/>
    <w:bookmarkEnd w:id="530"/>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88"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and its Subsidiary Borrowers shall not, and shall not permit any of its Subsidiaries to, knowingly use the proceeds of the Loans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38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SECTION 8. EVENTS OF DEFAULT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117" w:lineRule="exact"/>
        <w:rPr>
          <w:sz w:val="20"/>
          <w:szCs w:val="20"/>
          <w:color w:val="auto"/>
        </w:rPr>
      </w:pPr>
    </w:p>
    <w:p>
      <w:pPr>
        <w:ind w:firstLine="921"/>
        <w:spacing w:after="0" w:line="279" w:lineRule="auto"/>
        <w:tabs>
          <w:tab w:leader="none" w:pos="1158" w:val="left"/>
        </w:tabs>
        <w:numPr>
          <w:ilvl w:val="1"/>
          <w:numId w:val="538"/>
        </w:numPr>
        <w:rPr>
          <w:rFonts w:ascii="Arial" w:cs="Arial" w:eastAsia="Arial" w:hAnsi="Arial"/>
          <w:sz w:val="17"/>
          <w:szCs w:val="17"/>
          <w:color w:val="auto"/>
        </w:rPr>
      </w:pPr>
      <w:r>
        <w:rPr>
          <w:rFonts w:ascii="Arial" w:cs="Arial" w:eastAsia="Arial" w:hAnsi="Arial"/>
          <w:sz w:val="17"/>
          <w:szCs w:val="17"/>
          <w:color w:val="auto"/>
        </w:rPr>
        <w:t>any Borrower shall fail to pay (i) any principal of any Loan at maturity, (ii) any interest or Facility Fee hereunder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w:t>
      </w:r>
    </w:p>
    <w:p>
      <w:pPr>
        <w:spacing w:after="0" w:line="63" w:lineRule="exact"/>
        <w:rPr>
          <w:rFonts w:ascii="Arial" w:cs="Arial" w:eastAsia="Arial" w:hAnsi="Arial"/>
          <w:sz w:val="17"/>
          <w:szCs w:val="17"/>
          <w:color w:val="auto"/>
        </w:rPr>
      </w:pPr>
    </w:p>
    <w:p>
      <w:pPr>
        <w:ind w:right="440" w:firstLine="921"/>
        <w:spacing w:after="0" w:line="342" w:lineRule="auto"/>
        <w:tabs>
          <w:tab w:leader="none" w:pos="1168" w:val="left"/>
        </w:tabs>
        <w:numPr>
          <w:ilvl w:val="1"/>
          <w:numId w:val="538"/>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5" w:lineRule="exact"/>
        <w:rPr>
          <w:rFonts w:ascii="Arial" w:cs="Arial" w:eastAsia="Arial" w:hAnsi="Arial"/>
          <w:sz w:val="16"/>
          <w:szCs w:val="16"/>
          <w:color w:val="auto"/>
        </w:rPr>
      </w:pPr>
    </w:p>
    <w:p>
      <w:pPr>
        <w:ind w:right="100" w:firstLine="921"/>
        <w:spacing w:after="0" w:line="259" w:lineRule="auto"/>
        <w:tabs>
          <w:tab w:leader="none" w:pos="1158" w:val="left"/>
        </w:tabs>
        <w:numPr>
          <w:ilvl w:val="1"/>
          <w:numId w:val="538"/>
        </w:numPr>
        <w:rPr>
          <w:rFonts w:ascii="Arial" w:cs="Arial" w:eastAsia="Arial" w:hAnsi="Arial"/>
          <w:sz w:val="18"/>
          <w:szCs w:val="18"/>
          <w:color w:val="auto"/>
        </w:rPr>
      </w:pPr>
      <w:r>
        <w:rPr>
          <w:rFonts w:ascii="Arial" w:cs="Arial" w:eastAsia="Arial" w:hAnsi="Arial"/>
          <w:sz w:val="18"/>
          <w:szCs w:val="18"/>
          <w:color w:val="auto"/>
        </w:rPr>
        <w:t xml:space="preserve">any Loan Party or any Principal Domestic Subsidiary shall default in the observance or performance of (i) its agreements in Section 7.1 for a period of 20 consecutive days, or (ii) any other agreement contained in this Agreement (limited with respect to any Subsidiary Borrower, to Section 7.4 and 7.5) or in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78" w:lineRule="exact"/>
        <w:rPr>
          <w:rFonts w:ascii="Arial" w:cs="Arial" w:eastAsia="Arial" w:hAnsi="Arial"/>
          <w:sz w:val="18"/>
          <w:szCs w:val="18"/>
          <w:color w:val="auto"/>
        </w:rPr>
      </w:pPr>
    </w:p>
    <w:p>
      <w:pPr>
        <w:ind w:right="80" w:firstLine="921"/>
        <w:spacing w:after="0" w:line="291" w:lineRule="auto"/>
        <w:tabs>
          <w:tab w:leader="none" w:pos="1168" w:val="left"/>
        </w:tabs>
        <w:numPr>
          <w:ilvl w:val="1"/>
          <w:numId w:val="538"/>
        </w:numPr>
        <w:rPr>
          <w:rFonts w:ascii="Arial" w:cs="Arial" w:eastAsia="Arial" w:hAnsi="Arial"/>
          <w:sz w:val="16"/>
          <w:szCs w:val="16"/>
          <w:color w:val="auto"/>
        </w:rPr>
      </w:pPr>
      <w:r>
        <w:rPr>
          <w:rFonts w:ascii="Arial" w:cs="Arial" w:eastAsia="Arial" w:hAnsi="Arial"/>
          <w:sz w:val="16"/>
          <w:szCs w:val="16"/>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w:t>
      </w:r>
    </w:p>
    <w:p>
      <w:pPr>
        <w:ind w:right="160" w:firstLine="8"/>
        <w:spacing w:after="0" w:line="253" w:lineRule="auto"/>
        <w:tabs>
          <w:tab w:leader="none" w:pos="26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531" w:name="page532"/>
    <w:bookmarkEnd w:id="531"/>
    <w:p>
      <w:pPr>
        <w:ind w:firstLine="921"/>
        <w:spacing w:after="0" w:line="272" w:lineRule="auto"/>
        <w:tabs>
          <w:tab w:leader="none" w:pos="1158" w:val="left"/>
        </w:tabs>
        <w:numPr>
          <w:ilvl w:val="0"/>
          <w:numId w:val="5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69" w:lineRule="exact"/>
        <w:rPr>
          <w:rFonts w:ascii="Arial" w:cs="Arial" w:eastAsia="Arial" w:hAnsi="Arial"/>
          <w:sz w:val="17"/>
          <w:szCs w:val="17"/>
          <w:color w:val="auto"/>
        </w:rPr>
      </w:pPr>
    </w:p>
    <w:p>
      <w:pPr>
        <w:ind w:left="1140" w:hanging="219"/>
        <w:spacing w:after="0"/>
        <w:tabs>
          <w:tab w:leader="none" w:pos="114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occurrence of an ERISA Default; or</w:t>
      </w:r>
    </w:p>
    <w:p>
      <w:pPr>
        <w:spacing w:after="0" w:line="117" w:lineRule="exact"/>
        <w:rPr>
          <w:rFonts w:ascii="Arial" w:cs="Arial" w:eastAsia="Arial" w:hAnsi="Arial"/>
          <w:sz w:val="18"/>
          <w:szCs w:val="18"/>
          <w:color w:val="auto"/>
        </w:rPr>
      </w:pPr>
    </w:p>
    <w:p>
      <w:pPr>
        <w:ind w:right="100" w:firstLine="921"/>
        <w:spacing w:after="0" w:line="259" w:lineRule="auto"/>
        <w:tabs>
          <w:tab w:leader="none" w:pos="1168" w:val="left"/>
        </w:tabs>
        <w:numPr>
          <w:ilvl w:val="0"/>
          <w:numId w:val="540"/>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78"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Guarantee of the Company or, during any Reinstated Guarantee Period, any Subsidiary Guarantor shall cease to be in full force and effect (other than pursuant to or as provided by the terms hereof or any other Loan Document); or</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and (B) if such event is any other Event of Default, either or both of the following actions may be taken:</w:t>
      </w:r>
    </w:p>
    <w:p>
      <w:pPr>
        <w:ind w:right="40" w:firstLine="8"/>
        <w:spacing w:after="0" w:line="270" w:lineRule="auto"/>
        <w:tabs>
          <w:tab w:leader="none" w:pos="215" w:val="left"/>
        </w:tabs>
        <w:numPr>
          <w:ilvl w:val="0"/>
          <w:numId w:val="541"/>
        </w:numPr>
        <w:rPr>
          <w:rFonts w:ascii="Arial" w:cs="Arial" w:eastAsia="Arial" w:hAnsi="Arial"/>
          <w:sz w:val="17"/>
          <w:szCs w:val="17"/>
          <w:color w:val="auto"/>
        </w:rPr>
      </w:pPr>
      <w:r>
        <w:rPr>
          <w:rFonts w:ascii="Arial" w:cs="Arial" w:eastAsia="Arial" w:hAnsi="Arial"/>
          <w:sz w:val="17"/>
          <w:szCs w:val="17"/>
          <w:color w:val="auto"/>
        </w:rPr>
        <w:t>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Borrowers.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 THE AGENTS</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Appointment</w:t>
      </w:r>
      <w:r>
        <w:rPr>
          <w:rFonts w:ascii="Arial" w:cs="Arial" w:eastAsia="Arial" w:hAnsi="Arial"/>
          <w:sz w:val="18"/>
          <w:szCs w:val="18"/>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32" w:name="page533"/>
    <w:bookmarkEnd w:id="532"/>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88"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66"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the Administrative Agent nor any of its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78"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273" w:right="319" w:bottom="1440" w:gutter="0" w:footer="0" w:header="0"/>
        </w:sectPr>
      </w:pPr>
    </w:p>
    <w:bookmarkStart w:id="533" w:name="page534"/>
    <w:bookmarkEnd w:id="533"/>
    <w:p>
      <w:pPr>
        <w:ind w:right="2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92"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Non-Reliance on Agents and Other Lenders</w:t>
      </w:r>
      <w:r>
        <w:rPr>
          <w:rFonts w:ascii="Arial" w:cs="Arial" w:eastAsia="Arial" w:hAnsi="Arial"/>
          <w:sz w:val="17"/>
          <w:szCs w:val="17"/>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83"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The Lenders agree to indemnify the Administrative Agent in its capacity as such (to the extent not reimbursed by or on behalf of the Company if it is required to do so under Section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34" w:name="page535"/>
    <w:bookmarkEnd w:id="534"/>
    <w:p>
      <w:pPr>
        <w:ind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The Administrative Agent and its affiliates may make loans to, accept deposits from and generally engage in any kind of business with any Loan Party as though the Administrative Agent were not the Administrative Agent. With respect to its Loans made or renewed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8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3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Bookrunners, Lead Arrangers, Global and Regional Coordinators, Documentation Agents, Syndication Agent and Co-Syndication Agent</w:t>
      </w:r>
      <w:r>
        <w:rPr>
          <w:rFonts w:ascii="Arial" w:cs="Arial" w:eastAsia="Arial" w:hAnsi="Arial"/>
          <w:sz w:val="16"/>
          <w:szCs w:val="16"/>
          <w:color w:val="auto"/>
        </w:rPr>
        <w: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Arial" w:cs="Arial" w:eastAsia="Arial" w:hAnsi="Arial"/>
          <w:sz w:val="16"/>
          <w:szCs w:val="16"/>
          <w:u w:val="single" w:color="auto"/>
          <w:color w:val="auto"/>
        </w:rPr>
        <w:t>Arrangers</w:t>
      </w:r>
      <w:r>
        <w:rPr>
          <w:rFonts w:ascii="Arial" w:cs="Arial" w:eastAsia="Arial" w:hAnsi="Arial"/>
          <w:sz w:val="16"/>
          <w:szCs w:val="16"/>
          <w:color w:val="auto"/>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3" w:right="239" w:bottom="1440" w:gutter="0" w:footer="0" w:header="0"/>
        </w:sectPr>
      </w:pPr>
    </w:p>
    <w:bookmarkStart w:id="535" w:name="page536"/>
    <w:bookmarkEnd w:id="535"/>
    <w:p>
      <w:pPr>
        <w:ind w:left="91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9.12 </w:t>
      </w:r>
      <w:r>
        <w:rPr>
          <w:rFonts w:ascii="Arial" w:cs="Arial" w:eastAsia="Arial" w:hAnsi="Arial"/>
          <w:sz w:val="16"/>
          <w:szCs w:val="16"/>
          <w:u w:val="single" w:color="auto"/>
          <w:color w:val="auto"/>
        </w:rPr>
        <w:t>Certain ERISA Matters</w:t>
      </w:r>
      <w:r>
        <w:rPr>
          <w:rFonts w:ascii="Arial" w:cs="Arial" w:eastAsia="Arial" w:hAnsi="Arial"/>
          <w:sz w:val="16"/>
          <w:szCs w:val="16"/>
          <w:color w:val="auto"/>
        </w:rPr>
        <w:t>. (a) Each Lender (x) represents and warrants, as of the date such Person became a Lender party hereto, to, and</w:t>
      </w:r>
    </w:p>
    <w:p>
      <w:pPr>
        <w:spacing w:after="0" w:line="46" w:lineRule="exact"/>
        <w:rPr>
          <w:sz w:val="20"/>
          <w:szCs w:val="20"/>
          <w:color w:val="auto"/>
        </w:rPr>
      </w:pPr>
    </w:p>
    <w:p>
      <w:pPr>
        <w:ind w:left="-8" w:right="140" w:firstLine="8"/>
        <w:spacing w:after="0" w:line="255" w:lineRule="auto"/>
        <w:tabs>
          <w:tab w:leader="none" w:pos="247" w:val="left"/>
        </w:tabs>
        <w:numPr>
          <w:ilvl w:val="0"/>
          <w:numId w:val="542"/>
        </w:numPr>
        <w:rPr>
          <w:rFonts w:ascii="Arial" w:cs="Arial" w:eastAsia="Arial" w:hAnsi="Arial"/>
          <w:sz w:val="18"/>
          <w:szCs w:val="18"/>
          <w:color w:val="auto"/>
        </w:rPr>
      </w:pPr>
      <w:r>
        <w:rPr>
          <w:rFonts w:ascii="Arial" w:cs="Arial" w:eastAsia="Arial" w:hAnsi="Arial"/>
          <w:sz w:val="18"/>
          <w:szCs w:val="18"/>
          <w:color w:val="auto"/>
        </w:rPr>
        <w:t>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 at least one of the following is and will be true:</w:t>
      </w:r>
    </w:p>
    <w:p>
      <w:pPr>
        <w:spacing w:after="0" w:line="82" w:lineRule="exact"/>
        <w:rPr>
          <w:rFonts w:ascii="Arial" w:cs="Arial" w:eastAsia="Arial" w:hAnsi="Arial"/>
          <w:sz w:val="18"/>
          <w:szCs w:val="18"/>
          <w:color w:val="auto"/>
        </w:rPr>
      </w:pPr>
    </w:p>
    <w:p>
      <w:pPr>
        <w:ind w:left="912" w:right="240" w:firstLine="421"/>
        <w:spacing w:after="0" w:line="277" w:lineRule="auto"/>
        <w:tabs>
          <w:tab w:leader="none" w:pos="1547" w:val="left"/>
        </w:tabs>
        <w:numPr>
          <w:ilvl w:val="2"/>
          <w:numId w:val="542"/>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or the Commitments,</w:t>
      </w:r>
    </w:p>
    <w:p>
      <w:pPr>
        <w:spacing w:after="0" w:line="62" w:lineRule="exact"/>
        <w:rPr>
          <w:rFonts w:ascii="Arial" w:cs="Arial" w:eastAsia="Arial" w:hAnsi="Arial"/>
          <w:sz w:val="18"/>
          <w:szCs w:val="18"/>
          <w:color w:val="auto"/>
        </w:rPr>
      </w:pPr>
    </w:p>
    <w:p>
      <w:pPr>
        <w:ind w:left="912" w:right="100" w:firstLine="421"/>
        <w:spacing w:after="0" w:line="273" w:lineRule="auto"/>
        <w:tabs>
          <w:tab w:leader="none" w:pos="1597" w:val="left"/>
        </w:tabs>
        <w:numPr>
          <w:ilvl w:val="2"/>
          <w:numId w:val="542"/>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70" w:lineRule="exact"/>
        <w:rPr>
          <w:rFonts w:ascii="Arial" w:cs="Arial" w:eastAsia="Arial" w:hAnsi="Arial"/>
          <w:sz w:val="17"/>
          <w:szCs w:val="17"/>
          <w:color w:val="auto"/>
        </w:rPr>
      </w:pPr>
    </w:p>
    <w:p>
      <w:pPr>
        <w:ind w:left="912" w:right="20" w:firstLine="421"/>
        <w:spacing w:after="0" w:line="293" w:lineRule="auto"/>
        <w:tabs>
          <w:tab w:leader="none" w:pos="1647" w:val="left"/>
        </w:tabs>
        <w:numPr>
          <w:ilvl w:val="2"/>
          <w:numId w:val="542"/>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56" w:lineRule="exact"/>
        <w:rPr>
          <w:rFonts w:ascii="Arial" w:cs="Arial" w:eastAsia="Arial" w:hAnsi="Arial"/>
          <w:sz w:val="16"/>
          <w:szCs w:val="16"/>
          <w:color w:val="auto"/>
        </w:rPr>
      </w:pPr>
    </w:p>
    <w:p>
      <w:pPr>
        <w:ind w:left="912" w:right="80" w:firstLine="421"/>
        <w:spacing w:after="0" w:line="277" w:lineRule="auto"/>
        <w:tabs>
          <w:tab w:leader="none" w:pos="1637" w:val="left"/>
        </w:tabs>
        <w:numPr>
          <w:ilvl w:val="2"/>
          <w:numId w:val="542"/>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62" w:lineRule="exact"/>
        <w:rPr>
          <w:rFonts w:ascii="Arial" w:cs="Arial" w:eastAsia="Arial" w:hAnsi="Arial"/>
          <w:sz w:val="18"/>
          <w:szCs w:val="18"/>
          <w:color w:val="auto"/>
        </w:rPr>
      </w:pPr>
    </w:p>
    <w:p>
      <w:pPr>
        <w:ind w:left="-8" w:right="60" w:firstLine="921"/>
        <w:spacing w:after="0" w:line="257" w:lineRule="auto"/>
        <w:tabs>
          <w:tab w:leader="none" w:pos="116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Agents, and each Arranger and their respective Affiliates, and not, for the avoidance of doubt, to or for the benefit of the Borrowers or any other Loan Party, that:</w:t>
      </w:r>
    </w:p>
    <w:p>
      <w:pPr>
        <w:spacing w:after="0" w:line="80" w:lineRule="exact"/>
        <w:rPr>
          <w:rFonts w:ascii="Arial" w:cs="Arial" w:eastAsia="Arial" w:hAnsi="Arial"/>
          <w:sz w:val="18"/>
          <w:szCs w:val="18"/>
          <w:color w:val="auto"/>
        </w:rPr>
      </w:pPr>
    </w:p>
    <w:p>
      <w:pPr>
        <w:jc w:val="both"/>
        <w:ind w:left="912" w:right="740" w:firstLine="421"/>
        <w:spacing w:after="0" w:line="264" w:lineRule="auto"/>
        <w:tabs>
          <w:tab w:leader="none" w:pos="1547" w:val="left"/>
        </w:tabs>
        <w:numPr>
          <w:ilvl w:val="2"/>
          <w:numId w:val="542"/>
        </w:numPr>
        <w:rPr>
          <w:rFonts w:ascii="Arial" w:cs="Arial" w:eastAsia="Arial" w:hAnsi="Arial"/>
          <w:sz w:val="18"/>
          <w:szCs w:val="18"/>
          <w:color w:val="auto"/>
        </w:rPr>
      </w:pPr>
      <w:r>
        <w:rPr>
          <w:rFonts w:ascii="Arial" w:cs="Arial" w:eastAsia="Arial" w:hAnsi="Arial"/>
          <w:sz w:val="18"/>
          <w:szCs w:val="18"/>
          <w:color w:val="auto"/>
        </w:rPr>
        <w:t>none of the Agents, or any Arranger or any of their respective Affiliates is a fiduciary with respect to the assets of such Lender (including in connection with the reservation or exercise of any rights by the Agents under this Agreement, any Loan Document or any documents related to hereto or thereto),</w:t>
      </w:r>
    </w:p>
    <w:p>
      <w:pPr>
        <w:spacing w:after="0" w:line="73" w:lineRule="exact"/>
        <w:rPr>
          <w:rFonts w:ascii="Arial" w:cs="Arial" w:eastAsia="Arial" w:hAnsi="Arial"/>
          <w:sz w:val="18"/>
          <w:szCs w:val="18"/>
          <w:color w:val="auto"/>
        </w:rPr>
      </w:pPr>
    </w:p>
    <w:p>
      <w:pPr>
        <w:ind w:left="912" w:firstLine="421"/>
        <w:spacing w:after="0" w:line="302" w:lineRule="auto"/>
        <w:tabs>
          <w:tab w:leader="none" w:pos="1597" w:val="left"/>
        </w:tabs>
        <w:numPr>
          <w:ilvl w:val="2"/>
          <w:numId w:val="542"/>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92"/>
          </w:cols>
          <w:pgMar w:left="248" w:top="274" w:right="259" w:bottom="1440" w:gutter="0" w:footer="0" w:header="0"/>
        </w:sectPr>
      </w:pPr>
    </w:p>
    <w:bookmarkStart w:id="536" w:name="page537"/>
    <w:bookmarkEnd w:id="536"/>
    <w:p>
      <w:pPr>
        <w:jc w:val="both"/>
        <w:ind w:left="920" w:right="100" w:firstLine="421"/>
        <w:spacing w:after="0" w:line="286" w:lineRule="auto"/>
        <w:tabs>
          <w:tab w:leader="none" w:pos="1655" w:val="left"/>
        </w:tabs>
        <w:numPr>
          <w:ilvl w:val="1"/>
          <w:numId w:val="5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57" w:lineRule="exact"/>
        <w:rPr>
          <w:rFonts w:ascii="Arial" w:cs="Arial" w:eastAsia="Arial" w:hAnsi="Arial"/>
          <w:sz w:val="17"/>
          <w:szCs w:val="17"/>
          <w:color w:val="auto"/>
        </w:rPr>
      </w:pPr>
    </w:p>
    <w:p>
      <w:pPr>
        <w:ind w:left="920" w:right="160" w:firstLine="421"/>
        <w:spacing w:after="0" w:line="259" w:lineRule="auto"/>
        <w:tabs>
          <w:tab w:leader="none" w:pos="1645" w:val="left"/>
        </w:tabs>
        <w:numPr>
          <w:ilvl w:val="1"/>
          <w:numId w:val="543"/>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78" w:lineRule="exact"/>
        <w:rPr>
          <w:rFonts w:ascii="Arial" w:cs="Arial" w:eastAsia="Arial" w:hAnsi="Arial"/>
          <w:sz w:val="18"/>
          <w:szCs w:val="18"/>
          <w:color w:val="auto"/>
        </w:rPr>
      </w:pPr>
    </w:p>
    <w:p>
      <w:pPr>
        <w:ind w:left="920" w:right="440" w:firstLine="421"/>
        <w:spacing w:after="0" w:line="277" w:lineRule="auto"/>
        <w:tabs>
          <w:tab w:leader="none" w:pos="1595" w:val="left"/>
        </w:tabs>
        <w:numPr>
          <w:ilvl w:val="1"/>
          <w:numId w:val="543"/>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the Agents, or any Arranger or any their respective Affiliates for investment advice (as opposed to other services) in connection with the Loans, the Commitments or this Agreement.</w:t>
      </w:r>
    </w:p>
    <w:p>
      <w:pPr>
        <w:spacing w:after="0" w:line="62" w:lineRule="exact"/>
        <w:rPr>
          <w:rFonts w:ascii="Arial" w:cs="Arial" w:eastAsia="Arial" w:hAnsi="Arial"/>
          <w:sz w:val="18"/>
          <w:szCs w:val="18"/>
          <w:color w:val="auto"/>
        </w:rPr>
      </w:pPr>
    </w:p>
    <w:p>
      <w:pPr>
        <w:ind w:firstLine="921"/>
        <w:spacing w:after="0" w:line="290" w:lineRule="auto"/>
        <w:tabs>
          <w:tab w:leader="none" w:pos="1158" w:val="left"/>
        </w:tabs>
        <w:numPr>
          <w:ilvl w:val="0"/>
          <w:numId w:val="544"/>
        </w:numPr>
        <w:rPr>
          <w:rFonts w:ascii="Arial" w:cs="Arial" w:eastAsia="Arial" w:hAnsi="Arial"/>
          <w:sz w:val="16"/>
          <w:szCs w:val="16"/>
          <w:color w:val="auto"/>
        </w:rPr>
      </w:pPr>
      <w:r>
        <w:rPr>
          <w:rFonts w:ascii="Arial" w:cs="Arial" w:eastAsia="Arial" w:hAnsi="Arial"/>
          <w:sz w:val="16"/>
          <w:szCs w:val="16"/>
          <w:color w:val="auto"/>
        </w:rPr>
        <w:t>The Agents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 MISCELLANEOUS</w:t>
      </w:r>
    </w:p>
    <w:p>
      <w:pPr>
        <w:spacing w:after="0" w:line="225"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 Subject to Section 2.18, neither this Agreement, any other Loan Document, nor any terms hereof or thereof may be amended, supplemented or modified except in accordance with the provisions of this Section 10.1 or as otherwise expressly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that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Lenders or of the Loan Parties hereunder or thereunder or (ii) waive, on such terms and conditions as the Required Lenders or the Administrative Agent, as the case may be, may specify in such instrument,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537" w:name="page538"/>
    <w:bookmarkEnd w:id="53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the requirements of this Agreement (including any condition precedent to an Extension of Credit) or the other Loan Documents or any Default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Event of Default and its consequences;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waiver and no such amendment, supplement or modification shall:</w:t>
      </w:r>
    </w:p>
    <w:p>
      <w:pPr>
        <w:spacing w:after="0" w:line="103" w:lineRule="exact"/>
        <w:rPr>
          <w:sz w:val="20"/>
          <w:szCs w:val="20"/>
          <w:color w:val="auto"/>
        </w:rPr>
      </w:pPr>
    </w:p>
    <w:p>
      <w:pPr>
        <w:ind w:left="920" w:firstLine="421"/>
        <w:spacing w:after="0" w:line="276" w:lineRule="auto"/>
        <w:tabs>
          <w:tab w:leader="none" w:pos="1635" w:val="left"/>
        </w:tabs>
        <w:numPr>
          <w:ilvl w:val="0"/>
          <w:numId w:val="545"/>
        </w:numPr>
        <w:rPr>
          <w:rFonts w:ascii="Arial" w:cs="Arial" w:eastAsia="Arial" w:hAnsi="Arial"/>
          <w:sz w:val="17"/>
          <w:szCs w:val="17"/>
          <w:color w:val="auto"/>
        </w:rPr>
      </w:pPr>
      <w:r>
        <w:rPr>
          <w:rFonts w:ascii="Arial" w:cs="Arial" w:eastAsia="Arial" w:hAnsi="Arial"/>
          <w:sz w:val="17"/>
          <w:szCs w:val="17"/>
          <w:color w:val="auto"/>
        </w:rPr>
        <w:t>forgive or reduce any principal amount or extend the final scheduled date of maturity of any Loan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64" w:lineRule="exact"/>
        <w:rPr>
          <w:rFonts w:ascii="Arial" w:cs="Arial" w:eastAsia="Arial" w:hAnsi="Arial"/>
          <w:sz w:val="17"/>
          <w:szCs w:val="17"/>
          <w:color w:val="auto"/>
        </w:rPr>
      </w:pPr>
    </w:p>
    <w:p>
      <w:pPr>
        <w:ind w:left="1620" w:hanging="279"/>
        <w:spacing w:after="0"/>
        <w:tabs>
          <w:tab w:leader="none" w:pos="162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eliminate or reduce the voting rights of any Lender under this Section 10.1 without the written consent of such Lender;</w:t>
      </w:r>
    </w:p>
    <w:p>
      <w:pPr>
        <w:spacing w:after="0" w:line="117" w:lineRule="exact"/>
        <w:rPr>
          <w:rFonts w:ascii="Arial" w:cs="Arial" w:eastAsia="Arial" w:hAnsi="Arial"/>
          <w:sz w:val="18"/>
          <w:szCs w:val="18"/>
          <w:color w:val="auto"/>
        </w:rPr>
      </w:pPr>
    </w:p>
    <w:p>
      <w:pPr>
        <w:jc w:val="both"/>
        <w:ind w:left="920" w:right="20" w:firstLine="421"/>
        <w:spacing w:after="0" w:line="302" w:lineRule="auto"/>
        <w:tabs>
          <w:tab w:leader="none" w:pos="1625" w:val="left"/>
        </w:tabs>
        <w:numPr>
          <w:ilvl w:val="0"/>
          <w:numId w:val="545"/>
        </w:numPr>
        <w:rPr>
          <w:rFonts w:ascii="Arial" w:cs="Arial" w:eastAsia="Arial" w:hAnsi="Arial"/>
          <w:sz w:val="16"/>
          <w:szCs w:val="16"/>
          <w:color w:val="auto"/>
        </w:rPr>
      </w:pPr>
      <w:r>
        <w:rPr>
          <w:rFonts w:ascii="Arial" w:cs="Arial" w:eastAsia="Arial" w:hAnsi="Arial"/>
          <w:sz w:val="16"/>
          <w:szCs w:val="16"/>
          <w:color w:val="auto"/>
        </w:rPr>
        <w:t>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w:t>
      </w:r>
    </w:p>
    <w:p>
      <w:pPr>
        <w:spacing w:after="0" w:line="46" w:lineRule="exact"/>
        <w:rPr>
          <w:rFonts w:ascii="Arial" w:cs="Arial" w:eastAsia="Arial" w:hAnsi="Arial"/>
          <w:sz w:val="16"/>
          <w:szCs w:val="16"/>
          <w:color w:val="auto"/>
        </w:rPr>
      </w:pPr>
    </w:p>
    <w:p>
      <w:pPr>
        <w:ind w:left="1640" w:hanging="299"/>
        <w:spacing w:after="0"/>
        <w:tabs>
          <w:tab w:leader="none" w:pos="164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without the written consent of all Lenders;</w:t>
      </w:r>
    </w:p>
    <w:p>
      <w:pPr>
        <w:spacing w:after="0" w:line="117" w:lineRule="exact"/>
        <w:rPr>
          <w:rFonts w:ascii="Arial" w:cs="Arial" w:eastAsia="Arial" w:hAnsi="Arial"/>
          <w:sz w:val="18"/>
          <w:szCs w:val="18"/>
          <w:color w:val="auto"/>
        </w:rPr>
      </w:pPr>
    </w:p>
    <w:p>
      <w:pPr>
        <w:ind w:left="1620" w:hanging="279"/>
        <w:spacing w:after="0"/>
        <w:tabs>
          <w:tab w:leader="none" w:pos="162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920" w:right="80" w:firstLine="421"/>
        <w:spacing w:after="0" w:line="277" w:lineRule="auto"/>
        <w:tabs>
          <w:tab w:leader="none" w:pos="1605"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amend, modify or waive any provision of Section 9 in a manner adverse to the Administrative Agent without the written consent of the Administrative Agent;</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amend, modify or waive any provision of Section 2.19(a) or (b) without the written consent of each Lender adversely affected thereby;</w:t>
      </w:r>
    </w:p>
    <w:p>
      <w:pPr>
        <w:spacing w:after="0" w:line="140" w:lineRule="exact"/>
        <w:rPr>
          <w:rFonts w:ascii="Arial" w:cs="Arial" w:eastAsia="Arial" w:hAnsi="Arial"/>
          <w:sz w:val="16"/>
          <w:szCs w:val="16"/>
          <w:color w:val="auto"/>
        </w:rPr>
      </w:pPr>
    </w:p>
    <w:p>
      <w:pPr>
        <w:ind w:left="1560" w:hanging="219"/>
        <w:spacing w:after="0"/>
        <w:tabs>
          <w:tab w:leader="none" w:pos="156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add additional available currencies to the Facility without the written consent of each Lender directly affected thereby.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3" w:right="259" w:bottom="1440" w:gutter="0" w:footer="0" w:header="0"/>
        </w:sectPr>
      </w:pPr>
    </w:p>
    <w:bookmarkStart w:id="538" w:name="page539"/>
    <w:bookmarkEnd w:id="538"/>
    <w:p>
      <w:pPr>
        <w:ind w:left="1172" w:hanging="259"/>
        <w:spacing w:after="0"/>
        <w:tabs>
          <w:tab w:leader="none" w:pos="1172" w:val="left"/>
        </w:tabs>
        <w:numPr>
          <w:ilvl w:val="1"/>
          <w:numId w:val="5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paragraph (a), without the consent of the Required Lenders, but subject to any consent required by paragraphs</w:t>
      </w:r>
    </w:p>
    <w:p>
      <w:pPr>
        <w:spacing w:after="0" w:line="46" w:lineRule="exact"/>
        <w:rPr>
          <w:rFonts w:ascii="Arial" w:cs="Arial" w:eastAsia="Arial" w:hAnsi="Arial"/>
          <w:sz w:val="16"/>
          <w:szCs w:val="16"/>
          <w:color w:val="auto"/>
        </w:rPr>
      </w:pPr>
    </w:p>
    <w:p>
      <w:pPr>
        <w:ind w:left="-8" w:right="20" w:firstLine="8"/>
        <w:spacing w:after="0" w:line="268" w:lineRule="auto"/>
        <w:tabs>
          <w:tab w:leader="none" w:pos="287" w:val="left"/>
        </w:tabs>
        <w:numPr>
          <w:ilvl w:val="0"/>
          <w:numId w:val="547"/>
        </w:numPr>
        <w:rPr>
          <w:rFonts w:ascii="Arial" w:cs="Arial" w:eastAsia="Arial" w:hAnsi="Arial"/>
          <w:sz w:val="17"/>
          <w:szCs w:val="17"/>
          <w:color w:val="auto"/>
        </w:rPr>
      </w:pPr>
      <w:r>
        <w:rPr>
          <w:rFonts w:ascii="Arial" w:cs="Arial" w:eastAsia="Arial" w:hAnsi="Arial"/>
          <w:sz w:val="17"/>
          <w:szCs w:val="17"/>
          <w:color w:val="auto"/>
        </w:rPr>
        <w:t xml:space="preserve">through (J) above, the Administrative Agent (on its own behalf and as agent on behalf of each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Arial" w:cs="Arial" w:eastAsia="Arial" w:hAnsi="Arial"/>
          <w:sz w:val="17"/>
          <w:szCs w:val="17"/>
          <w:u w:val="single" w:color="auto"/>
          <w:color w:val="auto"/>
        </w:rPr>
        <w:t>provided</w:t>
      </w:r>
      <w:r>
        <w:rPr>
          <w:rFonts w:ascii="Arial" w:cs="Arial" w:eastAsia="Arial" w:hAnsi="Arial"/>
          <w:sz w:val="17"/>
          <w:szCs w:val="17"/>
          <w:color w:val="auto"/>
        </w:rPr>
        <w:t>, that the Administrative Agent shall notify the Lenders of any such amendment, modification, supplement or waiver consummated in accordance with this clause (ii) promptly after consummation thereof.</w:t>
      </w:r>
    </w:p>
    <w:p>
      <w:pPr>
        <w:spacing w:after="0" w:line="73" w:lineRule="exact"/>
        <w:rPr>
          <w:rFonts w:ascii="Arial" w:cs="Arial" w:eastAsia="Arial" w:hAnsi="Arial"/>
          <w:sz w:val="17"/>
          <w:szCs w:val="17"/>
          <w:color w:val="auto"/>
        </w:rPr>
      </w:pPr>
    </w:p>
    <w:p>
      <w:pPr>
        <w:ind w:left="-8" w:right="60" w:firstLine="921"/>
        <w:spacing w:after="0" w:line="297" w:lineRule="auto"/>
        <w:tabs>
          <w:tab w:leader="none" w:pos="1150" w:val="left"/>
        </w:tabs>
        <w:numPr>
          <w:ilvl w:val="1"/>
          <w:numId w:val="547"/>
        </w:numPr>
        <w:rPr>
          <w:rFonts w:ascii="Arial" w:cs="Arial" w:eastAsia="Arial" w:hAnsi="Arial"/>
          <w:sz w:val="16"/>
          <w:szCs w:val="16"/>
          <w:color w:val="auto"/>
        </w:rPr>
      </w:pPr>
      <w:r>
        <w:rPr>
          <w:rFonts w:ascii="Arial" w:cs="Arial" w:eastAsia="Arial" w:hAnsi="Arial"/>
          <w:sz w:val="16"/>
          <w:szCs w:val="16"/>
          <w:color w:val="auto"/>
        </w:rPr>
        <w:t>For the avoidance of doubt it is understood that (i) any transaction permitted by Sections 2.11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50" w:lineRule="exact"/>
        <w:rPr>
          <w:rFonts w:ascii="Arial" w:cs="Arial" w:eastAsia="Arial" w:hAnsi="Arial"/>
          <w:sz w:val="16"/>
          <w:szCs w:val="16"/>
          <w:color w:val="auto"/>
        </w:rPr>
      </w:pPr>
    </w:p>
    <w:p>
      <w:pPr>
        <w:ind w:left="-8" w:firstLine="921"/>
        <w:spacing w:after="0" w:line="277" w:lineRule="auto"/>
        <w:tabs>
          <w:tab w:leader="none" w:pos="116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In addition, notwithstanding the foregoing, this Agreement may be amended after the Closing Date without consent of the Lenders, so long as no Default or Event of Default shall have occurred and be continuing, as follows:</w:t>
      </w:r>
    </w:p>
    <w:p>
      <w:pPr>
        <w:spacing w:after="0" w:line="62" w:lineRule="exact"/>
        <w:rPr>
          <w:sz w:val="20"/>
          <w:szCs w:val="20"/>
          <w:color w:val="auto"/>
        </w:rPr>
      </w:pPr>
    </w:p>
    <w:p>
      <w:pPr>
        <w:jc w:val="both"/>
        <w:ind w:left="-8" w:firstLine="921"/>
        <w:spacing w:after="0" w:line="285" w:lineRule="auto"/>
        <w:tabs>
          <w:tab w:leader="none" w:pos="1120" w:val="left"/>
        </w:tabs>
        <w:numPr>
          <w:ilvl w:val="1"/>
          <w:numId w:val="548"/>
        </w:numPr>
        <w:rPr>
          <w:rFonts w:ascii="Arial" w:cs="Arial" w:eastAsia="Arial" w:hAnsi="Arial"/>
          <w:sz w:val="16"/>
          <w:szCs w:val="16"/>
          <w:color w:val="auto"/>
        </w:rPr>
      </w:pPr>
      <w:r>
        <w:rPr>
          <w:rFonts w:ascii="Arial" w:cs="Arial" w:eastAsia="Arial" w:hAnsi="Arial"/>
          <w:sz w:val="16"/>
          <w:szCs w:val="16"/>
          <w:color w:val="auto"/>
        </w:rPr>
        <w:t>to designate any Subsidiary of the Company (other than GMB and any Subsidiary of GMF or GMB which is a Brazilian Subsidiary) as a Subsidiary Borrower (subject to, in the case of any Foreign Subsidiary incorporated under the laws of any jurisdiction other than England and Wales, the consent of each Lender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Lender may withhold such consent unless it is unable to make extensions of credit or provide Commitments to such Foreign Subsidiary pursuant to any Requirement of Law) and the Administrative Agent (not to be unreasonably withheld)) upon (A) ten Business Days’ prior notice to the Administrative Agent (such notice to contain the name, primary business address and taxpayer identification number of such Subsidiary),</w:t>
      </w:r>
    </w:p>
    <w:p>
      <w:pPr>
        <w:spacing w:after="0" w:line="2" w:lineRule="exact"/>
        <w:rPr>
          <w:rFonts w:ascii="Arial" w:cs="Arial" w:eastAsia="Arial" w:hAnsi="Arial"/>
          <w:sz w:val="16"/>
          <w:szCs w:val="16"/>
          <w:color w:val="auto"/>
        </w:rPr>
      </w:pPr>
    </w:p>
    <w:p>
      <w:pPr>
        <w:ind w:left="-8" w:firstLine="8"/>
        <w:spacing w:after="0" w:line="269" w:lineRule="auto"/>
        <w:tabs>
          <w:tab w:leader="none" w:pos="277" w:val="left"/>
        </w:tabs>
        <w:numPr>
          <w:ilvl w:val="0"/>
          <w:numId w:val="549"/>
        </w:numPr>
        <w:rPr>
          <w:rFonts w:ascii="Arial" w:cs="Arial" w:eastAsia="Arial" w:hAnsi="Arial"/>
          <w:sz w:val="17"/>
          <w:szCs w:val="17"/>
          <w:color w:val="auto"/>
        </w:rPr>
      </w:pPr>
      <w:r>
        <w:rPr>
          <w:rFonts w:ascii="Arial" w:cs="Arial" w:eastAsia="Arial" w:hAnsi="Arial"/>
          <w:sz w:val="17"/>
          <w:szCs w:val="17"/>
          <w:color w:val="auto"/>
        </w:rPr>
        <w:t>the execution and delivery by the Company, such Subsidiary and the Administrative Agent of a Borrower Joinder Agreement, providing for such Subsidiary to become a Subsidiary Borrower, (C) the agreement and acknowledgment by the Company and, during any Reinstated Guarantee Period, each Subsidiary Guarantor, that the Guarantee covers the Obligations of such Subsidiary, (D) the delivery to the Administrative Agent of corporate or other applicable resolutions, other corporate or other applicable documents, certificates and legal opinions in respect of such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anti-money-laundering Requirement of Law; and</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92"/>
          </w:cols>
          <w:pgMar w:left="248" w:top="273" w:right="259" w:bottom="1440" w:gutter="0" w:footer="0" w:header="0"/>
        </w:sectPr>
      </w:pPr>
    </w:p>
    <w:bookmarkStart w:id="539" w:name="page540"/>
    <w:bookmarkEnd w:id="539"/>
    <w:p>
      <w:pPr>
        <w:ind w:firstLine="921"/>
        <w:spacing w:after="0" w:line="297" w:lineRule="auto"/>
        <w:tabs>
          <w:tab w:leader="none" w:pos="1178" w:val="left"/>
        </w:tabs>
        <w:numPr>
          <w:ilvl w:val="0"/>
          <w:numId w:val="5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remove any Subsidiary as a Subsidiary Borrower upon (A) execution and delivery by the Company to the Administrative Agent of a written notification to such effect, (B) repayment in full of all Loans made to such Subsidiary Borrower and (C) repayment in full of all other amounts owing by such Subsidiary Borrower under this Agreement and the other Loan Documents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w:t>
      </w:r>
    </w:p>
    <w:p>
      <w:pPr>
        <w:spacing w:after="0" w:line="15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1320"/>
          </w:cols>
          <w:pgMar w:left="240" w:top="274" w:right="3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Any 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482-C26-A68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16" w:lineRule="exact"/>
        <w:rPr>
          <w:sz w:val="20"/>
          <w:szCs w:val="20"/>
          <w:color w:val="auto"/>
        </w:rPr>
      </w:pPr>
    </w:p>
    <w:p>
      <w:pPr>
        <w:sectPr>
          <w:pgSz w:w="11900" w:h="16838" w:orient="portrait"/>
          <w:cols w:equalWidth="0" w:num="2">
            <w:col w:w="5340" w:space="720"/>
            <w:col w:w="5260"/>
          </w:cols>
          <w:pgMar w:left="240" w:top="274" w:right="33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Assistant Treasurer</w:t>
      </w:r>
    </w:p>
    <w:p>
      <w:pPr>
        <w:spacing w:after="0" w:line="139" w:lineRule="exact"/>
        <w:rPr>
          <w:sz w:val="20"/>
          <w:szCs w:val="20"/>
          <w:color w:val="auto"/>
        </w:rPr>
      </w:pPr>
    </w:p>
    <w:p>
      <w:pPr>
        <w:sectPr>
          <w:pgSz w:w="11900" w:h="16838" w:orient="portrait"/>
          <w:cols w:equalWidth="0" w:num="2">
            <w:col w:w="5340" w:space="720"/>
            <w:col w:w="5260"/>
          </w:cols>
          <w:pgMar w:left="240" w:top="274" w:right="339" w:bottom="1440" w:gutter="0" w:footer="0" w:header="0"/>
          <w:type w:val="continuous"/>
        </w:sect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Capital Markets</w:t>
      </w:r>
    </w:p>
    <w:p>
      <w:pPr>
        <w:spacing w:after="0" w:line="139" w:lineRule="exact"/>
        <w:rPr>
          <w:sz w:val="20"/>
          <w:szCs w:val="20"/>
          <w:color w:val="auto"/>
        </w:rPr>
      </w:pPr>
    </w:p>
    <w:p>
      <w:pPr>
        <w:sectPr>
          <w:pgSz w:w="11900" w:h="16838" w:orient="portrait"/>
          <w:cols w:equalWidth="0" w:num="2">
            <w:col w:w="5340" w:space="720"/>
            <w:col w:w="5260"/>
          </w:cols>
          <w:pgMar w:left="240" w:top="274" w:right="339" w:bottom="1440" w:gutter="0" w:footer="0" w:header="0"/>
          <w:type w:val="continuous"/>
        </w:sect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482-C26-B98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Treasury Operations</w:t>
      </w:r>
    </w:p>
    <w:p>
      <w:pPr>
        <w:spacing w:after="0" w:line="139" w:lineRule="exact"/>
        <w:rPr>
          <w:sz w:val="20"/>
          <w:szCs w:val="20"/>
          <w:color w:val="auto"/>
        </w:rPr>
      </w:pPr>
    </w:p>
    <w:p>
      <w:pPr>
        <w:sectPr>
          <w:pgSz w:w="11900" w:h="16838" w:orient="portrait"/>
          <w:cols w:equalWidth="0" w:num="2">
            <w:col w:w="5340" w:space="720"/>
            <w:col w:w="5260"/>
          </w:cols>
          <w:pgMar w:left="240" w:top="274" w:right="339" w:bottom="1440" w:gutter="0" w:footer="0" w:header="0"/>
          <w:type w:val="continuous"/>
        </w:sect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482-C39-B40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craig.glidden@gm.com</w:t>
      </w:r>
    </w:p>
    <w:p>
      <w:pPr>
        <w:spacing w:after="0" w:line="180" w:lineRule="exact"/>
        <w:rPr>
          <w:sz w:val="20"/>
          <w:szCs w:val="20"/>
          <w:color w:val="auto"/>
        </w:rPr>
      </w:pPr>
    </w:p>
    <w:p>
      <w:pPr>
        <w:sectPr>
          <w:pgSz w:w="11900" w:h="16838" w:orient="portrait"/>
          <w:cols w:equalWidth="0" w:num="2">
            <w:col w:w="5340" w:space="720"/>
            <w:col w:w="5260"/>
          </w:cols>
          <w:pgMar w:left="240" w:top="274"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20"/>
          </w:cols>
          <w:pgMar w:left="240" w:top="274" w:right="339" w:bottom="1440" w:gutter="0" w:footer="0" w:header="0"/>
          <w:type w:val="continuous"/>
        </w:sectPr>
      </w:pPr>
    </w:p>
    <w:bookmarkStart w:id="540" w:name="page541"/>
    <w:bookmarkEnd w:id="540"/>
    <w:p>
      <w:pPr>
        <w:spacing w:after="0"/>
        <w:rPr>
          <w:sz w:val="20"/>
          <w:szCs w:val="20"/>
          <w:color w:val="auto"/>
        </w:rPr>
      </w:pPr>
      <w:r>
        <w:rPr>
          <w:rFonts w:ascii="Arial" w:cs="Arial" w:eastAsia="Arial" w:hAnsi="Arial"/>
          <w:sz w:val="17"/>
          <w:szCs w:val="17"/>
          <w:color w:val="auto"/>
        </w:rPr>
        <w:t>Any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-201295</wp:posOffset>
            </wp:positionV>
            <wp:extent cx="7289165" cy="3810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482-C26-A68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116" w:lineRule="exact"/>
        <w:rPr>
          <w:sz w:val="20"/>
          <w:szCs w:val="20"/>
          <w:color w:val="auto"/>
        </w:rPr>
      </w:pPr>
    </w:p>
    <w:p>
      <w:pPr>
        <w:sectPr>
          <w:pgSz w:w="11900" w:h="16838" w:orient="portrait"/>
          <w:cols w:equalWidth="0" w:num="2">
            <w:col w:w="5340" w:space="720"/>
            <w:col w:w="5340"/>
          </w:cols>
          <w:pgMar w:left="240" w:top="274" w:right="259" w:bottom="1440" w:gutter="0" w:footer="0" w:header="0"/>
        </w:sect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Mail Code 482-C24-A68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Assistant General Counsel &amp; Corporate Secretary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rick.hansen@gm.com</w:t>
      </w:r>
    </w:p>
    <w:p>
      <w:pPr>
        <w:spacing w:after="0" w:line="116"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spacing w:after="0"/>
        <w:rPr>
          <w:sz w:val="20"/>
          <w:szCs w:val="20"/>
          <w:color w:val="auto"/>
        </w:rPr>
      </w:pPr>
      <w:r>
        <w:rPr>
          <w:rFonts w:ascii="Arial" w:cs="Arial" w:eastAsia="Arial" w:hAnsi="Arial"/>
          <w:sz w:val="17"/>
          <w:szCs w:val="17"/>
          <w:color w:val="auto"/>
        </w:rPr>
        <w:t>Administrative Agent for all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 as Administrative Agent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116"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 Floor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RICHARD.DUKER@jpmorgan.com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Facsimile: 212-270-5100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212-270-3057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W. Duker</w:t>
      </w:r>
    </w:p>
    <w:p>
      <w:pPr>
        <w:spacing w:after="0" w:line="200"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spacing w:after="0" w:line="24"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any notice, request or demand to or upon the Administrative Agent or the Lenders pursuant to Section 2.2, 2.9, 2.11, 2.12, 2.14 or 2.30 shall not be effective until received.</w:t>
      </w:r>
    </w:p>
    <w:p>
      <w:pPr>
        <w:spacing w:after="0" w:line="62" w:lineRule="exact"/>
        <w:rPr>
          <w:sz w:val="20"/>
          <w:szCs w:val="20"/>
          <w:color w:val="auto"/>
        </w:rPr>
      </w:pPr>
    </w:p>
    <w:p>
      <w:pPr>
        <w:ind w:right="40" w:firstLine="921"/>
        <w:spacing w:after="0" w:line="264" w:lineRule="auto"/>
        <w:tabs>
          <w:tab w:leader="none" w:pos="1168" w:val="left"/>
        </w:tabs>
        <w:numPr>
          <w:ilvl w:val="0"/>
          <w:numId w:val="551"/>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may, but shall not be obligated to, make any notices or other Communications available to the Lenders by posting such Communications on IntraLinks</w:t>
      </w:r>
      <w:r>
        <w:rPr>
          <w:rFonts w:ascii="Arial" w:cs="Arial" w:eastAsia="Arial" w:hAnsi="Arial"/>
          <w:sz w:val="15"/>
          <w:szCs w:val="15"/>
          <w:color w:val="auto"/>
        </w:rPr>
        <w:t>™</w:t>
      </w:r>
      <w:r>
        <w:rPr>
          <w:rFonts w:ascii="Arial" w:cs="Arial" w:eastAsia="Arial" w:hAnsi="Arial"/>
          <w:sz w:val="18"/>
          <w:szCs w:val="18"/>
          <w:color w:val="auto"/>
        </w:rPr>
        <w:t xml:space="preserve"> or a substantially similar electronic platform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921"/>
        <w:spacing w:after="0" w:line="254" w:lineRule="auto"/>
        <w:tabs>
          <w:tab w:leader="none" w:pos="1158" w:val="left"/>
        </w:tabs>
        <w:numPr>
          <w:ilvl w:val="0"/>
          <w:numId w:val="551"/>
        </w:numPr>
        <w:rPr>
          <w:rFonts w:ascii="Arial" w:cs="Arial" w:eastAsia="Arial" w:hAnsi="Arial"/>
          <w:sz w:val="18"/>
          <w:szCs w:val="18"/>
          <w:color w:val="auto"/>
        </w:rPr>
      </w:pPr>
      <w:r>
        <w:rPr>
          <w:rFonts w:ascii="Arial" w:cs="Arial" w:eastAsia="Arial" w:hAnsi="Arial"/>
          <w:sz w:val="18"/>
          <w:szCs w:val="18"/>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type w:val="continuous"/>
        </w:sectPr>
      </w:pPr>
    </w:p>
    <w:bookmarkStart w:id="541" w:name="page542"/>
    <w:bookmarkEnd w:id="541"/>
    <w:p>
      <w:pPr>
        <w:ind w:right="20" w:firstLine="921"/>
        <w:spacing w:after="0" w:line="272" w:lineRule="auto"/>
        <w:tabs>
          <w:tab w:leader="none" w:pos="1168" w:val="left"/>
        </w:tabs>
        <w:numPr>
          <w:ilvl w:val="0"/>
          <w:numId w:val="5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77" w:lineRule="exact"/>
        <w:rPr>
          <w:rFonts w:ascii="Arial" w:cs="Arial" w:eastAsia="Arial" w:hAnsi="Arial"/>
          <w:sz w:val="17"/>
          <w:szCs w:val="17"/>
          <w:color w:val="auto"/>
        </w:rPr>
      </w:pPr>
    </w:p>
    <w:p>
      <w:pPr>
        <w:ind w:right="80" w:firstLine="921"/>
        <w:spacing w:after="0" w:line="264" w:lineRule="auto"/>
        <w:tabs>
          <w:tab w:leader="none" w:pos="1158" w:val="left"/>
        </w:tabs>
        <w:numPr>
          <w:ilvl w:val="0"/>
          <w:numId w:val="552"/>
        </w:numPr>
        <w:rPr>
          <w:rFonts w:ascii="Arial" w:cs="Arial" w:eastAsia="Arial" w:hAnsi="Arial"/>
          <w:sz w:val="18"/>
          <w:szCs w:val="18"/>
          <w:color w:val="auto"/>
        </w:rPr>
      </w:pPr>
      <w:r>
        <w:rPr>
          <w:rFonts w:ascii="Arial" w:cs="Arial" w:eastAsia="Arial" w:hAnsi="Arial"/>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81"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agrees (a) to pay or reimburse the Administrative Agent and the Arrangers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Facility,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in the event of a conflict, one separate counsel (and one local counsel in each relevant jurisdiction) for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542" w:name="page543"/>
    <w:bookmarkEnd w:id="54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persons similarly situated as required to address such conflict, (c) to pay, indemnify or reimburse each Lender and the Administrative Agent for, and hold each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 and (d) to pay, indemnify or reimburse each Lender, the Administrative Agent, their respective affiliates, and their respective officers, directors, partners, employees, advisors, agents, controlling persons and trustees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and the other Loan Documents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The agreements in this Section 10.5 shall survive the repayment of the Loans and all other amounts payable hereunder. In no event shall any party hereto or any other Loan Party be liable for any special, indirect, consequential or punitive damages (including any loss of profits, business or anticipated savings); </w:t>
      </w:r>
      <w:r>
        <w:rPr>
          <w:rFonts w:ascii="Arial" w:cs="Arial" w:eastAsia="Arial" w:hAnsi="Arial"/>
          <w:sz w:val="16"/>
          <w:szCs w:val="16"/>
          <w:u w:val="single" w:color="auto"/>
          <w:color w:val="auto"/>
        </w:rPr>
        <w:t>provided</w:t>
      </w:r>
      <w:r>
        <w:rPr>
          <w:rFonts w:ascii="Arial" w:cs="Arial" w:eastAsia="Arial" w:hAnsi="Arial"/>
          <w:sz w:val="16"/>
          <w:szCs w:val="16"/>
          <w:color w:val="auto"/>
        </w:rPr>
        <w:t>, that this sentence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3" w:right="259" w:bottom="1440" w:gutter="0" w:footer="0" w:header="0"/>
        </w:sectPr>
      </w:pPr>
    </w:p>
    <w:bookmarkStart w:id="543" w:name="page544"/>
    <w:bookmarkEnd w:id="543"/>
    <w:p>
      <w:pPr>
        <w:ind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10.6 </w:t>
      </w:r>
      <w:r>
        <w:rPr>
          <w:rFonts w:ascii="Arial" w:cs="Arial" w:eastAsia="Arial" w:hAnsi="Arial"/>
          <w:sz w:val="17"/>
          <w:szCs w:val="17"/>
          <w:u w:val="single" w:color="auto"/>
          <w:color w:val="auto"/>
        </w:rPr>
        <w:t>Successors and Assigns; Participations and Assignments</w:t>
      </w:r>
      <w:r>
        <w:rPr>
          <w:rFonts w:ascii="Arial" w:cs="Arial" w:eastAsia="Arial" w:hAnsi="Arial"/>
          <w:sz w:val="17"/>
          <w:szCs w:val="17"/>
          <w:color w:val="auto"/>
        </w:rPr>
        <w:t>. (a) The provisions of this Agreement shall be binding upon and inure to the benefit of the parties hereto and their respective successors and assigns permitted hereby,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w:t>
      </w:r>
    </w:p>
    <w:p>
      <w:pPr>
        <w:spacing w:after="0" w:line="64" w:lineRule="exact"/>
        <w:rPr>
          <w:sz w:val="20"/>
          <w:szCs w:val="20"/>
          <w:color w:val="auto"/>
        </w:rPr>
      </w:pPr>
    </w:p>
    <w:p>
      <w:pPr>
        <w:ind w:right="100" w:firstLine="921"/>
        <w:spacing w:after="0" w:line="259" w:lineRule="auto"/>
        <w:tabs>
          <w:tab w:leader="none" w:pos="1168"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and subject to advance notice to the Company, any Lender may assign to one or more assignees (other than the Company or any affiliate of the Company or any natural person)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78" w:lineRule="exact"/>
        <w:rPr>
          <w:rFonts w:ascii="Arial" w:cs="Arial" w:eastAsia="Arial" w:hAnsi="Arial"/>
          <w:sz w:val="18"/>
          <w:szCs w:val="18"/>
          <w:color w:val="auto"/>
        </w:rPr>
      </w:pPr>
    </w:p>
    <w:p>
      <w:pPr>
        <w:ind w:left="920" w:right="20" w:firstLine="421"/>
        <w:spacing w:after="0" w:line="342" w:lineRule="auto"/>
        <w:tabs>
          <w:tab w:leader="none" w:pos="1595" w:val="left"/>
        </w:tabs>
        <w:numPr>
          <w:ilvl w:val="1"/>
          <w:numId w:val="553"/>
        </w:numPr>
        <w:rPr>
          <w:rFonts w:ascii="Arial" w:cs="Arial" w:eastAsia="Arial" w:hAnsi="Arial"/>
          <w:sz w:val="16"/>
          <w:szCs w:val="16"/>
          <w:color w:val="auto"/>
        </w:rPr>
      </w:pPr>
      <w:r>
        <w:rPr>
          <w:rFonts w:ascii="Arial" w:cs="Arial" w:eastAsia="Arial" w:hAnsi="Arial"/>
          <w:sz w:val="16"/>
          <w:szCs w:val="16"/>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 and</w:t>
      </w:r>
    </w:p>
    <w:p>
      <w:pPr>
        <w:spacing w:after="0" w:line="15" w:lineRule="exact"/>
        <w:rPr>
          <w:rFonts w:ascii="Arial" w:cs="Arial" w:eastAsia="Arial" w:hAnsi="Arial"/>
          <w:sz w:val="16"/>
          <w:szCs w:val="16"/>
          <w:color w:val="auto"/>
        </w:rPr>
      </w:pPr>
    </w:p>
    <w:p>
      <w:pPr>
        <w:ind w:left="1600" w:hanging="259"/>
        <w:spacing w:after="0"/>
        <w:tabs>
          <w:tab w:leader="none" w:pos="1600" w:val="left"/>
        </w:tabs>
        <w:numPr>
          <w:ilvl w:val="1"/>
          <w:numId w:val="553"/>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117"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(x) no consent provided for in clause (2) above shall be required for an assignment to a Lender or an affiliate thereof and (y) no consent of the Company provided for in clause (1) above shall be required if an Event of Default under Section 8(a) or (e) has occurred and is continuing.</w:t>
      </w:r>
    </w:p>
    <w:p>
      <w:pPr>
        <w:spacing w:after="0" w:line="181"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73" w:lineRule="exact"/>
        <w:rPr>
          <w:sz w:val="20"/>
          <w:szCs w:val="20"/>
          <w:color w:val="auto"/>
        </w:rPr>
      </w:pPr>
    </w:p>
    <w:p>
      <w:pPr>
        <w:ind w:left="1180" w:hanging="259"/>
        <w:spacing w:after="0"/>
        <w:tabs>
          <w:tab w:leader="none" w:pos="118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920" w:right="100" w:firstLine="421"/>
        <w:spacing w:after="0" w:line="293" w:lineRule="auto"/>
        <w:tabs>
          <w:tab w:leader="none" w:pos="1635" w:val="left"/>
        </w:tabs>
        <w:numPr>
          <w:ilvl w:val="1"/>
          <w:numId w:val="554"/>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3" w:right="239" w:bottom="1440" w:gutter="0" w:footer="0" w:header="0"/>
        </w:sectPr>
      </w:pPr>
    </w:p>
    <w:bookmarkStart w:id="544" w:name="page545"/>
    <w:bookmarkEnd w:id="544"/>
    <w:p>
      <w:pPr>
        <w:ind w:left="460" w:firstLine="421"/>
        <w:spacing w:after="0" w:line="257" w:lineRule="auto"/>
        <w:tabs>
          <w:tab w:leader="none" w:pos="1165" w:val="left"/>
        </w:tabs>
        <w:numPr>
          <w:ilvl w:val="2"/>
          <w:numId w:val="5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80" w:lineRule="exact"/>
        <w:rPr>
          <w:rFonts w:ascii="Arial" w:cs="Arial" w:eastAsia="Arial" w:hAnsi="Arial"/>
          <w:sz w:val="18"/>
          <w:szCs w:val="18"/>
          <w:color w:val="auto"/>
        </w:rPr>
      </w:pPr>
    </w:p>
    <w:p>
      <w:pPr>
        <w:ind w:left="1160" w:hanging="279"/>
        <w:spacing w:after="0"/>
        <w:tabs>
          <w:tab w:leader="none" w:pos="1160" w:val="left"/>
        </w:tabs>
        <w:numPr>
          <w:ilvl w:val="2"/>
          <w:numId w:val="555"/>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and the Company an administrative questionnaire.</w:t>
      </w:r>
    </w:p>
    <w:p>
      <w:pPr>
        <w:spacing w:after="0" w:line="140" w:lineRule="exact"/>
        <w:rPr>
          <w:rFonts w:ascii="Arial" w:cs="Arial" w:eastAsia="Arial" w:hAnsi="Arial"/>
          <w:sz w:val="16"/>
          <w:szCs w:val="16"/>
          <w:color w:val="auto"/>
        </w:rPr>
      </w:pPr>
    </w:p>
    <w:p>
      <w:pPr>
        <w:ind w:right="40" w:firstLine="443"/>
        <w:spacing w:after="0" w:line="284" w:lineRule="auto"/>
        <w:tabs>
          <w:tab w:leader="none" w:pos="753" w:val="left"/>
        </w:tabs>
        <w:numPr>
          <w:ilvl w:val="1"/>
          <w:numId w:val="556"/>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w:t>
      </w:r>
    </w:p>
    <w:p>
      <w:pPr>
        <w:spacing w:after="0" w:line="1" w:lineRule="exact"/>
        <w:rPr>
          <w:rFonts w:ascii="Arial" w:cs="Arial" w:eastAsia="Arial" w:hAnsi="Arial"/>
          <w:sz w:val="16"/>
          <w:szCs w:val="16"/>
          <w:color w:val="auto"/>
        </w:rPr>
      </w:pPr>
    </w:p>
    <w:p>
      <w:pPr>
        <w:ind w:left="240" w:hanging="236"/>
        <w:spacing w:after="0"/>
        <w:tabs>
          <w:tab w:leader="none" w:pos="24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of this Section 10.6.</w:t>
      </w:r>
    </w:p>
    <w:p>
      <w:pPr>
        <w:spacing w:after="0" w:line="103" w:lineRule="exact"/>
        <w:rPr>
          <w:sz w:val="20"/>
          <w:szCs w:val="20"/>
          <w:color w:val="auto"/>
        </w:rPr>
      </w:pPr>
    </w:p>
    <w:p>
      <w:pPr>
        <w:ind w:firstLine="443"/>
        <w:spacing w:after="0" w:line="271" w:lineRule="auto"/>
        <w:tabs>
          <w:tab w:leader="none" w:pos="743" w:val="left"/>
        </w:tabs>
        <w:numPr>
          <w:ilvl w:val="0"/>
          <w:numId w:val="558"/>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Subject to the last sentence of (b)(iii) above, the entries in the Register shall be conclusive in the absence of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Administrative Agent shall provide a copy of the Register to the Company upon its request at any time and from time to time by electronic communication.</w:t>
      </w:r>
    </w:p>
    <w:p>
      <w:pPr>
        <w:spacing w:after="0" w:line="70" w:lineRule="exact"/>
        <w:rPr>
          <w:rFonts w:ascii="Arial" w:cs="Arial" w:eastAsia="Arial" w:hAnsi="Arial"/>
          <w:sz w:val="17"/>
          <w:szCs w:val="17"/>
          <w:color w:val="auto"/>
        </w:rPr>
      </w:pPr>
    </w:p>
    <w:p>
      <w:pPr>
        <w:ind w:right="20" w:firstLine="443"/>
        <w:spacing w:after="0" w:line="293" w:lineRule="auto"/>
        <w:tabs>
          <w:tab w:leader="none" w:pos="693" w:val="left"/>
        </w:tabs>
        <w:numPr>
          <w:ilvl w:val="0"/>
          <w:numId w:val="558"/>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9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00"/>
          </w:cols>
          <w:pgMar w:left="700" w:top="274" w:right="299" w:bottom="1440" w:gutter="0" w:footer="0" w:header="0"/>
        </w:sectPr>
      </w:pPr>
    </w:p>
    <w:bookmarkStart w:id="545" w:name="page546"/>
    <w:bookmarkEnd w:id="545"/>
    <w:p>
      <w:pPr>
        <w:ind w:left="-8" w:firstLine="921"/>
        <w:spacing w:after="0" w:line="283" w:lineRule="auto"/>
        <w:tabs>
          <w:tab w:leader="none" w:pos="1150" w:val="left"/>
        </w:tabs>
        <w:numPr>
          <w:ilvl w:val="1"/>
          <w:numId w:val="5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Any Lender may, without the consent of the Company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(C) the Loan Parties, the Administrative Agent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agreement may provide that such Lender will not, without the consent of the Participant, agree to any amendment, modification or waiver that</w:t>
      </w:r>
    </w:p>
    <w:p>
      <w:pPr>
        <w:spacing w:after="0" w:line="5" w:lineRule="exact"/>
        <w:rPr>
          <w:rFonts w:ascii="Arial" w:cs="Arial" w:eastAsia="Arial" w:hAnsi="Arial"/>
          <w:sz w:val="16"/>
          <w:szCs w:val="16"/>
          <w:color w:val="auto"/>
        </w:rPr>
      </w:pPr>
    </w:p>
    <w:p>
      <w:pPr>
        <w:ind w:left="-8" w:right="60" w:firstLine="8"/>
        <w:spacing w:after="0" w:line="286" w:lineRule="auto"/>
        <w:tabs>
          <w:tab w:leader="none" w:pos="247" w:val="left"/>
        </w:tabs>
        <w:numPr>
          <w:ilvl w:val="0"/>
          <w:numId w:val="560"/>
        </w:numPr>
        <w:rPr>
          <w:rFonts w:ascii="Arial" w:cs="Arial" w:eastAsia="Arial" w:hAnsi="Arial"/>
          <w:sz w:val="16"/>
          <w:szCs w:val="16"/>
          <w:color w:val="auto"/>
        </w:rPr>
      </w:pPr>
      <w:r>
        <w:rPr>
          <w:rFonts w:ascii="Arial" w:cs="Arial" w:eastAsia="Arial" w:hAnsi="Arial"/>
          <w:sz w:val="16"/>
          <w:szCs w:val="16"/>
          <w:color w:val="auto"/>
        </w:rPr>
        <w:t>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to any Person (including the identity of any Participant or any information relating to a Participant’s interest in any Loans or its other obligations under this Agreement) except to the extent that such disclosure is necessary to establish that such Loan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58" w:lineRule="exact"/>
        <w:rPr>
          <w:rFonts w:ascii="Arial" w:cs="Arial" w:eastAsia="Arial" w:hAnsi="Arial"/>
          <w:sz w:val="16"/>
          <w:szCs w:val="16"/>
          <w:color w:val="auto"/>
        </w:rPr>
      </w:pPr>
    </w:p>
    <w:p>
      <w:pPr>
        <w:ind w:left="452" w:right="100" w:firstLine="443"/>
        <w:spacing w:after="0" w:line="255" w:lineRule="auto"/>
        <w:tabs>
          <w:tab w:leader="none" w:pos="1155" w:val="left"/>
        </w:tabs>
        <w:numPr>
          <w:ilvl w:val="1"/>
          <w:numId w:val="560"/>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85" w:lineRule="exact"/>
        <w:rPr>
          <w:rFonts w:ascii="Arial" w:cs="Arial" w:eastAsia="Arial" w:hAnsi="Arial"/>
          <w:sz w:val="18"/>
          <w:szCs w:val="18"/>
          <w:color w:val="auto"/>
        </w:rPr>
      </w:pPr>
    </w:p>
    <w:p>
      <w:pPr>
        <w:ind w:left="-8" w:right="40" w:firstLine="921"/>
        <w:spacing w:after="0" w:line="257" w:lineRule="auto"/>
        <w:tabs>
          <w:tab w:leader="none" w:pos="1160" w:val="left"/>
        </w:tabs>
        <w:numPr>
          <w:ilvl w:val="2"/>
          <w:numId w:val="560"/>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12"/>
          </w:cols>
          <w:pgMar w:left="248" w:top="273" w:right="239" w:bottom="1440" w:gutter="0" w:footer="0" w:header="0"/>
        </w:sectPr>
      </w:pPr>
    </w:p>
    <w:bookmarkStart w:id="546" w:name="page547"/>
    <w:bookmarkEnd w:id="546"/>
    <w:p>
      <w:pPr>
        <w:ind w:right="40" w:firstLine="921"/>
        <w:spacing w:after="0" w:line="255" w:lineRule="auto"/>
        <w:tabs>
          <w:tab w:leader="none" w:pos="1158" w:val="left"/>
        </w:tabs>
        <w:numPr>
          <w:ilvl w:val="0"/>
          <w:numId w:val="5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93"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Adjustments</w:t>
      </w:r>
      <w:r>
        <w:rPr>
          <w:rFonts w:ascii="Arial" w:cs="Arial" w:eastAsia="Arial" w:hAnsi="Arial"/>
          <w:sz w:val="17"/>
          <w:szCs w:val="17"/>
          <w:color w:val="auto"/>
        </w:rPr>
        <w:t>. If any Lender (a “</w:t>
      </w:r>
      <w:r>
        <w:rPr>
          <w:rFonts w:ascii="Arial" w:cs="Arial" w:eastAsia="Arial" w:hAnsi="Arial"/>
          <w:sz w:val="17"/>
          <w:szCs w:val="17"/>
          <w:u w:val="single" w:color="auto"/>
          <w:color w:val="auto"/>
        </w:rPr>
        <w:t>Benefitted Lender</w:t>
      </w:r>
      <w:r>
        <w:rPr>
          <w:rFonts w:ascii="Arial" w:cs="Arial" w:eastAsia="Arial" w:hAnsi="Arial"/>
          <w:sz w:val="17"/>
          <w:szCs w:val="17"/>
          <w:color w:val="auto"/>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payments in respect of Obligations owing by any Foreign Subsidiary Borrower shall be utilized to satisfy any Obligations owing by the Company or any Domestic Subsidiary Borrower.</w:t>
      </w:r>
    </w:p>
    <w:p>
      <w:pPr>
        <w:spacing w:after="0" w:line="18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87" w:lineRule="exact"/>
        <w:rPr>
          <w:sz w:val="20"/>
          <w:szCs w:val="20"/>
          <w:color w:val="auto"/>
        </w:rPr>
      </w:pPr>
    </w:p>
    <w:p>
      <w:pPr>
        <w:ind w:right="620" w:firstLine="913"/>
        <w:spacing w:after="0" w:line="286"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entire agreement of the Borrowers,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47" w:lineRule="exact"/>
        <w:rPr>
          <w:sz w:val="20"/>
          <w:szCs w:val="20"/>
          <w:color w:val="auto"/>
        </w:rPr>
      </w:pPr>
    </w:p>
    <w:p>
      <w:pPr>
        <w:jc w:val="both"/>
        <w:ind w:right="40" w:firstLine="913"/>
        <w:spacing w:after="0" w:line="308"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UNDER THIS AGREEMENT SHALL BE GOVERNED BY, AND CONSTRUED AND INTERPRETED IN ACCORDANCE WITH, THE LAW OF THE STATE OF NEW YORK.</w:t>
      </w:r>
    </w:p>
    <w:p>
      <w:pPr>
        <w:spacing w:after="0" w:line="14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(a) Each of the Administrative Agent, the Lenders, the Company, each Subsidiary Borrower and each other Loan Party hereby irrevocably and unconditionally: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547" w:name="page548"/>
    <w:bookmarkEnd w:id="547"/>
    <w:p>
      <w:pPr>
        <w:ind w:left="460" w:firstLine="443"/>
        <w:spacing w:after="0" w:line="312" w:lineRule="auto"/>
        <w:tabs>
          <w:tab w:leader="none" w:pos="1113" w:val="left"/>
        </w:tabs>
        <w:numPr>
          <w:ilvl w:val="0"/>
          <w:numId w:val="5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38" w:lineRule="exact"/>
        <w:rPr>
          <w:rFonts w:ascii="Arial" w:cs="Arial" w:eastAsia="Arial" w:hAnsi="Arial"/>
          <w:sz w:val="16"/>
          <w:szCs w:val="16"/>
          <w:color w:val="auto"/>
        </w:rPr>
      </w:pPr>
    </w:p>
    <w:p>
      <w:pPr>
        <w:ind w:left="460" w:firstLine="443"/>
        <w:spacing w:after="0" w:line="264" w:lineRule="auto"/>
        <w:tabs>
          <w:tab w:leader="none" w:pos="1163" w:val="left"/>
        </w:tabs>
        <w:numPr>
          <w:ilvl w:val="0"/>
          <w:numId w:val="562"/>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73" w:lineRule="exact"/>
        <w:rPr>
          <w:rFonts w:ascii="Arial" w:cs="Arial" w:eastAsia="Arial" w:hAnsi="Arial"/>
          <w:sz w:val="18"/>
          <w:szCs w:val="18"/>
          <w:color w:val="auto"/>
        </w:rPr>
      </w:pPr>
    </w:p>
    <w:p>
      <w:pPr>
        <w:ind w:left="460" w:right="120" w:firstLine="443"/>
        <w:spacing w:after="0" w:line="277" w:lineRule="auto"/>
        <w:tabs>
          <w:tab w:leader="none" w:pos="1213" w:val="left"/>
        </w:tabs>
        <w:numPr>
          <w:ilvl w:val="0"/>
          <w:numId w:val="562"/>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62" w:lineRule="exact"/>
        <w:rPr>
          <w:rFonts w:ascii="Arial" w:cs="Arial" w:eastAsia="Arial" w:hAnsi="Arial"/>
          <w:sz w:val="18"/>
          <w:szCs w:val="18"/>
          <w:color w:val="auto"/>
        </w:rPr>
      </w:pPr>
    </w:p>
    <w:p>
      <w:pPr>
        <w:ind w:firstLine="921"/>
        <w:spacing w:after="0" w:line="270" w:lineRule="auto"/>
        <w:tabs>
          <w:tab w:leader="none" w:pos="1168" w:val="left"/>
        </w:tabs>
        <w:numPr>
          <w:ilvl w:val="1"/>
          <w:numId w:val="562"/>
        </w:numPr>
        <w:rPr>
          <w:rFonts w:ascii="Arial" w:cs="Arial" w:eastAsia="Arial" w:hAnsi="Arial"/>
          <w:sz w:val="17"/>
          <w:szCs w:val="17"/>
          <w:color w:val="auto"/>
        </w:rPr>
      </w:pPr>
      <w:r>
        <w:rPr>
          <w:rFonts w:ascii="Arial" w:cs="Arial" w:eastAsia="Arial" w:hAnsi="Arial"/>
          <w:sz w:val="17"/>
          <w:szCs w:val="17"/>
          <w:color w:val="auto"/>
        </w:rPr>
        <w:t>Upon any Foreign Subsidiary becoming a Subsidiary Borrower, such Subsidiary Borrower hereby agrees to irrevocably and unconditionally appoint the Company as its agent to receive on behalf of such Subsidiary Borrower and its property service of copies of the summons and complaint and any other process which may be served in any action or proceeding in any such New York State or Federal court described in paragraph (a) of this Section 10.12. In any such action or proceeding in such New York State or Federal court, such service may be made on such Subsidiary Borrower by delivering a copy of such process to such Subsidiary Borrower in care of the Company. Each Subsidiary Borrower hereby irrevocably and unconditionally authorizes and directs the Company to accept such service on its behalf. As an alternate method of service, each Subsidiary Borrower irrevocably and unconditionally consents to the service of any and all process in any such action or proceeding in such New York State or Federal court by mailing of copies of such process to such Subsidiary Borrower by certified or registered air mail at its address specified in the Borrower Joinder Agreement. Each Subsidiary Borrower agrees that, to the fullest extent permitted by applicable law, a final judgment in any such action or proceeding shall be conclusive and may be enforced in other jurisdictions by suit on the judgment or in any other manner provided by law.</w:t>
      </w:r>
    </w:p>
    <w:p>
      <w:pPr>
        <w:spacing w:after="0" w:line="69" w:lineRule="exact"/>
        <w:rPr>
          <w:rFonts w:ascii="Arial" w:cs="Arial" w:eastAsia="Arial" w:hAnsi="Arial"/>
          <w:sz w:val="17"/>
          <w:szCs w:val="17"/>
          <w:color w:val="auto"/>
        </w:rPr>
      </w:pPr>
    </w:p>
    <w:p>
      <w:pPr>
        <w:ind w:right="60" w:firstLine="921"/>
        <w:spacing w:after="0" w:line="302" w:lineRule="auto"/>
        <w:tabs>
          <w:tab w:leader="none" w:pos="1158" w:val="left"/>
        </w:tabs>
        <w:numPr>
          <w:ilvl w:val="1"/>
          <w:numId w:val="562"/>
        </w:numPr>
        <w:rPr>
          <w:rFonts w:ascii="Arial" w:cs="Arial" w:eastAsia="Arial" w:hAnsi="Arial"/>
          <w:sz w:val="16"/>
          <w:szCs w:val="16"/>
          <w:color w:val="auto"/>
        </w:rPr>
      </w:pPr>
      <w:r>
        <w:rPr>
          <w:rFonts w:ascii="Arial" w:cs="Arial" w:eastAsia="Arial" w:hAnsi="Arial"/>
          <w:sz w:val="16"/>
          <w:szCs w:val="16"/>
          <w:color w:val="auto"/>
        </w:rPr>
        <w:t>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w:t>
      </w:r>
    </w:p>
    <w:p>
      <w:pPr>
        <w:spacing w:after="0" w:line="154"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Judgment</w:t>
      </w:r>
      <w:r>
        <w:rPr>
          <w:rFonts w:ascii="Arial" w:cs="Arial" w:eastAsia="Arial" w:hAnsi="Arial"/>
          <w:sz w:val="17"/>
          <w:szCs w:val="17"/>
          <w:color w:val="auto"/>
        </w:rPr>
        <w:t>. The obligations of the Company or any Subsidiary Borrower in respect of this Agreement and the other Loan Documents due to any party hereto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the currency in which the sum originally due to such party is denominated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interest and Facility Fees payable hereunder or under any other Loan Document.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3" w:right="259" w:bottom="1440" w:gutter="0" w:footer="0" w:header="0"/>
        </w:sectPr>
      </w:pPr>
    </w:p>
    <w:bookmarkStart w:id="548" w:name="page549"/>
    <w:bookmarkEnd w:id="54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10.14 </w:t>
      </w:r>
      <w:r>
        <w:rPr>
          <w:rFonts w:ascii="Arial" w:cs="Arial" w:eastAsia="Arial" w:hAnsi="Arial"/>
          <w:sz w:val="18"/>
          <w:szCs w:val="18"/>
          <w:u w:val="single" w:color="auto"/>
          <w:color w:val="auto"/>
        </w:rPr>
        <w:t>Acknowledgments</w:t>
      </w:r>
      <w:r>
        <w:rPr>
          <w:rFonts w:ascii="Arial" w:cs="Arial" w:eastAsia="Arial" w:hAnsi="Arial"/>
          <w:sz w:val="18"/>
          <w:szCs w:val="18"/>
          <w:color w:val="auto"/>
        </w:rPr>
        <w:t>. Each of the Company and the Subsidiary Borrowers hereby acknowledges that:</w:t>
      </w:r>
    </w:p>
    <w:p>
      <w:pPr>
        <w:spacing w:after="0" w:line="117" w:lineRule="exact"/>
        <w:rPr>
          <w:sz w:val="20"/>
          <w:szCs w:val="20"/>
          <w:color w:val="auto"/>
        </w:rPr>
      </w:pPr>
    </w:p>
    <w:p>
      <w:pPr>
        <w:ind w:left="1160" w:hanging="239"/>
        <w:spacing w:after="0"/>
        <w:tabs>
          <w:tab w:leader="none" w:pos="116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117" w:lineRule="exact"/>
        <w:rPr>
          <w:rFonts w:ascii="Arial" w:cs="Arial" w:eastAsia="Arial" w:hAnsi="Arial"/>
          <w:sz w:val="18"/>
          <w:szCs w:val="18"/>
          <w:color w:val="auto"/>
        </w:rPr>
      </w:pPr>
    </w:p>
    <w:p>
      <w:pPr>
        <w:jc w:val="both"/>
        <w:ind w:right="100" w:firstLine="921"/>
        <w:spacing w:after="0" w:line="286" w:lineRule="auto"/>
        <w:tabs>
          <w:tab w:leader="none" w:pos="1168" w:val="left"/>
        </w:tabs>
        <w:numPr>
          <w:ilvl w:val="0"/>
          <w:numId w:val="563"/>
        </w:numPr>
        <w:rPr>
          <w:rFonts w:ascii="Arial" w:cs="Arial" w:eastAsia="Arial" w:hAnsi="Arial"/>
          <w:sz w:val="17"/>
          <w:szCs w:val="17"/>
          <w:color w:val="auto"/>
        </w:rPr>
      </w:pPr>
      <w:r>
        <w:rPr>
          <w:rFonts w:ascii="Arial" w:cs="Arial" w:eastAsia="Arial" w:hAnsi="Arial"/>
          <w:sz w:val="17"/>
          <w:szCs w:val="17"/>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57" w:lineRule="exact"/>
        <w:rPr>
          <w:rFonts w:ascii="Arial" w:cs="Arial" w:eastAsia="Arial" w:hAnsi="Arial"/>
          <w:sz w:val="17"/>
          <w:szCs w:val="17"/>
          <w:color w:val="auto"/>
        </w:rPr>
      </w:pPr>
    </w:p>
    <w:p>
      <w:pPr>
        <w:ind w:right="480" w:firstLine="921"/>
        <w:spacing w:after="0" w:line="277" w:lineRule="auto"/>
        <w:tabs>
          <w:tab w:leader="none" w:pos="1158" w:val="left"/>
        </w:tabs>
        <w:numPr>
          <w:ilvl w:val="0"/>
          <w:numId w:val="563"/>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Company or any Subsidiary and the Lenders.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Releases of Guarantees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76" w:lineRule="auto"/>
        <w:tabs>
          <w:tab w:leader="none" w:pos="1158" w:val="left"/>
        </w:tabs>
        <w:numPr>
          <w:ilvl w:val="0"/>
          <w:numId w:val="56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or in any other Loan Document, the Administrative Agent is hereby irrevocably authorized by each Lender (without requirement of notice to or consent of any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64" w:lineRule="exact"/>
        <w:rPr>
          <w:rFonts w:ascii="Arial" w:cs="Arial" w:eastAsia="Arial" w:hAnsi="Arial"/>
          <w:sz w:val="17"/>
          <w:szCs w:val="17"/>
          <w:color w:val="auto"/>
        </w:rPr>
      </w:pPr>
    </w:p>
    <w:p>
      <w:pPr>
        <w:ind w:right="360" w:firstLine="921"/>
        <w:spacing w:after="0" w:line="264" w:lineRule="auto"/>
        <w:tabs>
          <w:tab w:leader="none" w:pos="1168" w:val="left"/>
        </w:tabs>
        <w:numPr>
          <w:ilvl w:val="0"/>
          <w:numId w:val="564"/>
        </w:numPr>
        <w:rPr>
          <w:rFonts w:ascii="Arial" w:cs="Arial" w:eastAsia="Arial" w:hAnsi="Arial"/>
          <w:sz w:val="18"/>
          <w:szCs w:val="18"/>
          <w:color w:val="auto"/>
        </w:rPr>
      </w:pPr>
      <w:r>
        <w:rPr>
          <w:rFonts w:ascii="Arial" w:cs="Arial" w:eastAsia="Arial" w:hAnsi="Arial"/>
          <w:sz w:val="18"/>
          <w:szCs w:val="18"/>
          <w:color w:val="auto"/>
        </w:rPr>
        <w:t>At such time as the Loans and interest and fees owing hereunder and under any other Loan Document shall have been paid in full and the Commitments have been terminated, all obligations (other than as expressly provided therein) of each Guarantor under the Guarantee shall terminate, all without delivery of any instrument or performance of any act by any person.</w:t>
      </w:r>
    </w:p>
    <w:p>
      <w:pPr>
        <w:spacing w:after="0" w:line="73" w:lineRule="exact"/>
        <w:rPr>
          <w:rFonts w:ascii="Arial" w:cs="Arial" w:eastAsia="Arial" w:hAnsi="Arial"/>
          <w:sz w:val="18"/>
          <w:szCs w:val="18"/>
          <w:color w:val="auto"/>
        </w:rPr>
      </w:pPr>
    </w:p>
    <w:p>
      <w:pPr>
        <w:ind w:right="40" w:firstLine="921"/>
        <w:spacing w:after="0" w:line="297" w:lineRule="auto"/>
        <w:tabs>
          <w:tab w:leader="none" w:pos="1158" w:val="left"/>
        </w:tabs>
        <w:numPr>
          <w:ilvl w:val="0"/>
          <w:numId w:val="564"/>
        </w:numPr>
        <w:rPr>
          <w:rFonts w:ascii="Arial" w:cs="Arial" w:eastAsia="Arial" w:hAnsi="Arial"/>
          <w:sz w:val="16"/>
          <w:szCs w:val="16"/>
          <w:color w:val="auto"/>
        </w:rPr>
      </w:pPr>
      <w:r>
        <w:rPr>
          <w:rFonts w:ascii="Arial" w:cs="Arial" w:eastAsia="Arial" w:hAnsi="Arial"/>
          <w:sz w:val="16"/>
          <w:szCs w:val="16"/>
          <w:color w:val="auto"/>
        </w:rPr>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is hereby irrevocably authorized by each Lender (without requirement of notice to or consent of any Lender except as expressly required by Section 10.1) to take, and the Administrative Agent hereby agrees to take, promptly, any action reasonably requested by the Company having the effect of releasing, or evidencing the release of, the obligations of each Subsidiary Guarantor under the Guarantee.</w:t>
      </w:r>
    </w:p>
    <w:p>
      <w:pPr>
        <w:spacing w:after="0" w:line="50" w:lineRule="exact"/>
        <w:rPr>
          <w:rFonts w:ascii="Arial" w:cs="Arial" w:eastAsia="Arial" w:hAnsi="Arial"/>
          <w:sz w:val="16"/>
          <w:szCs w:val="16"/>
          <w:color w:val="auto"/>
        </w:rPr>
      </w:pPr>
    </w:p>
    <w:p>
      <w:pPr>
        <w:ind w:firstLine="921"/>
        <w:spacing w:after="0" w:line="264" w:lineRule="auto"/>
        <w:tabs>
          <w:tab w:leader="none" w:pos="1168" w:val="left"/>
        </w:tabs>
        <w:numPr>
          <w:ilvl w:val="0"/>
          <w:numId w:val="564"/>
        </w:numPr>
        <w:rPr>
          <w:rFonts w:ascii="Arial" w:cs="Arial" w:eastAsia="Arial" w:hAnsi="Arial"/>
          <w:sz w:val="18"/>
          <w:szCs w:val="18"/>
          <w:color w:val="auto"/>
        </w:rPr>
      </w:pPr>
      <w:r>
        <w:rPr>
          <w:rFonts w:ascii="Arial" w:cs="Arial" w:eastAsia="Arial" w:hAnsi="Arial"/>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Administrative Agent, each Lender and each Transferee (each a “</w:t>
      </w:r>
      <w:r>
        <w:rPr>
          <w:rFonts w:ascii="Arial" w:cs="Arial" w:eastAsia="Arial" w:hAnsi="Arial"/>
          <w:sz w:val="18"/>
          <w:szCs w:val="18"/>
          <w:u w:val="single" w:color="auto"/>
          <w:color w:val="auto"/>
        </w:rPr>
        <w:t>Receiving Party</w:t>
      </w:r>
      <w:r>
        <w:rPr>
          <w:rFonts w:ascii="Arial" w:cs="Arial" w:eastAsia="Arial" w:hAnsi="Arial"/>
          <w:sz w:val="18"/>
          <w:szCs w:val="18"/>
          <w:color w:val="auto"/>
        </w:rPr>
        <w:t xml:space="preserve">”) agrees to keep confidential all non-public information provided to it by or on behalf of any Loan Party or any of its respective Subsidiaries, the Administrative Agent or any Lender pursuant to or in connection with any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herein shall prevent a Receiving Party from disclosing any such information (a) to the Administrative Agent, any other Lender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3" w:right="239" w:bottom="1440" w:gutter="0" w:footer="0" w:header="0"/>
        </w:sectPr>
      </w:pPr>
    </w:p>
    <w:bookmarkStart w:id="549" w:name="page550"/>
    <w:bookmarkEnd w:id="54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Borrower.</w:t>
      </w:r>
    </w:p>
    <w:p>
      <w:pPr>
        <w:spacing w:after="0" w:line="175"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THE COMPANY, EACH SUBSIDIARY BORROWER, THE ADMINISTRATIVE AGENT AND THE LENDERS HEREBY IRREVOCABLY AND UNCONDITIONALLY WAIVE TRIAL BY JURY IN ANY LEGAL ACTION OR PROCEEDING RELATING TO THIS AGREEMENT OR ANY OTHER LOAN DOCUMENT AND FOR ANY COUNTERCLAIM THEREIN.</w:t>
      </w:r>
    </w:p>
    <w:p>
      <w:pPr>
        <w:spacing w:after="0" w:line="18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Company and each Subsidiary Borrower that pursuant to the requirements of the USA Patriot Act (Title III of Pub. L. 107-56 (signed into law October 26, 2001)) (the “</w:t>
      </w:r>
      <w:r>
        <w:rPr>
          <w:rFonts w:ascii="Arial" w:cs="Arial" w:eastAsia="Arial" w:hAnsi="Arial"/>
          <w:sz w:val="16"/>
          <w:szCs w:val="16"/>
          <w:u w:val="single" w:color="auto"/>
          <w:color w:val="auto"/>
        </w:rPr>
        <w:t>USA Patriot Act</w:t>
      </w:r>
      <w:r>
        <w:rPr>
          <w:rFonts w:ascii="Arial" w:cs="Arial" w:eastAsia="Arial" w:hAnsi="Arial"/>
          <w:sz w:val="16"/>
          <w:szCs w:val="16"/>
          <w:color w:val="auto"/>
        </w:rPr>
        <w:t>”),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79" w:lineRule="exact"/>
        <w:rPr>
          <w:sz w:val="20"/>
          <w:szCs w:val="20"/>
          <w:color w:val="auto"/>
        </w:rPr>
      </w:pPr>
    </w:p>
    <w:p>
      <w:pPr>
        <w:ind w:right="200" w:firstLine="921"/>
        <w:spacing w:after="0" w:line="277" w:lineRule="auto"/>
        <w:tabs>
          <w:tab w:leader="none" w:pos="1158"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550" w:name="page551"/>
    <w:bookmarkEnd w:id="550"/>
    <w:p>
      <w:pPr>
        <w:ind w:right="80" w:firstLine="443"/>
        <w:spacing w:after="0" w:line="286" w:lineRule="auto"/>
        <w:tabs>
          <w:tab w:leader="none" w:pos="703" w:val="left"/>
        </w:tabs>
        <w:numPr>
          <w:ilvl w:val="0"/>
          <w:numId w:val="5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57" w:lineRule="exact"/>
        <w:rPr>
          <w:rFonts w:ascii="Arial" w:cs="Arial" w:eastAsia="Arial" w:hAnsi="Arial"/>
          <w:sz w:val="17"/>
          <w:szCs w:val="17"/>
          <w:color w:val="auto"/>
        </w:rPr>
      </w:pPr>
    </w:p>
    <w:p>
      <w:pPr>
        <w:ind w:left="760" w:hanging="317"/>
        <w:spacing w:after="0"/>
        <w:tabs>
          <w:tab w:leader="none" w:pos="76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the variation of the terms of such liability in connection with the exercise of the write-down and conversion powers of any EEA Resolution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Authority.</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27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780"/>
          </w:cols>
          <w:pgMar w:left="700" w:top="274" w:right="419" w:bottom="1440" w:gutter="0" w:footer="0" w:header="0"/>
        </w:sectPr>
      </w:pPr>
    </w:p>
    <w:bookmarkStart w:id="551" w:name="page552"/>
    <w:bookmarkEnd w:id="551"/>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Rick Westenberg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Rick Westenberg</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FINANCIAL COMPANY,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Susan B. Sheffield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Susan B. Sheffield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Vice President and Chief Financial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GM GLOBAL TREASURY CENTRE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Vikas Khare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Vikas Khare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1300"/>
          </w:cols>
          <w:pgMar w:left="240" w:top="274" w:right="359" w:bottom="1440" w:gutter="0" w:footer="0" w:header="0"/>
        </w:sectPr>
      </w:pPr>
    </w:p>
    <w:bookmarkStart w:id="552" w:name="page553"/>
    <w:bookmarkEnd w:id="55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 Administrative Agent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Gene R. Riego De 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Gene R. Riego De Dios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100"/>
          </w:cols>
          <w:pgMar w:left="1440" w:top="273" w:right="359" w:bottom="1440" w:gutter="0" w:footer="0" w:header="0"/>
        </w:sectPr>
      </w:pPr>
    </w:p>
    <w:bookmarkStart w:id="553" w:name="page554"/>
    <w:bookmarkEnd w:id="55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 as Syndication Agent and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Susan Olsen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640"/>
          </w:cols>
          <w:pgMar w:left="1440" w:top="273" w:right="819" w:bottom="1440" w:gutter="0" w:footer="0" w:header="0"/>
        </w:sectPr>
      </w:pPr>
    </w:p>
    <w:bookmarkStart w:id="554" w:name="page555"/>
    <w:bookmarkEnd w:id="55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BANCO BILBAO VIZCAYA ARGENTARIA, S.A. NEW</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Miriam Trautmann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Crowley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880"/>
          </w:cols>
          <w:pgMar w:left="1440" w:top="274" w:right="579" w:bottom="1440" w:gutter="0" w:footer="0" w:header="0"/>
        </w:sectPr>
      </w:pPr>
    </w:p>
    <w:bookmarkStart w:id="555" w:name="page556"/>
    <w:bookmarkEnd w:id="55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Lukehart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019"/>
          </w:cols>
          <w:pgMar w:left="1440" w:top="274" w:right="1440" w:bottom="1440" w:gutter="0" w:footer="0" w:header="0"/>
        </w:sectPr>
      </w:pPr>
    </w:p>
    <w:bookmarkStart w:id="556" w:name="page557"/>
    <w:bookmarkEnd w:id="55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MONTREAL, CHICAGO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L. Banke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Brian L. Banke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980"/>
          </w:cols>
          <w:pgMar w:left="1440" w:top="273" w:right="479" w:bottom="1440" w:gutter="0" w:footer="0" w:header="0"/>
        </w:sectPr>
      </w:pPr>
    </w:p>
    <w:bookmarkStart w:id="557" w:name="page558"/>
    <w:bookmarkEnd w:id="55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Craig Malloy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019"/>
          </w:cols>
          <w:pgMar w:left="1440" w:top="273" w:right="1440" w:bottom="1440" w:gutter="0" w:footer="0" w:header="0"/>
        </w:sectPr>
      </w:pPr>
    </w:p>
    <w:bookmarkStart w:id="558" w:name="page559"/>
    <w:bookmarkEnd w:id="55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BNP PARIBAS,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A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Name: Michael A Kowalczuk</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Melissa Dyki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Melissa Dyki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019"/>
          </w:cols>
          <w:pgMar w:left="1440" w:top="274" w:right="1440" w:bottom="1440" w:gutter="0" w:footer="0" w:header="0"/>
        </w:sectPr>
      </w:pPr>
    </w:p>
    <w:bookmarkStart w:id="559" w:name="page560"/>
    <w:bookmarkEnd w:id="55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CANADIAN IMPERIAL BANK OF COMMERCE, NEW</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Dominic Sorresso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Dominic Sorresso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Melissa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Melissa Brown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920"/>
          </w:cols>
          <w:pgMar w:left="1440" w:top="274" w:right="539" w:bottom="1440" w:gutter="0" w:footer="0" w:header="0"/>
        </w:sectPr>
      </w:pPr>
    </w:p>
    <w:bookmarkStart w:id="560" w:name="page561"/>
    <w:bookmarkEnd w:id="56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COMMERZBANK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Ravelo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Michael Ravelo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Tak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Tak Cheng</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Assistant Vice President</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20"/>
          </w:cols>
          <w:pgMar w:left="1440" w:top="273" w:right="439" w:bottom="1440" w:gutter="0" w:footer="0" w:header="0"/>
        </w:sectPr>
      </w:pPr>
    </w:p>
    <w:bookmarkStart w:id="561" w:name="page562"/>
    <w:bookmarkEnd w:id="56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AGRICOLE CORPORATE AND INVESTMENT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Jil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Jil Wong</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Gordon Yip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980"/>
          </w:cols>
          <w:pgMar w:left="1440" w:top="274" w:right="479" w:bottom="1440" w:gutter="0" w:footer="0" w:header="0"/>
        </w:sectPr>
      </w:pPr>
    </w:p>
    <w:bookmarkStart w:id="562" w:name="page563"/>
    <w:bookmarkEnd w:id="56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DBS BANK LTD.,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Yeo How Ngee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Yeo How Ngee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Managing Director</w:t>
      </w:r>
    </w:p>
    <w:p>
      <w:pPr>
        <w:spacing w:after="0" w:line="162"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019"/>
          </w:cols>
          <w:pgMar w:left="1440" w:top="273" w:right="1440" w:bottom="1440" w:gutter="0" w:footer="0" w:header="0"/>
        </w:sectPr>
      </w:pPr>
    </w:p>
    <w:bookmarkStart w:id="563" w:name="page564"/>
    <w:bookmarkEnd w:id="56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Ming K. Chu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Virginia Cosenza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060"/>
          </w:cols>
          <w:pgMar w:left="1440" w:top="274" w:right="399" w:bottom="1440" w:gutter="0" w:footer="0" w:header="0"/>
        </w:sectPr>
      </w:pPr>
    </w:p>
    <w:bookmarkStart w:id="564" w:name="page565"/>
    <w:bookmarkEnd w:id="56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Ryan Durkin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019"/>
          </w:cols>
          <w:pgMar w:left="1440" w:top="274" w:right="1440" w:bottom="1440" w:gutter="0" w:footer="0" w:header="0"/>
        </w:sectPr>
      </w:pPr>
    </w:p>
    <w:bookmarkStart w:id="565" w:name="page566"/>
    <w:bookmarkEnd w:id="56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INDUSTRIAL AND COMMERCIAL BANK OF CHINA</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NEW YORK 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Jing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Jing Qu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Gang Duan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Gang Duan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880"/>
          </w:cols>
          <w:pgMar w:left="1440" w:top="273" w:right="579" w:bottom="1440" w:gutter="0" w:footer="0" w:header="0"/>
        </w:sectPr>
      </w:pPr>
    </w:p>
    <w:bookmarkStart w:id="566" w:name="page567"/>
    <w:bookmarkEnd w:id="56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ING BANK N.V., DUBLIN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Sean Hassett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Barry Fehily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Barry Fehily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Country Manager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260"/>
          </w:cols>
          <w:pgMar w:left="1440" w:top="274" w:right="1199" w:bottom="1440" w:gutter="0" w:footer="0" w:header="0"/>
        </w:sectPr>
      </w:pPr>
    </w:p>
    <w:bookmarkStart w:id="567" w:name="page568"/>
    <w:bookmarkEnd w:id="56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LLOYDS BANK PLC,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Daven Popat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Daven Popat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Cheryl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Cheryl Wilson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Head of Operations, North America</w:t>
      </w:r>
    </w:p>
    <w:p>
      <w:pPr>
        <w:spacing w:after="0" w:line="162"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040"/>
          </w:cols>
          <w:pgMar w:left="1440" w:top="273" w:right="1419" w:bottom="1440" w:gutter="0" w:footer="0" w:header="0"/>
        </w:sectPr>
      </w:pPr>
    </w:p>
    <w:bookmarkStart w:id="568" w:name="page569"/>
    <w:bookmarkEnd w:id="56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MIZUHO BANK, LTD.,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Tracy Rahn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019"/>
          </w:cols>
          <w:pgMar w:left="1440" w:top="274" w:right="1440" w:bottom="1440" w:gutter="0" w:footer="0" w:header="0"/>
        </w:sectPr>
      </w:pPr>
    </w:p>
    <w:bookmarkStart w:id="569" w:name="page570"/>
    <w:bookmarkEnd w:id="56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SENIOR FUNDING, INC.,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Kenya Yamamoto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Kenya Yamamoto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100"/>
          </w:cols>
          <w:pgMar w:left="1440" w:top="274" w:right="359" w:bottom="1440" w:gutter="0" w:footer="0" w:header="0"/>
        </w:sectPr>
      </w:pPr>
    </w:p>
    <w:bookmarkStart w:id="570" w:name="page571"/>
    <w:bookmarkEnd w:id="57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MUFG BANK, LTD.,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Eric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Eric Hill</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Authorized Signatory</w:t>
      </w:r>
    </w:p>
    <w:p>
      <w:pPr>
        <w:spacing w:after="0" w:line="162"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019"/>
          </w:cols>
          <w:pgMar w:left="1440" w:top="274" w:right="1440" w:bottom="1440" w:gutter="0" w:footer="0" w:header="0"/>
        </w:sectPr>
      </w:pPr>
    </w:p>
    <w:bookmarkStart w:id="571" w:name="page572"/>
    <w:bookmarkEnd w:id="57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 BANK OF CANADA,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Benjamin Lennon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019"/>
          </w:cols>
          <w:pgMar w:left="1440" w:top="273" w:right="1440" w:bottom="1440" w:gutter="0" w:footer="0" w:header="0"/>
        </w:sectPr>
      </w:pPr>
    </w:p>
    <w:bookmarkStart w:id="572" w:name="page573"/>
    <w:bookmarkEnd w:id="572"/>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SANTANDER BANK, N.A.,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Xavier Ruiz Sena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Xavier Ruiz Sena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019"/>
          </w:cols>
          <w:pgMar w:left="1440" w:top="274" w:right="1440" w:bottom="1440" w:gutter="0" w:footer="0" w:header="0"/>
        </w:sectPr>
      </w:pPr>
    </w:p>
    <w:bookmarkStart w:id="573" w:name="page574"/>
    <w:bookmarkEnd w:id="57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SOCIETE GENERALE,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Hogan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019"/>
          </w:cols>
          <w:pgMar w:left="1440" w:top="274" w:right="1440" w:bottom="1440" w:gutter="0" w:footer="0" w:header="0"/>
        </w:sectPr>
      </w:pPr>
    </w:p>
    <w:bookmarkStart w:id="574" w:name="page575"/>
    <w:bookmarkEnd w:id="57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SUMITOMO MITSUI BANKING CORPORATION, as</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Katsuyuki Kubo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Katsuyuki Kubo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720"/>
          </w:cols>
          <w:pgMar w:left="1440" w:top="273" w:right="739" w:bottom="1440" w:gutter="0" w:footer="0" w:header="0"/>
        </w:sectPr>
      </w:pPr>
    </w:p>
    <w:bookmarkStart w:id="575" w:name="page576"/>
    <w:bookmarkEnd w:id="57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Lisa Garling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Lisa Garling</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019"/>
          </w:cols>
          <w:pgMar w:left="1440" w:top="274" w:right="1440" w:bottom="1440" w:gutter="0" w:footer="0" w:header="0"/>
        </w:sectPr>
      </w:pPr>
    </w:p>
    <w:bookmarkStart w:id="576" w:name="page577"/>
    <w:bookmarkEnd w:id="57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T. Smathers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440"/>
          </w:cols>
          <w:pgMar w:left="1440" w:top="273" w:right="1019" w:bottom="1440" w:gutter="0" w:footer="0" w:header="0"/>
        </w:sectPr>
      </w:pPr>
    </w:p>
    <w:bookmarkStart w:id="577" w:name="page578"/>
    <w:bookmarkEnd w:id="57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NOVA SCOTIA,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Bradley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Bradley Walker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019"/>
          </w:cols>
          <w:pgMar w:left="1440" w:top="274" w:right="1440" w:bottom="1440" w:gutter="0" w:footer="0" w:header="0"/>
        </w:sectPr>
      </w:pPr>
    </w:p>
    <w:bookmarkStart w:id="578" w:name="page579"/>
    <w:bookmarkEnd w:id="57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ROYAL BANK OF SCOTLAND PLC,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Jonathan Eady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660"/>
          </w:cols>
          <w:pgMar w:left="1440" w:top="273" w:right="799" w:bottom="1440" w:gutter="0" w:footer="0" w:header="0"/>
        </w:sectPr>
      </w:pPr>
    </w:p>
    <w:bookmarkStart w:id="579" w:name="page580"/>
    <w:bookmarkEnd w:id="57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TORONTO-DOMINION BANK, NEW YORK</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Savo Bozic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Savo Bozic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500"/>
          </w:cols>
          <w:pgMar w:left="1440" w:top="274" w:right="959" w:bottom="1440" w:gutter="0" w:footer="0" w:header="0"/>
        </w:sectPr>
      </w:pPr>
    </w:p>
    <w:bookmarkStart w:id="580" w:name="page581"/>
    <w:bookmarkEnd w:id="58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Jeffrey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Jeffrey S. Johnson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500"/>
          </w:cols>
          <w:pgMar w:left="1440" w:top="273" w:right="959" w:bottom="1440" w:gutter="0" w:footer="0" w:header="0"/>
        </w:sectPr>
      </w:pPr>
    </w:p>
    <w:bookmarkStart w:id="581" w:name="page582"/>
    <w:bookmarkEnd w:id="58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UNICREDIT BANK AG, NEW YORK BRANCH, as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Ken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Ken Hamilton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Kelly 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Kelly Milton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10120"/>
          </w:cols>
          <w:pgMar w:left="1440" w:top="274" w:right="339" w:bottom="1440" w:gutter="0" w:footer="0" w:header="0"/>
        </w:sectPr>
      </w:pPr>
    </w:p>
    <w:bookmarkStart w:id="582" w:name="page583"/>
    <w:bookmarkEnd w:id="58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Matt J. Perrizo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Matt J. Perrizo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3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Signature Page to 364-Day Revolving Credit Agreement</w:t>
      </w:r>
    </w:p>
    <w:p>
      <w:pPr>
        <w:sectPr>
          <w:pgSz w:w="11900" w:h="16838" w:orient="portrait"/>
          <w:cols w:equalWidth="0" w:num="1">
            <w:col w:w="9860"/>
          </w:cols>
          <w:pgMar w:left="1440" w:top="274" w:right="599" w:bottom="1440" w:gutter="0" w:footer="0" w:header="0"/>
        </w:sectPr>
      </w:pPr>
    </w:p>
    <w:bookmarkStart w:id="583" w:name="page584"/>
    <w:bookmarkEnd w:id="583"/>
    <w:p>
      <w:pPr>
        <w:jc w:val="center"/>
        <w:ind w:left="9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1.1A</w:t>
      </w:r>
    </w:p>
    <w:p>
      <w:pPr>
        <w:spacing w:after="0" w:line="35" w:lineRule="exact"/>
        <w:rPr>
          <w:sz w:val="20"/>
          <w:szCs w:val="20"/>
          <w:color w:val="auto"/>
        </w:rPr>
      </w:pPr>
    </w:p>
    <w:p>
      <w:pPr>
        <w:jc w:val="center"/>
        <w:ind w:left="99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Credit Agreement</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OMMITMENTS</w:t>
      </w:r>
      <w:r>
        <w:rPr>
          <w:rFonts w:ascii="Arial" w:cs="Arial" w:eastAsia="Arial" w:hAnsi="Arial"/>
          <w:sz w:val="18"/>
          <w:szCs w:val="18"/>
          <w:b w:val="1"/>
          <w:bCs w:val="1"/>
          <w:u w:val="single" w:color="auto"/>
          <w:color w:val="auto"/>
        </w:rPr>
        <w:t>/DDTP I</w:t>
      </w:r>
      <w:r>
        <w:rPr>
          <w:rFonts w:ascii="Arial" w:cs="Arial" w:eastAsia="Arial" w:hAnsi="Arial"/>
          <w:sz w:val="15"/>
          <w:szCs w:val="15"/>
          <w:b w:val="1"/>
          <w:bCs w:val="1"/>
          <w:u w:val="single" w:color="auto"/>
          <w:color w:val="auto"/>
        </w:rPr>
        <w:t>NFORMATION</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80" w:type="dxa"/>
            <w:vAlign w:val="bottom"/>
          </w:tcPr>
          <w:p>
            <w:pPr>
              <w:jc w:val="right"/>
              <w:ind w:right="412"/>
              <w:spacing w:after="0"/>
              <w:rPr>
                <w:sz w:val="20"/>
                <w:szCs w:val="20"/>
                <w:color w:val="auto"/>
              </w:rPr>
            </w:pPr>
            <w:r>
              <w:rPr>
                <w:rFonts w:ascii="Arial" w:cs="Arial" w:eastAsia="Arial" w:hAnsi="Arial"/>
                <w:sz w:val="14"/>
                <w:szCs w:val="14"/>
                <w:b w:val="1"/>
                <w:bCs w:val="1"/>
                <w:color w:val="auto"/>
              </w:rPr>
              <w:t>Scheme Reference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rPr>
              <w:t>Commitment</w:t>
            </w:r>
          </w:p>
        </w:tc>
        <w:tc>
          <w:tcPr>
            <w:tcW w:w="2080" w:type="dxa"/>
            <w:vAlign w:val="bottom"/>
          </w:tcPr>
          <w:p>
            <w:pPr>
              <w:jc w:val="right"/>
              <w:ind w:right="712"/>
              <w:spacing w:after="0"/>
              <w:rPr>
                <w:sz w:val="20"/>
                <w:szCs w:val="20"/>
                <w:color w:val="auto"/>
              </w:rPr>
            </w:pPr>
            <w:r>
              <w:rPr>
                <w:rFonts w:ascii="Arial" w:cs="Arial" w:eastAsia="Arial" w:hAnsi="Arial"/>
                <w:sz w:val="14"/>
                <w:szCs w:val="14"/>
                <w:b w:val="1"/>
                <w:bCs w:val="1"/>
                <w:color w:val="auto"/>
              </w:rPr>
              <w:t>Number</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Tax Residence</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13/M/0268710/DTTP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Citibank, N.A.</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13/C/62301/DTTP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Banco Bilbao Vizcaya Argentaria, S.A. New York Branch</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9/B/75354/DTTP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 xml:space="preserve">Bank of America, N.A. </w:t>
            </w:r>
            <w:r>
              <w:rPr>
                <w:rFonts w:ascii="Arial" w:cs="Arial" w:eastAsia="Arial" w:hAnsi="Arial"/>
                <w:sz w:val="15"/>
                <w:szCs w:val="15"/>
                <w:color w:val="auto"/>
              </w:rPr>
              <w:t>1</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13/B/7418/DTTP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N/A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BNP Paribas</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5/B/255139/DTTP</w:t>
            </w:r>
          </w:p>
        </w:tc>
        <w:tc>
          <w:tcPr>
            <w:tcW w:w="120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Commerzbank AG New York Branch</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7/C/25382/DTTP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Credit Agricole Corporate and Investment Bank</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5/C/0222082/DTTP</w:t>
            </w:r>
          </w:p>
        </w:tc>
        <w:tc>
          <w:tcPr>
            <w:tcW w:w="1200" w:type="dxa"/>
            <w:vAlign w:val="bottom"/>
          </w:tcPr>
          <w:p>
            <w:pPr>
              <w:jc w:val="right"/>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Deutsche Bank AG New York Branch</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07/D/70006/DTTP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Goldman Sachs Bank USA</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13/G/0351779/DTTP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Industrial and Commercial Bank of China Limited, New York</w:t>
            </w:r>
          </w:p>
        </w:tc>
        <w:tc>
          <w:tcPr>
            <w:tcW w:w="6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Branch</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vMerge w:val="continue"/>
            <w:shd w:val="clear" w:color="auto" w:fill="CCEEFF"/>
          </w:tcPr>
          <w:p>
            <w:pPr>
              <w:spacing w:after="0"/>
              <w:rPr>
                <w:sz w:val="20"/>
                <w:szCs w:val="20"/>
                <w:color w:val="auto"/>
              </w:rPr>
            </w:pP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23/I/358686/DTTP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Lloyds Bank plc</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Mizuho Bank, Ltd.</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43/M/274822/DTTP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Morgan Stanley Senior Funding, Inc.</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13/M/227953/DTTP</w:t>
            </w:r>
          </w:p>
        </w:tc>
        <w:tc>
          <w:tcPr>
            <w:tcW w:w="1200" w:type="dxa"/>
            <w:vAlign w:val="bottom"/>
          </w:tcPr>
          <w:p>
            <w:pPr>
              <w:jc w:val="right"/>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3/R/70780/DTTP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54" w:lineRule="auto"/>
        <w:tabs>
          <w:tab w:leader="none" w:pos="460" w:val="left"/>
        </w:tabs>
        <w:numPr>
          <w:ilvl w:val="0"/>
          <w:numId w:val="568"/>
        </w:numPr>
        <w:rPr>
          <w:rFonts w:ascii="Arial" w:cs="Arial" w:eastAsia="Arial" w:hAnsi="Arial"/>
          <w:sz w:val="15"/>
          <w:szCs w:val="15"/>
          <w:color w:val="auto"/>
        </w:rPr>
      </w:pPr>
      <w:r>
        <w:rPr>
          <w:rFonts w:ascii="Arial" w:cs="Arial" w:eastAsia="Arial" w:hAnsi="Arial"/>
          <w:sz w:val="18"/>
          <w:szCs w:val="18"/>
          <w:color w:val="auto"/>
        </w:rPr>
        <w:t>Bank of America Merrill Lynch International is a designated Affiliate of Bank of America, N.A. for the purpose of lending to certain Foreign Subsidiary Borrowers. Any reference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Chapter II, Title II of Directive (EU) 2017/1132 (which repeals and codifies the Cross-Border Mergers Directive (2005/56/EC)), as implemented in the United Kingdom and Ireland. Notwithstanding anything to the contrary in any Loan Document, a transfer of rights and obligations from Bank of America Merrill Lynch International Limited to Bank of America Merrill Lynch International Designated Activity Company pursuant to such merger shall be permitted.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80" w:right="680" w:hanging="572"/>
        <w:spacing w:after="0" w:line="277" w:lineRule="auto"/>
        <w:tabs>
          <w:tab w:leader="none" w:pos="58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360"/>
          </w:cols>
          <w:pgMar w:left="240" w:top="274" w:right="299" w:bottom="1440" w:gutter="0" w:footer="0" w:header="0"/>
        </w:sectPr>
      </w:pPr>
    </w:p>
    <w:bookmarkStart w:id="584" w:name="page585"/>
    <w:bookmarkEnd w:id="584"/>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Scheme Reference</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85"/>
        </w:trPr>
        <w:tc>
          <w:tcPr>
            <w:tcW w:w="466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50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Commitment</w:t>
            </w:r>
          </w:p>
        </w:tc>
        <w:tc>
          <w:tcPr>
            <w:tcW w:w="2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Number</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Tax Residence</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Societe Generale</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5/S/70085/DTTP</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Sumitomo Mitsui Banking Corporation</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43/S/274647/DTTP</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The Bank of Nova Scotia</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003/T/0366714/DTTP</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The Royal Bank of Scotland plc</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The Toronto-Dominion Bank, New York Branch</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3/T/80000/DTTP</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Canadian Imperial Bank of Commerce, New York Branch</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3/C/80001/DTTP</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UniCredit Bank AG, New York Branch</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7/U/237605/DTTP</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DBS Bank Ltd.</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67/D/363894/DTTP</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13/U/62184/DTTP</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Bank of Montreal, Chicago Branch</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3/M/270436/DTTP</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Santander Bank, N.A.</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013/S/357603/DTTP</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MUFG Bank, Ltd.</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43/B/322072/DTTP</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SunTrust Bank</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13S/67712/DTTP</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The Bank of New York Mellon</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13/B/357401/DTTP</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ING Bank N.V., Dublin Branch</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12-I-371270-DTTP</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(with respect to ING</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Ireland DAC as</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applicable lending</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vMerge w:val="continue"/>
            <w:shd w:val="clear" w:color="auto" w:fill="CCEEFF"/>
          </w:tcPr>
          <w:p>
            <w:pPr>
              <w:spacing w:after="0"/>
              <w:rPr>
                <w:sz w:val="20"/>
                <w:szCs w:val="20"/>
                <w:color w:val="auto"/>
              </w:rPr>
            </w:pP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office)</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Wells Fargo Bank, National Association</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13/W/61173/DTTP</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Credit Agreement Schedule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hanging="572"/>
        <w:spacing w:after="0" w:line="277" w:lineRule="auto"/>
        <w:tabs>
          <w:tab w:leader="none" w:pos="5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0680"/>
          </w:cols>
          <w:pgMar w:left="240" w:top="252" w:right="979" w:bottom="1440" w:gutter="0" w:footer="0" w:header="0"/>
        </w:sectPr>
      </w:pPr>
    </w:p>
    <w:bookmarkStart w:id="585" w:name="page586"/>
    <w:bookmarkEnd w:id="585"/>
    <w:p>
      <w:pPr>
        <w:jc w:val="center"/>
        <w:ind w:left="9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1.1B</w:t>
      </w:r>
    </w:p>
    <w:p>
      <w:pPr>
        <w:spacing w:after="0" w:line="46"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Credit Agreement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0" w:type="dxa"/>
            <w:vAlign w:val="bottom"/>
            <w:gridSpan w:val="3"/>
          </w:tcPr>
          <w:p>
            <w:pPr>
              <w:jc w:val="right"/>
              <w:ind w:right="2492"/>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NITIAL</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XCLUDED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UBSIDIARIES</w:t>
            </w:r>
          </w:p>
        </w:tc>
        <w:tc>
          <w:tcPr>
            <w:tcW w:w="0" w:type="dxa"/>
            <w:vAlign w:val="bottom"/>
          </w:tcPr>
          <w:p>
            <w:pPr>
              <w:spacing w:after="0"/>
              <w:rPr>
                <w:sz w:val="1"/>
                <w:szCs w:val="1"/>
                <w:color w:val="auto"/>
              </w:rPr>
            </w:pPr>
          </w:p>
        </w:tc>
      </w:tr>
      <w:tr>
        <w:trPr>
          <w:trHeight w:val="389"/>
        </w:trPr>
        <w:tc>
          <w:tcPr>
            <w:tcW w:w="4400" w:type="dxa"/>
            <w:vAlign w:val="bottom"/>
            <w:gridSpan w:val="3"/>
            <w:vMerge w:val="restart"/>
          </w:tcPr>
          <w:p>
            <w:pPr>
              <w:ind w:left="1840"/>
              <w:spacing w:after="0"/>
              <w:rPr>
                <w:sz w:val="20"/>
                <w:szCs w:val="20"/>
                <w:color w:val="auto"/>
              </w:rPr>
            </w:pPr>
            <w:r>
              <w:rPr>
                <w:rFonts w:ascii="Arial" w:cs="Arial" w:eastAsia="Arial" w:hAnsi="Arial"/>
                <w:sz w:val="14"/>
                <w:szCs w:val="14"/>
                <w:b w:val="1"/>
                <w:bCs w:val="1"/>
                <w:color w:val="auto"/>
              </w:rPr>
              <w:t>Name of Entity</w:t>
            </w:r>
          </w:p>
        </w:tc>
        <w:tc>
          <w:tcPr>
            <w:tcW w:w="2620" w:type="dxa"/>
            <w:vAlign w:val="bottom"/>
            <w:tcBorders>
              <w:top w:val="single" w:sz="8" w:color="auto"/>
            </w:tcBorders>
          </w:tcPr>
          <w:p>
            <w:pPr>
              <w:spacing w:after="0"/>
              <w:rPr>
                <w:sz w:val="24"/>
                <w:szCs w:val="24"/>
                <w:color w:val="auto"/>
              </w:rPr>
            </w:pPr>
          </w:p>
        </w:tc>
        <w:tc>
          <w:tcPr>
            <w:tcW w:w="25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71"/>
        </w:trPr>
        <w:tc>
          <w:tcPr>
            <w:tcW w:w="4400" w:type="dxa"/>
            <w:vAlign w:val="bottom"/>
            <w:gridSpan w:val="3"/>
            <w:vMerge w:val="continue"/>
          </w:tcPr>
          <w:p>
            <w:pPr>
              <w:spacing w:after="0"/>
              <w:rPr>
                <w:sz w:val="14"/>
                <w:szCs w:val="14"/>
                <w:color w:val="auto"/>
              </w:rPr>
            </w:pPr>
          </w:p>
        </w:tc>
        <w:tc>
          <w:tcPr>
            <w:tcW w:w="2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b w:val="1"/>
                <w:bCs w:val="1"/>
                <w:color w:val="auto"/>
                <w:w w:val="98"/>
              </w:rPr>
              <w:t>Organization</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Cruise LLC</w:t>
            </w:r>
          </w:p>
        </w:tc>
        <w:tc>
          <w:tcPr>
            <w:tcW w:w="2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General Motors China LLC</w:t>
            </w:r>
          </w:p>
        </w:tc>
        <w:tc>
          <w:tcPr>
            <w:tcW w:w="2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Motors Ventures LLC</w:t>
            </w:r>
          </w:p>
        </w:tc>
        <w:tc>
          <w:tcPr>
            <w:tcW w:w="2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Global Services Detroit LLC</w:t>
            </w:r>
          </w:p>
        </w:tc>
        <w:tc>
          <w:tcPr>
            <w:tcW w:w="2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Canada Holdings LLC</w:t>
            </w:r>
          </w:p>
        </w:tc>
        <w:tc>
          <w:tcPr>
            <w:tcW w:w="2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GM Regional Holdings LLC</w:t>
            </w:r>
          </w:p>
        </w:tc>
        <w:tc>
          <w:tcPr>
            <w:tcW w:w="2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GMGP Holdings LLC</w:t>
            </w:r>
          </w:p>
        </w:tc>
        <w:tc>
          <w:tcPr>
            <w:tcW w:w="2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Maven Drive LLC</w:t>
            </w:r>
          </w:p>
        </w:tc>
        <w:tc>
          <w:tcPr>
            <w:tcW w:w="2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OnStar LLC</w:t>
            </w:r>
          </w:p>
        </w:tc>
        <w:tc>
          <w:tcPr>
            <w:tcW w:w="2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65"/>
        </w:trPr>
        <w:tc>
          <w:tcPr>
            <w:tcW w:w="4400" w:type="dxa"/>
            <w:vAlign w:val="bottom"/>
            <w:gridSpan w:val="3"/>
          </w:tcPr>
          <w:p>
            <w:pPr>
              <w:spacing w:after="0"/>
              <w:rPr>
                <w:sz w:val="20"/>
                <w:szCs w:val="20"/>
                <w:color w:val="auto"/>
              </w:rPr>
            </w:pPr>
            <w:r>
              <w:rPr>
                <w:rFonts w:ascii="Arial" w:cs="Arial" w:eastAsia="Arial" w:hAnsi="Arial"/>
                <w:sz w:val="18"/>
                <w:szCs w:val="18"/>
                <w:color w:val="auto"/>
              </w:rPr>
              <w:t>Credit Agreement Schedule 1.1B</w:t>
            </w:r>
          </w:p>
        </w:tc>
        <w:tc>
          <w:tcPr>
            <w:tcW w:w="2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4" w:right="319" w:bottom="1440" w:gutter="0" w:footer="0" w:header="0"/>
        </w:sectPr>
      </w:pPr>
    </w:p>
    <w:bookmarkStart w:id="586" w:name="page587"/>
    <w:bookmarkEnd w:id="5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ind w:left="340"/>
              <w:spacing w:after="0"/>
              <w:rPr>
                <w:sz w:val="20"/>
                <w:szCs w:val="20"/>
                <w:color w:val="auto"/>
              </w:rPr>
            </w:pPr>
            <w:r>
              <w:rPr>
                <w:rFonts w:ascii="Arial" w:cs="Arial" w:eastAsia="Arial" w:hAnsi="Arial"/>
                <w:sz w:val="18"/>
                <w:szCs w:val="18"/>
                <w:color w:val="auto"/>
                <w:w w:val="92"/>
              </w:rPr>
              <w:t>SCHEDULE 1.1C</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2"/>
              </w:rPr>
              <w:t>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center"/>
              <w:ind w:left="270"/>
              <w:spacing w:after="0"/>
              <w:rPr>
                <w:sz w:val="20"/>
                <w:szCs w:val="20"/>
                <w:color w:val="auto"/>
              </w:rPr>
            </w:pPr>
            <w:r>
              <w:rPr>
                <w:rFonts w:ascii="Arial" w:cs="Arial" w:eastAsia="Arial" w:hAnsi="Arial"/>
                <w:sz w:val="18"/>
                <w:szCs w:val="18"/>
                <w:color w:val="auto"/>
                <w:w w:val="92"/>
              </w:rPr>
              <w:t>Credit Agreement</w:t>
            </w:r>
          </w:p>
        </w:tc>
        <w:tc>
          <w:tcPr>
            <w:tcW w:w="0" w:type="dxa"/>
            <w:vAlign w:val="bottom"/>
          </w:tcPr>
          <w:p>
            <w:pPr>
              <w:spacing w:after="0"/>
              <w:rPr>
                <w:sz w:val="1"/>
                <w:szCs w:val="1"/>
                <w:color w:val="auto"/>
              </w:rPr>
            </w:pPr>
          </w:p>
        </w:tc>
      </w:tr>
      <w:tr>
        <w:trPr>
          <w:trHeight w:val="608"/>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RICING</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RID</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Applicable</w:t>
            </w: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Applicable</w:t>
            </w:r>
          </w:p>
        </w:tc>
        <w:tc>
          <w:tcPr>
            <w:tcW w:w="36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All-in Spread</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S&amp;P / Moody’s / Fitch</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rPr>
              <w:t>Margin</w:t>
            </w:r>
          </w:p>
        </w:tc>
        <w:tc>
          <w:tcPr>
            <w:tcW w:w="12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4420" w:type="dxa"/>
            <w:vAlign w:val="bottom"/>
            <w:gridSpan w:val="2"/>
            <w:vMerge w:val="continue"/>
          </w:tcPr>
          <w:p>
            <w:pPr>
              <w:spacing w:after="0"/>
              <w:rPr>
                <w:sz w:val="12"/>
                <w:szCs w:val="12"/>
                <w:color w:val="auto"/>
              </w:rPr>
            </w:pPr>
          </w:p>
        </w:tc>
        <w:tc>
          <w:tcPr>
            <w:tcW w:w="174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w w:val="92"/>
              </w:rPr>
              <w:t>Facility Fee Rate</w:t>
            </w:r>
          </w:p>
        </w:tc>
        <w:tc>
          <w:tcPr>
            <w:tcW w:w="17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3"/>
              </w:rPr>
              <w:t>for Eurocurrency</w:t>
            </w: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Margin</w:t>
            </w:r>
          </w:p>
        </w:tc>
        <w:tc>
          <w:tcPr>
            <w:tcW w:w="36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Eurocurrency</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Company’s Rating</w:t>
            </w:r>
          </w:p>
        </w:tc>
        <w:tc>
          <w:tcPr>
            <w:tcW w:w="1740" w:type="dxa"/>
            <w:vAlign w:val="bottom"/>
            <w:gridSpan w:val="4"/>
            <w:vMerge w:val="continue"/>
          </w:tcPr>
          <w:p>
            <w:pPr>
              <w:spacing w:after="0"/>
              <w:rPr>
                <w:sz w:val="14"/>
                <w:szCs w:val="14"/>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Loans</w:t>
            </w: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for ABR Loans</w:t>
            </w:r>
          </w:p>
        </w:tc>
        <w:tc>
          <w:tcPr>
            <w:tcW w:w="36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10"/>
        </w:trPr>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³ A/A2/A</w:t>
            </w:r>
          </w:p>
        </w:tc>
        <w:tc>
          <w:tcPr>
            <w:tcW w:w="3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center"/>
              <w:ind w:left="34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A-/A3/A-</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 / Baa1 / BBB+</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BBB / Baa2 / BBB</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 / Baa3 / BBB-</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BB+ / Ba1 </w:t>
            </w:r>
            <w:r>
              <w:rPr>
                <w:rFonts w:ascii="Arial" w:cs="Arial" w:eastAsia="Arial" w:hAnsi="Arial"/>
                <w:sz w:val="18"/>
                <w:szCs w:val="18"/>
                <w:b w:val="1"/>
                <w:bCs w:val="1"/>
                <w:color w:val="auto"/>
              </w:rPr>
              <w:t>/</w:t>
            </w:r>
            <w:r>
              <w:rPr>
                <w:rFonts w:ascii="Arial" w:cs="Arial" w:eastAsia="Arial" w:hAnsi="Arial"/>
                <w:sz w:val="18"/>
                <w:szCs w:val="18"/>
                <w:color w:val="auto"/>
              </w:rPr>
              <w:t xml:space="preserve"> BB+</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BB / Ba2 / BB</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center"/>
              <w:ind w:left="6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Changes in the Applicable Margin and Facility Fee Rate shall become effective on the date on which S&amp;P, Moody’s and/or Fitch changes the rating it has issued with respect to the Company’s Applicable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right="720" w:hanging="572"/>
        <w:spacing w:after="0" w:line="277" w:lineRule="auto"/>
        <w:tabs>
          <w:tab w:leader="none" w:pos="5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400"/>
          </w:cols>
          <w:pgMar w:left="240" w:top="274" w:right="259" w:bottom="1440" w:gutter="0" w:footer="0" w:header="0"/>
        </w:sectPr>
      </w:pPr>
    </w:p>
    <w:bookmarkStart w:id="587" w:name="page588"/>
    <w:bookmarkEnd w:id="587"/>
    <w:p>
      <w:pPr>
        <w:jc w:val="center"/>
        <w:ind w:left="98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 D</w:t>
      </w:r>
    </w:p>
    <w:p>
      <w:pPr>
        <w:spacing w:after="0" w:line="35" w:lineRule="exact"/>
        <w:rPr>
          <w:sz w:val="20"/>
          <w:szCs w:val="20"/>
          <w:color w:val="auto"/>
        </w:rPr>
      </w:pPr>
    </w:p>
    <w:p>
      <w:pPr>
        <w:jc w:val="center"/>
        <w:ind w:left="98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Credit Agreement</w:t>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XISTING</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IENS</w:t>
      </w:r>
    </w:p>
    <w:p>
      <w:pPr>
        <w:spacing w:after="0" w:line="229" w:lineRule="exact"/>
        <w:rPr>
          <w:sz w:val="20"/>
          <w:szCs w:val="20"/>
          <w:color w:val="auto"/>
        </w:rPr>
      </w:pPr>
    </w:p>
    <w:p>
      <w:pPr>
        <w:ind w:right="1920"/>
        <w:spacing w:after="0" w:line="449" w:lineRule="auto"/>
        <w:rPr>
          <w:sz w:val="20"/>
          <w:szCs w:val="20"/>
          <w:color w:val="auto"/>
        </w:rPr>
      </w:pPr>
      <w:r>
        <w:rPr>
          <w:rFonts w:ascii="Arial" w:cs="Arial" w:eastAsia="Arial" w:hAnsi="Arial"/>
          <w:sz w:val="18"/>
          <w:szCs w:val="18"/>
          <w:color w:val="auto"/>
        </w:rPr>
        <w:t>Liens reflected in the lien search results, dated as of April 9, 2018 delivered to the Administrative Agent prior to the Closing Date. Credit Agreement Schedule 1.1D</w:t>
      </w:r>
    </w:p>
    <w:p>
      <w:pPr>
        <w:sectPr>
          <w:pgSz w:w="11900" w:h="16838" w:orient="portrait"/>
          <w:cols w:equalWidth="0" w:num="1">
            <w:col w:w="11320"/>
          </w:cols>
          <w:pgMar w:left="240" w:top="273" w:right="339" w:bottom="1440" w:gutter="0" w:footer="0" w:header="0"/>
        </w:sectPr>
      </w:pPr>
    </w:p>
    <w:bookmarkStart w:id="588" w:name="page589"/>
    <w:bookmarkEnd w:id="588"/>
    <w:p>
      <w:pPr>
        <w:jc w:val="center"/>
        <w:ind w:left="98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 E</w:t>
      </w:r>
    </w:p>
    <w:p>
      <w:pPr>
        <w:spacing w:after="0" w:line="46" w:lineRule="exact"/>
        <w:rPr>
          <w:sz w:val="20"/>
          <w:szCs w:val="20"/>
          <w:color w:val="auto"/>
        </w:rPr>
      </w:pPr>
    </w:p>
    <w:p>
      <w:pPr>
        <w:jc w:val="center"/>
        <w:ind w:left="98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Credit Agreement</w:t>
      </w: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XCLUDED</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UBSIDIARY</w:t>
      </w:r>
      <w:r>
        <w:rPr>
          <w:rFonts w:ascii="Arial" w:cs="Arial" w:eastAsia="Arial" w:hAnsi="Arial"/>
          <w:sz w:val="18"/>
          <w:szCs w:val="18"/>
          <w:b w:val="1"/>
          <w:bCs w:val="1"/>
          <w:u w:val="single" w:color="auto"/>
          <w:color w:val="auto"/>
        </w:rPr>
        <w:t xml:space="preserve"> B</w:t>
      </w:r>
      <w:r>
        <w:rPr>
          <w:rFonts w:ascii="Arial" w:cs="Arial" w:eastAsia="Arial" w:hAnsi="Arial"/>
          <w:sz w:val="15"/>
          <w:szCs w:val="15"/>
          <w:b w:val="1"/>
          <w:bCs w:val="1"/>
          <w:u w:val="single" w:color="auto"/>
          <w:color w:val="auto"/>
        </w:rPr>
        <w:t>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1.1E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right="620" w:hanging="572"/>
        <w:spacing w:after="0" w:line="277" w:lineRule="auto"/>
        <w:tabs>
          <w:tab w:leader="none" w:pos="58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Confidential portions of this document have been omitted under a request for confidential treatment pursuant to Rule 24b-2 of the Securities Exchange Act of 1934 and submitted separately to the United States Securities and Exchange Commission.</w:t>
      </w:r>
    </w:p>
    <w:p>
      <w:pPr>
        <w:sectPr>
          <w:pgSz w:w="11900" w:h="16838" w:orient="portrait"/>
          <w:cols w:equalWidth="0" w:num="1">
            <w:col w:w="11300"/>
          </w:cols>
          <w:pgMar w:left="240" w:top="273" w:right="359" w:bottom="1440" w:gutter="0" w:footer="0" w:header="0"/>
        </w:sectPr>
      </w:pPr>
    </w:p>
    <w:bookmarkStart w:id="589" w:name="page590"/>
    <w:bookmarkEnd w:id="589"/>
    <w:p>
      <w:pPr>
        <w:jc w:val="center"/>
        <w:ind w:left="99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4.6</w:t>
      </w:r>
    </w:p>
    <w:p>
      <w:pPr>
        <w:spacing w:after="0" w:line="35" w:lineRule="exact"/>
        <w:rPr>
          <w:sz w:val="20"/>
          <w:szCs w:val="20"/>
          <w:color w:val="auto"/>
        </w:rPr>
      </w:pPr>
    </w:p>
    <w:p>
      <w:pPr>
        <w:jc w:val="center"/>
        <w:ind w:left="99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Schedule 4.6</w:t>
      </w:r>
    </w:p>
    <w:p>
      <w:pPr>
        <w:sectPr>
          <w:pgSz w:w="11900" w:h="16838" w:orient="portrait"/>
          <w:cols w:equalWidth="0" w:num="1">
            <w:col w:w="11320"/>
          </w:cols>
          <w:pgMar w:left="240" w:top="274" w:right="339" w:bottom="1440" w:gutter="0" w:footer="0" w:header="0"/>
        </w:sectPr>
      </w:pPr>
    </w:p>
    <w:bookmarkStart w:id="590" w:name="page591"/>
    <w:bookmarkEnd w:id="590"/>
    <w:p>
      <w:pPr>
        <w:ind w:left="9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ind w:left="94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GUARANTEE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 xml:space="preserve">AND CERTAIN OTHER PERSONS FROM TIME TO TIME PARTIES HERETO, </w:t>
      </w:r>
      <w:r>
        <w:rPr>
          <w:rFonts w:ascii="Arial" w:cs="Arial" w:eastAsia="Arial" w:hAnsi="Arial"/>
          <w:sz w:val="16"/>
          <w:szCs w:val="16"/>
          <w:i w:val="1"/>
          <w:iCs w:val="1"/>
          <w:color w:val="auto"/>
        </w:rPr>
        <w:t>as the Guarantors</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April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69" w:right="239" w:bottom="1440" w:gutter="0" w:footer="0" w:header="0"/>
        </w:sectPr>
      </w:pPr>
    </w:p>
    <w:bookmarkStart w:id="591" w:name="page592"/>
    <w:bookmarkEnd w:id="591"/>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20" w:type="dxa"/>
            <w:vAlign w:val="bottom"/>
          </w:tcPr>
          <w:p>
            <w:pPr>
              <w:ind w:left="394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60" w:type="dxa"/>
            <w:vAlign w:val="bottom"/>
            <w:gridSpan w:val="2"/>
            <w:vMerge w:val="restart"/>
          </w:tcPr>
          <w:p>
            <w:pPr>
              <w:spacing w:after="0"/>
              <w:rPr>
                <w:sz w:val="20"/>
                <w:szCs w:val="20"/>
                <w:color w:val="auto"/>
              </w:rPr>
            </w:pPr>
            <w:r>
              <w:rPr>
                <w:rFonts w:ascii="Arial" w:cs="Arial" w:eastAsia="Arial" w:hAnsi="Arial"/>
                <w:sz w:val="18"/>
                <w:szCs w:val="18"/>
                <w:color w:val="auto"/>
              </w:rPr>
              <w:t>Section 1.</w:t>
            </w:r>
          </w:p>
        </w:tc>
        <w:tc>
          <w:tcPr>
            <w:tcW w:w="10220" w:type="dxa"/>
            <w:vAlign w:val="bottom"/>
            <w:vMerge w:val="restart"/>
          </w:tcPr>
          <w:p>
            <w:pPr>
              <w:ind w:left="14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860" w:type="dxa"/>
            <w:vAlign w:val="bottom"/>
            <w:gridSpan w:val="2"/>
            <w:vMerge w:val="continue"/>
          </w:tcPr>
          <w:p>
            <w:pPr>
              <w:spacing w:after="0"/>
              <w:rPr>
                <w:sz w:val="19"/>
                <w:szCs w:val="19"/>
                <w:color w:val="auto"/>
              </w:rPr>
            </w:pPr>
          </w:p>
        </w:tc>
        <w:tc>
          <w:tcPr>
            <w:tcW w:w="1022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640" w:type="dxa"/>
            <w:vAlign w:val="bottom"/>
          </w:tcPr>
          <w:p>
            <w:pPr>
              <w:ind w:left="3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40" w:type="dxa"/>
            <w:vAlign w:val="bottom"/>
          </w:tcPr>
          <w:p>
            <w:pPr>
              <w:ind w:left="36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Section 2.</w:t>
            </w:r>
          </w:p>
        </w:tc>
        <w:tc>
          <w:tcPr>
            <w:tcW w:w="10220" w:type="dxa"/>
            <w:vAlign w:val="bottom"/>
          </w:tcPr>
          <w:p>
            <w:pPr>
              <w:ind w:left="140"/>
              <w:spacing w:after="0"/>
              <w:rPr>
                <w:sz w:val="20"/>
                <w:szCs w:val="20"/>
                <w:color w:val="auto"/>
              </w:rPr>
            </w:pPr>
            <w:r>
              <w:rPr>
                <w:rFonts w:ascii="Arial" w:cs="Arial" w:eastAsia="Arial" w:hAnsi="Arial"/>
                <w:sz w:val="18"/>
                <w:szCs w:val="18"/>
                <w:color w:val="auto"/>
              </w:rPr>
              <w:t>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640" w:type="dxa"/>
            <w:vAlign w:val="bottom"/>
          </w:tcPr>
          <w:p>
            <w:pPr>
              <w:ind w:left="36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Right of Contribution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No Subrogation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Amendments, etc. with respect to the Guaranteed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Guarantee Absolute and Unconditional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40" w:type="dxa"/>
            <w:vAlign w:val="bottom"/>
          </w:tcPr>
          <w:p>
            <w:pPr>
              <w:ind w:left="36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Section 3.</w:t>
            </w:r>
          </w:p>
        </w:tc>
        <w:tc>
          <w:tcPr>
            <w:tcW w:w="1022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640" w:type="dxa"/>
            <w:vAlign w:val="bottom"/>
          </w:tcPr>
          <w:p>
            <w:pPr>
              <w:ind w:left="36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Authority of Administrative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Amendments in Writing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No Waiver by Course of Conduct; Cumulative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Enforcement Expenses;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Section Headings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2"/>
        </w:trPr>
        <w:tc>
          <w:tcPr>
            <w:tcW w:w="860" w:type="dxa"/>
            <w:vAlign w:val="bottom"/>
            <w:gridSpan w:val="2"/>
          </w:tcPr>
          <w:p>
            <w:pPr>
              <w:ind w:left="360"/>
              <w:spacing w:after="0"/>
              <w:rPr>
                <w:sz w:val="20"/>
                <w:szCs w:val="20"/>
                <w:color w:val="auto"/>
              </w:rPr>
            </w:pPr>
            <w:r>
              <w:rPr>
                <w:rFonts w:ascii="Arial" w:cs="Arial" w:eastAsia="Arial" w:hAnsi="Arial"/>
                <w:sz w:val="18"/>
                <w:szCs w:val="18"/>
                <w:color w:val="auto"/>
              </w:rPr>
              <w:t>3.10</w:t>
            </w:r>
          </w:p>
        </w:tc>
        <w:tc>
          <w:tcPr>
            <w:tcW w:w="10220" w:type="dxa"/>
            <w:vAlign w:val="bottom"/>
          </w:tcPr>
          <w:p>
            <w:pPr>
              <w:ind w:left="140"/>
              <w:spacing w:after="0"/>
              <w:rPr>
                <w:sz w:val="20"/>
                <w:szCs w:val="20"/>
                <w:color w:val="auto"/>
              </w:rPr>
            </w:pPr>
            <w:r>
              <w:rPr>
                <w:rFonts w:ascii="Arial" w:cs="Arial" w:eastAsia="Arial" w:hAnsi="Arial"/>
                <w:sz w:val="18"/>
                <w:szCs w:val="18"/>
                <w:color w:val="auto"/>
              </w:rPr>
              <w:t>Integration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0"/>
        </w:trPr>
        <w:tc>
          <w:tcPr>
            <w:tcW w:w="860" w:type="dxa"/>
            <w:vAlign w:val="bottom"/>
            <w:gridSpan w:val="2"/>
          </w:tcPr>
          <w:p>
            <w:pPr>
              <w:ind w:left="360"/>
              <w:spacing w:after="0"/>
              <w:rPr>
                <w:sz w:val="20"/>
                <w:szCs w:val="20"/>
                <w:color w:val="auto"/>
              </w:rPr>
            </w:pPr>
            <w:r>
              <w:rPr>
                <w:rFonts w:ascii="Arial" w:cs="Arial" w:eastAsia="Arial" w:hAnsi="Arial"/>
                <w:sz w:val="18"/>
                <w:szCs w:val="18"/>
                <w:color w:val="auto"/>
              </w:rPr>
              <w:t>3.11</w:t>
            </w:r>
          </w:p>
        </w:tc>
        <w:tc>
          <w:tcPr>
            <w:tcW w:w="10220" w:type="dxa"/>
            <w:vAlign w:val="bottom"/>
          </w:tcPr>
          <w:p>
            <w:pPr>
              <w:ind w:left="140"/>
              <w:spacing w:after="0"/>
              <w:rPr>
                <w:sz w:val="20"/>
                <w:szCs w:val="20"/>
                <w:color w:val="auto"/>
              </w:rPr>
            </w:pPr>
            <w:r>
              <w:rPr>
                <w:rFonts w:ascii="Arial" w:cs="Arial" w:eastAsia="Arial" w:hAnsi="Arial"/>
                <w:sz w:val="18"/>
                <w:szCs w:val="18"/>
                <w:b w:val="1"/>
                <w:bCs w:val="1"/>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gridSpan w:val="2"/>
          </w:tcPr>
          <w:p>
            <w:pPr>
              <w:ind w:left="360"/>
              <w:spacing w:after="0"/>
              <w:rPr>
                <w:sz w:val="20"/>
                <w:szCs w:val="20"/>
                <w:color w:val="auto"/>
              </w:rPr>
            </w:pPr>
            <w:r>
              <w:rPr>
                <w:rFonts w:ascii="Arial" w:cs="Arial" w:eastAsia="Arial" w:hAnsi="Arial"/>
                <w:sz w:val="18"/>
                <w:szCs w:val="18"/>
                <w:color w:val="auto"/>
              </w:rPr>
              <w:t>3.12</w:t>
            </w:r>
          </w:p>
        </w:tc>
        <w:tc>
          <w:tcPr>
            <w:tcW w:w="10220" w:type="dxa"/>
            <w:vAlign w:val="bottom"/>
          </w:tcPr>
          <w:p>
            <w:pPr>
              <w:ind w:left="140"/>
              <w:spacing w:after="0"/>
              <w:rPr>
                <w:sz w:val="20"/>
                <w:szCs w:val="20"/>
                <w:color w:val="auto"/>
              </w:rPr>
            </w:pPr>
            <w:r>
              <w:rPr>
                <w:rFonts w:ascii="Arial" w:cs="Arial" w:eastAsia="Arial" w:hAnsi="Arial"/>
                <w:sz w:val="18"/>
                <w:szCs w:val="18"/>
                <w:color w:val="auto"/>
              </w:rPr>
              <w:t>Submission To Jurisdiction; Waivers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gridSpan w:val="2"/>
          </w:tcPr>
          <w:p>
            <w:pPr>
              <w:ind w:left="360"/>
              <w:spacing w:after="0"/>
              <w:rPr>
                <w:sz w:val="20"/>
                <w:szCs w:val="20"/>
                <w:color w:val="auto"/>
              </w:rPr>
            </w:pPr>
            <w:r>
              <w:rPr>
                <w:rFonts w:ascii="Arial" w:cs="Arial" w:eastAsia="Arial" w:hAnsi="Arial"/>
                <w:sz w:val="18"/>
                <w:szCs w:val="18"/>
                <w:color w:val="auto"/>
              </w:rPr>
              <w:t>3.13</w:t>
            </w:r>
          </w:p>
        </w:tc>
        <w:tc>
          <w:tcPr>
            <w:tcW w:w="10220" w:type="dxa"/>
            <w:vAlign w:val="bottom"/>
          </w:tcPr>
          <w:p>
            <w:pPr>
              <w:ind w:left="140"/>
              <w:spacing w:after="0"/>
              <w:rPr>
                <w:sz w:val="20"/>
                <w:szCs w:val="20"/>
                <w:color w:val="auto"/>
              </w:rPr>
            </w:pPr>
            <w:r>
              <w:rPr>
                <w:rFonts w:ascii="Arial" w:cs="Arial" w:eastAsia="Arial" w:hAnsi="Arial"/>
                <w:sz w:val="18"/>
                <w:szCs w:val="18"/>
                <w:color w:val="auto"/>
              </w:rPr>
              <w:t>Judgment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gridSpan w:val="2"/>
          </w:tcPr>
          <w:p>
            <w:pPr>
              <w:ind w:left="360"/>
              <w:spacing w:after="0"/>
              <w:rPr>
                <w:sz w:val="20"/>
                <w:szCs w:val="20"/>
                <w:color w:val="auto"/>
              </w:rPr>
            </w:pPr>
            <w:r>
              <w:rPr>
                <w:rFonts w:ascii="Arial" w:cs="Arial" w:eastAsia="Arial" w:hAnsi="Arial"/>
                <w:sz w:val="18"/>
                <w:szCs w:val="18"/>
                <w:color w:val="auto"/>
              </w:rPr>
              <w:t>3.14</w:t>
            </w:r>
          </w:p>
        </w:tc>
        <w:tc>
          <w:tcPr>
            <w:tcW w:w="10220" w:type="dxa"/>
            <w:vAlign w:val="bottom"/>
          </w:tcPr>
          <w:p>
            <w:pPr>
              <w:ind w:left="140"/>
              <w:spacing w:after="0"/>
              <w:rPr>
                <w:sz w:val="20"/>
                <w:szCs w:val="20"/>
                <w:color w:val="auto"/>
              </w:rPr>
            </w:pPr>
            <w:r>
              <w:rPr>
                <w:rFonts w:ascii="Arial" w:cs="Arial" w:eastAsia="Arial" w:hAnsi="Arial"/>
                <w:sz w:val="18"/>
                <w:szCs w:val="18"/>
                <w:color w:val="auto"/>
              </w:rPr>
              <w:t>Additional Guarantors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2"/>
        </w:trPr>
        <w:tc>
          <w:tcPr>
            <w:tcW w:w="860" w:type="dxa"/>
            <w:vAlign w:val="bottom"/>
            <w:gridSpan w:val="2"/>
          </w:tcPr>
          <w:p>
            <w:pPr>
              <w:ind w:left="360"/>
              <w:spacing w:after="0"/>
              <w:rPr>
                <w:sz w:val="20"/>
                <w:szCs w:val="20"/>
                <w:color w:val="auto"/>
              </w:rPr>
            </w:pPr>
            <w:r>
              <w:rPr>
                <w:rFonts w:ascii="Arial" w:cs="Arial" w:eastAsia="Arial" w:hAnsi="Arial"/>
                <w:sz w:val="18"/>
                <w:szCs w:val="18"/>
                <w:color w:val="auto"/>
              </w:rPr>
              <w:t>3.15</w:t>
            </w:r>
          </w:p>
        </w:tc>
        <w:tc>
          <w:tcPr>
            <w:tcW w:w="10220" w:type="dxa"/>
            <w:vAlign w:val="bottom"/>
          </w:tcPr>
          <w:p>
            <w:pPr>
              <w:ind w:left="140"/>
              <w:spacing w:after="0"/>
              <w:rPr>
                <w:sz w:val="20"/>
                <w:szCs w:val="20"/>
                <w:color w:val="auto"/>
              </w:rPr>
            </w:pPr>
            <w:r>
              <w:rPr>
                <w:rFonts w:ascii="Arial" w:cs="Arial" w:eastAsia="Arial" w:hAnsi="Arial"/>
                <w:sz w:val="18"/>
                <w:szCs w:val="18"/>
                <w:color w:val="auto"/>
              </w:rPr>
              <w:t>Releases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4"/>
        </w:trPr>
        <w:tc>
          <w:tcPr>
            <w:tcW w:w="860" w:type="dxa"/>
            <w:vAlign w:val="bottom"/>
            <w:gridSpan w:val="2"/>
          </w:tcPr>
          <w:p>
            <w:pPr>
              <w:ind w:left="360"/>
              <w:spacing w:after="0"/>
              <w:rPr>
                <w:sz w:val="20"/>
                <w:szCs w:val="20"/>
                <w:color w:val="auto"/>
              </w:rPr>
            </w:pPr>
            <w:r>
              <w:rPr>
                <w:rFonts w:ascii="Arial" w:cs="Arial" w:eastAsia="Arial" w:hAnsi="Arial"/>
                <w:sz w:val="18"/>
                <w:szCs w:val="18"/>
                <w:color w:val="auto"/>
              </w:rPr>
              <w:t>3.16</w:t>
            </w:r>
          </w:p>
        </w:tc>
        <w:tc>
          <w:tcPr>
            <w:tcW w:w="10220" w:type="dxa"/>
            <w:vAlign w:val="bottom"/>
          </w:tcPr>
          <w:p>
            <w:pPr>
              <w:ind w:left="140"/>
              <w:spacing w:after="0"/>
              <w:rPr>
                <w:sz w:val="20"/>
                <w:szCs w:val="20"/>
                <w:color w:val="auto"/>
              </w:rPr>
            </w:pPr>
            <w:r>
              <w:rPr>
                <w:rFonts w:ascii="Arial" w:cs="Arial" w:eastAsia="Arial" w:hAnsi="Arial"/>
                <w:sz w:val="18"/>
                <w:szCs w:val="18"/>
                <w:b w:val="1"/>
                <w:bCs w:val="1"/>
                <w:color w:val="auto"/>
              </w:rPr>
              <w:t>WAIVER OF JURY TRIAL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92"/>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ANNEX</w:t>
            </w:r>
          </w:p>
        </w:tc>
        <w:tc>
          <w:tcPr>
            <w:tcW w:w="220" w:type="dxa"/>
            <w:vAlign w:val="bottom"/>
          </w:tcPr>
          <w:p>
            <w:pPr>
              <w:spacing w:after="0"/>
              <w:rPr>
                <w:sz w:val="24"/>
                <w:szCs w:val="24"/>
                <w:color w:val="auto"/>
              </w:rPr>
            </w:pPr>
          </w:p>
        </w:tc>
        <w:tc>
          <w:tcPr>
            <w:tcW w:w="10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0" w:type="dxa"/>
            <w:vAlign w:val="bottom"/>
            <w:gridSpan w:val="2"/>
          </w:tcPr>
          <w:p>
            <w:pPr>
              <w:spacing w:after="0"/>
              <w:rPr>
                <w:sz w:val="20"/>
                <w:szCs w:val="20"/>
                <w:color w:val="auto"/>
              </w:rPr>
            </w:pPr>
            <w:r>
              <w:rPr>
                <w:rFonts w:ascii="Arial" w:cs="Arial" w:eastAsia="Arial" w:hAnsi="Arial"/>
                <w:sz w:val="18"/>
                <w:szCs w:val="18"/>
                <w:color w:val="auto"/>
              </w:rPr>
              <w:t>Annex I</w:t>
            </w:r>
          </w:p>
        </w:tc>
        <w:tc>
          <w:tcPr>
            <w:tcW w:w="10220" w:type="dxa"/>
            <w:vAlign w:val="bottom"/>
          </w:tcPr>
          <w:p>
            <w:pPr>
              <w:ind w:left="180"/>
              <w:spacing w:after="0"/>
              <w:rPr>
                <w:sz w:val="20"/>
                <w:szCs w:val="20"/>
                <w:color w:val="auto"/>
              </w:rPr>
            </w:pPr>
            <w:r>
              <w:rPr>
                <w:rFonts w:ascii="Arial" w:cs="Arial" w:eastAsia="Arial" w:hAnsi="Arial"/>
                <w:sz w:val="18"/>
                <w:szCs w:val="18"/>
                <w:color w:val="auto"/>
              </w:rPr>
              <w:t>Form of Joinder Agreement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20" w:type="dxa"/>
            <w:vAlign w:val="bottom"/>
          </w:tcPr>
          <w:p>
            <w:pPr>
              <w:ind w:left="480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60"/>
          </w:cols>
          <w:pgMar w:left="240" w:top="273"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92" w:name="page593"/>
    <w:bookmarkEnd w:id="592"/>
    <w:p>
      <w:pPr>
        <w:ind w:right="6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AGREEMENT, dated as of April 18, 2018 (this “</w:t>
      </w:r>
      <w:r>
        <w:rPr>
          <w:rFonts w:ascii="Arial" w:cs="Arial" w:eastAsia="Arial" w:hAnsi="Arial"/>
          <w:sz w:val="16"/>
          <w:szCs w:val="16"/>
          <w:u w:val="single" w:color="auto"/>
          <w:color w:val="auto"/>
        </w:rPr>
        <w:t>Agreement</w:t>
      </w:r>
      <w:r>
        <w:rPr>
          <w:rFonts w:ascii="Arial" w:cs="Arial" w:eastAsia="Arial" w:hAnsi="Arial"/>
          <w:sz w:val="16"/>
          <w:szCs w:val="16"/>
          <w:color w:val="auto"/>
        </w:rPr>
        <w:t>”), made by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each of the Subsidiary Guarantors (such term and certain other capitalized terms used herein being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from time to time party hereto, and each of the Other Guarantors from time to time party hereto (together with the Company and the Subsidiary Guarantors,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party to the 364-Day Revolving Credit Agreement, dated as of the date hereof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General Motors Financial Company, Inc., a Texas Corporation, GM Global Treasury Centre Limited, a corporation organized under the laws of England and Wales, the other Subsidiary Borrowers from time to time parties thereto, the Lenders, the Administrative Agent,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Bank of America, N.A., as co-syndication agent (in such capacity, the “</w:t>
      </w:r>
      <w:r>
        <w:rPr>
          <w:rFonts w:ascii="Arial" w:cs="Arial" w:eastAsia="Arial" w:hAnsi="Arial"/>
          <w:sz w:val="16"/>
          <w:szCs w:val="16"/>
          <w:u w:val="single" w:color="auto"/>
          <w:color w:val="auto"/>
        </w:rPr>
        <w:t>Co-Syndication Agent</w:t>
      </w:r>
      <w:r>
        <w:rPr>
          <w:rFonts w:ascii="Arial" w:cs="Arial" w:eastAsia="Arial" w:hAnsi="Arial"/>
          <w:sz w:val="16"/>
          <w:szCs w:val="16"/>
          <w:color w:val="auto"/>
        </w:rPr>
        <w:t>”), and the other agents named therein.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or for the account of the Company and the Subsidiary Borrowers upon the terms and subject to the conditions set forth therein;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WHEREAS, each of the Company and the Subsidiary Borrowers is a member of an affiliated group of companies that includes each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WHEREAS, each Guarantor will derive substantial direct and indirect benefit from the making of the extensions of credit made by the Lenders to or for the account of the Company or any Subsidiary Borrower, as applicable, under the Credit Agreement; and</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WHEREAS, it is a condition precedent to the obligation of the Lenders to make their respective extensions of credit to or for the account of the Company or any Subsidiary Borrower, as applicable, under the Credit Agreement that each Guarantor shall have executed and delivered this Agreement to the Administrative Agent;</w:t>
      </w:r>
    </w:p>
    <w:p>
      <w:pPr>
        <w:spacing w:after="0" w:line="181" w:lineRule="exact"/>
        <w:rPr>
          <w:sz w:val="20"/>
          <w:szCs w:val="20"/>
          <w:color w:val="auto"/>
        </w:rPr>
      </w:pPr>
    </w:p>
    <w:p>
      <w:pPr>
        <w:ind w:right="240" w:firstLine="913"/>
        <w:spacing w:after="0" w:line="312" w:lineRule="auto"/>
        <w:rPr>
          <w:sz w:val="20"/>
          <w:szCs w:val="20"/>
          <w:color w:val="auto"/>
        </w:rPr>
      </w:pPr>
      <w:r>
        <w:rPr>
          <w:rFonts w:ascii="Arial" w:cs="Arial" w:eastAsia="Arial" w:hAnsi="Arial"/>
          <w:sz w:val="16"/>
          <w:szCs w:val="16"/>
          <w:color w:val="auto"/>
        </w:rPr>
        <w:t>NOW, THEREFORE, in consideration of the premises and to induce the Administrative Agent and the Lenders to enter into the Credit Agreement and to induce the Lenders to make their respective extensions of credit to or for the account of the Company or any Subsidiary Borrower, as applicable, under the Credit Agreement, each Guarantor hereby agrees with the Administrative Agent, for the benefit of the Guaranteed Parties, as follows: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 DEFINED TERMS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460" w:firstLine="464"/>
        <w:spacing w:after="0" w:line="277" w:lineRule="auto"/>
        <w:tabs>
          <w:tab w:leader="none" w:pos="701" w:val="left"/>
        </w:tabs>
        <w:numPr>
          <w:ilvl w:val="0"/>
          <w:numId w:val="573"/>
        </w:numPr>
        <w:rPr>
          <w:rFonts w:ascii="Arial" w:cs="Arial" w:eastAsia="Arial" w:hAnsi="Arial"/>
          <w:sz w:val="18"/>
          <w:szCs w:val="18"/>
          <w:color w:val="auto"/>
        </w:rPr>
      </w:pPr>
      <w:r>
        <w:rPr>
          <w:rFonts w:ascii="Arial" w:cs="Arial" w:eastAsia="Arial" w:hAnsi="Arial"/>
          <w:sz w:val="18"/>
          <w:szCs w:val="18"/>
          <w:color w:val="auto"/>
        </w:rPr>
        <w:t>Unless otherwise defined herein, terms defined in the Credit Agreement and used herein shall have the meanings assigned to such terms in the Credit Agreement.</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593" w:name="page594"/>
    <w:bookmarkEnd w:id="59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means, collectively, the unpaid principal of and interest on the Loans and all other obligations and liabilities of the Company and the Subsidiary Borrowers (including interest on such other obligations or liabilities accruing at the then applicable rate provided in the Credit Agreement after the maturity of the Loans and interest accruing on the Loans and such other obligations and liabilities at the then applicable rate provided in the Credit Agreement after the filing of any petition in bankruptcy, or the commencement of any insolvency, reorganization or like proceeding, relating to the Company or any Subsidiary Borrower, whether or not a claim for post-filing or post-petition interest is allowed in such proceeding) to the Administrative Agent or any Lender thereunder, whether direct or indirect, absolute or contingent, due or to become due, or now existing or hereafter incurred, which may arise under, out of, or in connection with the Loan Documents to which the Company or any Subsidiary Borrower is a party, in each case whether on account of principal, interest, reimbursement obligations, fees, prepayment premiums, indemnities, costs, expenses or otherwise (including all reasonable fees and out-of-pocket disbursements of external counsel to the Administrative Agent or the Lenders that are required to be paid by the Company or any Subsidiary Borrower pursuant to the terms of any of the Loan Documents).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Parties</w:t>
      </w:r>
      <w:r>
        <w:rPr>
          <w:rFonts w:ascii="Arial" w:cs="Arial" w:eastAsia="Arial" w:hAnsi="Arial"/>
          <w:sz w:val="16"/>
          <w:szCs w:val="16"/>
          <w:color w:val="auto"/>
        </w:rPr>
        <w:t>” means, collectively, the Administrative Agent, the Lenders and each other Person that holds a Guaranteed Obligation.</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Guarantors</w:t>
      </w:r>
      <w:r>
        <w:rPr>
          <w:rFonts w:ascii="Arial" w:cs="Arial" w:eastAsia="Arial" w:hAnsi="Arial"/>
          <w:sz w:val="18"/>
          <w:szCs w:val="18"/>
          <w:color w:val="auto"/>
        </w:rPr>
        <w:t xml:space="preserve">” means each Person, other than the Company, a Subsidiary Guarantor or the Administrative Agent, that becomes a party to this Agreement pursuant to a Joinder Agreement executed and delivered by such Person pursuant to </w:t>
      </w:r>
      <w:r>
        <w:rPr>
          <w:rFonts w:ascii="Arial" w:cs="Arial" w:eastAsia="Arial" w:hAnsi="Arial"/>
          <w:sz w:val="18"/>
          <w:szCs w:val="18"/>
          <w:u w:val="single" w:color="auto"/>
          <w:color w:val="auto"/>
        </w:rPr>
        <w:t>Section 3.14</w:t>
      </w:r>
      <w:r>
        <w:rPr>
          <w:rFonts w:ascii="Arial" w:cs="Arial" w:eastAsia="Arial" w:hAnsi="Arial"/>
          <w:sz w:val="18"/>
          <w:szCs w:val="18"/>
          <w:color w:val="auto"/>
        </w:rPr>
        <w:t>.</w:t>
      </w:r>
    </w:p>
    <w:p>
      <w:pPr>
        <w:spacing w:after="0" w:line="17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paid in full</w:t>
      </w:r>
      <w:r>
        <w:rPr>
          <w:rFonts w:ascii="Arial" w:cs="Arial" w:eastAsia="Arial" w:hAnsi="Arial"/>
          <w:sz w:val="18"/>
          <w:szCs w:val="18"/>
          <w:color w:val="auto"/>
        </w:rPr>
        <w:t>” or “</w:t>
      </w:r>
      <w:r>
        <w:rPr>
          <w:rFonts w:ascii="Arial" w:cs="Arial" w:eastAsia="Arial" w:hAnsi="Arial"/>
          <w:sz w:val="18"/>
          <w:szCs w:val="18"/>
          <w:u w:val="single" w:color="auto"/>
          <w:color w:val="auto"/>
        </w:rPr>
        <w:t>payment in full</w:t>
      </w:r>
      <w:r>
        <w:rPr>
          <w:rFonts w:ascii="Arial" w:cs="Arial" w:eastAsia="Arial" w:hAnsi="Arial"/>
          <w:sz w:val="18"/>
          <w:szCs w:val="18"/>
          <w:color w:val="auto"/>
        </w:rPr>
        <w:t>” means with respect to the Guaranteed Obligations, the payment in full in cash of the principal of and accrued (but unpaid) interest (including post-petition interest) and premium, if any, on, all such Guaranteed Obligations after or concurrently with termination of all commitments thereunder and payment in full in cash of all fees payable with respect to a Guaranteed Obligation at or prior to the time such principal and interest are paid.</w:t>
      </w:r>
    </w:p>
    <w:p>
      <w:pPr>
        <w:spacing w:after="0" w:line="187"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during any Reinstated Guarantee Period, each Domestic Subsidiary that was a Principal Domestic Subsidiary on the applicable Guarantee Reinstatement Date or that became a party to this Agreement after such Guarantee Reinstatement Date pursuant to Section 6.6(b) or 10.1(b)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 (ii) any Excluded Subsidiary,</w:t>
      </w:r>
    </w:p>
    <w:p>
      <w:pPr>
        <w:ind w:right="120" w:firstLine="8"/>
        <w:spacing w:after="0" w:line="255" w:lineRule="auto"/>
        <w:tabs>
          <w:tab w:leader="none" w:pos="315"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any Foreign Subsidiary Holding Company and (iv) any such Person from and after the date such Person ceases to be a party to this Agreement in accordance with the terms hereof until the date such Person becomes or is required to become a party to this Agreement. It is understood and agreed that, as of the date hereof, no “Subsidiary Guarantors” are party to this Agreement.</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3" w:right="319" w:bottom="1440" w:gutter="0" w:footer="0" w:header="0"/>
        </w:sectPr>
      </w:pPr>
    </w:p>
    <w:bookmarkStart w:id="594" w:name="page595"/>
    <w:bookmarkEnd w:id="59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117" w:lineRule="exact"/>
        <w:rPr>
          <w:sz w:val="20"/>
          <w:szCs w:val="20"/>
          <w:color w:val="auto"/>
        </w:rPr>
      </w:pPr>
    </w:p>
    <w:p>
      <w:pPr>
        <w:ind w:left="-20" w:right="20" w:firstLine="464"/>
        <w:spacing w:after="0" w:line="308" w:lineRule="auto"/>
        <w:tabs>
          <w:tab w:leader="none" w:pos="681"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38" w:lineRule="exact"/>
        <w:rPr>
          <w:rFonts w:ascii="Arial" w:cs="Arial" w:eastAsia="Arial" w:hAnsi="Arial"/>
          <w:sz w:val="17"/>
          <w:szCs w:val="17"/>
          <w:color w:val="auto"/>
        </w:rPr>
      </w:pPr>
    </w:p>
    <w:p>
      <w:pPr>
        <w:ind w:left="700" w:hanging="256"/>
        <w:spacing w:after="0"/>
        <w:tabs>
          <w:tab w:leader="none" w:pos="7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117" w:lineRule="exact"/>
        <w:rPr>
          <w:rFonts w:ascii="Arial" w:cs="Arial" w:eastAsia="Arial" w:hAnsi="Arial"/>
          <w:sz w:val="18"/>
          <w:szCs w:val="18"/>
          <w:color w:val="auto"/>
        </w:rPr>
      </w:pPr>
    </w:p>
    <w:p>
      <w:pPr>
        <w:ind w:left="-20" w:right="60" w:firstLine="464"/>
        <w:spacing w:after="0" w:line="302" w:lineRule="auto"/>
        <w:tabs>
          <w:tab w:leader="none" w:pos="681" w:val="left"/>
        </w:tabs>
        <w:numPr>
          <w:ilvl w:val="0"/>
          <w:numId w:val="575"/>
        </w:numPr>
        <w:rPr>
          <w:rFonts w:ascii="Arial" w:cs="Arial" w:eastAsia="Arial" w:hAnsi="Arial"/>
          <w:sz w:val="16"/>
          <w:szCs w:val="16"/>
          <w:color w:val="auto"/>
        </w:rPr>
      </w:pPr>
      <w:r>
        <w:rPr>
          <w:rFonts w:ascii="Arial" w:cs="Arial" w:eastAsia="Arial" w:hAnsi="Arial"/>
          <w:sz w:val="16"/>
          <w:szCs w:val="16"/>
          <w:color w:val="auto"/>
        </w:rPr>
        <w:t xml:space="preserve">References to agreements defined in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 GUARANTEE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117" w:lineRule="exact"/>
        <w:rPr>
          <w:sz w:val="20"/>
          <w:szCs w:val="20"/>
          <w:color w:val="auto"/>
        </w:rPr>
      </w:pPr>
    </w:p>
    <w:p>
      <w:pPr>
        <w:ind w:left="-20" w:right="40" w:firstLine="464"/>
        <w:spacing w:after="0" w:line="259" w:lineRule="auto"/>
        <w:tabs>
          <w:tab w:leader="none" w:pos="681" w:val="left"/>
        </w:tabs>
        <w:numPr>
          <w:ilvl w:val="0"/>
          <w:numId w:val="576"/>
        </w:numPr>
        <w:rPr>
          <w:rFonts w:ascii="Arial" w:cs="Arial" w:eastAsia="Arial" w:hAnsi="Arial"/>
          <w:sz w:val="18"/>
          <w:szCs w:val="18"/>
          <w:color w:val="auto"/>
        </w:rPr>
      </w:pPr>
      <w:r>
        <w:rPr>
          <w:rFonts w:ascii="Arial" w:cs="Arial" w:eastAsia="Arial" w:hAnsi="Arial"/>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and each Subsidiary Borrower, as applicable, when due (whether at the stated maturity, by acceleration or otherwise) and at all times thereafter, of all Guaranteed Obligations.</w:t>
      </w:r>
    </w:p>
    <w:p>
      <w:pPr>
        <w:spacing w:after="0" w:line="78" w:lineRule="exact"/>
        <w:rPr>
          <w:rFonts w:ascii="Arial" w:cs="Arial" w:eastAsia="Arial" w:hAnsi="Arial"/>
          <w:sz w:val="18"/>
          <w:szCs w:val="18"/>
          <w:color w:val="auto"/>
        </w:rPr>
      </w:pPr>
    </w:p>
    <w:p>
      <w:pPr>
        <w:ind w:left="-20" w:firstLine="464"/>
        <w:spacing w:after="0" w:line="264" w:lineRule="auto"/>
        <w:tabs>
          <w:tab w:leader="none" w:pos="691"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20" w:right="120" w:firstLine="464"/>
        <w:spacing w:after="0" w:line="342" w:lineRule="auto"/>
        <w:tabs>
          <w:tab w:leader="none" w:pos="681" w:val="left"/>
        </w:tabs>
        <w:numPr>
          <w:ilvl w:val="0"/>
          <w:numId w:val="576"/>
        </w:numPr>
        <w:rPr>
          <w:rFonts w:ascii="Arial" w:cs="Arial" w:eastAsia="Arial" w:hAnsi="Arial"/>
          <w:sz w:val="16"/>
          <w:szCs w:val="16"/>
          <w:color w:val="auto"/>
        </w:rPr>
      </w:pPr>
      <w:r>
        <w:rPr>
          <w:rFonts w:ascii="Arial" w:cs="Arial" w:eastAsia="Arial" w:hAnsi="Arial"/>
          <w:sz w:val="16"/>
          <w:szCs w:val="16"/>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affecting the rights and remedies of the Guaranteed Parties hereunder.</w:t>
      </w:r>
    </w:p>
    <w:p>
      <w:pPr>
        <w:spacing w:after="0" w:line="15" w:lineRule="exact"/>
        <w:rPr>
          <w:rFonts w:ascii="Arial" w:cs="Arial" w:eastAsia="Arial" w:hAnsi="Arial"/>
          <w:sz w:val="16"/>
          <w:szCs w:val="16"/>
          <w:color w:val="auto"/>
        </w:rPr>
      </w:pPr>
    </w:p>
    <w:p>
      <w:pPr>
        <w:ind w:left="-20" w:right="220" w:firstLine="464"/>
        <w:spacing w:after="0" w:line="264" w:lineRule="auto"/>
        <w:tabs>
          <w:tab w:leader="none" w:pos="691"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xml:space="preserve">The guarantee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remain in full force and effect until all the Guaranteed Obligations shall have been paid in full, notwithstanding that from time to time during the term of the Credit Agreement, the Company and/or one or more of the Subsidiary Borrowers may be free from any Guaranteed Obligations.</w:t>
      </w:r>
    </w:p>
    <w:p>
      <w:pPr>
        <w:spacing w:after="0" w:line="73" w:lineRule="exact"/>
        <w:rPr>
          <w:rFonts w:ascii="Arial" w:cs="Arial" w:eastAsia="Arial" w:hAnsi="Arial"/>
          <w:sz w:val="18"/>
          <w:szCs w:val="18"/>
          <w:color w:val="auto"/>
        </w:rPr>
      </w:pPr>
    </w:p>
    <w:p>
      <w:pPr>
        <w:ind w:left="-20" w:right="160" w:firstLine="464"/>
        <w:spacing w:after="0" w:line="255" w:lineRule="auto"/>
        <w:tabs>
          <w:tab w:leader="none" w:pos="681" w:val="left"/>
        </w:tabs>
        <w:numPr>
          <w:ilvl w:val="0"/>
          <w:numId w:val="576"/>
        </w:numPr>
        <w:rPr>
          <w:rFonts w:ascii="Arial" w:cs="Arial" w:eastAsia="Arial" w:hAnsi="Arial"/>
          <w:sz w:val="18"/>
          <w:szCs w:val="18"/>
          <w:color w:val="auto"/>
        </w:rPr>
      </w:pPr>
      <w:r>
        <w:rPr>
          <w:rFonts w:ascii="Arial" w:cs="Arial" w:eastAsia="Arial" w:hAnsi="Arial"/>
          <w:sz w:val="18"/>
          <w:szCs w:val="18"/>
          <w:color w:val="auto"/>
        </w:rPr>
        <w:t>No payment made by the Company, any Subsidiary Borrower, any of the Guarantors, any other guarantor or any other Person or received or collected by any Guaranteed Party from the Company, any Subsidiary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3" w:right="239" w:bottom="1440" w:gutter="0" w:footer="0" w:header="0"/>
        </w:sectPr>
      </w:pPr>
    </w:p>
    <w:bookmarkStart w:id="595" w:name="page596"/>
    <w:bookmarkEnd w:id="59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Subrogation</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or any other Guarantor in respect of payments made by such Guarantor hereunder, until all amounts owing to the Guaranteed Parties by the Company and the Subsidiary Borrowers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Amendments, etc. with respect to the Guaranteed Obligations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and any other documents executed and delivered in connection therewith may be amended, modified, supplemented or terminated, in whole or in part, as the Administrative Agent (or the Required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596" w:name="page597"/>
    <w:bookmarkEnd w:id="59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8"/>
          <w:szCs w:val="18"/>
          <w:u w:val="single" w:color="auto"/>
          <w:color w:val="auto"/>
        </w:rPr>
        <w:t>Guarantee Absolute and Unconditional</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2" w:lineRule="auto"/>
        <w:rPr>
          <w:sz w:val="20"/>
          <w:szCs w:val="20"/>
          <w:color w:val="auto"/>
        </w:rPr>
      </w:pPr>
      <w:r>
        <w:rPr>
          <w:rFonts w:ascii="Arial" w:cs="Arial" w:eastAsia="Arial" w:hAnsi="Arial"/>
          <w:sz w:val="16"/>
          <w:szCs w:val="16"/>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or any other Person against any Guaranteed Party, (c) any law or regulation of any jurisdiction or any other event affecting any term of the Guaranteed Obligations or (d) any other circumstance whatsoever (with or without notice to or knowledge of the Company, any Subsidiary Borrower or such Guarantor) which constitutes, or might be construed to constitute, an equitable or legal discharge or defense of a surety or guarantor or any other obligor on any obligation of the Company or any Subsidiary Borrower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occurrence of any Guarantee Release Date, but subject to any release of such obligations hereunder to the extent provided in, and pursuant to the terms of, Section 3.15 and</w:t>
      </w:r>
    </w:p>
    <w:p>
      <w:pPr>
        <w:spacing w:after="0" w:line="13" w:lineRule="exact"/>
        <w:rPr>
          <w:sz w:val="20"/>
          <w:szCs w:val="20"/>
          <w:color w:val="auto"/>
        </w:rPr>
      </w:pPr>
    </w:p>
    <w:p>
      <w:pPr>
        <w:ind w:firstLine="8"/>
        <w:spacing w:after="0" w:line="268" w:lineRule="auto"/>
        <w:tabs>
          <w:tab w:leader="none" w:pos="255" w:val="left"/>
        </w:tabs>
        <w:numPr>
          <w:ilvl w:val="0"/>
          <w:numId w:val="577"/>
        </w:numPr>
        <w:rPr>
          <w:rFonts w:ascii="Arial" w:cs="Arial" w:eastAsia="Arial" w:hAnsi="Arial"/>
          <w:sz w:val="17"/>
          <w:szCs w:val="17"/>
          <w:color w:val="auto"/>
        </w:rPr>
      </w:pPr>
      <w:r>
        <w:rPr>
          <w:rFonts w:ascii="Arial" w:cs="Arial" w:eastAsia="Arial" w:hAnsi="Arial"/>
          <w:sz w:val="17"/>
          <w:szCs w:val="17"/>
          <w:color w:val="auto"/>
        </w:rPr>
        <w:t>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other Guarantor or any other Person or to realize upon any such collateral security or guarantee or to exercise any such right of offset, or any release of the Company, any Subsidiary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or any Guarantor, or upon or as a result of the appointment of a receiver, intervenor or conservator of, or trustee or similar officer for, the Company, any Subsidiary Borrower or any Guarantor or any substantial part of its property, or otherwise, all as though such payments had not been made.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597" w:name="page598"/>
    <w:bookmarkEnd w:id="5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2.7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Each Guarantor hereby guarantees that payments hereunder will be paid to the Administrative Agent without set-off or counterclaim in Dollars at the Funding Office. All payments made hereunder shall be made in accordance with Sections 1.3 and 2.21 of the Credit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 MISCELLANEOUS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Authority of Administrative Agent</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w:t>
      </w:r>
    </w:p>
    <w:p>
      <w:pPr>
        <w:spacing w:after="0" w:line="11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 xml:space="preserve">None of the terms or provisions of this Agreement may be waived, amended, supplemented or otherwise modified except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All notices, requests and demands to or upon the Administrative Agent or any Guarantor hereunder shall be effected in the manner provided for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provided, that any such notice, request or demand to or upon any Guarantor shall be addressed to the Company at the addresses provided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 (or such other address as the Company may at any time or from time to time provide for purposes of the Credit Agreement and this Agreement).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 Waiver by Course of Conduct; Cumulative Remedies</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 xml:space="preserve">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598" w:name="page599"/>
    <w:bookmarkEnd w:id="59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3.5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302" w:lineRule="auto"/>
        <w:tabs>
          <w:tab w:leader="none" w:pos="701" w:val="left"/>
        </w:tabs>
        <w:numPr>
          <w:ilvl w:val="0"/>
          <w:numId w:val="578"/>
        </w:numPr>
        <w:rPr>
          <w:rFonts w:ascii="Arial" w:cs="Arial" w:eastAsia="Arial" w:hAnsi="Arial"/>
          <w:sz w:val="16"/>
          <w:szCs w:val="16"/>
          <w:color w:val="auto"/>
        </w:rPr>
      </w:pPr>
      <w:r>
        <w:rPr>
          <w:rFonts w:ascii="Arial" w:cs="Arial" w:eastAsia="Arial" w:hAnsi="Arial"/>
          <w:sz w:val="16"/>
          <w:szCs w:val="16"/>
          <w:color w:val="auto"/>
        </w:rPr>
        <w:t xml:space="preserve">Without intending to duplicate the obligations of the Guarantors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if and to the extent that the Company is required to pay or reimburse the Guaranteed Parties (or any of them), for various costs and expenses contemplated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 Credit Agreement, each Guarantor, jointly and severally, hereby agrees to make such payments or reimbursements and to provide such indemnification.</w:t>
      </w:r>
    </w:p>
    <w:p>
      <w:pPr>
        <w:spacing w:after="0" w:line="46" w:lineRule="exact"/>
        <w:rPr>
          <w:rFonts w:ascii="Arial" w:cs="Arial" w:eastAsia="Arial" w:hAnsi="Arial"/>
          <w:sz w:val="16"/>
          <w:szCs w:val="16"/>
          <w:color w:val="auto"/>
        </w:rPr>
      </w:pPr>
    </w:p>
    <w:p>
      <w:pPr>
        <w:ind w:right="180" w:firstLine="464"/>
        <w:spacing w:after="0" w:line="277" w:lineRule="auto"/>
        <w:tabs>
          <w:tab w:leader="none" w:pos="711" w:val="left"/>
        </w:tabs>
        <w:numPr>
          <w:ilvl w:val="0"/>
          <w:numId w:val="578"/>
        </w:numPr>
        <w:rPr>
          <w:rFonts w:ascii="Arial" w:cs="Arial" w:eastAsia="Arial" w:hAnsi="Arial"/>
          <w:sz w:val="18"/>
          <w:szCs w:val="18"/>
          <w:color w:val="auto"/>
        </w:rPr>
      </w:pPr>
      <w:r>
        <w:rPr>
          <w:rFonts w:ascii="Arial" w:cs="Arial" w:eastAsia="Arial" w:hAnsi="Arial"/>
          <w:sz w:val="18"/>
          <w:szCs w:val="18"/>
          <w:color w:val="auto"/>
        </w:rPr>
        <w:t xml:space="preserve">The agreements of each Guarantor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survive repayment of the Guaranteed Obligations and all other amounts payable under the Credit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Section Headings</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13"/>
        <w:spacing w:after="0" w:line="277" w:lineRule="auto"/>
        <w:rPr>
          <w:sz w:val="20"/>
          <w:szCs w:val="20"/>
          <w:color w:val="auto"/>
        </w:rPr>
      </w:pPr>
      <w:r>
        <w:rPr>
          <w:rFonts w:ascii="Arial" w:cs="Arial" w:eastAsia="Arial" w:hAnsi="Arial"/>
          <w:sz w:val="18"/>
          <w:szCs w:val="18"/>
          <w:color w:val="auto"/>
        </w:rPr>
        <w:t>The Section headings used in this Agreement are for convenience of reference only and are not to affect the construction hereof or be taken into consideration in the interpretation hereof.</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Integration</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3" w:right="279" w:bottom="1440" w:gutter="0" w:footer="0" w:header="0"/>
        </w:sectPr>
      </w:pPr>
    </w:p>
    <w:bookmarkStart w:id="599" w:name="page600"/>
    <w:bookmarkEnd w:id="5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3.11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right="600" w:firstLine="913"/>
        <w:spacing w:after="0" w:line="282" w:lineRule="auto"/>
        <w:rPr>
          <w:sz w:val="20"/>
          <w:szCs w:val="20"/>
          <w:color w:val="auto"/>
        </w:rPr>
      </w:pPr>
      <w:r>
        <w:rPr>
          <w:rFonts w:ascii="Arial" w:cs="Arial" w:eastAsia="Arial" w:hAnsi="Arial"/>
          <w:sz w:val="18"/>
          <w:szCs w:val="18"/>
          <w:b w:val="1"/>
          <w:bCs w:val="1"/>
          <w:color w:val="auto"/>
        </w:rPr>
        <w:t>THIS AGREEMENT AND THE RIGHTS AND OBLIGATIONS OF THE PARTIES UNDER THIS AGREEMENT SHALL BE GOVERNED BY, AND CONSTRUED AND INTERPRETED IN ACCORDANCE WITH, THE LAW OF THE STATE OF NEW YORK.</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Guarantor hereby irrevocably and unconditionally:</w:t>
      </w:r>
    </w:p>
    <w:p>
      <w:pPr>
        <w:spacing w:after="0" w:line="117" w:lineRule="exact"/>
        <w:rPr>
          <w:sz w:val="20"/>
          <w:szCs w:val="20"/>
          <w:color w:val="auto"/>
        </w:rPr>
      </w:pPr>
    </w:p>
    <w:p>
      <w:pPr>
        <w:jc w:val="both"/>
        <w:ind w:right="120" w:firstLine="464"/>
        <w:spacing w:after="0" w:line="312" w:lineRule="auto"/>
        <w:tabs>
          <w:tab w:leader="none" w:pos="701" w:val="left"/>
        </w:tabs>
        <w:numPr>
          <w:ilvl w:val="0"/>
          <w:numId w:val="579"/>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w:t>
      </w:r>
    </w:p>
    <w:p>
      <w:pPr>
        <w:spacing w:after="0" w:line="38" w:lineRule="exact"/>
        <w:rPr>
          <w:rFonts w:ascii="Arial" w:cs="Arial" w:eastAsia="Arial" w:hAnsi="Arial"/>
          <w:sz w:val="16"/>
          <w:szCs w:val="16"/>
          <w:color w:val="auto"/>
        </w:rPr>
      </w:pPr>
    </w:p>
    <w:p>
      <w:pPr>
        <w:ind w:firstLine="464"/>
        <w:spacing w:after="0" w:line="264" w:lineRule="auto"/>
        <w:tabs>
          <w:tab w:leader="none" w:pos="711" w:val="left"/>
        </w:tabs>
        <w:numPr>
          <w:ilvl w:val="0"/>
          <w:numId w:val="579"/>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73" w:lineRule="exact"/>
        <w:rPr>
          <w:rFonts w:ascii="Arial" w:cs="Arial" w:eastAsia="Arial" w:hAnsi="Arial"/>
          <w:sz w:val="18"/>
          <w:szCs w:val="18"/>
          <w:color w:val="auto"/>
        </w:rPr>
      </w:pPr>
    </w:p>
    <w:p>
      <w:pPr>
        <w:ind w:right="340" w:firstLine="464"/>
        <w:spacing w:after="0" w:line="264" w:lineRule="auto"/>
        <w:tabs>
          <w:tab w:leader="none" w:pos="701" w:val="left"/>
        </w:tabs>
        <w:numPr>
          <w:ilvl w:val="0"/>
          <w:numId w:val="579"/>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at such other address of which the Administrative Agent shall have been notified pursuant thereto;</w:t>
      </w:r>
    </w:p>
    <w:p>
      <w:pPr>
        <w:spacing w:after="0" w:line="73" w:lineRule="exact"/>
        <w:rPr>
          <w:rFonts w:ascii="Arial" w:cs="Arial" w:eastAsia="Arial" w:hAnsi="Arial"/>
          <w:sz w:val="18"/>
          <w:szCs w:val="18"/>
          <w:color w:val="auto"/>
        </w:rPr>
      </w:pPr>
    </w:p>
    <w:p>
      <w:pPr>
        <w:ind w:right="200" w:firstLine="464"/>
        <w:spacing w:after="0" w:line="277" w:lineRule="auto"/>
        <w:tabs>
          <w:tab w:leader="none" w:pos="711" w:val="left"/>
        </w:tabs>
        <w:numPr>
          <w:ilvl w:val="0"/>
          <w:numId w:val="579"/>
        </w:numPr>
        <w:rPr>
          <w:rFonts w:ascii="Arial" w:cs="Arial" w:eastAsia="Arial" w:hAnsi="Arial"/>
          <w:sz w:val="18"/>
          <w:szCs w:val="18"/>
          <w:color w:val="auto"/>
        </w:rPr>
      </w:pPr>
      <w:r>
        <w:rPr>
          <w:rFonts w:ascii="Arial" w:cs="Arial" w:eastAsia="Arial" w:hAnsi="Arial"/>
          <w:sz w:val="18"/>
          <w:szCs w:val="18"/>
          <w:color w:val="auto"/>
        </w:rPr>
        <w:t>in the case of each Guarantor other than the Company, hereby irrevocably designates the Company (and the Company hereby irrevocably accepts such designation) as its agent to receive service of process in any such action or proceeding;</w:t>
      </w:r>
    </w:p>
    <w:p>
      <w:pPr>
        <w:spacing w:after="0" w:line="62" w:lineRule="exact"/>
        <w:rPr>
          <w:rFonts w:ascii="Arial" w:cs="Arial" w:eastAsia="Arial" w:hAnsi="Arial"/>
          <w:sz w:val="18"/>
          <w:szCs w:val="18"/>
          <w:color w:val="auto"/>
        </w:rPr>
      </w:pPr>
    </w:p>
    <w:p>
      <w:pPr>
        <w:ind w:right="20" w:firstLine="464"/>
        <w:spacing w:after="0" w:line="277" w:lineRule="auto"/>
        <w:tabs>
          <w:tab w:leader="none" w:pos="701" w:val="left"/>
        </w:tabs>
        <w:numPr>
          <w:ilvl w:val="0"/>
          <w:numId w:val="579"/>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62" w:lineRule="exact"/>
        <w:rPr>
          <w:rFonts w:ascii="Arial" w:cs="Arial" w:eastAsia="Arial" w:hAnsi="Arial"/>
          <w:sz w:val="18"/>
          <w:szCs w:val="18"/>
          <w:color w:val="auto"/>
        </w:rPr>
      </w:pPr>
    </w:p>
    <w:p>
      <w:pPr>
        <w:ind w:right="140" w:firstLine="464"/>
        <w:spacing w:after="0" w:line="277" w:lineRule="auto"/>
        <w:tabs>
          <w:tab w:leader="none" w:pos="681" w:val="left"/>
        </w:tabs>
        <w:numPr>
          <w:ilvl w:val="0"/>
          <w:numId w:val="579"/>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Judgment</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The parties hereto agree that Section 10.13 of the Credit Agreement shall apply to the obligations of the Guarantors hereunder,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279" w:lineRule="auto"/>
        <w:rPr>
          <w:sz w:val="20"/>
          <w:szCs w:val="20"/>
          <w:color w:val="auto"/>
        </w:rPr>
      </w:pPr>
      <w:r>
        <w:rPr>
          <w:rFonts w:ascii="Arial" w:cs="Arial" w:eastAsia="Arial" w:hAnsi="Arial"/>
          <w:sz w:val="17"/>
          <w:szCs w:val="17"/>
          <w:color w:val="auto"/>
        </w:rPr>
        <w:t xml:space="preserve">Each Subsidiary of the Company that is required to become a party to this Agreement pursuant to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of the Credit Agreement, and each other Person (whether or not a Subsidiary of the Company) that the Company desires to become a party to this Agreement pursuant to Section 10.1(b) of the Credit Agreement or otherwise, shall become a Guarantor for all purposes of this Agreement upon execution and delivery by such Subsidiary or other Person of a Joinder Agreement in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hereto (a “</w:t>
      </w:r>
      <w:r>
        <w:rPr>
          <w:rFonts w:ascii="Arial" w:cs="Arial" w:eastAsia="Arial" w:hAnsi="Arial"/>
          <w:sz w:val="17"/>
          <w:szCs w:val="17"/>
          <w:u w:val="single" w:color="auto"/>
          <w:color w:val="auto"/>
        </w:rPr>
        <w:t>Joinder Agreement</w:t>
      </w:r>
      <w:r>
        <w:rPr>
          <w:rFonts w:ascii="Arial" w:cs="Arial" w:eastAsia="Arial" w:hAnsi="Arial"/>
          <w:sz w:val="17"/>
          <w:szCs w:val="17"/>
          <w:color w:val="auto"/>
        </w:rPr>
        <w: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0" w:right="279" w:bottom="1440" w:gutter="0" w:footer="0" w:header="0"/>
        </w:sectPr>
      </w:pPr>
    </w:p>
    <w:bookmarkStart w:id="600" w:name="page601"/>
    <w:bookmarkEnd w:id="6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3.15 </w:t>
      </w: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64" w:lineRule="auto"/>
        <w:tabs>
          <w:tab w:leader="none" w:pos="701" w:val="left"/>
        </w:tabs>
        <w:numPr>
          <w:ilvl w:val="0"/>
          <w:numId w:val="580"/>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10.15(b)</w:t>
      </w:r>
      <w:r>
        <w:rPr>
          <w:rFonts w:ascii="Arial" w:cs="Arial" w:eastAsia="Arial" w:hAnsi="Arial"/>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73"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580"/>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10.15(c)</w:t>
      </w:r>
      <w:r>
        <w:rPr>
          <w:rFonts w:ascii="Arial" w:cs="Arial" w:eastAsia="Arial" w:hAnsi="Arial"/>
          <w:sz w:val="18"/>
          <w:szCs w:val="18"/>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73" w:lineRule="exact"/>
        <w:rPr>
          <w:rFonts w:ascii="Arial" w:cs="Arial" w:eastAsia="Arial" w:hAnsi="Arial"/>
          <w:sz w:val="18"/>
          <w:szCs w:val="18"/>
          <w:color w:val="auto"/>
        </w:rPr>
      </w:pPr>
    </w:p>
    <w:p>
      <w:pPr>
        <w:ind w:right="60" w:firstLine="464"/>
        <w:spacing w:after="0" w:line="264" w:lineRule="auto"/>
        <w:tabs>
          <w:tab w:leader="none" w:pos="701" w:val="left"/>
        </w:tabs>
        <w:numPr>
          <w:ilvl w:val="0"/>
          <w:numId w:val="580"/>
        </w:numPr>
        <w:rPr>
          <w:rFonts w:ascii="Arial" w:cs="Arial" w:eastAsia="Arial" w:hAnsi="Arial"/>
          <w:sz w:val="18"/>
          <w:szCs w:val="18"/>
          <w:color w:val="auto"/>
        </w:rPr>
      </w:pPr>
      <w:r>
        <w:rPr>
          <w:rFonts w:ascii="Arial" w:cs="Arial" w:eastAsia="Arial" w:hAnsi="Arial"/>
          <w:sz w:val="18"/>
          <w:szCs w:val="18"/>
          <w:color w:val="auto"/>
        </w:rPr>
        <w:t xml:space="preserve">Upon the satisfaction of the conditions set forth in </w:t>
      </w:r>
      <w:r>
        <w:rPr>
          <w:rFonts w:ascii="Arial" w:cs="Arial" w:eastAsia="Arial" w:hAnsi="Arial"/>
          <w:sz w:val="18"/>
          <w:szCs w:val="18"/>
          <w:u w:val="single" w:color="auto"/>
          <w:color w:val="auto"/>
        </w:rPr>
        <w:t>Section 10.15(d)</w:t>
      </w:r>
      <w:r>
        <w:rPr>
          <w:rFonts w:ascii="Arial" w:cs="Arial" w:eastAsia="Arial" w:hAnsi="Arial"/>
          <w:sz w:val="18"/>
          <w:szCs w:val="18"/>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73"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580"/>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this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601" w:name="page602"/>
    <w:bookmarkEnd w:id="60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 xml:space="preserve">GENERAL MOTORS COMPANY, </w:t>
      </w:r>
      <w:r>
        <w:rPr>
          <w:rFonts w:ascii="Arial" w:cs="Arial" w:eastAsia="Arial" w:hAnsi="Arial"/>
          <w:sz w:val="17"/>
          <w:szCs w:val="17"/>
          <w:i w:val="1"/>
          <w:iCs w:val="1"/>
          <w:color w:val="auto"/>
        </w:rPr>
        <w:t>as the Company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2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Signature Page to 364-Day Guarantee Agreement</w:t>
      </w:r>
    </w:p>
    <w:p>
      <w:pPr>
        <w:sectPr>
          <w:pgSz w:w="11900" w:h="16838" w:orient="portrait"/>
          <w:cols w:equalWidth="0" w:num="1">
            <w:col w:w="10880"/>
          </w:cols>
          <w:pgMar w:left="240" w:top="273" w:right="779" w:bottom="1440" w:gutter="0" w:footer="0" w:header="0"/>
        </w:sectPr>
      </w:pPr>
    </w:p>
    <w:bookmarkStart w:id="602" w:name="page603"/>
    <w:bookmarkEnd w:id="6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i w:val="1"/>
          <w:iCs w:val="1"/>
          <w:color w:val="auto"/>
        </w:rPr>
        <w:t>as the Administrative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right"/>
        <w:ind w:right="2599"/>
        <w:spacing w:after="0"/>
        <w:rPr>
          <w:sz w:val="20"/>
          <w:szCs w:val="20"/>
          <w:color w:val="auto"/>
        </w:rPr>
      </w:pPr>
      <w:r>
        <w:rPr>
          <w:rFonts w:ascii="Arial" w:cs="Arial" w:eastAsia="Arial" w:hAnsi="Arial"/>
          <w:sz w:val="18"/>
          <w:szCs w:val="18"/>
          <w:b w:val="1"/>
          <w:bCs w:val="1"/>
          <w:color w:val="auto"/>
        </w:rPr>
        <w:t>Signature Page to 364-Day Guarantee Agreement</w:t>
      </w:r>
    </w:p>
    <w:p>
      <w:pPr>
        <w:sectPr>
          <w:pgSz w:w="11900" w:h="16838" w:orient="portrait"/>
          <w:cols w:equalWidth="0" w:num="1">
            <w:col w:w="10219"/>
          </w:cols>
          <w:pgMar w:left="240" w:top="274" w:right="1440" w:bottom="1440" w:gutter="0" w:footer="0" w:header="0"/>
        </w:sectPr>
      </w:pPr>
    </w:p>
    <w:bookmarkStart w:id="603" w:name="page604"/>
    <w:bookmarkEnd w:id="603"/>
    <w:p>
      <w:pPr>
        <w:jc w:val="center"/>
        <w:ind w:left="9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3" w:lineRule="exact"/>
        <w:rPr>
          <w:sz w:val="20"/>
          <w:szCs w:val="20"/>
          <w:color w:val="auto"/>
        </w:rPr>
      </w:pPr>
    </w:p>
    <w:p>
      <w:pPr>
        <w:jc w:val="center"/>
        <w:ind w:left="98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9840"/>
        <w:spacing w:after="0"/>
        <w:rPr>
          <w:sz w:val="20"/>
          <w:szCs w:val="20"/>
          <w:color w:val="auto"/>
        </w:rPr>
      </w:pPr>
      <w:r>
        <w:rPr>
          <w:rFonts w:ascii="Arial" w:cs="Arial" w:eastAsia="Arial" w:hAnsi="Arial"/>
          <w:sz w:val="15"/>
          <w:szCs w:val="15"/>
          <w:color w:val="auto"/>
        </w:rPr>
        <w:t>Guarantee Agreement</w:t>
      </w:r>
    </w:p>
    <w:p>
      <w:pPr>
        <w:spacing w:after="0" w:line="24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JOINDER AGREEMENT, dated as of , 20 (the “</w:t>
      </w:r>
      <w:r>
        <w:rPr>
          <w:rFonts w:ascii="Arial" w:cs="Arial" w:eastAsia="Arial" w:hAnsi="Arial"/>
          <w:sz w:val="18"/>
          <w:szCs w:val="18"/>
          <w:u w:val="single" w:color="auto"/>
          <w:color w:val="auto"/>
        </w:rPr>
        <w:t>Joinder Agreement</w:t>
      </w:r>
      <w:r>
        <w:rPr>
          <w:rFonts w:ascii="Arial" w:cs="Arial" w:eastAsia="Arial" w:hAnsi="Arial"/>
          <w:sz w:val="18"/>
          <w:szCs w:val="18"/>
          <w:color w:val="auto"/>
        </w:rPr>
        <w:t>”), made by (the “</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WHEREAS, pursuant to the terms of the certain 364-Day Revolving Credit Agreement, dated as of April 18, 2018 (as amended, restated, amended and restated, 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Global Treasury Centre Limited, a corporation organized under the laws of England and Wales (“</w:t>
      </w:r>
      <w:r>
        <w:rPr>
          <w:rFonts w:ascii="Arial" w:cs="Arial" w:eastAsia="Arial" w:hAnsi="Arial"/>
          <w:sz w:val="16"/>
          <w:szCs w:val="16"/>
          <w:u w:val="single" w:color="auto"/>
          <w:color w:val="auto"/>
        </w:rPr>
        <w:t>GMGTC</w:t>
      </w:r>
      <w:r>
        <w:rPr>
          <w:rFonts w:ascii="Arial" w:cs="Arial" w:eastAsia="Arial" w:hAnsi="Arial"/>
          <w:sz w:val="16"/>
          <w:szCs w:val="16"/>
          <w:color w:val="auto"/>
        </w:rPr>
        <w:t>”), the other Subsidiary Borrowers from time to time parties thereto, the Lenders, the Administrative Agent, Citibank, N.A., as syndication agent, Bank of America, N.A., as co-syndication agent, and the other agents named therein, the Company [has] [and certain of its Subsidiaries (collectively, the “</w:t>
      </w:r>
      <w:r>
        <w:rPr>
          <w:rFonts w:ascii="Arial" w:cs="Arial" w:eastAsia="Arial" w:hAnsi="Arial"/>
          <w:sz w:val="16"/>
          <w:szCs w:val="16"/>
          <w:u w:val="single" w:color="auto"/>
          <w:color w:val="auto"/>
        </w:rPr>
        <w:t>Subsidiary Guarantors</w:t>
      </w:r>
      <w:r>
        <w:rPr>
          <w:rFonts w:ascii="Arial" w:cs="Arial" w:eastAsia="Arial" w:hAnsi="Arial"/>
          <w:sz w:val="16"/>
          <w:szCs w:val="16"/>
          <w:color w:val="auto"/>
        </w:rPr>
        <w:t>”; and, together with the Company and the other Persons party to the Guarantee Agreement (as defined below) as guarantors, collectively, the “</w:t>
      </w:r>
      <w:r>
        <w:rPr>
          <w:rFonts w:ascii="Arial" w:cs="Arial" w:eastAsia="Arial" w:hAnsi="Arial"/>
          <w:sz w:val="16"/>
          <w:szCs w:val="16"/>
          <w:u w:val="single" w:color="auto"/>
          <w:color w:val="auto"/>
        </w:rPr>
        <w:t>Guarantors</w:t>
      </w:r>
      <w:r>
        <w:rPr>
          <w:rFonts w:ascii="Arial" w:cs="Arial" w:eastAsia="Arial" w:hAnsi="Arial"/>
          <w:sz w:val="16"/>
          <w:szCs w:val="16"/>
          <w:color w:val="auto"/>
        </w:rPr>
        <w:t>”) have] entered into the Guarantee Agreement, dated as of April 18, 2018 (as amended, restated, amended and restated, renewed, supplemented or otherwise modified from time to time, the “</w:t>
      </w:r>
      <w:r>
        <w:rPr>
          <w:rFonts w:ascii="Arial" w:cs="Arial" w:eastAsia="Arial" w:hAnsi="Arial"/>
          <w:sz w:val="16"/>
          <w:szCs w:val="16"/>
          <w:u w:val="single" w:color="auto"/>
          <w:color w:val="auto"/>
        </w:rPr>
        <w:t>Guarantee Agreement</w:t>
      </w:r>
      <w:r>
        <w:rPr>
          <w:rFonts w:ascii="Arial" w:cs="Arial" w:eastAsia="Arial" w:hAnsi="Arial"/>
          <w:sz w:val="16"/>
          <w:szCs w:val="16"/>
          <w:color w:val="auto"/>
        </w:rPr>
        <w:t>”); and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WHEREAS, the Additional Guarantor desires to become a party to the Guarantee Agreement in accordance with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of the Guarantee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w:t>
      </w:r>
    </w:p>
    <w:p>
      <w:pPr>
        <w:spacing w:after="0" w:line="117" w:lineRule="exact"/>
        <w:rPr>
          <w:sz w:val="20"/>
          <w:szCs w:val="20"/>
          <w:color w:val="auto"/>
        </w:rPr>
      </w:pPr>
    </w:p>
    <w:p>
      <w:pPr>
        <w:ind w:right="220" w:firstLine="921"/>
        <w:spacing w:after="0" w:line="259" w:lineRule="auto"/>
        <w:tabs>
          <w:tab w:leader="none" w:pos="1093" w:val="left"/>
        </w:tabs>
        <w:numPr>
          <w:ilvl w:val="0"/>
          <w:numId w:val="581"/>
        </w:numPr>
        <w:rPr>
          <w:rFonts w:ascii="Arial" w:cs="Arial" w:eastAsia="Arial" w:hAnsi="Arial"/>
          <w:sz w:val="18"/>
          <w:szCs w:val="18"/>
          <w:color w:val="auto"/>
        </w:rPr>
      </w:pPr>
      <w:r>
        <w:rPr>
          <w:rFonts w:ascii="Arial" w:cs="Arial" w:eastAsia="Arial" w:hAnsi="Arial"/>
          <w:sz w:val="18"/>
          <w:szCs w:val="18"/>
          <w:u w:val="single" w:color="auto"/>
          <w:color w:val="auto"/>
        </w:rPr>
        <w:t>Guarantee Agreement</w:t>
      </w:r>
      <w:r>
        <w:rPr>
          <w:rFonts w:ascii="Arial" w:cs="Arial" w:eastAsia="Arial" w:hAnsi="Arial"/>
          <w:sz w:val="18"/>
          <w:szCs w:val="18"/>
          <w:color w:val="auto"/>
        </w:rPr>
        <w:t xml:space="preserve">. By executing and delivering this Joinder Agreement, the Additional Guarantor, as provided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74" w:lineRule="exact"/>
        <w:rPr>
          <w:rFonts w:ascii="Arial" w:cs="Arial" w:eastAsia="Arial" w:hAnsi="Arial"/>
          <w:sz w:val="18"/>
          <w:szCs w:val="18"/>
          <w:color w:val="auto"/>
        </w:rPr>
      </w:pPr>
    </w:p>
    <w:p>
      <w:pPr>
        <w:ind w:right="440" w:firstLine="921"/>
        <w:spacing w:after="0" w:line="266" w:lineRule="auto"/>
        <w:tabs>
          <w:tab w:leader="none" w:pos="1093" w:val="left"/>
        </w:tabs>
        <w:numPr>
          <w:ilvl w:val="0"/>
          <w:numId w:val="58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420"/>
          </w:cols>
          <w:pgMar w:left="240" w:top="274" w:right="239" w:bottom="1440" w:gutter="0" w:footer="0" w:header="0"/>
        </w:sectPr>
      </w:pPr>
    </w:p>
    <w:bookmarkStart w:id="604" w:name="page605"/>
    <w:bookmarkEnd w:id="604"/>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[ADDITIONAL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00"/>
          </w:cols>
          <w:pgMar w:left="240" w:top="273" w:right="759" w:bottom="1440" w:gutter="0" w:footer="0" w:header="0"/>
        </w:sectPr>
      </w:pPr>
    </w:p>
    <w:bookmarkStart w:id="605" w:name="page606"/>
    <w:bookmarkEnd w:id="6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JPMORGAN CHASE BANK, N.A., </w:t>
      </w:r>
      <w:r>
        <w:rPr>
          <w:rFonts w:ascii="Arial" w:cs="Arial" w:eastAsia="Arial" w:hAnsi="Arial"/>
          <w:sz w:val="17"/>
          <w:szCs w:val="17"/>
          <w:i w:val="1"/>
          <w:iCs w:val="1"/>
          <w:color w:val="auto"/>
        </w:rPr>
        <w:t>as the Administrative Agent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606" w:name="page607"/>
    <w:bookmarkEnd w:id="606"/>
    <w:p>
      <w:pPr>
        <w:ind w:left="10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COMPETITIVE BID REQUEST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-10160</wp:posOffset>
            </wp:positionV>
            <wp:extent cx="74295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Company/Applicable Borrower”)]</w:t>
      </w:r>
      <w:r>
        <w:rPr>
          <w:rFonts w:ascii="Arial" w:cs="Arial" w:eastAsia="Arial" w:hAnsi="Arial"/>
          <w:sz w:val="13"/>
          <w:szCs w:val="13"/>
          <w:color w:val="auto"/>
        </w:rPr>
        <w:t>1</w:t>
      </w:r>
      <w:r>
        <w:rPr>
          <w:rFonts w:ascii="Arial" w:cs="Arial" w:eastAsia="Arial" w:hAnsi="Arial"/>
          <w:sz w:val="16"/>
          <w:szCs w:val="16"/>
          <w:color w:val="auto"/>
        </w:rPr>
        <w:t>, refer[s] to the 364-Day Revolving Credit Agreement, dated as of April 18, 2018, as amended, restated,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Company/the Applicable Borrower]</w:t>
      </w:r>
      <w:r>
        <w:rPr>
          <w:rFonts w:ascii="Arial" w:cs="Arial" w:eastAsia="Arial" w:hAnsi="Arial"/>
          <w:sz w:val="13"/>
          <w:szCs w:val="13"/>
          <w:color w:val="auto"/>
        </w:rPr>
        <w:t>2</w:t>
      </w:r>
      <w:r>
        <w:rPr>
          <w:rFonts w:ascii="Arial" w:cs="Arial" w:eastAsia="Arial" w:hAnsi="Arial"/>
          <w:sz w:val="16"/>
          <w:szCs w:val="16"/>
          <w:color w:val="auto"/>
        </w:rPr>
        <w:t>, General Motors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Company, Inc., a Texas corporation, GM Global Treasury Centre Limited, a corporation organized under the laws of England and Wales,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Subsidiary Borrowers from time to time party thereto, the several banks and other financial institutions or entities from time to time party thereto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Bank of America, N.A., as co-syndication agent,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other agents named therein. Capitalized terms used herein and not otherwise defined herein shall have the meanings assigned to such terms in the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The Applicable Borrower and the Company hereby give you notice pursuant to Section 2.9(a) of the Credit Agreement that it requests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Competitive Loan under the Credit Agreement, and in that connection sets forth below the terms on which such Competitive Loan is requested to be made:</w:t>
      </w:r>
    </w:p>
    <w:p>
      <w:pPr>
        <w:spacing w:after="0" w:line="139" w:lineRule="exact"/>
        <w:rPr>
          <w:sz w:val="20"/>
          <w:szCs w:val="20"/>
          <w:color w:val="auto"/>
        </w:rPr>
      </w:pPr>
    </w:p>
    <w:p>
      <w:pPr>
        <w:ind w:left="720" w:hanging="352"/>
        <w:spacing w:after="0"/>
        <w:tabs>
          <w:tab w:leader="none" w:pos="72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Date of Competitive Loan (which is a Business Day)</w:t>
      </w:r>
    </w:p>
    <w:p>
      <w:pPr>
        <w:spacing w:after="0" w:line="144" w:lineRule="exact"/>
        <w:rPr>
          <w:rFonts w:ascii="Arial" w:cs="Arial" w:eastAsia="Arial" w:hAnsi="Arial"/>
          <w:sz w:val="18"/>
          <w:szCs w:val="18"/>
          <w:color w:val="auto"/>
        </w:rPr>
      </w:pPr>
    </w:p>
    <w:p>
      <w:pPr>
        <w:ind w:left="700" w:hanging="332"/>
        <w:spacing w:after="0"/>
        <w:tabs>
          <w:tab w:leader="none" w:pos="70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Principal Amount of Competitive Loan</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-207645</wp:posOffset>
            </wp:positionV>
            <wp:extent cx="340487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left="460" w:hanging="452"/>
        <w:spacing w:after="0"/>
        <w:tabs>
          <w:tab w:leader="none" w:pos="460" w:val="left"/>
        </w:tabs>
        <w:numPr>
          <w:ilvl w:val="0"/>
          <w:numId w:val="583"/>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60" w:hanging="452"/>
        <w:spacing w:after="0"/>
        <w:tabs>
          <w:tab w:leader="none" w:pos="460" w:val="left"/>
        </w:tabs>
        <w:numPr>
          <w:ilvl w:val="0"/>
          <w:numId w:val="584"/>
        </w:numPr>
        <w:rPr>
          <w:rFonts w:ascii="Arial" w:cs="Arial" w:eastAsia="Arial" w:hAnsi="Arial"/>
          <w:sz w:val="15"/>
          <w:szCs w:val="15"/>
          <w:color w:val="auto"/>
        </w:rPr>
      </w:pPr>
      <w:r>
        <w:rPr>
          <w:rFonts w:ascii="Arial" w:cs="Arial" w:eastAsia="Arial" w:hAnsi="Arial"/>
          <w:sz w:val="18"/>
          <w:szCs w:val="18"/>
          <w:color w:val="auto"/>
        </w:rPr>
        <w:t>If Bid Requested from the Company, it is the “Applicable Borrower”.</w:t>
      </w:r>
    </w:p>
    <w:p>
      <w:pPr>
        <w:spacing w:after="0" w:line="9" w:lineRule="exact"/>
        <w:rPr>
          <w:sz w:val="20"/>
          <w:szCs w:val="20"/>
          <w:color w:val="auto"/>
        </w:rPr>
      </w:pPr>
    </w:p>
    <w:p>
      <w:pPr>
        <w:ind w:left="460" w:hanging="452"/>
        <w:spacing w:after="0"/>
        <w:tabs>
          <w:tab w:leader="none" w:pos="460" w:val="left"/>
        </w:tabs>
        <w:numPr>
          <w:ilvl w:val="0"/>
          <w:numId w:val="585"/>
        </w:numPr>
        <w:rPr>
          <w:rFonts w:ascii="Arial" w:cs="Arial" w:eastAsia="Arial" w:hAnsi="Arial"/>
          <w:sz w:val="15"/>
          <w:szCs w:val="15"/>
          <w:color w:val="auto"/>
        </w:rPr>
      </w:pPr>
      <w:r>
        <w:rPr>
          <w:rFonts w:ascii="Arial" w:cs="Arial" w:eastAsia="Arial" w:hAnsi="Arial"/>
          <w:sz w:val="18"/>
          <w:szCs w:val="18"/>
          <w:color w:val="auto"/>
        </w:rPr>
        <w:t>Not less than $25,000,000 or Dollar Equivalent thereof.</w:t>
      </w:r>
    </w:p>
    <w:p>
      <w:pPr>
        <w:sectPr>
          <w:pgSz w:w="11900" w:h="16838" w:orient="portrait"/>
          <w:cols w:equalWidth="0" w:num="1">
            <w:col w:w="11420"/>
          </w:cols>
          <w:pgMar w:left="240" w:top="270" w:right="239" w:bottom="1440" w:gutter="0" w:footer="0" w:header="0"/>
        </w:sectPr>
      </w:pPr>
    </w:p>
    <w:bookmarkStart w:id="607" w:name="page608"/>
    <w:bookmarkEnd w:id="607"/>
    <w:p>
      <w:pPr>
        <w:ind w:left="700" w:hanging="332"/>
        <w:spacing w:after="0"/>
        <w:tabs>
          <w:tab w:leader="none" w:pos="700" w:val="left"/>
        </w:tabs>
        <w:numPr>
          <w:ilvl w:val="0"/>
          <w:numId w:val="5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rate basis</w:t>
      </w:r>
      <w:r>
        <w:rPr>
          <w:rFonts w:ascii="Arial" w:cs="Arial" w:eastAsia="Arial" w:hAnsi="Arial"/>
          <w:sz w:val="15"/>
          <w:szCs w:val="15"/>
          <w:color w:val="auto"/>
        </w:rPr>
        <w:t>4</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-207645</wp:posOffset>
            </wp:positionV>
            <wp:extent cx="340487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Upon acceptance of any or all of the Competitive Loans offered by the Lenders in response to this request, the Applicable Borrower shall be deemed to have represented and warranted that the conditions to lending specified in Section 5.2 of the Credit Agreement have been satisfied.</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APPLICABLE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898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3" w:lineRule="exact"/>
        <w:rPr>
          <w:sz w:val="20"/>
          <w:szCs w:val="20"/>
          <w:color w:val="auto"/>
        </w:rPr>
      </w:pPr>
    </w:p>
    <w:p>
      <w:pPr>
        <w:ind w:left="460" w:hanging="452"/>
        <w:spacing w:after="0"/>
        <w:tabs>
          <w:tab w:leader="none" w:pos="460" w:val="left"/>
        </w:tabs>
        <w:numPr>
          <w:ilvl w:val="0"/>
          <w:numId w:val="587"/>
        </w:numPr>
        <w:rPr>
          <w:rFonts w:ascii="Arial" w:cs="Arial" w:eastAsia="Arial" w:hAnsi="Arial"/>
          <w:sz w:val="15"/>
          <w:szCs w:val="15"/>
          <w:color w:val="auto"/>
        </w:rPr>
      </w:pPr>
      <w:r>
        <w:rPr>
          <w:rFonts w:ascii="Arial" w:cs="Arial" w:eastAsia="Arial" w:hAnsi="Arial"/>
          <w:sz w:val="18"/>
          <w:szCs w:val="18"/>
          <w:color w:val="auto"/>
        </w:rPr>
        <w:t>Eurocurrency Competitive Loan or Fixed Rate Loan.</w:t>
      </w:r>
    </w:p>
    <w:p>
      <w:pPr>
        <w:spacing w:after="0" w:line="22" w:lineRule="exact"/>
        <w:rPr>
          <w:sz w:val="20"/>
          <w:szCs w:val="20"/>
          <w:color w:val="auto"/>
        </w:rPr>
      </w:pPr>
    </w:p>
    <w:p>
      <w:pPr>
        <w:ind w:left="460" w:hanging="452"/>
        <w:spacing w:after="0"/>
        <w:tabs>
          <w:tab w:leader="none" w:pos="460" w:val="left"/>
        </w:tabs>
        <w:numPr>
          <w:ilvl w:val="0"/>
          <w:numId w:val="588"/>
        </w:numPr>
        <w:rPr>
          <w:rFonts w:ascii="Arial" w:cs="Arial" w:eastAsia="Arial" w:hAnsi="Arial"/>
          <w:sz w:val="15"/>
          <w:szCs w:val="15"/>
          <w:color w:val="auto"/>
        </w:rPr>
      </w:pPr>
      <w:r>
        <w:rPr>
          <w:rFonts w:ascii="Arial" w:cs="Arial" w:eastAsia="Arial" w:hAnsi="Arial"/>
          <w:sz w:val="18"/>
          <w:szCs w:val="18"/>
          <w:color w:val="auto"/>
        </w:rPr>
        <w:t>Which shall be subject to the definition of “Interest Period” and end on or before the Termination Date.</w:t>
      </w:r>
    </w:p>
    <w:p>
      <w:pPr>
        <w:sectPr>
          <w:pgSz w:w="11900" w:h="16838" w:orient="portrait"/>
          <w:cols w:equalWidth="0" w:num="1">
            <w:col w:w="11020"/>
          </w:cols>
          <w:pgMar w:left="240" w:top="273" w:right="639" w:bottom="1440" w:gutter="0" w:footer="0" w:header="0"/>
        </w:sectPr>
      </w:pPr>
    </w:p>
    <w:bookmarkStart w:id="608" w:name="page609"/>
    <w:bookmarkEnd w:id="608"/>
    <w:p>
      <w:pPr>
        <w:ind w:left="10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7"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COMPETITIVE BID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6137275</wp:posOffset>
            </wp:positionH>
            <wp:positionV relativeFrom="paragraph">
              <wp:posOffset>-10160</wp:posOffset>
            </wp:positionV>
            <wp:extent cx="74295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ind w:right="80" w:firstLine="913"/>
        <w:spacing w:after="0" w:line="284" w:lineRule="auto"/>
        <w:rPr>
          <w:sz w:val="20"/>
          <w:szCs w:val="20"/>
          <w:color w:val="auto"/>
        </w:rPr>
      </w:pPr>
      <w:r>
        <w:rPr>
          <w:rFonts w:ascii="Arial" w:cs="Arial" w:eastAsia="Arial" w:hAnsi="Arial"/>
          <w:sz w:val="16"/>
          <w:szCs w:val="16"/>
          <w:color w:val="auto"/>
        </w:rPr>
        <w:t>The undersigned, [Name of Lender], refers to the 364-Day Revolving Credit Agreement, dated as of April 18, 2018, as amended, restated, amended and restated, renewed, supplemented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General Motors Financial Company, Inc., a Texas corporation, GM Global Treasury Centre Limited, a corporation organized under the laws of England and Wales, the Subsidiary Borrowers from time to time party thereto,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JPMorgan Chase Bank, N.A., as administrative agent, Citibank, N.A., as syndication agent, Bank of America, N.A., as co-syndication agent, and the other agents party thereto. Capitalized terms used herein and not otherwise defined herein shall have the meanings assigned to such terms in the Credit Agreement. The undersigned hereby makes a Competitive Bid pursuant to Section 2.9(c) of the Credit Agreement, in response to the</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Competitive Bid Request made by [INSERT NAME OF APPLICABLE BORROWER]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on , 20 , and in that connection sets forth below the terms on which such Competitive Bid is made:</w:t>
      </w:r>
    </w:p>
    <w:p>
      <w:pPr>
        <w:spacing w:after="0" w:line="211" w:lineRule="exact"/>
        <w:rPr>
          <w:sz w:val="20"/>
          <w:szCs w:val="20"/>
          <w:color w:val="auto"/>
        </w:rPr>
      </w:pPr>
    </w:p>
    <w:p>
      <w:pPr>
        <w:ind w:left="720" w:hanging="352"/>
        <w:spacing w:after="0"/>
        <w:tabs>
          <w:tab w:leader="none" w:pos="720" w:val="left"/>
        </w:tabs>
        <w:numPr>
          <w:ilvl w:val="1"/>
          <w:numId w:val="589"/>
        </w:numPr>
        <w:rPr>
          <w:rFonts w:ascii="Arial" w:cs="Arial" w:eastAsia="Arial" w:hAnsi="Arial"/>
          <w:sz w:val="18"/>
          <w:szCs w:val="18"/>
          <w:color w:val="auto"/>
        </w:rPr>
      </w:pPr>
      <w:r>
        <w:rPr>
          <w:rFonts w:ascii="Arial" w:cs="Arial" w:eastAsia="Arial" w:hAnsi="Arial"/>
          <w:sz w:val="18"/>
          <w:szCs w:val="18"/>
          <w:color w:val="auto"/>
        </w:rPr>
        <w:t>Date of Competitive Loan</w:t>
      </w:r>
    </w:p>
    <w:p>
      <w:pPr>
        <w:spacing w:after="0" w:line="144" w:lineRule="exact"/>
        <w:rPr>
          <w:rFonts w:ascii="Arial" w:cs="Arial" w:eastAsia="Arial" w:hAnsi="Arial"/>
          <w:sz w:val="18"/>
          <w:szCs w:val="18"/>
          <w:color w:val="auto"/>
        </w:rPr>
      </w:pPr>
    </w:p>
    <w:p>
      <w:pPr>
        <w:ind w:left="700" w:hanging="332"/>
        <w:spacing w:after="0"/>
        <w:tabs>
          <w:tab w:leader="none" w:pos="700" w:val="left"/>
        </w:tabs>
        <w:numPr>
          <w:ilvl w:val="1"/>
          <w:numId w:val="589"/>
        </w:numPr>
        <w:rPr>
          <w:rFonts w:ascii="Arial" w:cs="Arial" w:eastAsia="Arial" w:hAnsi="Arial"/>
          <w:sz w:val="18"/>
          <w:szCs w:val="18"/>
          <w:color w:val="auto"/>
        </w:rPr>
      </w:pPr>
      <w:r>
        <w:rPr>
          <w:rFonts w:ascii="Arial" w:cs="Arial" w:eastAsia="Arial" w:hAnsi="Arial"/>
          <w:sz w:val="18"/>
          <w:szCs w:val="18"/>
          <w:color w:val="auto"/>
        </w:rPr>
        <w:t>Principal Amount</w:t>
      </w:r>
      <w:r>
        <w:rPr>
          <w:rFonts w:ascii="Arial" w:cs="Arial" w:eastAsia="Arial" w:hAnsi="Arial"/>
          <w:sz w:val="15"/>
          <w:szCs w:val="15"/>
          <w:color w:val="auto"/>
        </w:rPr>
        <w:t>1</w:t>
      </w:r>
    </w:p>
    <w:p>
      <w:pPr>
        <w:spacing w:after="0" w:line="144" w:lineRule="exact"/>
        <w:rPr>
          <w:rFonts w:ascii="Arial" w:cs="Arial" w:eastAsia="Arial" w:hAnsi="Arial"/>
          <w:sz w:val="18"/>
          <w:szCs w:val="18"/>
          <w:color w:val="auto"/>
        </w:rPr>
      </w:pPr>
    </w:p>
    <w:p>
      <w:pPr>
        <w:ind w:left="700" w:hanging="332"/>
        <w:spacing w:after="0"/>
        <w:tabs>
          <w:tab w:leader="none" w:pos="700" w:val="left"/>
        </w:tabs>
        <w:numPr>
          <w:ilvl w:val="1"/>
          <w:numId w:val="589"/>
        </w:numPr>
        <w:rPr>
          <w:rFonts w:ascii="Arial" w:cs="Arial" w:eastAsia="Arial" w:hAnsi="Arial"/>
          <w:sz w:val="18"/>
          <w:szCs w:val="18"/>
          <w:color w:val="auto"/>
        </w:rPr>
      </w:pPr>
      <w:r>
        <w:rPr>
          <w:rFonts w:ascii="Arial" w:cs="Arial" w:eastAsia="Arial" w:hAnsi="Arial"/>
          <w:sz w:val="18"/>
          <w:szCs w:val="18"/>
          <w:color w:val="auto"/>
        </w:rPr>
        <w:t>Competitive Bid Rate</w:t>
      </w:r>
      <w:r>
        <w:rPr>
          <w:rFonts w:ascii="Arial" w:cs="Arial" w:eastAsia="Arial" w:hAnsi="Arial"/>
          <w:sz w:val="15"/>
          <w:szCs w:val="15"/>
          <w:color w:val="auto"/>
        </w:rPr>
        <w:t>2</w:t>
      </w:r>
    </w:p>
    <w:p>
      <w:pPr>
        <w:spacing w:after="0" w:line="144" w:lineRule="exact"/>
        <w:rPr>
          <w:rFonts w:ascii="Arial" w:cs="Arial" w:eastAsia="Arial" w:hAnsi="Arial"/>
          <w:sz w:val="18"/>
          <w:szCs w:val="18"/>
          <w:color w:val="auto"/>
        </w:rPr>
      </w:pPr>
    </w:p>
    <w:p>
      <w:pPr>
        <w:ind w:left="720" w:hanging="352"/>
        <w:spacing w:after="0"/>
        <w:tabs>
          <w:tab w:leader="none" w:pos="720" w:val="left"/>
        </w:tabs>
        <w:numPr>
          <w:ilvl w:val="1"/>
          <w:numId w:val="589"/>
        </w:numPr>
        <w:rPr>
          <w:rFonts w:ascii="Arial" w:cs="Arial" w:eastAsia="Arial" w:hAnsi="Arial"/>
          <w:sz w:val="18"/>
          <w:szCs w:val="18"/>
          <w:color w:val="auto"/>
        </w:rPr>
      </w:pPr>
      <w:r>
        <w:rPr>
          <w:rFonts w:ascii="Arial" w:cs="Arial" w:eastAsia="Arial" w:hAnsi="Arial"/>
          <w:sz w:val="18"/>
          <w:szCs w:val="18"/>
          <w:color w:val="auto"/>
        </w:rPr>
        <w:t>Interest Period and last day thereof</w:t>
      </w:r>
    </w:p>
    <w:p>
      <w:pPr>
        <w:spacing w:after="0" w:line="225" w:lineRule="exact"/>
        <w:rPr>
          <w:rFonts w:ascii="Arial" w:cs="Arial" w:eastAsia="Arial" w:hAnsi="Arial"/>
          <w:sz w:val="18"/>
          <w:szCs w:val="18"/>
          <w:color w:val="auto"/>
        </w:rPr>
      </w:pPr>
    </w:p>
    <w:p>
      <w:pPr>
        <w:ind w:left="460" w:right="620" w:hanging="446"/>
        <w:spacing w:after="0" w:line="258"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Not less than $5,000,000 or the Dollar Equivalent thereof (or greater than the requested Competitive Bid). Multiple bids will be accepted by the Administrative Agent (including up to 5 bids from any single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-1078865</wp:posOffset>
            </wp:positionV>
            <wp:extent cx="340487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-855980</wp:posOffset>
            </wp:positionV>
            <wp:extent cx="340487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-633095</wp:posOffset>
            </wp:positionV>
            <wp:extent cx="340487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-410210</wp:posOffset>
            </wp:positionV>
            <wp:extent cx="340487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2898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right="380" w:hanging="452"/>
        <w:spacing w:after="0" w:line="262" w:lineRule="auto"/>
        <w:tabs>
          <w:tab w:leader="none" w:pos="460" w:val="left"/>
        </w:tabs>
        <w:numPr>
          <w:ilvl w:val="0"/>
          <w:numId w:val="590"/>
        </w:numPr>
        <w:rPr>
          <w:rFonts w:ascii="Arial" w:cs="Arial" w:eastAsia="Arial" w:hAnsi="Arial"/>
          <w:sz w:val="15"/>
          <w:szCs w:val="15"/>
          <w:color w:val="auto"/>
        </w:rPr>
      </w:pPr>
      <w:r>
        <w:rPr>
          <w:rFonts w:ascii="Arial" w:cs="Arial" w:eastAsia="Arial" w:hAnsi="Arial"/>
          <w:sz w:val="18"/>
          <w:szCs w:val="18"/>
          <w:i w:val="1"/>
          <w:iCs w:val="1"/>
          <w:color w:val="auto"/>
        </w:rPr>
        <w:t>i.e.</w:t>
      </w:r>
      <w:r>
        <w:rPr>
          <w:rFonts w:ascii="Arial" w:cs="Arial" w:eastAsia="Arial" w:hAnsi="Arial"/>
          <w:sz w:val="18"/>
          <w:szCs w:val="18"/>
          <w:color w:val="auto"/>
        </w:rPr>
        <w:t>, Eurocurrency Rate + or - __%, in the case of Eurocurrency Competitive Loans or __%, in the case of Fixed Rate Loans, in each expressed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per annum in the form of a decimal to no more than four decimal places.</w:t>
      </w:r>
    </w:p>
    <w:p>
      <w:pPr>
        <w:sectPr>
          <w:pgSz w:w="11900" w:h="16838" w:orient="portrait"/>
          <w:cols w:equalWidth="0" w:num="1">
            <w:col w:w="11420"/>
          </w:cols>
          <w:pgMar w:left="240" w:top="269" w:right="239" w:bottom="1440" w:gutter="0" w:footer="0" w:header="0"/>
        </w:sectPr>
      </w:pPr>
    </w:p>
    <w:bookmarkStart w:id="609" w:name="page610"/>
    <w:bookmarkEnd w:id="609"/>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hereby confirms that it is prepared, subject to the conditions set forth in the Credit Agreement, to extend credit to the Applicable Borrower upon acceptance by the Applicable Borrower of this bid in accordance with Section 2.9(c) of the Credit Agreement.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5" w:right="239" w:bottom="1440" w:gutter="0" w:footer="0" w:header="0"/>
        </w:sectPr>
      </w:pPr>
    </w:p>
    <w:bookmarkStart w:id="610" w:name="page611"/>
    <w:bookmarkEnd w:id="610"/>
    <w:p>
      <w:pPr>
        <w:ind w:left="10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7"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FORM OF COMPETITIVE BID ACCEPT/REJECT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Bank Loan Operations 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NCC5, Floor 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6137275</wp:posOffset>
            </wp:positionH>
            <wp:positionV relativeFrom="paragraph">
              <wp:posOffset>-10160</wp:posOffset>
            </wp:positionV>
            <wp:extent cx="74295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The undersigned, [INSERT NAME OF APPLICABLE BORROWER]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[and General Motors Company, a Delaware corporation (the “Company/Applicable Borrower”)]</w:t>
      </w:r>
      <w:r>
        <w:rPr>
          <w:rFonts w:ascii="Arial" w:cs="Arial" w:eastAsia="Arial" w:hAnsi="Arial"/>
          <w:sz w:val="15"/>
          <w:szCs w:val="15"/>
          <w:color w:val="auto"/>
        </w:rPr>
        <w:t>1</w:t>
      </w:r>
      <w:r>
        <w:rPr>
          <w:rFonts w:ascii="Arial" w:cs="Arial" w:eastAsia="Arial" w:hAnsi="Arial"/>
          <w:sz w:val="18"/>
          <w:szCs w:val="18"/>
          <w:color w:val="auto"/>
        </w:rPr>
        <w:t>, refer[s] to the 364-Day Revolving Credit Agreement, dated as of April 18, 2018,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[Company/Applicable Borrower]</w:t>
      </w:r>
      <w:r>
        <w:rPr>
          <w:rFonts w:ascii="Arial" w:cs="Arial" w:eastAsia="Arial" w:hAnsi="Arial"/>
          <w:sz w:val="15"/>
          <w:szCs w:val="15"/>
          <w:color w:val="auto"/>
        </w:rPr>
        <w:t>2</w:t>
      </w:r>
      <w:r>
        <w:rPr>
          <w:rFonts w:ascii="Arial" w:cs="Arial" w:eastAsia="Arial" w:hAnsi="Arial"/>
          <w:sz w:val="18"/>
          <w:szCs w:val="18"/>
          <w:color w:val="auto"/>
        </w:rPr>
        <w:t>, General Motors Financial Company, Inc., a Texas corporation, GM Global Treasury Centre Limited, a corporation organized under the laws of England and Wales, the Subsidiary Borrowers from time to time party thereto, the several banks and other financial institutions or entities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JPMorgan Chase Bank, N.A., as administrative agent, Citibank, N.A., as syndication agent, Bank of America, N.A., as co-syndication agent, and the other agents named therein. Unless otherwise defined herein, terms defined in the Credit Agreement and used herein shall have the meanings given to them therein.</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0" w:hanging="61"/>
        <w:spacing w:after="0" w:line="277" w:lineRule="auto"/>
        <w:rPr>
          <w:sz w:val="20"/>
          <w:szCs w:val="20"/>
          <w:color w:val="auto"/>
        </w:rPr>
      </w:pPr>
      <w:r>
        <w:rPr>
          <w:rFonts w:ascii="Arial" w:cs="Arial" w:eastAsia="Arial" w:hAnsi="Arial"/>
          <w:sz w:val="18"/>
          <w:szCs w:val="18"/>
          <w:color w:val="auto"/>
        </w:rPr>
        <w:t>In accordance with Section 2.9(d) of the Credit Agreement, we have received a summary of bids in connection with our Competitive Bid Request , 20 and in accordance with Section 2.9(e) of the Credit Agreement, we hereby accept the following bids:</w:t>
      </w:r>
    </w:p>
    <w:p>
      <w:pPr>
        <w:spacing w:after="0" w:line="170" w:lineRule="exact"/>
        <w:rPr>
          <w:sz w:val="20"/>
          <w:szCs w:val="20"/>
          <w:color w:val="auto"/>
        </w:rPr>
      </w:pPr>
    </w:p>
    <w:p>
      <w:pPr>
        <w:sectPr>
          <w:pgSz w:w="11900" w:h="16838" w:orient="portrait"/>
          <w:cols w:equalWidth="0" w:num="2">
            <w:col w:w="400" w:space="580"/>
            <w:col w:w="10440"/>
          </w:cols>
          <w:pgMar w:left="240" w:top="270" w:right="239" w:bottom="1440" w:gutter="0" w:footer="0" w:header="0"/>
          <w:type w:val="continuous"/>
        </w:sectPr>
      </w:pPr>
    </w:p>
    <w:p>
      <w:pPr>
        <w:spacing w:after="0"/>
        <w:rPr>
          <w:sz w:val="20"/>
          <w:szCs w:val="20"/>
          <w:color w:val="auto"/>
        </w:rPr>
      </w:pPr>
      <w:r>
        <w:rPr>
          <w:rFonts w:ascii="Arial" w:cs="Arial" w:eastAsia="Arial" w:hAnsi="Arial"/>
          <w:sz w:val="18"/>
          <w:szCs w:val="18"/>
          <w:u w:val="single" w:color="auto"/>
          <w:color w:val="auto"/>
        </w:rPr>
        <w:t>Principal Amount</w:t>
      </w:r>
      <w:r>
        <w:rPr>
          <w:rFonts w:ascii="Arial" w:cs="Arial" w:eastAsia="Arial" w:hAnsi="Arial"/>
          <w:sz w:val="18"/>
          <w:szCs w:val="18"/>
          <w:color w:val="auto"/>
        </w:rPr>
        <w:t xml:space="preserve">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591"/>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60" w:hanging="452"/>
        <w:spacing w:after="0"/>
        <w:tabs>
          <w:tab w:leader="none" w:pos="460" w:val="left"/>
        </w:tabs>
        <w:numPr>
          <w:ilvl w:val="0"/>
          <w:numId w:val="592"/>
        </w:numPr>
        <w:rPr>
          <w:rFonts w:ascii="Arial" w:cs="Arial" w:eastAsia="Arial" w:hAnsi="Arial"/>
          <w:sz w:val="14"/>
          <w:szCs w:val="14"/>
          <w:color w:val="auto"/>
        </w:rPr>
      </w:pPr>
      <w:r>
        <w:rPr>
          <w:rFonts w:ascii="Arial" w:cs="Arial" w:eastAsia="Arial" w:hAnsi="Arial"/>
          <w:sz w:val="16"/>
          <w:szCs w:val="16"/>
          <w:color w:val="auto"/>
        </w:rPr>
        <w:t>If Bid Requested by the Company, it is the “Applicable Borrower”.</w:t>
      </w:r>
    </w:p>
    <w:p>
      <w:pPr>
        <w:sectPr>
          <w:pgSz w:w="11900" w:h="16838" w:orient="portrait"/>
          <w:cols w:equalWidth="0" w:num="1">
            <w:col w:w="11420"/>
          </w:cols>
          <w:pgMar w:left="240" w:top="270" w:right="239" w:bottom="1440" w:gutter="0" w:footer="0" w:header="0"/>
          <w:type w:val="continuous"/>
        </w:sectPr>
      </w:pPr>
    </w:p>
    <w:bookmarkStart w:id="611" w:name="page612"/>
    <w:bookmarkEnd w:id="6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hereby reject the following bids: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Amount</w:t>
      </w:r>
      <w:r>
        <w:rPr>
          <w:rFonts w:ascii="Arial" w:cs="Arial" w:eastAsia="Arial" w:hAnsi="Arial"/>
          <w:sz w:val="18"/>
          <w:szCs w:val="18"/>
          <w:color w:val="auto"/>
        </w:rPr>
        <w:t xml:space="preserv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Rate/Margin</w:t>
      </w:r>
      <w:r>
        <w:rPr>
          <w:rFonts w:ascii="Arial" w:cs="Arial" w:eastAsia="Arial" w:hAnsi="Arial"/>
          <w:sz w:val="18"/>
          <w:szCs w:val="18"/>
          <w:color w:val="auto"/>
        </w:rPr>
        <w:t xml:space="preserve"> [%]/[+/-.__%]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 Date</w:t>
      </w:r>
    </w:p>
    <w:p>
      <w:pPr>
        <w:spacing w:after="0" w:line="211"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8"/>
          <w:szCs w:val="18"/>
          <w:color w:val="auto"/>
        </w:rPr>
        <w:t>The [$]</w:t>
      </w:r>
      <w:r>
        <w:rPr>
          <w:sz w:val="20"/>
          <w:szCs w:val="20"/>
          <w:color w:val="auto"/>
        </w:rPr>
        <w:tab/>
      </w:r>
      <w:r>
        <w:rPr>
          <w:rFonts w:ascii="Arial" w:cs="Arial" w:eastAsia="Arial" w:hAnsi="Arial"/>
          <w:sz w:val="16"/>
          <w:szCs w:val="16"/>
          <w:color w:val="auto"/>
        </w:rPr>
        <w:t>should be made available to the Applicable Borrower in immediately available funds by crediting the following account:</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[BankName]</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5715</wp:posOffset>
            </wp:positionV>
            <wp:extent cx="289877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14605</wp:posOffset>
            </wp:positionV>
            <wp:extent cx="2898775"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14605</wp:posOffset>
            </wp:positionV>
            <wp:extent cx="2898775"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NAME OF APPLICABLE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BORROWER]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400"/>
          </w:cols>
          <w:pgMar w:left="240" w:top="274" w:right="1259" w:bottom="1440" w:gutter="0" w:footer="0" w:header="0"/>
        </w:sectPr>
      </w:pPr>
    </w:p>
    <w:bookmarkStart w:id="612" w:name="page613"/>
    <w:bookmarkEnd w:id="612"/>
    <w:p>
      <w:pPr>
        <w:ind w:left="9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7" w:lineRule="exact"/>
        <w:rPr>
          <w:sz w:val="20"/>
          <w:szCs w:val="20"/>
          <w:color w:val="auto"/>
        </w:rPr>
      </w:pPr>
    </w:p>
    <w:p>
      <w:pPr>
        <w:ind w:left="95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[RESERVED]</w:t>
      </w:r>
    </w:p>
    <w:p>
      <w:pPr>
        <w:sectPr>
          <w:pgSz w:w="11900" w:h="16838" w:orient="portrait"/>
          <w:cols w:equalWidth="0" w:num="1">
            <w:col w:w="10220"/>
          </w:cols>
          <w:pgMar w:left="1440" w:top="271" w:right="239" w:bottom="1440" w:gutter="0" w:footer="0" w:header="0"/>
        </w:sectPr>
      </w:pPr>
    </w:p>
    <w:bookmarkStart w:id="613" w:name="page614"/>
    <w:bookmarkEnd w:id="613"/>
    <w:p>
      <w:pPr>
        <w:ind w:left="10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7"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CLOSING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LOAN PARTY]</w:t>
      </w:r>
    </w:p>
    <w:p>
      <w:pPr>
        <w:spacing w:after="0" w:line="211"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6337300</wp:posOffset>
            </wp:positionH>
            <wp:positionV relativeFrom="paragraph">
              <wp:posOffset>-10160</wp:posOffset>
            </wp:positionV>
            <wp:extent cx="9144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Certificate is furnished pursuant to (i) Section 5.1(c) of that certain Third Amended and Restated Three Year Revolving Credit Agreement, dated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April 18, 2018 (as amended, restated, amended and restated, renewed, supplemented or modified from time to time, the “</w:t>
      </w:r>
      <w:r>
        <w:rPr>
          <w:rFonts w:ascii="Arial" w:cs="Arial" w:eastAsia="Arial" w:hAnsi="Arial"/>
          <w:sz w:val="16"/>
          <w:szCs w:val="16"/>
          <w:u w:val="single" w:color="auto"/>
          <w:color w:val="auto"/>
        </w:rPr>
        <w:t>3-Year Credit Agreement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u w:val="single" w:color="auto"/>
          <w:color w:val="auto"/>
        </w:rPr>
        <w:t>GMF</w:t>
      </w:r>
      <w:r>
        <w:rPr>
          <w:rFonts w:ascii="Arial" w:cs="Arial" w:eastAsia="Arial" w:hAnsi="Arial"/>
          <w:sz w:val="16"/>
          <w:szCs w:val="16"/>
          <w:color w:val="auto"/>
        </w:rPr>
        <w:t>”), GM Global Treasury Centre Limited, a corporation organized under the laws of England and Wales (“</w:t>
      </w:r>
      <w:r>
        <w:rPr>
          <w:rFonts w:ascii="Arial" w:cs="Arial" w:eastAsia="Arial" w:hAnsi="Arial"/>
          <w:sz w:val="16"/>
          <w:szCs w:val="16"/>
          <w:u w:val="single" w:color="auto"/>
          <w:color w:val="auto"/>
        </w:rPr>
        <w:t>GMGTC</w:t>
      </w:r>
      <w:r>
        <w:rPr>
          <w:rFonts w:ascii="Arial" w:cs="Arial" w:eastAsia="Arial" w:hAnsi="Arial"/>
          <w:sz w:val="16"/>
          <w:szCs w:val="16"/>
          <w:color w:val="auto"/>
        </w:rPr>
        <w:t>”), General Motors do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Brasil Ltda., a Brazilian limited liability company (“</w:t>
      </w:r>
      <w:r>
        <w:rPr>
          <w:rFonts w:ascii="Arial" w:cs="Arial" w:eastAsia="Arial" w:hAnsi="Arial"/>
          <w:sz w:val="17"/>
          <w:szCs w:val="17"/>
          <w:u w:val="single" w:color="auto"/>
          <w:color w:val="auto"/>
        </w:rPr>
        <w:t>GM Brazil</w:t>
      </w:r>
      <w:r>
        <w:rPr>
          <w:rFonts w:ascii="Arial" w:cs="Arial" w:eastAsia="Arial" w:hAnsi="Arial"/>
          <w:sz w:val="17"/>
          <w:szCs w:val="17"/>
          <w:color w:val="auto"/>
        </w:rPr>
        <w:t>”), the Subsidiary Borrowers from time to time party thereto, the lenders from time to time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party thereto, as lenders (the “</w:t>
      </w:r>
      <w:r>
        <w:rPr>
          <w:rFonts w:ascii="Arial" w:cs="Arial" w:eastAsia="Arial" w:hAnsi="Arial"/>
          <w:sz w:val="17"/>
          <w:szCs w:val="17"/>
          <w:u w:val="single" w:color="auto"/>
          <w:color w:val="auto"/>
        </w:rPr>
        <w:t>3-Year Lenders</w:t>
      </w:r>
      <w:r>
        <w:rPr>
          <w:rFonts w:ascii="Arial" w:cs="Arial" w:eastAsia="Arial" w:hAnsi="Arial"/>
          <w:sz w:val="17"/>
          <w:szCs w:val="17"/>
          <w:color w:val="auto"/>
        </w:rPr>
        <w:t>”), JPMorgan Chase Bank, N.A. (“</w:t>
      </w:r>
      <w:r>
        <w:rPr>
          <w:rFonts w:ascii="Arial" w:cs="Arial" w:eastAsia="Arial" w:hAnsi="Arial"/>
          <w:sz w:val="17"/>
          <w:szCs w:val="17"/>
          <w:u w:val="single" w:color="auto"/>
          <w:color w:val="auto"/>
        </w:rPr>
        <w:t>JPM</w:t>
      </w:r>
      <w:r>
        <w:rPr>
          <w:rFonts w:ascii="Arial" w:cs="Arial" w:eastAsia="Arial" w:hAnsi="Arial"/>
          <w:sz w:val="17"/>
          <w:szCs w:val="17"/>
          <w:color w:val="auto"/>
        </w:rPr>
        <w:t>”), as administrative agent for the 3-Year Lenders (in such capacity,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together 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Citibank,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 as syndication agent (in such capacity, the “</w:t>
      </w:r>
      <w:r>
        <w:rPr>
          <w:rFonts w:ascii="Arial" w:cs="Arial" w:eastAsia="Arial" w:hAnsi="Arial"/>
          <w:sz w:val="18"/>
          <w:szCs w:val="18"/>
          <w:u w:val="single" w:color="auto"/>
          <w:color w:val="auto"/>
        </w:rPr>
        <w:t>Syndication Agent</w:t>
      </w:r>
      <w:r>
        <w:rPr>
          <w:rFonts w:ascii="Arial" w:cs="Arial" w:eastAsia="Arial" w:hAnsi="Arial"/>
          <w:sz w:val="18"/>
          <w:szCs w:val="18"/>
          <w:color w:val="auto"/>
        </w:rPr>
        <w:t>”), Bank of America, N.A., as co-syndication agent (in such capacity,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Co-Syndication Agent</w:t>
      </w:r>
      <w:r>
        <w:rPr>
          <w:rFonts w:ascii="Arial" w:cs="Arial" w:eastAsia="Arial" w:hAnsi="Arial"/>
          <w:sz w:val="17"/>
          <w:szCs w:val="17"/>
          <w:color w:val="auto"/>
        </w:rPr>
        <w:t>”), and the other agents party thereto, (ii) Section 5.1(c) of that certain Third Amended and Restated Five Year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as of April 18, 2018, as amended, restated, amended and restated, renewed, supplemented or modified from time to time (the “</w:t>
      </w:r>
      <w:r>
        <w:rPr>
          <w:rFonts w:ascii="Arial" w:cs="Arial" w:eastAsia="Arial" w:hAnsi="Arial"/>
          <w:sz w:val="16"/>
          <w:szCs w:val="16"/>
          <w:u w:val="single" w:color="auto"/>
          <w:color w:val="auto"/>
        </w:rPr>
        <w:t>5-Year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 GMF, GMGTC, GM Brazil, the Subsidiary Borrowers from time to time party thereto, the lenders from time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time party thereto, as lenders (the “</w:t>
      </w:r>
      <w:r>
        <w:rPr>
          <w:rFonts w:ascii="Arial" w:cs="Arial" w:eastAsia="Arial" w:hAnsi="Arial"/>
          <w:sz w:val="16"/>
          <w:szCs w:val="16"/>
          <w:u w:val="single" w:color="auto"/>
          <w:color w:val="auto"/>
        </w:rPr>
        <w:t>5-Year Lenders</w:t>
      </w:r>
      <w:r>
        <w:rPr>
          <w:rFonts w:ascii="Arial" w:cs="Arial" w:eastAsia="Arial" w:hAnsi="Arial"/>
          <w:sz w:val="16"/>
          <w:szCs w:val="16"/>
          <w:color w:val="auto"/>
        </w:rPr>
        <w:t>”), JPM, as administrative agent for the 5-Year Lenders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Banco do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Brasil S.A., as Brazilian administrative agent, the Syndication Agent, the Co-Syndication Agent, and the other agents party thereto and (iii) Section 5.1(c)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-4445</wp:posOffset>
            </wp:positionV>
            <wp:extent cx="28575"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that certain 364-Day Revolving Credit Agreement, dated as of April 18, 2018, as amended, restated, amended and restated, renewed, supplemented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modified from time to time (the “</w:t>
      </w:r>
      <w:r>
        <w:rPr>
          <w:rFonts w:ascii="Arial" w:cs="Arial" w:eastAsia="Arial" w:hAnsi="Arial"/>
          <w:sz w:val="16"/>
          <w:szCs w:val="16"/>
          <w:u w:val="single" w:color="auto"/>
          <w:color w:val="auto"/>
        </w:rPr>
        <w:t>364-Day Credit Agreement</w:t>
      </w:r>
      <w:r>
        <w:rPr>
          <w:rFonts w:ascii="Arial" w:cs="Arial" w:eastAsia="Arial" w:hAnsi="Arial"/>
          <w:sz w:val="16"/>
          <w:szCs w:val="16"/>
          <w:color w:val="auto"/>
        </w:rPr>
        <w:t>” and together with the 3-Year Credit Agreement and the 5-Year Credit Agreement, the “</w:t>
      </w:r>
      <w:r>
        <w:rPr>
          <w:rFonts w:ascii="Arial" w:cs="Arial" w:eastAsia="Arial" w:hAnsi="Arial"/>
          <w:sz w:val="16"/>
          <w:szCs w:val="16"/>
          <w:u w:val="single" w:color="auto"/>
          <w:color w:val="auto"/>
        </w:rPr>
        <w:t>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Agreements</w:t>
      </w:r>
      <w:r>
        <w:rPr>
          <w:rFonts w:ascii="Arial" w:cs="Arial" w:eastAsia="Arial" w:hAnsi="Arial"/>
          <w:sz w:val="16"/>
          <w:szCs w:val="16"/>
          <w:color w:val="auto"/>
        </w:rPr>
        <w:t>” and each a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GMF, GMGTC, the Subsidiary Borrowers from time to time party thereto, the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party thereto, as lenders (the “</w:t>
      </w:r>
      <w:r>
        <w:rPr>
          <w:rFonts w:ascii="Arial" w:cs="Arial" w:eastAsia="Arial" w:hAnsi="Arial"/>
          <w:sz w:val="16"/>
          <w:szCs w:val="16"/>
          <w:u w:val="single" w:color="auto"/>
          <w:color w:val="auto"/>
        </w:rPr>
        <w:t>364-Day Lenders</w:t>
      </w:r>
      <w:r>
        <w:rPr>
          <w:rFonts w:ascii="Arial" w:cs="Arial" w:eastAsia="Arial" w:hAnsi="Arial"/>
          <w:sz w:val="16"/>
          <w:szCs w:val="16"/>
          <w:color w:val="auto"/>
        </w:rPr>
        <w:t>” and together with the 3-Year Lenders and the 5-Year Lenders, the “</w:t>
      </w:r>
      <w:r>
        <w:rPr>
          <w:rFonts w:ascii="Arial" w:cs="Arial" w:eastAsia="Arial" w:hAnsi="Arial"/>
          <w:sz w:val="16"/>
          <w:szCs w:val="16"/>
          <w:u w:val="single" w:color="auto"/>
          <w:color w:val="auto"/>
        </w:rPr>
        <w:t>Lenders</w:t>
      </w:r>
      <w:r>
        <w:rPr>
          <w:rFonts w:ascii="Arial" w:cs="Arial" w:eastAsia="Arial" w:hAnsi="Arial"/>
          <w:sz w:val="16"/>
          <w:szCs w:val="16"/>
          <w:color w:val="auto"/>
        </w:rPr>
        <w:t>”), JPM as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for the 364-Day Lenders (the “</w:t>
      </w:r>
      <w:r>
        <w:rPr>
          <w:rFonts w:ascii="Arial" w:cs="Arial" w:eastAsia="Arial" w:hAnsi="Arial"/>
          <w:sz w:val="17"/>
          <w:szCs w:val="17"/>
          <w:u w:val="single" w:color="auto"/>
          <w:color w:val="auto"/>
        </w:rPr>
        <w:t>364-Day Administrative Agent</w:t>
      </w:r>
      <w:r>
        <w:rPr>
          <w:rFonts w:ascii="Arial" w:cs="Arial" w:eastAsia="Arial" w:hAnsi="Arial"/>
          <w:sz w:val="17"/>
          <w:szCs w:val="17"/>
          <w:color w:val="auto"/>
        </w:rPr>
        <w:t>” and together with the 3-Year Administrative Agent and the 5-Year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the Syndication Agent, the Co-Syndication Agent, and the other agents party thereto. Unless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herein, capitalized terms used in this Certificate have the meanings assigned to such terms in each Credit Agreement.</w:t>
      </w:r>
    </w:p>
    <w:p>
      <w:pPr>
        <w:sectPr>
          <w:pgSz w:w="11900" w:h="16838" w:orient="portrait"/>
          <w:cols w:equalWidth="0" w:num="1">
            <w:col w:w="11420"/>
          </w:cols>
          <w:pgMar w:left="240" w:top="270" w:right="239" w:bottom="1440" w:gutter="0" w:footer="0" w:header="0"/>
        </w:sectPr>
      </w:pPr>
    </w:p>
    <w:bookmarkStart w:id="614" w:name="page615"/>
    <w:bookmarkEnd w:id="614"/>
    <w:p>
      <w:pPr>
        <w:ind w:right="94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the undersigned, [Assistant] Secretary of [the Company] [Name of Loan Party], a Delaware [corporation][limited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do hereby certify, in the name and on behalf of the Company, and without assuming any personal liability, that:</w:t>
      </w:r>
    </w:p>
    <w:p>
      <w:pPr>
        <w:spacing w:after="0" w:line="38" w:lineRule="exact"/>
        <w:rPr>
          <w:sz w:val="20"/>
          <w:szCs w:val="20"/>
          <w:color w:val="auto"/>
        </w:rPr>
      </w:pPr>
    </w:p>
    <w:p>
      <w:pPr>
        <w:ind w:firstLine="464"/>
        <w:spacing w:after="0" w:line="259" w:lineRule="auto"/>
        <w:tabs>
          <w:tab w:leader="none" w:pos="636" w:val="left"/>
        </w:tabs>
        <w:numPr>
          <w:ilvl w:val="0"/>
          <w:numId w:val="593"/>
        </w:numPr>
        <w:rPr>
          <w:rFonts w:ascii="Arial" w:cs="Arial" w:eastAsia="Arial" w:hAnsi="Arial"/>
          <w:sz w:val="18"/>
          <w:szCs w:val="18"/>
          <w:color w:val="auto"/>
        </w:rPr>
      </w:pPr>
      <w:r>
        <w:rPr>
          <w:rFonts w:ascii="Arial" w:cs="Arial" w:eastAsia="Arial" w:hAnsi="Arial"/>
          <w:sz w:val="18"/>
          <w:szCs w:val="18"/>
          <w:color w:val="auto"/>
        </w:rPr>
        <w:t>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w:t>
      </w:r>
    </w:p>
    <w:p>
      <w:pPr>
        <w:spacing w:after="0" w:line="78" w:lineRule="exact"/>
        <w:rPr>
          <w:rFonts w:ascii="Arial" w:cs="Arial" w:eastAsia="Arial" w:hAnsi="Arial"/>
          <w:sz w:val="18"/>
          <w:szCs w:val="18"/>
          <w:color w:val="auto"/>
        </w:rPr>
      </w:pPr>
    </w:p>
    <w:p>
      <w:pPr>
        <w:ind w:right="120" w:firstLine="464"/>
        <w:spacing w:after="0" w:line="277" w:lineRule="auto"/>
        <w:tabs>
          <w:tab w:leader="none" w:pos="636" w:val="left"/>
        </w:tabs>
        <w:numPr>
          <w:ilvl w:val="0"/>
          <w:numId w:val="593"/>
        </w:numPr>
        <w:rPr>
          <w:rFonts w:ascii="Arial" w:cs="Arial" w:eastAsia="Arial" w:hAnsi="Arial"/>
          <w:sz w:val="18"/>
          <w:szCs w:val="18"/>
          <w:color w:val="auto"/>
        </w:rPr>
      </w:pPr>
      <w:r>
        <w:rPr>
          <w:rFonts w:ascii="Arial" w:cs="Arial" w:eastAsia="Arial" w:hAnsi="Arial"/>
          <w:sz w:val="18"/>
          <w:szCs w:val="18"/>
          <w:color w:val="auto"/>
        </w:rPr>
        <w:t>Attached hereto as Annex II is a true, correct and complete copy of the [by-laws][Limited Liability Company Agreement][Operating Agreement] of the Company as in effect on the date hereof.</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Attached hereto as Annex III is a true, correct and complete copy of resolutions duly adopted by the Board of [Directors] [Managers] of the</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Company [at a meeting thereof] [by written consent] as of the day of , 2018;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each [Credit Agreement and the other] Loan Documents to which the Company is a party are in substantially the forms of those documents approved by the Board of [Directors] [Managers] of the Company [at such meeting].</w:t>
      </w:r>
    </w:p>
    <w:p>
      <w:pPr>
        <w:spacing w:after="0" w:line="83" w:lineRule="exact"/>
        <w:rPr>
          <w:sz w:val="20"/>
          <w:szCs w:val="20"/>
          <w:color w:val="auto"/>
        </w:rPr>
      </w:pPr>
    </w:p>
    <w:p>
      <w:pPr>
        <w:ind w:right="20" w:firstLine="464"/>
        <w:spacing w:after="0" w:line="277" w:lineRule="auto"/>
        <w:tabs>
          <w:tab w:leader="none" w:pos="636" w:val="left"/>
        </w:tabs>
        <w:numPr>
          <w:ilvl w:val="0"/>
          <w:numId w:val="594"/>
        </w:numPr>
        <w:rPr>
          <w:rFonts w:ascii="Arial" w:cs="Arial" w:eastAsia="Arial" w:hAnsi="Arial"/>
          <w:sz w:val="18"/>
          <w:szCs w:val="18"/>
          <w:color w:val="auto"/>
        </w:rPr>
      </w:pPr>
      <w:r>
        <w:rPr>
          <w:rFonts w:ascii="Arial" w:cs="Arial" w:eastAsia="Arial" w:hAnsi="Arial"/>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1420"/>
          </w:cols>
          <w:pgMar w:left="240" w:top="274" w:right="239" w:bottom="1440" w:gutter="0" w:footer="0" w:header="0"/>
        </w:sectPr>
      </w:pPr>
    </w:p>
    <w:bookmarkStart w:id="615" w:name="page616"/>
    <w:bookmarkEnd w:id="6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Witness my hand as of the first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177800</wp:posOffset>
            </wp:positionV>
            <wp:extent cx="2898775"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Secretary</w:t>
      </w:r>
    </w:p>
    <w:p>
      <w:pPr>
        <w:spacing w:after="0" w:line="13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 Company, and without assuming any personal liability, that:</w:t>
      </w:r>
    </w:p>
    <w:p>
      <w:pPr>
        <w:spacing w:after="0" w:line="62" w:lineRule="exact"/>
        <w:rPr>
          <w:sz w:val="20"/>
          <w:szCs w:val="20"/>
          <w:color w:val="auto"/>
        </w:rPr>
      </w:pPr>
    </w:p>
    <w:p>
      <w:pPr>
        <w:ind w:left="1580" w:hanging="1116"/>
        <w:spacing w:after="0"/>
        <w:tabs>
          <w:tab w:leader="none" w:pos="1580" w:val="left"/>
        </w:tabs>
        <w:numPr>
          <w:ilvl w:val="1"/>
          <w:numId w:val="595"/>
        </w:numPr>
        <w:rPr>
          <w:rFonts w:ascii="Arial" w:cs="Arial" w:eastAsia="Arial" w:hAnsi="Arial"/>
          <w:sz w:val="17"/>
          <w:szCs w:val="17"/>
          <w:color w:val="auto"/>
        </w:rPr>
      </w:pPr>
      <w:r>
        <w:rPr>
          <w:rFonts w:ascii="Arial" w:cs="Arial" w:eastAsia="Arial" w:hAnsi="Arial"/>
          <w:sz w:val="17"/>
          <w:szCs w:val="17"/>
          <w:color w:val="auto"/>
        </w:rPr>
        <w:t>is [a] [the] duly elected and qualified [Assistant] Secretary of the Company and the signature above is [his][her] genuine signature.</w:t>
      </w:r>
    </w:p>
    <w:p>
      <w:pPr>
        <w:spacing w:after="0" w:line="128" w:lineRule="exact"/>
        <w:rPr>
          <w:rFonts w:ascii="Arial" w:cs="Arial" w:eastAsia="Arial" w:hAnsi="Arial"/>
          <w:sz w:val="17"/>
          <w:szCs w:val="17"/>
          <w:color w:val="auto"/>
        </w:rPr>
      </w:pPr>
    </w:p>
    <w:p>
      <w:pPr>
        <w:ind w:firstLine="8"/>
        <w:spacing w:after="0" w:line="259" w:lineRule="auto"/>
        <w:tabs>
          <w:tab w:leader="none" w:pos="1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representations and warranties on the part of the Company contained in each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r>
        <w:rPr>
          <w:rFonts w:ascii="Arial" w:cs="Arial" w:eastAsia="Arial" w:hAnsi="Arial"/>
          <w:sz w:val="15"/>
          <w:szCs w:val="15"/>
          <w:color w:val="auto"/>
        </w:rPr>
        <w:t>1</w:t>
      </w:r>
    </w:p>
    <w:p>
      <w:pPr>
        <w:spacing w:after="0" w:line="78" w:lineRule="exact"/>
        <w:rPr>
          <w:rFonts w:ascii="Arial" w:cs="Arial" w:eastAsia="Arial" w:hAnsi="Arial"/>
          <w:sz w:val="18"/>
          <w:szCs w:val="18"/>
          <w:color w:val="auto"/>
        </w:rPr>
      </w:pPr>
    </w:p>
    <w:p>
      <w:pPr>
        <w:ind w:left="180" w:hanging="172"/>
        <w:spacing w:after="0"/>
        <w:tabs>
          <w:tab w:leader="none" w:pos="18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 xml:space="preserve">[No Default or Event of Default has occurred and is continuing as of the date hereof.]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177800</wp:posOffset>
            </wp:positionV>
            <wp:extent cx="2898775"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Secretary][Responsible Officer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898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ind w:left="460" w:hanging="452"/>
        <w:spacing w:after="0"/>
        <w:tabs>
          <w:tab w:leader="none" w:pos="460" w:val="left"/>
        </w:tabs>
        <w:numPr>
          <w:ilvl w:val="0"/>
          <w:numId w:val="597"/>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pacing w:after="0" w:line="22" w:lineRule="exact"/>
        <w:rPr>
          <w:sz w:val="20"/>
          <w:szCs w:val="20"/>
          <w:color w:val="auto"/>
        </w:rPr>
      </w:pPr>
    </w:p>
    <w:p>
      <w:pPr>
        <w:ind w:left="460" w:hanging="452"/>
        <w:spacing w:after="0"/>
        <w:tabs>
          <w:tab w:leader="none" w:pos="460" w:val="left"/>
        </w:tabs>
        <w:numPr>
          <w:ilvl w:val="0"/>
          <w:numId w:val="598"/>
        </w:numPr>
        <w:rPr>
          <w:rFonts w:ascii="Arial" w:cs="Arial" w:eastAsia="Arial" w:hAnsi="Arial"/>
          <w:sz w:val="15"/>
          <w:szCs w:val="15"/>
          <w:color w:val="auto"/>
        </w:rPr>
      </w:pPr>
      <w:r>
        <w:rPr>
          <w:rFonts w:ascii="Arial" w:cs="Arial" w:eastAsia="Arial" w:hAnsi="Arial"/>
          <w:sz w:val="18"/>
          <w:szCs w:val="18"/>
          <w:color w:val="auto"/>
        </w:rPr>
        <w:t>To be included in Certificate relating to General Motors Company only.</w:t>
      </w:r>
    </w:p>
    <w:p>
      <w:pPr>
        <w:sectPr>
          <w:pgSz w:w="11900" w:h="16838" w:orient="portrait"/>
          <w:cols w:equalWidth="0" w:num="1">
            <w:col w:w="11400"/>
          </w:cols>
          <w:pgMar w:left="240" w:top="274" w:right="259" w:bottom="1440" w:gutter="0" w:footer="0" w:header="0"/>
        </w:sectPr>
      </w:pPr>
    </w:p>
    <w:bookmarkStart w:id="616" w:name="page617"/>
    <w:bookmarkEnd w:id="616"/>
    <w:p>
      <w:pPr>
        <w:jc w:val="center"/>
        <w:ind w:left="106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23" w:lineRule="exact"/>
        <w:rPr>
          <w:sz w:val="20"/>
          <w:szCs w:val="20"/>
          <w:color w:val="auto"/>
        </w:rPr>
      </w:pPr>
    </w:p>
    <w:p>
      <w:pPr>
        <w:jc w:val="center"/>
        <w:ind w:left="1074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66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[Copy of the Certificate of [Incorporation][Formation]]</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10220"/>
          </w:cols>
          <w:pgMar w:left="1440" w:top="274" w:right="239" w:bottom="1440" w:gutter="0" w:footer="0" w:header="0"/>
        </w:sectPr>
      </w:pPr>
    </w:p>
    <w:bookmarkStart w:id="617" w:name="page618"/>
    <w:bookmarkEnd w:id="617"/>
    <w:p>
      <w:pPr>
        <w:jc w:val="center"/>
        <w:ind w:left="10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II</w:t>
      </w:r>
    </w:p>
    <w:p>
      <w:pPr>
        <w:spacing w:after="0" w:line="23" w:lineRule="exact"/>
        <w:rPr>
          <w:sz w:val="20"/>
          <w:szCs w:val="20"/>
          <w:color w:val="auto"/>
        </w:rPr>
      </w:pPr>
    </w:p>
    <w:p>
      <w:pPr>
        <w:jc w:val="center"/>
        <w:ind w:left="1056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1066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[Copy of the [by-laws] [Limited Liability Company Agreement][Operating Agreement]</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[NAME OF LOAN PARTY]]</w:t>
      </w:r>
    </w:p>
    <w:p>
      <w:pPr>
        <w:sectPr>
          <w:pgSz w:w="11900" w:h="16838" w:orient="portrait"/>
          <w:cols w:equalWidth="0" w:num="1">
            <w:col w:w="10220"/>
          </w:cols>
          <w:pgMar w:left="1440" w:top="274" w:right="239" w:bottom="1440" w:gutter="0" w:footer="0" w:header="0"/>
        </w:sectPr>
      </w:pPr>
    </w:p>
    <w:bookmarkStart w:id="618" w:name="page619"/>
    <w:bookmarkEnd w:id="618"/>
    <w:p>
      <w:pPr>
        <w:jc w:val="center"/>
        <w:ind w:left="10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III</w:t>
      </w:r>
    </w:p>
    <w:p>
      <w:pPr>
        <w:spacing w:after="0" w:line="23"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460"/>
        <w:spacing w:after="0"/>
        <w:rPr>
          <w:sz w:val="20"/>
          <w:szCs w:val="20"/>
          <w:color w:val="auto"/>
        </w:rPr>
      </w:pPr>
      <w:r>
        <w:rPr>
          <w:rFonts w:ascii="Arial" w:cs="Arial" w:eastAsia="Arial" w:hAnsi="Arial"/>
          <w:sz w:val="16"/>
          <w:szCs w:val="16"/>
          <w:color w:val="auto"/>
        </w:rPr>
        <w:t>Certificate</w:t>
      </w:r>
    </w:p>
    <w:p>
      <w:pPr>
        <w:spacing w:after="0" w:line="23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Resolutions of the Board of [Directors] [Managers] of [Name of Loan Party]</w:t>
      </w:r>
    </w:p>
    <w:p>
      <w:pPr>
        <w:sectPr>
          <w:pgSz w:w="11900" w:h="16838" w:orient="portrait"/>
          <w:cols w:equalWidth="0" w:num="1">
            <w:col w:w="10220"/>
          </w:cols>
          <w:pgMar w:left="1440" w:top="273" w:right="239" w:bottom="1440" w:gutter="0" w:footer="0" w:header="0"/>
        </w:sectPr>
      </w:pPr>
    </w:p>
    <w:bookmarkStart w:id="619" w:name="page620"/>
    <w:bookmarkEnd w:id="619"/>
    <w:p>
      <w:pPr>
        <w:ind w:left="9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IV</w:t>
      </w:r>
    </w:p>
    <w:p>
      <w:pPr>
        <w:spacing w:after="0" w:line="23"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Certificate</w:t>
      </w:r>
    </w:p>
    <w:p>
      <w:pPr>
        <w:spacing w:after="0" w:line="233" w:lineRule="exact"/>
        <w:rPr>
          <w:sz w:val="20"/>
          <w:szCs w:val="20"/>
          <w:color w:val="auto"/>
        </w:rPr>
      </w:pPr>
    </w:p>
    <w:p>
      <w:pPr>
        <w:ind w:left="240"/>
        <w:spacing w:after="0"/>
        <w:tabs>
          <w:tab w:leader="none" w:pos="5940" w:val="left"/>
          <w:tab w:leader="none" w:pos="9640" w:val="left"/>
        </w:tabs>
        <w:rPr>
          <w:sz w:val="20"/>
          <w:szCs w:val="20"/>
          <w:color w:val="auto"/>
        </w:rPr>
      </w:pPr>
      <w:r>
        <w:rPr>
          <w:rFonts w:ascii="Arial" w:cs="Arial" w:eastAsia="Arial" w:hAnsi="Arial"/>
          <w:sz w:val="14"/>
          <w:szCs w:val="14"/>
          <w:u w:val="single" w:color="auto"/>
          <w:color w:val="auto"/>
        </w:rPr>
        <w:t>Name of Officer</w:t>
      </w:r>
      <w:r>
        <w:rPr>
          <w:sz w:val="20"/>
          <w:szCs w:val="20"/>
          <w:color w:val="auto"/>
        </w:rPr>
        <w:tab/>
      </w:r>
      <w:r>
        <w:rPr>
          <w:rFonts w:ascii="Arial" w:cs="Arial" w:eastAsia="Arial" w:hAnsi="Arial"/>
          <w:sz w:val="14"/>
          <w:szCs w:val="14"/>
          <w:u w:val="single" w:color="auto"/>
          <w:color w:val="auto"/>
        </w:rPr>
        <w:t>Office</w:t>
      </w:r>
      <w:r>
        <w:rPr>
          <w:sz w:val="20"/>
          <w:szCs w:val="20"/>
          <w:color w:val="auto"/>
        </w:rPr>
        <w:tab/>
      </w:r>
      <w:r>
        <w:rPr>
          <w:rFonts w:ascii="Arial" w:cs="Arial" w:eastAsia="Arial" w:hAnsi="Arial"/>
          <w:sz w:val="13"/>
          <w:szCs w:val="13"/>
          <w:u w:val="single" w:color="auto"/>
          <w:color w:val="auto"/>
        </w:rPr>
        <w:t>Signature</w:t>
      </w:r>
    </w:p>
    <w:p>
      <w:pPr>
        <w:sectPr>
          <w:pgSz w:w="11900" w:h="16838" w:orient="portrait"/>
          <w:cols w:equalWidth="0" w:num="1">
            <w:col w:w="10220"/>
          </w:cols>
          <w:pgMar w:left="1440" w:top="274" w:right="239" w:bottom="1440" w:gutter="0" w:footer="0" w:header="0"/>
        </w:sectPr>
      </w:pPr>
    </w:p>
    <w:bookmarkStart w:id="620" w:name="page621"/>
    <w:bookmarkEnd w:id="620"/>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7"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ASSUMPTION</w:t>
      </w:r>
    </w:p>
    <w:p>
      <w:pPr>
        <w:spacing w:after="0" w:line="229"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ASSIGNMENT AND ASSUMPTION, dated as of , 20 (as amended, supplemented or modified from time to time, this “</w:t>
      </w:r>
      <w:r>
        <w:rPr>
          <w:rFonts w:ascii="Arial" w:cs="Arial" w:eastAsia="Arial" w:hAnsi="Arial"/>
          <w:sz w:val="17"/>
          <w:szCs w:val="17"/>
          <w:u w:val="single" w:color="auto"/>
          <w:color w:val="auto"/>
        </w:rPr>
        <w:t>Agreement</w:t>
      </w:r>
      <w:r>
        <w:rPr>
          <w:rFonts w:ascii="Arial" w:cs="Arial" w:eastAsia="Arial" w:hAnsi="Arial"/>
          <w:sz w:val="17"/>
          <w:szCs w:val="17"/>
          <w:color w:val="auto"/>
        </w:rPr>
        <w:t>”), between [NAME OF ASSIGNOR], a Lender under the Credit Agreement referred to below (the “</w:t>
      </w:r>
      <w:r>
        <w:rPr>
          <w:rFonts w:ascii="Arial" w:cs="Arial" w:eastAsia="Arial" w:hAnsi="Arial"/>
          <w:sz w:val="17"/>
          <w:szCs w:val="17"/>
          <w:u w:val="single" w:color="auto"/>
          <w:color w:val="auto"/>
        </w:rPr>
        <w:t>Assignor</w:t>
      </w:r>
      <w:r>
        <w:rPr>
          <w:rFonts w:ascii="Arial" w:cs="Arial" w:eastAsia="Arial" w:hAnsi="Arial"/>
          <w:sz w:val="17"/>
          <w:szCs w:val="17"/>
          <w:color w:val="auto"/>
        </w:rPr>
        <w:t>”), and [NAME OF ASSIGNEE] (the “</w:t>
      </w:r>
      <w:r>
        <w:rPr>
          <w:rFonts w:ascii="Arial" w:cs="Arial" w:eastAsia="Arial" w:hAnsi="Arial"/>
          <w:sz w:val="17"/>
          <w:szCs w:val="17"/>
          <w:u w:val="single" w:color="auto"/>
          <w:color w:val="auto"/>
        </w:rPr>
        <w:t>Assignee</w:t>
      </w:r>
      <w:r>
        <w:rPr>
          <w:rFonts w:ascii="Arial" w:cs="Arial" w:eastAsia="Arial" w:hAnsi="Arial"/>
          <w:sz w:val="17"/>
          <w:szCs w:val="17"/>
          <w:color w:val="auto"/>
        </w:rPr>
        <w:t>”).</w:t>
      </w:r>
    </w:p>
    <w:p>
      <w:pPr>
        <w:spacing w:after="0" w:line="147"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Reference is made to the 364-Day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Borrowers from time to time party thereto, the lenders from time to time party thereto (together with their respective successors and permitted assigns,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Assignor and the Assignee hereby agree as follows:</w:t>
      </w:r>
    </w:p>
    <w:p>
      <w:pPr>
        <w:spacing w:after="0" w:line="117" w:lineRule="exact"/>
        <w:rPr>
          <w:sz w:val="20"/>
          <w:szCs w:val="20"/>
          <w:color w:val="auto"/>
        </w:rPr>
      </w:pPr>
    </w:p>
    <w:p>
      <w:pPr>
        <w:ind w:right="20" w:firstLine="464"/>
        <w:spacing w:after="0" w:line="286" w:lineRule="auto"/>
        <w:tabs>
          <w:tab w:leader="none" w:pos="636" w:val="left"/>
        </w:tabs>
        <w:numPr>
          <w:ilvl w:val="0"/>
          <w:numId w:val="599"/>
        </w:numPr>
        <w:rPr>
          <w:rFonts w:ascii="Arial" w:cs="Arial" w:eastAsia="Arial" w:hAnsi="Arial"/>
          <w:sz w:val="16"/>
          <w:szCs w:val="16"/>
          <w:color w:val="auto"/>
        </w:rPr>
      </w:pPr>
      <w:r>
        <w:rPr>
          <w:rFonts w:ascii="Arial" w:cs="Arial" w:eastAsia="Arial" w:hAnsi="Arial"/>
          <w:sz w:val="16"/>
          <w:szCs w:val="16"/>
          <w:color w:val="auto"/>
        </w:rPr>
        <w:t xml:space="preserve">For an agreed consideration, the Assignor hereby irrevocably sells and assigns to the Assignee, without recourse to, or (except as otherwise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warranty by, the Assignor, as of the Trade Date (as defined below), the interest described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xml:space="preserve">”) in and to the Assignor’s rights and obligations under the Credit Agreement with respect to its [Commitment][and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it is expressly understood and agreed that (i) the Assignor is not assigning to the Assignee and the Assignor shall retain (A) all of the Assignor’s rights under</w:t>
      </w:r>
    </w:p>
    <w:p>
      <w:pPr>
        <w:sectPr>
          <w:pgSz w:w="11900" w:h="16838" w:orient="portrait"/>
          <w:cols w:equalWidth="0" w:num="1">
            <w:col w:w="11420"/>
          </w:cols>
          <w:pgMar w:left="240" w:top="269" w:right="239" w:bottom="1440" w:gutter="0" w:footer="0" w:header="0"/>
        </w:sectPr>
      </w:pPr>
    </w:p>
    <w:bookmarkStart w:id="621" w:name="page622"/>
    <w:bookmarkEnd w:id="621"/>
    <w:p>
      <w:pPr>
        <w:ind w:right="40"/>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10.5</w:t>
      </w:r>
      <w:r>
        <w:rPr>
          <w:rFonts w:ascii="Arial" w:cs="Arial" w:eastAsia="Arial" w:hAnsi="Arial"/>
          <w:sz w:val="16"/>
          <w:szCs w:val="16"/>
          <w:color w:val="auto"/>
        </w:rPr>
        <w:t xml:space="preserve"> of the Credit Agreement with respect to any cost, reduction or payment incurred or made prior to the Trade Date, including, without limitation the rights to indemnification and to reimbursement for taxes, costs and expenses and (B) any and all amounts paid to the Assignor prior to the Trade Date and</w:t>
      </w:r>
    </w:p>
    <w:p>
      <w:pPr>
        <w:ind w:left="280" w:hanging="272"/>
        <w:spacing w:after="0"/>
        <w:tabs>
          <w:tab w:leader="none" w:pos="28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xml:space="preserve">the Assignee shall be entitled to the benefits of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from and after the Trade Date.</w:t>
      </w:r>
    </w:p>
    <w:p>
      <w:pPr>
        <w:spacing w:after="0" w:line="102" w:lineRule="exact"/>
        <w:rPr>
          <w:rFonts w:ascii="Arial" w:cs="Arial" w:eastAsia="Arial" w:hAnsi="Arial"/>
          <w:sz w:val="18"/>
          <w:szCs w:val="18"/>
          <w:color w:val="auto"/>
        </w:rPr>
      </w:pPr>
    </w:p>
    <w:p>
      <w:pPr>
        <w:ind w:right="60" w:firstLine="464"/>
        <w:spacing w:after="0" w:line="286" w:lineRule="auto"/>
        <w:tabs>
          <w:tab w:leader="none" w:pos="636" w:val="left"/>
        </w:tabs>
        <w:numPr>
          <w:ilvl w:val="1"/>
          <w:numId w:val="600"/>
        </w:numPr>
        <w:rPr>
          <w:rFonts w:ascii="Arial" w:cs="Arial" w:eastAsia="Arial" w:hAnsi="Arial"/>
          <w:sz w:val="16"/>
          <w:szCs w:val="16"/>
          <w:color w:val="auto"/>
        </w:rPr>
      </w:pPr>
      <w:r>
        <w:rPr>
          <w:rFonts w:ascii="Arial" w:cs="Arial" w:eastAsia="Arial" w:hAnsi="Arial"/>
          <w:sz w:val="16"/>
          <w:szCs w:val="16"/>
          <w:color w:val="auto"/>
        </w:rPr>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Assignor represents and warrants to the Assignee, to the Company and to the Administrative Agent (i) that the Assignor is the legal and beneficial owner of the Assigned Interest being assigned by it hereunder,</w:t>
      </w:r>
    </w:p>
    <w:p>
      <w:pPr>
        <w:spacing w:after="0" w:line="1" w:lineRule="exact"/>
        <w:rPr>
          <w:rFonts w:ascii="Arial" w:cs="Arial" w:eastAsia="Arial" w:hAnsi="Arial"/>
          <w:sz w:val="16"/>
          <w:szCs w:val="16"/>
          <w:color w:val="auto"/>
        </w:rPr>
      </w:pPr>
    </w:p>
    <w:p>
      <w:pPr>
        <w:ind w:right="60" w:firstLine="8"/>
        <w:spacing w:after="0" w:line="281" w:lineRule="auto"/>
        <w:tabs>
          <w:tab w:leader="none" w:pos="265" w:val="left"/>
        </w:tabs>
        <w:numPr>
          <w:ilvl w:val="0"/>
          <w:numId w:val="601"/>
        </w:numPr>
        <w:rPr>
          <w:rFonts w:ascii="Arial" w:cs="Arial" w:eastAsia="Arial" w:hAnsi="Arial"/>
          <w:sz w:val="16"/>
          <w:szCs w:val="16"/>
          <w:color w:val="auto"/>
        </w:rPr>
      </w:pPr>
      <w:r>
        <w:rPr>
          <w:rFonts w:ascii="Arial" w:cs="Arial" w:eastAsia="Arial" w:hAnsi="Arial"/>
          <w:sz w:val="16"/>
          <w:szCs w:val="16"/>
          <w:color w:val="auto"/>
        </w:rPr>
        <w:t>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w:t>
      </w:r>
    </w:p>
    <w:p>
      <w:pPr>
        <w:spacing w:after="0" w:line="3" w:lineRule="exact"/>
        <w:rPr>
          <w:rFonts w:ascii="Arial" w:cs="Arial" w:eastAsia="Arial" w:hAnsi="Arial"/>
          <w:sz w:val="16"/>
          <w:szCs w:val="16"/>
          <w:color w:val="auto"/>
        </w:rPr>
      </w:pPr>
    </w:p>
    <w:p>
      <w:pPr>
        <w:ind w:firstLine="8"/>
        <w:spacing w:after="0" w:line="253" w:lineRule="auto"/>
        <w:tabs>
          <w:tab w:leader="none" w:pos="24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83" w:lineRule="exact"/>
        <w:rPr>
          <w:rFonts w:ascii="Arial" w:cs="Arial" w:eastAsia="Arial" w:hAnsi="Arial"/>
          <w:sz w:val="18"/>
          <w:szCs w:val="18"/>
          <w:color w:val="auto"/>
        </w:rPr>
      </w:pPr>
    </w:p>
    <w:p>
      <w:pPr>
        <w:ind w:right="20" w:firstLine="464"/>
        <w:spacing w:after="0" w:line="287" w:lineRule="auto"/>
        <w:tabs>
          <w:tab w:leader="none" w:pos="636" w:val="left"/>
        </w:tabs>
        <w:numPr>
          <w:ilvl w:val="1"/>
          <w:numId w:val="602"/>
        </w:numPr>
        <w:rPr>
          <w:rFonts w:ascii="Arial" w:cs="Arial" w:eastAsia="Arial" w:hAnsi="Arial"/>
          <w:sz w:val="16"/>
          <w:szCs w:val="16"/>
          <w:color w:val="auto"/>
        </w:rPr>
      </w:pPr>
      <w:r>
        <w:rPr>
          <w:rFonts w:ascii="Arial" w:cs="Arial" w:eastAsia="Arial" w:hAnsi="Arial"/>
          <w:sz w:val="16"/>
          <w:szCs w:val="16"/>
          <w:color w:val="auto"/>
        </w:rPr>
        <w:t xml:space="preserve">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 (b) confirms that it has received a copy of the Credit Agreement, together with copies of the most recent financial statements delivered or deemed delivered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thereof (or, if none of such financial statements shall have then been delivered or deemed delivered, then copies of the financial statements referred to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thereof)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 its behalf and to exercise such powers and discretion under the Loan Documents or any other</w:t>
      </w:r>
    </w:p>
    <w:p>
      <w:pPr>
        <w:sectPr>
          <w:pgSz w:w="11900" w:h="16838" w:orient="portrait"/>
          <w:cols w:equalWidth="0" w:num="1">
            <w:col w:w="11400"/>
          </w:cols>
          <w:pgMar w:left="240" w:top="274" w:right="259" w:bottom="1440" w:gutter="0" w:footer="0" w:header="0"/>
        </w:sectPr>
      </w:pPr>
    </w:p>
    <w:bookmarkStart w:id="622" w:name="page623"/>
    <w:bookmarkEnd w:id="622"/>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instrument or document furnished pursuant hereto or thereto as are delegated to the Administrative Agent by the terms thereof, together with such powers as are incidental thereto; and (e) agrees that it will be bound by the provisions of the Credit Agreement as a Lender thereunder 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2.21(d) of the Credit Agreement, duly completed and executed by the Assignee.</w:t>
      </w:r>
    </w:p>
    <w:p>
      <w:pPr>
        <w:spacing w:after="0" w:line="64" w:lineRule="exact"/>
        <w:rPr>
          <w:sz w:val="20"/>
          <w:szCs w:val="20"/>
          <w:color w:val="auto"/>
        </w:rPr>
      </w:pPr>
    </w:p>
    <w:p>
      <w:pPr>
        <w:ind w:left="640" w:hanging="176"/>
        <w:spacing w:after="0"/>
        <w:tabs>
          <w:tab w:leader="none" w:pos="640" w:val="left"/>
        </w:tabs>
        <w:numPr>
          <w:ilvl w:val="0"/>
          <w:numId w:val="603"/>
        </w:numPr>
        <w:rPr>
          <w:rFonts w:ascii="Arial" w:cs="Arial" w:eastAsia="Arial" w:hAnsi="Arial"/>
          <w:sz w:val="17"/>
          <w:szCs w:val="17"/>
          <w:color w:val="auto"/>
        </w:rPr>
      </w:pPr>
      <w:r>
        <w:rPr>
          <w:rFonts w:ascii="Arial" w:cs="Arial" w:eastAsia="Arial" w:hAnsi="Arial"/>
          <w:sz w:val="17"/>
          <w:szCs w:val="17"/>
          <w:color w:val="auto"/>
        </w:rPr>
        <w:t xml:space="preserve">The effective date of this Agreement shall be the Trade Date of assignment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Trade Date</w:t>
      </w:r>
      <w:r>
        <w:rPr>
          <w:rFonts w:ascii="Arial" w:cs="Arial" w:eastAsia="Arial" w:hAnsi="Arial"/>
          <w:sz w:val="17"/>
          <w:szCs w:val="17"/>
          <w:color w:val="auto"/>
        </w:rPr>
        <w:t>”). Following the</w:t>
      </w:r>
    </w:p>
    <w:p>
      <w:pPr>
        <w:spacing w:after="0" w:line="34" w:lineRule="exact"/>
        <w:rPr>
          <w:rFonts w:ascii="Arial" w:cs="Arial" w:eastAsia="Arial" w:hAnsi="Arial"/>
          <w:sz w:val="17"/>
          <w:szCs w:val="17"/>
          <w:color w:val="auto"/>
        </w:rPr>
      </w:pPr>
    </w:p>
    <w:p>
      <w:pPr>
        <w:spacing w:after="0" w:line="281" w:lineRule="auto"/>
        <w:rPr>
          <w:rFonts w:ascii="Arial" w:cs="Arial" w:eastAsia="Arial" w:hAnsi="Arial"/>
          <w:sz w:val="17"/>
          <w:szCs w:val="17"/>
          <w:color w:val="auto"/>
        </w:rPr>
      </w:pPr>
      <w:r>
        <w:rPr>
          <w:rFonts w:ascii="Arial" w:cs="Arial" w:eastAsia="Arial" w:hAnsi="Arial"/>
          <w:sz w:val="16"/>
          <w:szCs w:val="16"/>
          <w:color w:val="auto"/>
        </w:rPr>
        <w:t>execution of this Agreement by the Assignor, the Assignee, the Company, each relevant Issuing Lender and the Brazilian Administrative Agent (in the case of the Company, each such Issuing Lender and the Brazilian Administrative Agent, to the extent that the consent of any such Person is required or permitted by the Credit Agreement), it will be delivered to the Administrative Agent for acceptance by it and recording by the Administrative Agent pursuant to</w:t>
      </w:r>
    </w:p>
    <w:p>
      <w:pPr>
        <w:spacing w:after="0" w:line="2" w:lineRule="exact"/>
        <w:rPr>
          <w:rFonts w:ascii="Arial" w:cs="Arial" w:eastAsia="Arial" w:hAnsi="Arial"/>
          <w:sz w:val="17"/>
          <w:szCs w:val="17"/>
          <w:color w:val="auto"/>
        </w:rPr>
      </w:pPr>
    </w:p>
    <w:p>
      <w:pPr>
        <w:ind w:right="60"/>
        <w:spacing w:after="0" w:line="290" w:lineRule="auto"/>
        <w:rPr>
          <w:rFonts w:ascii="Arial" w:cs="Arial" w:eastAsia="Arial" w:hAnsi="Arial"/>
          <w:sz w:val="17"/>
          <w:szCs w:val="17"/>
          <w:color w:val="auto"/>
        </w:rPr>
      </w:pP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53" w:lineRule="exact"/>
        <w:rPr>
          <w:rFonts w:ascii="Arial" w:cs="Arial" w:eastAsia="Arial" w:hAnsi="Arial"/>
          <w:sz w:val="17"/>
          <w:szCs w:val="17"/>
          <w:color w:val="auto"/>
        </w:rPr>
      </w:pPr>
    </w:p>
    <w:p>
      <w:pPr>
        <w:ind w:right="140" w:firstLine="464"/>
        <w:spacing w:after="0" w:line="264" w:lineRule="auto"/>
        <w:tabs>
          <w:tab w:leader="none" w:pos="636" w:val="left"/>
        </w:tabs>
        <w:numPr>
          <w:ilvl w:val="0"/>
          <w:numId w:val="603"/>
        </w:numPr>
        <w:rPr>
          <w:rFonts w:ascii="Arial" w:cs="Arial" w:eastAsia="Arial" w:hAnsi="Arial"/>
          <w:sz w:val="18"/>
          <w:szCs w:val="18"/>
          <w:color w:val="auto"/>
        </w:rPr>
      </w:pPr>
      <w:r>
        <w:rPr>
          <w:rFonts w:ascii="Arial" w:cs="Arial" w:eastAsia="Arial" w:hAnsi="Arial"/>
          <w:sz w:val="18"/>
          <w:szCs w:val="18"/>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73" w:lineRule="exact"/>
        <w:rPr>
          <w:rFonts w:ascii="Arial" w:cs="Arial" w:eastAsia="Arial" w:hAnsi="Arial"/>
          <w:sz w:val="18"/>
          <w:szCs w:val="18"/>
          <w:color w:val="auto"/>
        </w:rPr>
      </w:pPr>
    </w:p>
    <w:p>
      <w:pPr>
        <w:ind w:right="20" w:firstLine="464"/>
        <w:spacing w:after="0" w:line="279" w:lineRule="auto"/>
        <w:tabs>
          <w:tab w:leader="none" w:pos="636" w:val="left"/>
        </w:tabs>
        <w:numPr>
          <w:ilvl w:val="0"/>
          <w:numId w:val="603"/>
        </w:numPr>
        <w:rPr>
          <w:rFonts w:ascii="Arial" w:cs="Arial" w:eastAsia="Arial" w:hAnsi="Arial"/>
          <w:sz w:val="17"/>
          <w:szCs w:val="17"/>
          <w:color w:val="auto"/>
        </w:rPr>
      </w:pPr>
      <w:r>
        <w:rPr>
          <w:rFonts w:ascii="Arial" w:cs="Arial" w:eastAsia="Arial" w:hAnsi="Arial"/>
          <w:sz w:val="17"/>
          <w:szCs w:val="17"/>
          <w:color w:val="auto"/>
        </w:rPr>
        <w:t>From and after the Trade Date, (a) the Assignee shall be a party to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63" w:lineRule="exact"/>
        <w:rPr>
          <w:rFonts w:ascii="Arial" w:cs="Arial" w:eastAsia="Arial" w:hAnsi="Arial"/>
          <w:sz w:val="17"/>
          <w:szCs w:val="17"/>
          <w:color w:val="auto"/>
        </w:rPr>
      </w:pPr>
    </w:p>
    <w:p>
      <w:pPr>
        <w:ind w:right="60" w:firstLine="464"/>
        <w:spacing w:after="0" w:line="277" w:lineRule="auto"/>
        <w:tabs>
          <w:tab w:leader="none" w:pos="636"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pacing w:after="0" w:line="62" w:lineRule="exact"/>
        <w:rPr>
          <w:rFonts w:ascii="Arial" w:cs="Arial" w:eastAsia="Arial" w:hAnsi="Arial"/>
          <w:sz w:val="18"/>
          <w:szCs w:val="18"/>
          <w:color w:val="auto"/>
        </w:rPr>
      </w:pPr>
    </w:p>
    <w:p>
      <w:pPr>
        <w:ind w:firstLine="464"/>
        <w:spacing w:after="0" w:line="264" w:lineRule="auto"/>
        <w:tabs>
          <w:tab w:leader="none" w:pos="636"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ectPr>
          <w:pgSz w:w="11900" w:h="16838" w:orient="portrait"/>
          <w:cols w:equalWidth="0" w:num="1">
            <w:col w:w="11380"/>
          </w:cols>
          <w:pgMar w:left="240" w:top="275" w:right="279" w:bottom="1440" w:gutter="0" w:footer="0" w:header="0"/>
        </w:sectPr>
      </w:pPr>
    </w:p>
    <w:bookmarkStart w:id="623" w:name="page624"/>
    <w:bookmarkEnd w:id="62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hereto have caused this Agreement to be executed as of the date first above written by their respective duly authorized officers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97"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 as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514475"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 as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514475"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60"/>
          </w:cols>
          <w:pgMar w:left="240" w:top="274" w:right="699" w:bottom="1440" w:gutter="0" w:footer="0" w:header="0"/>
        </w:sectPr>
      </w:pPr>
    </w:p>
    <w:bookmarkStart w:id="624" w:name="page625"/>
    <w:bookmarkEnd w:id="62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Consented to</w:t>
      </w:r>
      <w:r>
        <w:rPr>
          <w:rFonts w:ascii="Arial" w:cs="Arial" w:eastAsia="Arial" w:hAnsi="Arial"/>
          <w:sz w:val="15"/>
          <w:szCs w:val="15"/>
          <w:color w:val="auto"/>
        </w:rPr>
        <w:t>1</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898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5" w:lineRule="exact"/>
        <w:rPr>
          <w:sz w:val="20"/>
          <w:szCs w:val="20"/>
          <w:color w:val="auto"/>
        </w:rPr>
      </w:pPr>
    </w:p>
    <w:p>
      <w:pPr>
        <w:ind w:left="460" w:hanging="452"/>
        <w:spacing w:after="0" w:line="302" w:lineRule="auto"/>
        <w:tabs>
          <w:tab w:leader="none" w:pos="460" w:val="left"/>
        </w:tabs>
        <w:numPr>
          <w:ilvl w:val="0"/>
          <w:numId w:val="604"/>
        </w:numPr>
        <w:rPr>
          <w:rFonts w:ascii="Arial" w:cs="Arial" w:eastAsia="Arial" w:hAnsi="Arial"/>
          <w:sz w:val="14"/>
          <w:szCs w:val="14"/>
          <w:color w:val="auto"/>
        </w:rPr>
      </w:pPr>
      <w:r>
        <w:rPr>
          <w:rFonts w:ascii="Arial" w:cs="Arial" w:eastAsia="Arial" w:hAnsi="Arial"/>
          <w:sz w:val="16"/>
          <w:szCs w:val="16"/>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1140"/>
          </w:cols>
          <w:pgMar w:left="240" w:top="274" w:right="519" w:bottom="1440" w:gutter="0" w:footer="0" w:header="0"/>
        </w:sectPr>
      </w:pPr>
    </w:p>
    <w:bookmarkStart w:id="625" w:name="page626"/>
    <w:bookmarkEnd w:id="625"/>
    <w:p>
      <w:pPr>
        <w:ind w:left="9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3"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Assignment and Assumption</w:t>
      </w:r>
    </w:p>
    <w:p>
      <w:pPr>
        <w:spacing w:after="0" w:line="23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is attached to and incorporated in the Assignment and Assumption, dated as of , 20 (as amended, supplemented or modified from time to time,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between [NAME OF ASSIGNOR], a Lender under the Credit Agreement referred to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181"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Reference is made to the 364-Day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GM Global Treasury Centre Limited, a corporation organized under the laws of England and Wales, the Subsidiary Guarantors from time to time party thereto, the lenders from time to time party thereto (together with their respective successors and permitted assigns,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Assignor: 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Name of the Assignee: ______________________</w:t>
      </w:r>
    </w:p>
    <w:p>
      <w:pPr>
        <w:spacing w:after="0" w:line="131" w:lineRule="exact"/>
        <w:rPr>
          <w:sz w:val="20"/>
          <w:szCs w:val="20"/>
          <w:color w:val="auto"/>
        </w:rPr>
      </w:pPr>
    </w:p>
    <w:p>
      <w:pPr>
        <w:ind w:left="900" w:hanging="446"/>
        <w:spacing w:after="0"/>
        <w:tabs>
          <w:tab w:leader="none" w:pos="90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[The Assignee is an affiliate of: [Name of Lender]]</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[The Assignee is an Approved Fund administered or managed by: [Name of Lender][an affiliate of [Name of Lender]][an entity or an affiliate of an entity that administers or manages [Name of Lender]]</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The Assignee is [not an Ineligible Assignee] [an Ineligible Assignee, but the Company has consented to the assignment by the Assignor to the Assignee.]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960" w:type="dxa"/>
            <w:vAlign w:val="bottom"/>
            <w:gridSpan w:val="2"/>
          </w:tcPr>
          <w:p>
            <w:pPr>
              <w:jc w:val="center"/>
              <w:ind w:right="780"/>
              <w:spacing w:after="0"/>
              <w:rPr>
                <w:sz w:val="20"/>
                <w:szCs w:val="20"/>
                <w:color w:val="auto"/>
              </w:rPr>
            </w:pPr>
            <w:r>
              <w:rPr>
                <w:rFonts w:ascii="Arial" w:cs="Arial" w:eastAsia="Arial" w:hAnsi="Arial"/>
                <w:sz w:val="14"/>
                <w:szCs w:val="14"/>
                <w:color w:val="auto"/>
                <w:w w:val="94"/>
              </w:rPr>
              <w:t>Aggregate Amount</w:t>
            </w: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9"/>
        </w:trPr>
        <w:tc>
          <w:tcPr>
            <w:tcW w:w="10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96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rPr>
              <w:t>of</w:t>
            </w: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9"/>
        </w:trPr>
        <w:tc>
          <w:tcPr>
            <w:tcW w:w="10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3"/>
              </w:rPr>
              <w:t>Commitment/Loans</w:t>
            </w:r>
          </w:p>
        </w:tc>
        <w:tc>
          <w:tcPr>
            <w:tcW w:w="194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7"/>
              </w:rPr>
              <w:t>Amount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9"/>
              </w:rPr>
              <w:t>Percentage</w:t>
            </w:r>
          </w:p>
        </w:tc>
      </w:tr>
      <w:tr>
        <w:trPr>
          <w:trHeight w:val="149"/>
        </w:trPr>
        <w:tc>
          <w:tcPr>
            <w:tcW w:w="10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6"/>
              </w:rPr>
              <w:t>for all Lenders</w:t>
            </w:r>
          </w:p>
        </w:tc>
        <w:tc>
          <w:tcPr>
            <w:tcW w:w="19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5"/>
              </w:rPr>
              <w:t>Commitment/Loans</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2"/>
              </w:rPr>
              <w:t>Assigned of</w:t>
            </w:r>
          </w:p>
        </w:tc>
      </w:tr>
      <w:tr>
        <w:trPr>
          <w:trHeight w:val="167"/>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Facility Assigned</w:t>
            </w:r>
          </w:p>
        </w:tc>
        <w:tc>
          <w:tcPr>
            <w:tcW w:w="53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under such Facility</w:t>
            </w:r>
          </w:p>
        </w:tc>
        <w:tc>
          <w:tcPr>
            <w:tcW w:w="7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Assigned</w:t>
            </w:r>
          </w:p>
        </w:tc>
        <w:tc>
          <w:tcPr>
            <w:tcW w:w="7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Commitment/Loans</w:t>
            </w:r>
          </w:p>
        </w:tc>
      </w:tr>
    </w:tbl>
    <w:p>
      <w:pPr>
        <w:sectPr>
          <w:pgSz w:w="11900" w:h="16838" w:orient="portrait"/>
          <w:cols w:equalWidth="0" w:num="1">
            <w:col w:w="11420"/>
          </w:cols>
          <w:pgMar w:left="240" w:top="274" w:right="239" w:bottom="1440" w:gutter="0" w:footer="0" w:header="0"/>
        </w:sectPr>
      </w:pPr>
    </w:p>
    <w:bookmarkStart w:id="626" w:name="page627"/>
    <w:bookmarkEnd w:id="6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07"/>
        </w:trPr>
        <w:tc>
          <w:tcPr>
            <w:tcW w:w="4160" w:type="dxa"/>
            <w:vAlign w:val="bottom"/>
            <w:gridSpan w:val="3"/>
          </w:tcPr>
          <w:p>
            <w:pPr>
              <w:spacing w:after="0"/>
              <w:rPr>
                <w:sz w:val="20"/>
                <w:szCs w:val="20"/>
                <w:color w:val="auto"/>
              </w:rPr>
            </w:pPr>
            <w:r>
              <w:rPr>
                <w:rFonts w:ascii="Arial" w:cs="Arial" w:eastAsia="Arial" w:hAnsi="Arial"/>
                <w:sz w:val="18"/>
                <w:szCs w:val="18"/>
                <w:color w:val="auto"/>
              </w:rPr>
              <w:t>(d)   Trade Date of Assignment (the “Trade Date”):</w:t>
            </w:r>
          </w:p>
        </w:tc>
        <w:tc>
          <w:tcPr>
            <w:tcW w:w="960" w:type="dxa"/>
            <w:vAlign w:val="bottom"/>
          </w:tcPr>
          <w:p>
            <w:pPr>
              <w:jc w:val="right"/>
              <w:spacing w:after="0"/>
              <w:rPr>
                <w:sz w:val="20"/>
                <w:szCs w:val="20"/>
                <w:color w:val="auto"/>
              </w:rPr>
            </w:pPr>
            <w:r>
              <w:rPr>
                <w:rFonts w:ascii="Arial" w:cs="Arial" w:eastAsia="Arial" w:hAnsi="Arial"/>
                <w:sz w:val="18"/>
                <w:szCs w:val="18"/>
                <w:color w:val="auto"/>
              </w:rPr>
              <w:t>, 20  .</w:t>
            </w:r>
            <w:r>
              <w:rPr>
                <w:rFonts w:ascii="Arial" w:cs="Arial" w:eastAsia="Arial" w:hAnsi="Arial"/>
                <w:sz w:val="15"/>
                <w:szCs w:val="15"/>
                <w:color w:val="auto"/>
              </w:rPr>
              <w:t>1</w:t>
            </w:r>
          </w:p>
        </w:tc>
      </w:tr>
      <w:tr>
        <w:trPr>
          <w:trHeight w:val="20"/>
        </w:trPr>
        <w:tc>
          <w:tcPr>
            <w:tcW w:w="2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 be made available and who may receive such information in accordance with the Assignee’s compliance procedures and applicable Requirements of Law,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898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29" w:lineRule="exact"/>
        <w:rPr>
          <w:sz w:val="20"/>
          <w:szCs w:val="20"/>
          <w:color w:val="auto"/>
        </w:rPr>
      </w:pPr>
    </w:p>
    <w:p>
      <w:pPr>
        <w:ind w:left="460" w:hanging="452"/>
        <w:spacing w:after="0"/>
        <w:tabs>
          <w:tab w:leader="none" w:pos="460" w:val="left"/>
        </w:tabs>
        <w:numPr>
          <w:ilvl w:val="0"/>
          <w:numId w:val="606"/>
        </w:numPr>
        <w:rPr>
          <w:rFonts w:ascii="Arial" w:cs="Arial" w:eastAsia="Arial" w:hAnsi="Arial"/>
          <w:sz w:val="15"/>
          <w:szCs w:val="15"/>
          <w:color w:val="auto"/>
        </w:rPr>
      </w:pPr>
      <w:r>
        <w:rPr>
          <w:rFonts w:ascii="Arial" w:cs="Arial" w:eastAsia="Arial" w:hAnsi="Arial"/>
          <w:sz w:val="18"/>
          <w:szCs w:val="18"/>
          <w:color w:val="auto"/>
        </w:rPr>
        <w:t>To be inserted by Administrative Agent and which shall be the effective date of recordation of transfer in the Register therefor.</w:t>
      </w:r>
    </w:p>
    <w:p>
      <w:pPr>
        <w:sectPr>
          <w:pgSz w:w="11900" w:h="16838" w:orient="portrait"/>
          <w:cols w:equalWidth="0" w:num="1">
            <w:col w:w="11100"/>
          </w:cols>
          <w:pgMar w:left="240" w:top="257" w:right="559" w:bottom="1440" w:gutter="0" w:footer="0" w:header="0"/>
        </w:sectPr>
      </w:pPr>
    </w:p>
    <w:bookmarkStart w:id="627" w:name="page628"/>
    <w:bookmarkEnd w:id="627"/>
    <w:tbl>
      <w:tblPr>
        <w:tblLayout w:type="fixed"/>
        <w:tblInd w:w="92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EXHIBIT H</w:t>
            </w:r>
          </w:p>
        </w:tc>
      </w:tr>
      <w:tr>
        <w:trPr>
          <w:trHeight w:val="216"/>
        </w:trPr>
        <w:tc>
          <w:tcPr>
            <w:tcW w:w="29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20" w:type="dxa"/>
            <w:vAlign w:val="bottom"/>
          </w:tcPr>
          <w:p>
            <w:pPr>
              <w:jc w:val="right"/>
              <w:ind w:right="350"/>
              <w:spacing w:after="0"/>
              <w:rPr>
                <w:sz w:val="20"/>
                <w:szCs w:val="20"/>
                <w:color w:val="auto"/>
              </w:rPr>
            </w:pPr>
            <w:r>
              <w:rPr>
                <w:rFonts w:ascii="Arial" w:cs="Arial" w:eastAsia="Arial" w:hAnsi="Arial"/>
                <w:sz w:val="18"/>
                <w:szCs w:val="18"/>
                <w:b w:val="1"/>
                <w:bCs w:val="1"/>
                <w:color w:val="auto"/>
              </w:rPr>
              <w:t>to</w:t>
            </w:r>
          </w:p>
        </w:tc>
      </w:tr>
      <w:tr>
        <w:trPr>
          <w:trHeight w:val="234"/>
        </w:trPr>
        <w:tc>
          <w:tcPr>
            <w:tcW w:w="29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Credit Agreement</w:t>
            </w:r>
          </w:p>
        </w:tc>
      </w:tr>
      <w:tr>
        <w:trPr>
          <w:trHeight w:val="432"/>
        </w:trPr>
        <w:tc>
          <w:tcPr>
            <w:tcW w:w="2960" w:type="dxa"/>
            <w:vAlign w:val="bottom"/>
          </w:tcPr>
          <w:p>
            <w:pPr>
              <w:spacing w:after="0"/>
              <w:rPr>
                <w:sz w:val="24"/>
                <w:szCs w:val="24"/>
                <w:color w:val="auto"/>
              </w:rPr>
            </w:pPr>
          </w:p>
        </w:tc>
        <w:tc>
          <w:tcPr>
            <w:tcW w:w="7540" w:type="dxa"/>
            <w:vAlign w:val="bottom"/>
            <w:gridSpan w:val="3"/>
          </w:tcPr>
          <w:p>
            <w:pPr>
              <w:jc w:val="right"/>
              <w:ind w:right="4170"/>
              <w:spacing w:after="0"/>
              <w:rPr>
                <w:sz w:val="20"/>
                <w:szCs w:val="20"/>
                <w:color w:val="auto"/>
              </w:rPr>
            </w:pPr>
            <w:r>
              <w:rPr>
                <w:rFonts w:ascii="Arial" w:cs="Arial" w:eastAsia="Arial" w:hAnsi="Arial"/>
                <w:sz w:val="18"/>
                <w:szCs w:val="18"/>
                <w:b w:val="1"/>
                <w:bCs w:val="1"/>
                <w:color w:val="auto"/>
              </w:rPr>
              <w:t>FORM OF JOINDER AGREEMENT</w:t>
            </w:r>
          </w:p>
        </w:tc>
      </w:tr>
      <w:tr>
        <w:trPr>
          <w:trHeight w:val="392"/>
        </w:trPr>
        <w:tc>
          <w:tcPr>
            <w:tcW w:w="2960" w:type="dxa"/>
            <w:vAlign w:val="bottom"/>
          </w:tcPr>
          <w:p>
            <w:pPr>
              <w:spacing w:after="0"/>
              <w:rPr>
                <w:sz w:val="20"/>
                <w:szCs w:val="20"/>
                <w:color w:val="auto"/>
              </w:rPr>
            </w:pPr>
            <w:r>
              <w:rPr>
                <w:rFonts w:ascii="Arial" w:cs="Arial" w:eastAsia="Arial" w:hAnsi="Arial"/>
                <w:sz w:val="18"/>
                <w:szCs w:val="18"/>
                <w:color w:val="auto"/>
                <w:w w:val="98"/>
              </w:rPr>
              <w:t>JOINDER AGREEMENT, dated as of</w:t>
            </w:r>
          </w:p>
        </w:tc>
        <w:tc>
          <w:tcPr>
            <w:tcW w:w="7540" w:type="dxa"/>
            <w:vAlign w:val="bottom"/>
            <w:gridSpan w:val="3"/>
          </w:tcPr>
          <w:p>
            <w:pPr>
              <w:jc w:val="right"/>
              <w:ind w:right="370"/>
              <w:spacing w:after="0"/>
              <w:rPr>
                <w:sz w:val="20"/>
                <w:szCs w:val="20"/>
                <w:color w:val="auto"/>
              </w:rPr>
            </w:pPr>
            <w:r>
              <w:rPr>
                <w:rFonts w:ascii="Arial" w:cs="Arial" w:eastAsia="Arial" w:hAnsi="Arial"/>
                <w:sz w:val="18"/>
                <w:szCs w:val="18"/>
                <w:color w:val="auto"/>
                <w:w w:val="91"/>
              </w:rPr>
              <w:t>, 20, made by each signatory hereto (each a “Subsidiary Borrower”), in favor of JPMorgan</w:t>
            </w:r>
          </w:p>
        </w:tc>
      </w:tr>
      <w:tr>
        <w:trPr>
          <w:trHeight w:val="20"/>
        </w:trPr>
        <w:tc>
          <w:tcPr>
            <w:tcW w:w="29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93" w:lineRule="auto"/>
        <w:rPr>
          <w:sz w:val="20"/>
          <w:szCs w:val="20"/>
          <w:color w:val="auto"/>
        </w:rPr>
      </w:pPr>
      <w:r>
        <w:rPr>
          <w:rFonts w:ascii="Arial" w:cs="Arial" w:eastAsia="Arial" w:hAnsi="Arial"/>
          <w:sz w:val="16"/>
          <w:szCs w:val="16"/>
          <w:color w:val="auto"/>
        </w:rPr>
        <w:t>Chase Bank, N.A., as administrative agent for the Lenders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referred to in the 364-Day Revolving Credit Agreement, dated as of April 18, 2018 (as amended, restated, amended and restated, renewed, supplemented or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among General Motors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Global Treasury Centre Limited, a corporation organized under the laws of England and Wales, the Subsidiary Borrowers from time to time party thereto, the Lenders referred to therein, the Administrative Agent, Citibank, N.A., as syndication agent, Bank of America, N.A., as co-syndication agent, and the other agents party thereto. Unless otherwise defined herein, terms used but not defined herein shall have the meanings given to them in the Credit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parties to this Joinder Agreement wish to add the Subsidiary Borrower to the Credit Agreement in the manner hereinafter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and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this Joinder Agreement is entered into pursuant to Section 10.1(d)(i) of the Credit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premises, the parties hereto hereby agree as follows:</w:t>
      </w:r>
    </w:p>
    <w:p>
      <w:pPr>
        <w:spacing w:after="0" w:line="117" w:lineRule="exact"/>
        <w:rPr>
          <w:sz w:val="20"/>
          <w:szCs w:val="20"/>
          <w:color w:val="auto"/>
        </w:rPr>
      </w:pPr>
    </w:p>
    <w:p>
      <w:pPr>
        <w:ind w:right="400" w:firstLine="921"/>
        <w:spacing w:after="0" w:line="259" w:lineRule="auto"/>
        <w:tabs>
          <w:tab w:leader="none" w:pos="1093"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w:t>
      </w:r>
    </w:p>
    <w:p>
      <w:pPr>
        <w:spacing w:after="0" w:line="78" w:lineRule="exact"/>
        <w:rPr>
          <w:rFonts w:ascii="Arial" w:cs="Arial" w:eastAsia="Arial" w:hAnsi="Arial"/>
          <w:sz w:val="18"/>
          <w:szCs w:val="18"/>
          <w:color w:val="auto"/>
        </w:rPr>
      </w:pPr>
    </w:p>
    <w:p>
      <w:pPr>
        <w:ind w:right="140" w:firstLine="921"/>
        <w:spacing w:after="0" w:line="277" w:lineRule="auto"/>
        <w:tabs>
          <w:tab w:leader="none" w:pos="1093"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address, taxpayer identification number (if any) and jurisdiction of organization of the Subsidiary Borrower is set forth in Annex I to this Joinder Agreement.</w:t>
      </w:r>
    </w:p>
    <w:p>
      <w:pPr>
        <w:spacing w:after="0" w:line="58" w:lineRule="exact"/>
        <w:rPr>
          <w:rFonts w:ascii="Arial" w:cs="Arial" w:eastAsia="Arial" w:hAnsi="Arial"/>
          <w:sz w:val="18"/>
          <w:szCs w:val="18"/>
          <w:color w:val="auto"/>
        </w:rPr>
      </w:pPr>
    </w:p>
    <w:p>
      <w:pPr>
        <w:ind w:right="180" w:firstLine="921"/>
        <w:spacing w:after="0" w:line="282" w:lineRule="auto"/>
        <w:tabs>
          <w:tab w:leader="none" w:pos="1093" w:val="left"/>
        </w:tabs>
        <w:numPr>
          <w:ilvl w:val="0"/>
          <w:numId w:val="607"/>
        </w:numPr>
        <w:rPr>
          <w:rFonts w:ascii="Arial" w:cs="Arial" w:eastAsia="Arial" w:hAnsi="Arial"/>
          <w:sz w:val="18"/>
          <w:szCs w:val="18"/>
          <w:b w:val="1"/>
          <w:bCs w:val="1"/>
          <w:color w:val="auto"/>
        </w:rPr>
      </w:pPr>
      <w:r>
        <w:rPr>
          <w:rFonts w:ascii="Arial" w:cs="Arial" w:eastAsia="Arial" w:hAnsi="Arial"/>
          <w:sz w:val="18"/>
          <w:szCs w:val="18"/>
          <w:b w:val="1"/>
          <w:bCs w:val="1"/>
          <w:color w:val="auto"/>
        </w:rPr>
        <w:t>THIS JOINDER AND THE RIGHTS AND OBLIGATIONS OF THE PARTIES HEREUNDER SHALL BE GOVERNED BY, AND CONSTRUED AND INTERPRETED IN ACCORDANCE WITH, THE LAW OF THE STATE OF NEW YORK.</w:t>
      </w:r>
    </w:p>
    <w:p>
      <w:pPr>
        <w:sectPr>
          <w:pgSz w:w="11900" w:h="16838" w:orient="portrait"/>
          <w:cols w:equalWidth="0" w:num="1">
            <w:col w:w="11420"/>
          </w:cols>
          <w:pgMar w:left="240" w:top="270" w:right="239" w:bottom="1440" w:gutter="0" w:footer="0" w:header="0"/>
        </w:sectPr>
      </w:pPr>
    </w:p>
    <w:bookmarkStart w:id="628" w:name="page629"/>
    <w:bookmarkEnd w:id="628"/>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Joinder Agreement to be duly executed and delivered by its proper and duly authorized officer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[EACH SUBSIDIARY BORROWER], as a Subsidiary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 TO</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80"/>
          </w:cols>
          <w:pgMar w:left="240" w:top="273" w:right="379" w:bottom="1440" w:gutter="0" w:footer="0" w:header="0"/>
        </w:sectPr>
      </w:pPr>
    </w:p>
    <w:bookmarkStart w:id="629" w:name="page630"/>
    <w:bookmarkEnd w:id="6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I-1</w:t>
      </w:r>
    </w:p>
    <w:p>
      <w:pPr>
        <w:spacing w:after="0" w:line="27" w:lineRule="exact"/>
        <w:rPr>
          <w:sz w:val="20"/>
          <w:szCs w:val="20"/>
          <w:color w:val="auto"/>
        </w:rPr>
      </w:pPr>
    </w:p>
    <w:p>
      <w:pPr>
        <w:ind w:left="108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Reference is hereby made to the 364-Day Revolving Credit Agreement dated as of April 18, 2018 (as amended, restated, amended and restated,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Global Treasury Centre Limited, a corporation organized under the laws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 the Subsidiary Guarantors from time to time party thereto, the Lenders from time to time party thereto, JPMorgan Chase Bank, N.A.,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Bank of America, N.A., as co-syndication agent,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the other agents party thereto. Unless otherwise defined herein, terms defined in the Credit Agreement and used herein shall have the meanings given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them in the Credit Agreement.</w:t>
      </w:r>
    </w:p>
    <w:p>
      <w:pPr>
        <w:spacing w:after="0" w:line="21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the provisions of Section 2.21 of the Credit Agreement, the undersigned hereby certifies that (i) it is the sole record and beneficial owner of the Commitment, the Loan(s) (as well as any Note(s) evidencing such Loan(s))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7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420"/>
          </w:cols>
          <w:pgMar w:left="240" w:top="271" w:right="239" w:bottom="1440" w:gutter="0" w:footer="0" w:header="0"/>
        </w:sectPr>
      </w:pPr>
    </w:p>
    <w:bookmarkStart w:id="630" w:name="page631"/>
    <w:bookmarkEnd w:id="63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0560"/>
          </w:cols>
          <w:pgMar w:left="240" w:top="274" w:right="1099" w:bottom="1440" w:gutter="0" w:footer="0" w:header="0"/>
        </w:sectPr>
      </w:pPr>
    </w:p>
    <w:bookmarkStart w:id="631" w:name="page632"/>
    <w:bookmarkEnd w:id="6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I-2</w:t>
      </w:r>
    </w:p>
    <w:p>
      <w:pPr>
        <w:spacing w:after="0" w:line="27" w:lineRule="exact"/>
        <w:rPr>
          <w:sz w:val="20"/>
          <w:szCs w:val="20"/>
          <w:color w:val="auto"/>
        </w:rPr>
      </w:pPr>
    </w:p>
    <w:p>
      <w:pPr>
        <w:ind w:left="108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Reference is hereby made to the 364-Day Revolving Credit Agreement dated as of April 18, 2018 (as amended, restated, amended and restated,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Global Treasury Centre Limited, a corporation organized under the laws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 the Subsidiary Guarantors from time to time party thereto, the Lenders from time to time party thereto, JPMorgan Chase Bank, N.A.,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Bank of America, N.A., as co-syndication agent,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the other agents party thereto. Unless otherwise defined herein, terms defined in the Credit Agreement and used herein shall have the meanings given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them in the Credit Agreement.</w:t>
      </w:r>
    </w:p>
    <w:p>
      <w:pPr>
        <w:spacing w:after="0" w:line="21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neither the undersigned nor any of its direct or indirect partners/members is a “bank” within the meaning of Section 881(c)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(3)(A) of the Code, (iv) none of its direct or indirect partners/members is a “10-percent shareholder” of the Company within the meaning of Section 871(h)(3)</w:t>
      </w:r>
    </w:p>
    <w:p>
      <w:pPr>
        <w:spacing w:after="0" w:line="32" w:lineRule="exact"/>
        <w:rPr>
          <w:sz w:val="20"/>
          <w:szCs w:val="20"/>
          <w:color w:val="auto"/>
        </w:rPr>
      </w:pPr>
    </w:p>
    <w:p>
      <w:pPr>
        <w:ind w:left="300" w:hanging="292"/>
        <w:spacing w:after="0"/>
        <w:tabs>
          <w:tab w:leader="none" w:pos="300" w:val="left"/>
        </w:tabs>
        <w:numPr>
          <w:ilvl w:val="0"/>
          <w:numId w:val="608"/>
        </w:numPr>
        <w:rPr>
          <w:rFonts w:ascii="Arial" w:cs="Arial" w:eastAsia="Arial" w:hAnsi="Arial"/>
          <w:sz w:val="16"/>
          <w:szCs w:val="16"/>
          <w:color w:val="auto"/>
        </w:rPr>
      </w:pPr>
      <w:r>
        <w:rPr>
          <w:rFonts w:ascii="Arial" w:cs="Arial" w:eastAsia="Arial" w:hAnsi="Arial"/>
          <w:sz w:val="16"/>
          <w:szCs w:val="16"/>
          <w:color w:val="auto"/>
        </w:rPr>
        <w:t>of the Code, (v) none of its direct or indirect partners/members is a controlled foreign corporation related to the Company as described in Section 881(c)</w:t>
      </w:r>
    </w:p>
    <w:p>
      <w:pPr>
        <w:spacing w:after="0" w:line="32" w:lineRule="exact"/>
        <w:rPr>
          <w:rFonts w:ascii="Arial" w:cs="Arial" w:eastAsia="Arial" w:hAnsi="Arial"/>
          <w:sz w:val="16"/>
          <w:szCs w:val="16"/>
          <w:color w:val="auto"/>
        </w:rPr>
      </w:pPr>
    </w:p>
    <w:p>
      <w:pPr>
        <w:ind w:right="220"/>
        <w:spacing w:after="0" w:line="261" w:lineRule="auto"/>
        <w:rPr>
          <w:rFonts w:ascii="Arial" w:cs="Arial" w:eastAsia="Arial" w:hAnsi="Arial"/>
          <w:sz w:val="16"/>
          <w:szCs w:val="16"/>
          <w:color w:val="auto"/>
        </w:rPr>
      </w:pPr>
      <w:r>
        <w:rPr>
          <w:rFonts w:ascii="Arial" w:cs="Arial" w:eastAsia="Arial" w:hAnsi="Arial"/>
          <w:sz w:val="18"/>
          <w:szCs w:val="18"/>
          <w:color w:val="auto"/>
        </w:rPr>
        <w:t>(3)(C) of the Code, and (vi) the interest payments in question are not effectively connected with the undersigned’s or its direct or indirect partner/members’ conduct of a U.S. trade or business.</w:t>
      </w:r>
    </w:p>
    <w:p>
      <w:pPr>
        <w:spacing w:after="0" w:line="18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420"/>
          </w:cols>
          <w:pgMar w:left="240" w:top="269" w:right="239" w:bottom="1440" w:gutter="0" w:footer="0" w:header="0"/>
        </w:sectPr>
      </w:pPr>
    </w:p>
    <w:bookmarkStart w:id="632" w:name="page633"/>
    <w:bookmarkEnd w:id="63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0560"/>
          </w:cols>
          <w:pgMar w:left="240" w:top="275" w:right="1099" w:bottom="1440" w:gutter="0" w:footer="0" w:header="0"/>
        </w:sectPr>
      </w:pPr>
    </w:p>
    <w:bookmarkStart w:id="633" w:name="page634"/>
    <w:bookmarkEnd w:id="633"/>
    <w:p>
      <w:pPr>
        <w:jc w:val="cente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I-3</w:t>
      </w:r>
    </w:p>
    <w:p>
      <w:pPr>
        <w:spacing w:after="0" w:line="27" w:lineRule="exact"/>
        <w:rPr>
          <w:sz w:val="20"/>
          <w:szCs w:val="20"/>
          <w:color w:val="auto"/>
        </w:rPr>
      </w:pPr>
    </w:p>
    <w:p>
      <w:pPr>
        <w:jc w:val="center"/>
        <w:ind w:left="100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10040"/>
        <w:spacing w:after="0"/>
        <w:rPr>
          <w:sz w:val="20"/>
          <w:szCs w:val="20"/>
          <w:color w:val="auto"/>
        </w:rPr>
      </w:pPr>
      <w:r>
        <w:rPr>
          <w:rFonts w:ascii="Arial" w:cs="Arial" w:eastAsia="Arial" w:hAnsi="Arial"/>
          <w:sz w:val="16"/>
          <w:szCs w:val="16"/>
          <w:b w:val="1"/>
          <w:bCs w:val="1"/>
          <w:color w:val="auto"/>
        </w:rPr>
        <w:t>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Reference is hereby made to the 364-Day Revolving Credit Agreement dated as of April 18, 2018 (as amended, restated, amended and restated,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Global Treasury Centre Limited, a corporation organized under the laws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 the Subsidiary Guarantors from time to time party thereto, the Lenders from time to time party thereto, JPMorgan Chase Bank, N.A.,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Bank of America, N.A., as co-syndication agent,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the other agents party thereto. Unless otherwise defined herein, terms defined in the Credit Agreement and used herein shall have the meanings given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them in the Credit Agreement.</w:t>
      </w:r>
    </w:p>
    <w:p>
      <w:pPr>
        <w:spacing w:after="0" w:line="211"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420"/>
          </w:cols>
          <w:pgMar w:left="240" w:top="270" w:right="239" w:bottom="1440" w:gutter="0" w:footer="0" w:header="0"/>
        </w:sectPr>
      </w:pPr>
    </w:p>
    <w:bookmarkStart w:id="634" w:name="page635"/>
    <w:bookmarkEnd w:id="63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0560"/>
          </w:cols>
          <w:pgMar w:left="240" w:top="274" w:right="1099" w:bottom="1440" w:gutter="0" w:footer="0" w:header="0"/>
        </w:sectPr>
      </w:pPr>
    </w:p>
    <w:bookmarkStart w:id="635" w:name="page636"/>
    <w:bookmarkEnd w:id="635"/>
    <w:p>
      <w:pPr>
        <w:jc w:val="cente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I-4</w:t>
      </w:r>
    </w:p>
    <w:p>
      <w:pPr>
        <w:spacing w:after="0" w:line="27" w:lineRule="exact"/>
        <w:rPr>
          <w:sz w:val="20"/>
          <w:szCs w:val="20"/>
          <w:color w:val="auto"/>
        </w:rPr>
      </w:pPr>
    </w:p>
    <w:p>
      <w:pPr>
        <w:jc w:val="center"/>
        <w:ind w:left="100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left="10040"/>
        <w:spacing w:after="0"/>
        <w:rPr>
          <w:sz w:val="20"/>
          <w:szCs w:val="20"/>
          <w:color w:val="auto"/>
        </w:rPr>
      </w:pPr>
      <w:r>
        <w:rPr>
          <w:rFonts w:ascii="Arial" w:cs="Arial" w:eastAsia="Arial" w:hAnsi="Arial"/>
          <w:sz w:val="16"/>
          <w:szCs w:val="16"/>
          <w:b w:val="1"/>
          <w:bCs w:val="1"/>
          <w:color w:val="auto"/>
        </w:rPr>
        <w:t>Credit Agreement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Reference is hereby made to the 364-Day Revolving Credit Agreement dated as of April 18, 2018 (as amended, restated, amended and restated,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renewed,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General Motors Company, a Delaware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GM Global Treasury Centre Limited, a corporation organized under the laws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 the Subsidiary Guarantors from time to time party thereto, the Lenders from time to time party thereto, JPMorgan Chase Bank, N.A.,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Bank of America, N.A., as co-syndication agent,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the other agents party thereto. Unless otherwise defined herein, terms defined in the Credit Agreement and used herein shall have the meanings given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them in the Credit Agreement.</w:t>
      </w:r>
    </w:p>
    <w:p>
      <w:pPr>
        <w:spacing w:after="0" w:line="21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w:t>
      </w:r>
    </w:p>
    <w:p>
      <w:pPr>
        <w:ind w:right="20" w:firstLine="8"/>
        <w:spacing w:after="0" w:line="253" w:lineRule="auto"/>
        <w:tabs>
          <w:tab w:leader="none" w:pos="31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9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420"/>
          </w:cols>
          <w:pgMar w:left="240" w:top="270" w:right="239" w:bottom="1440" w:gutter="0" w:footer="0" w:header="0"/>
        </w:sectPr>
      </w:pPr>
    </w:p>
    <w:bookmarkStart w:id="636" w:name="page637"/>
    <w:bookmarkEnd w:id="63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ectPr>
          <w:pgSz w:w="11900" w:h="16838" w:orient="portrait"/>
          <w:cols w:equalWidth="0" w:num="1">
            <w:col w:w="10560"/>
          </w:cols>
          <w:pgMar w:left="240" w:top="274" w:right="1099" w:bottom="1440" w:gutter="0" w:footer="0" w:header="0"/>
        </w:sectPr>
      </w:pPr>
    </w:p>
    <w:bookmarkStart w:id="637" w:name="page638"/>
    <w:bookmarkEnd w:id="637"/>
    <w:p>
      <w:pPr>
        <w:ind w:left="10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J</w:t>
      </w:r>
    </w:p>
    <w:p>
      <w:pPr>
        <w:spacing w:after="0" w:line="27"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pacing w:after="0" w:line="229"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-10160</wp:posOffset>
            </wp:positionV>
            <wp:extent cx="8001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Chase Bank, N.A., as Administrative Agent under the Credit Agreements referred to below</w:t>
      </w:r>
    </w:p>
    <w:p>
      <w:pPr>
        <w:spacing w:after="0" w:line="131" w:lineRule="exact"/>
        <w:rPr>
          <w:sz w:val="20"/>
          <w:szCs w:val="20"/>
          <w:color w:val="auto"/>
        </w:rPr>
      </w:pPr>
    </w:p>
    <w:p>
      <w:pPr>
        <w:ind w:left="460" w:right="40" w:hanging="459"/>
        <w:spacing w:after="0" w:line="283" w:lineRule="auto"/>
        <w:tabs>
          <w:tab w:leader="none" w:pos="440" w:val="left"/>
        </w:tabs>
        <w:rPr>
          <w:sz w:val="20"/>
          <w:szCs w:val="20"/>
          <w:color w:val="auto"/>
        </w:rPr>
      </w:pPr>
      <w:r>
        <w:rPr>
          <w:rFonts w:ascii="Arial" w:cs="Arial" w:eastAsia="Arial" w:hAnsi="Arial"/>
          <w:sz w:val="16"/>
          <w:szCs w:val="16"/>
          <w:color w:val="auto"/>
        </w:rPr>
        <w:t>Re:</w:t>
        <w:tab/>
        <w:t>(i) the Third Amended and Restated Three Year Revolving Credit Agreement, dated as of April 18, 2018 (as amended, restated, amended and restated, renewed, supplemented or modified from time to time, the “3</w:t>
      </w:r>
      <w:r>
        <w:rPr>
          <w:rFonts w:ascii="Arial" w:cs="Arial" w:eastAsia="Arial" w:hAnsi="Arial"/>
          <w:sz w:val="16"/>
          <w:szCs w:val="16"/>
          <w:u w:val="single" w:color="auto"/>
          <w:color w:val="auto"/>
        </w:rPr>
        <w:t>-Year Credit Agreement</w:t>
      </w:r>
      <w:r>
        <w:rPr>
          <w:rFonts w:ascii="Arial" w:cs="Arial" w:eastAsia="Arial" w:hAnsi="Arial"/>
          <w:sz w:val="16"/>
          <w:szCs w:val="16"/>
          <w:color w:val="auto"/>
        </w:rPr>
        <w:t>”), among General Motors Company (together with its successors and permitted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General Motors Financial Company, Inc., a Texas corporation (“</w:t>
      </w:r>
      <w:r>
        <w:rPr>
          <w:rFonts w:ascii="Arial" w:cs="Arial" w:eastAsia="Arial" w:hAnsi="Arial"/>
          <w:sz w:val="16"/>
          <w:szCs w:val="16"/>
          <w:u w:val="single" w:color="auto"/>
          <w:color w:val="auto"/>
        </w:rPr>
        <w:t>GMF</w:t>
      </w:r>
      <w:r>
        <w:rPr>
          <w:rFonts w:ascii="Arial" w:cs="Arial" w:eastAsia="Arial" w:hAnsi="Arial"/>
          <w:sz w:val="16"/>
          <w:szCs w:val="16"/>
          <w:color w:val="auto"/>
        </w:rPr>
        <w:t>”), GM Global Treasury Centre Limited, a corporation organized under the laws of England and Wales (“</w:t>
      </w:r>
      <w:r>
        <w:rPr>
          <w:rFonts w:ascii="Arial" w:cs="Arial" w:eastAsia="Arial" w:hAnsi="Arial"/>
          <w:sz w:val="16"/>
          <w:szCs w:val="16"/>
          <w:u w:val="single" w:color="auto"/>
          <w:color w:val="auto"/>
        </w:rPr>
        <w:t>GMGTC</w:t>
      </w:r>
      <w:r>
        <w:rPr>
          <w:rFonts w:ascii="Arial" w:cs="Arial" w:eastAsia="Arial" w:hAnsi="Arial"/>
          <w:sz w:val="16"/>
          <w:szCs w:val="16"/>
          <w:color w:val="auto"/>
        </w:rPr>
        <w:t>”), General Motors do Brasil Ltda., a Brazilian limited liability company (“</w:t>
      </w:r>
      <w:r>
        <w:rPr>
          <w:rFonts w:ascii="Arial" w:cs="Arial" w:eastAsia="Arial" w:hAnsi="Arial"/>
          <w:sz w:val="16"/>
          <w:szCs w:val="16"/>
          <w:u w:val="single" w:color="auto"/>
          <w:color w:val="auto"/>
        </w:rPr>
        <w:t>GMB</w:t>
      </w:r>
      <w:r>
        <w:rPr>
          <w:rFonts w:ascii="Arial" w:cs="Arial" w:eastAsia="Arial" w:hAnsi="Arial"/>
          <w:sz w:val="16"/>
          <w:szCs w:val="16"/>
          <w:color w:val="auto"/>
        </w:rPr>
        <w:t>”), the Subsidiary Borrowers from time to time party thereto, the lenders from time to time party thereto, as lenders (the “</w:t>
      </w:r>
      <w:r>
        <w:rPr>
          <w:rFonts w:ascii="Arial" w:cs="Arial" w:eastAsia="Arial" w:hAnsi="Arial"/>
          <w:sz w:val="16"/>
          <w:szCs w:val="16"/>
          <w:u w:val="single" w:color="auto"/>
          <w:color w:val="auto"/>
        </w:rPr>
        <w:t>3-Year Lenders</w:t>
      </w:r>
      <w:r>
        <w:rPr>
          <w:rFonts w:ascii="Arial" w:cs="Arial" w:eastAsia="Arial" w:hAnsi="Arial"/>
          <w:sz w:val="16"/>
          <w:szCs w:val="16"/>
          <w:color w:val="auto"/>
        </w:rPr>
        <w:t>”), JPMorgan Chase Bank, N.A. (“</w:t>
      </w:r>
      <w:r>
        <w:rPr>
          <w:rFonts w:ascii="Arial" w:cs="Arial" w:eastAsia="Arial" w:hAnsi="Arial"/>
          <w:sz w:val="16"/>
          <w:szCs w:val="16"/>
          <w:u w:val="single" w:color="auto"/>
          <w:color w:val="auto"/>
        </w:rPr>
        <w:t>JPM</w:t>
      </w:r>
      <w:r>
        <w:rPr>
          <w:rFonts w:ascii="Arial" w:cs="Arial" w:eastAsia="Arial" w:hAnsi="Arial"/>
          <w:sz w:val="16"/>
          <w:szCs w:val="16"/>
          <w:color w:val="auto"/>
        </w:rPr>
        <w:t>”), as administrative agent for the 3-Year Lenders (in such capacity, together with any successor thereto in such capacity, the “</w:t>
      </w:r>
      <w:r>
        <w:rPr>
          <w:rFonts w:ascii="Arial" w:cs="Arial" w:eastAsia="Arial" w:hAnsi="Arial"/>
          <w:sz w:val="16"/>
          <w:szCs w:val="16"/>
          <w:u w:val="single" w:color="auto"/>
          <w:color w:val="auto"/>
        </w:rPr>
        <w:t>3-Year Administrative Agent</w:t>
      </w:r>
      <w:r>
        <w:rPr>
          <w:rFonts w:ascii="Arial" w:cs="Arial" w:eastAsia="Arial" w:hAnsi="Arial"/>
          <w:sz w:val="16"/>
          <w:szCs w:val="16"/>
          <w:color w:val="auto"/>
        </w:rPr>
        <w:t>”), Banco do Brasil S.A., as Brazilian administrative agent, Citibank, N.A., as syndication agent (in such capacity, the “</w:t>
      </w:r>
      <w:r>
        <w:rPr>
          <w:rFonts w:ascii="Arial" w:cs="Arial" w:eastAsia="Arial" w:hAnsi="Arial"/>
          <w:sz w:val="16"/>
          <w:szCs w:val="16"/>
          <w:u w:val="single" w:color="auto"/>
          <w:color w:val="auto"/>
        </w:rPr>
        <w:t>Syndication Agent</w:t>
      </w:r>
      <w:r>
        <w:rPr>
          <w:rFonts w:ascii="Arial" w:cs="Arial" w:eastAsia="Arial" w:hAnsi="Arial"/>
          <w:sz w:val="16"/>
          <w:szCs w:val="16"/>
          <w:color w:val="auto"/>
        </w:rPr>
        <w:t>”), Bank of America, N.A., as co-syndication agent (in such capacity, the “</w:t>
      </w:r>
      <w:r>
        <w:rPr>
          <w:rFonts w:ascii="Arial" w:cs="Arial" w:eastAsia="Arial" w:hAnsi="Arial"/>
          <w:sz w:val="16"/>
          <w:szCs w:val="16"/>
          <w:u w:val="single" w:color="auto"/>
          <w:color w:val="auto"/>
        </w:rPr>
        <w:t>Co-Syndication Agent</w:t>
      </w:r>
      <w:r>
        <w:rPr>
          <w:rFonts w:ascii="Arial" w:cs="Arial" w:eastAsia="Arial" w:hAnsi="Arial"/>
          <w:sz w:val="16"/>
          <w:szCs w:val="16"/>
          <w:color w:val="auto"/>
        </w:rPr>
        <w:t>”), and the other agents party thereto, (ii) the Third Amended and Restated Five Year Revolving Credit Agreement, dated as of April 18, 2018 (as amended, restated, amended and restated, renewed, supplemented or modified from time to time, the “</w:t>
      </w:r>
      <w:r>
        <w:rPr>
          <w:rFonts w:ascii="Arial" w:cs="Arial" w:eastAsia="Arial" w:hAnsi="Arial"/>
          <w:sz w:val="16"/>
          <w:szCs w:val="16"/>
          <w:u w:val="single" w:color="auto"/>
          <w:color w:val="auto"/>
        </w:rPr>
        <w:t>5-Year Credit Agreement</w:t>
      </w:r>
      <w:r>
        <w:rPr>
          <w:rFonts w:ascii="Arial" w:cs="Arial" w:eastAsia="Arial" w:hAnsi="Arial"/>
          <w:sz w:val="16"/>
          <w:szCs w:val="16"/>
          <w:color w:val="auto"/>
        </w:rPr>
        <w:t>”), among the Company, GMF, GMGTC, GMB, the Subsidiary Borrowers from time to time party thereto, the lenders from time to time party thereto, as lenders (the “</w:t>
      </w:r>
      <w:r>
        <w:rPr>
          <w:rFonts w:ascii="Arial" w:cs="Arial" w:eastAsia="Arial" w:hAnsi="Arial"/>
          <w:sz w:val="16"/>
          <w:szCs w:val="16"/>
          <w:u w:val="single" w:color="auto"/>
          <w:color w:val="auto"/>
        </w:rPr>
        <w:t>5-Year Lenders</w:t>
      </w:r>
      <w:r>
        <w:rPr>
          <w:rFonts w:ascii="Arial" w:cs="Arial" w:eastAsia="Arial" w:hAnsi="Arial"/>
          <w:sz w:val="16"/>
          <w:szCs w:val="16"/>
          <w:color w:val="auto"/>
        </w:rPr>
        <w:t>”), JPM, as administrative agent for the 5-Year Lenders (in such capacity, together with any successor thereto in such capacity, the “</w:t>
      </w:r>
      <w:r>
        <w:rPr>
          <w:rFonts w:ascii="Arial" w:cs="Arial" w:eastAsia="Arial" w:hAnsi="Arial"/>
          <w:sz w:val="16"/>
          <w:szCs w:val="16"/>
          <w:u w:val="single" w:color="auto"/>
          <w:color w:val="auto"/>
        </w:rPr>
        <w:t>5-Year Administrative Agent</w:t>
      </w:r>
      <w:r>
        <w:rPr>
          <w:rFonts w:ascii="Arial" w:cs="Arial" w:eastAsia="Arial" w:hAnsi="Arial"/>
          <w:sz w:val="16"/>
          <w:szCs w:val="16"/>
          <w:color w:val="auto"/>
        </w:rPr>
        <w:t>”), Banco do Brasil S.A., as Brazilian administrative agent, the Syndication Agent, the Co-Syndication Agent, and the other agents party thereto and</w:t>
      </w:r>
    </w:p>
    <w:p>
      <w:pPr>
        <w:spacing w:after="0" w:line="3" w:lineRule="exact"/>
        <w:rPr>
          <w:sz w:val="20"/>
          <w:szCs w:val="20"/>
          <w:color w:val="auto"/>
        </w:rPr>
      </w:pPr>
    </w:p>
    <w:p>
      <w:pPr>
        <w:ind w:left="460" w:right="60" w:hanging="6"/>
        <w:spacing w:after="0" w:line="269" w:lineRule="auto"/>
        <w:tabs>
          <w:tab w:leader="none" w:pos="775" w:val="left"/>
        </w:tabs>
        <w:numPr>
          <w:ilvl w:val="0"/>
          <w:numId w:val="610"/>
        </w:numPr>
        <w:rPr>
          <w:rFonts w:ascii="Arial" w:cs="Arial" w:eastAsia="Arial" w:hAnsi="Arial"/>
          <w:sz w:val="17"/>
          <w:szCs w:val="17"/>
          <w:color w:val="auto"/>
        </w:rPr>
      </w:pPr>
      <w:r>
        <w:rPr>
          <w:rFonts w:ascii="Arial" w:cs="Arial" w:eastAsia="Arial" w:hAnsi="Arial"/>
          <w:sz w:val="17"/>
          <w:szCs w:val="17"/>
          <w:color w:val="auto"/>
        </w:rPr>
        <w:t>the 364-Day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364-Day Credit Agreement</w:t>
      </w:r>
      <w:r>
        <w:rPr>
          <w:rFonts w:ascii="Arial" w:cs="Arial" w:eastAsia="Arial" w:hAnsi="Arial"/>
          <w:sz w:val="17"/>
          <w:szCs w:val="17"/>
          <w:color w:val="auto"/>
        </w:rPr>
        <w:t>” and together with the 3-Year Credit Agreement and the 5-Year Credit Agreement, the “</w:t>
      </w:r>
      <w:r>
        <w:rPr>
          <w:rFonts w:ascii="Arial" w:cs="Arial" w:eastAsia="Arial" w:hAnsi="Arial"/>
          <w:sz w:val="17"/>
          <w:szCs w:val="17"/>
          <w:u w:val="single" w:color="auto"/>
          <w:color w:val="auto"/>
        </w:rPr>
        <w:t>Credit Agreements</w:t>
      </w:r>
      <w:r>
        <w:rPr>
          <w:rFonts w:ascii="Arial" w:cs="Arial" w:eastAsia="Arial" w:hAnsi="Arial"/>
          <w:sz w:val="17"/>
          <w:szCs w:val="17"/>
          <w:color w:val="auto"/>
        </w:rPr>
        <w:t>” and each a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 GMF, GMGTC, the Subsidiary Borrowers from time to time party thereto, the lenders from time to time party thereto, as lenders (the “</w:t>
      </w:r>
      <w:r>
        <w:rPr>
          <w:rFonts w:ascii="Arial" w:cs="Arial" w:eastAsia="Arial" w:hAnsi="Arial"/>
          <w:sz w:val="17"/>
          <w:szCs w:val="17"/>
          <w:u w:val="single" w:color="auto"/>
          <w:color w:val="auto"/>
        </w:rPr>
        <w:t>364-Day Lenders</w:t>
      </w:r>
      <w:r>
        <w:rPr>
          <w:rFonts w:ascii="Arial" w:cs="Arial" w:eastAsia="Arial" w:hAnsi="Arial"/>
          <w:sz w:val="17"/>
          <w:szCs w:val="17"/>
          <w:color w:val="auto"/>
        </w:rPr>
        <w:t>” and together with the 3-Year Lenders and the 5-Year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JPM as the Administrative Agent for the 364-Day Lenders (in such capacity, together with any successor thereto in such capacity, the “</w:t>
      </w:r>
      <w:r>
        <w:rPr>
          <w:rFonts w:ascii="Arial" w:cs="Arial" w:eastAsia="Arial" w:hAnsi="Arial"/>
          <w:sz w:val="17"/>
          <w:szCs w:val="17"/>
          <w:u w:val="single" w:color="auto"/>
          <w:color w:val="auto"/>
        </w:rPr>
        <w:t>364-Day Administrative Agent</w:t>
      </w:r>
      <w:r>
        <w:rPr>
          <w:rFonts w:ascii="Arial" w:cs="Arial" w:eastAsia="Arial" w:hAnsi="Arial"/>
          <w:sz w:val="17"/>
          <w:szCs w:val="17"/>
          <w:color w:val="auto"/>
        </w:rPr>
        <w:t>” and together with the 3-Year Administrative Agent and the 5-Year Administrative Agent, the “</w:t>
      </w:r>
      <w:r>
        <w:rPr>
          <w:rFonts w:ascii="Arial" w:cs="Arial" w:eastAsia="Arial" w:hAnsi="Arial"/>
          <w:sz w:val="17"/>
          <w:szCs w:val="17"/>
          <w:u w:val="single" w:color="auto"/>
          <w:color w:val="auto"/>
        </w:rPr>
        <w:t>Administrative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w:t>
      </w:r>
      <w:r>
        <w:rPr>
          <w:rFonts w:ascii="Arial" w:cs="Arial" w:eastAsia="Arial" w:hAnsi="Arial"/>
          <w:sz w:val="17"/>
          <w:szCs w:val="17"/>
          <w:color w:val="auto"/>
        </w:rPr>
        <w:t>”), the Syndication Agent, the Co-Syndication Agent, and the other agents party thereto.</w:t>
      </w:r>
    </w:p>
    <w:p>
      <w:pPr>
        <w:sectPr>
          <w:pgSz w:w="11900" w:h="16838" w:orient="portrait"/>
          <w:cols w:equalWidth="0" w:num="1">
            <w:col w:w="11420"/>
          </w:cols>
          <w:pgMar w:left="240" w:top="270" w:right="239" w:bottom="1440" w:gutter="0" w:footer="0" w:header="0"/>
        </w:sectPr>
      </w:pPr>
    </w:p>
    <w:bookmarkStart w:id="638" w:name="page639"/>
    <w:bookmarkEnd w:id="638"/>
    <w:p>
      <w:pPr>
        <w:ind w:right="4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Compliance Certificate (this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is furnished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57" w:lineRule="exact"/>
        <w:rPr>
          <w:sz w:val="20"/>
          <w:szCs w:val="20"/>
          <w:color w:val="auto"/>
        </w:rPr>
      </w:pPr>
    </w:p>
    <w:p>
      <w:pPr>
        <w:ind w:left="640" w:hanging="176"/>
        <w:spacing w:after="0"/>
        <w:tabs>
          <w:tab w:leader="none" w:pos="64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I am [the] [a] duly elected [insert title of Responsible Officer] of the Company;</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611"/>
        </w:numPr>
        <w:rPr>
          <w:rFonts w:ascii="Arial" w:cs="Arial" w:eastAsia="Arial" w:hAnsi="Arial"/>
          <w:sz w:val="16"/>
          <w:szCs w:val="16"/>
          <w:color w:val="auto"/>
        </w:rPr>
      </w:pPr>
      <w:r>
        <w:rPr>
          <w:rFonts w:ascii="Arial" w:cs="Arial" w:eastAsia="Arial" w:hAnsi="Arial"/>
          <w:sz w:val="16"/>
          <w:szCs w:val="16"/>
          <w:color w:val="auto"/>
        </w:rPr>
        <w:t xml:space="preserve">To the best of my knowledge, no Default or Event of Default has occurred and is continuing as of the date hereof [, except as set forth in </w:t>
      </w:r>
      <w:r>
        <w:rPr>
          <w:rFonts w:ascii="Arial" w:cs="Arial" w:eastAsia="Arial" w:hAnsi="Arial"/>
          <w:sz w:val="16"/>
          <w:szCs w:val="16"/>
          <w:u w:val="single" w:color="auto"/>
          <w:color w:val="auto"/>
        </w:rPr>
        <w:t>Annex 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102" w:lineRule="exact"/>
        <w:rPr>
          <w:rFonts w:ascii="Arial" w:cs="Arial" w:eastAsia="Arial" w:hAnsi="Arial"/>
          <w:sz w:val="16"/>
          <w:szCs w:val="16"/>
          <w:color w:val="auto"/>
        </w:rPr>
      </w:pPr>
    </w:p>
    <w:p>
      <w:pPr>
        <w:ind w:firstLine="464"/>
        <w:spacing w:after="0" w:line="277" w:lineRule="auto"/>
        <w:tabs>
          <w:tab w:leader="none" w:pos="636" w:val="left"/>
        </w:tabs>
        <w:numPr>
          <w:ilvl w:val="0"/>
          <w:numId w:val="61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 and</w:t>
      </w:r>
    </w:p>
    <w:p>
      <w:pPr>
        <w:spacing w:after="0" w:line="62" w:lineRule="exact"/>
        <w:rPr>
          <w:rFonts w:ascii="Arial" w:cs="Arial" w:eastAsia="Arial" w:hAnsi="Arial"/>
          <w:sz w:val="18"/>
          <w:szCs w:val="18"/>
          <w:color w:val="auto"/>
        </w:rPr>
      </w:pPr>
    </w:p>
    <w:p>
      <w:pPr>
        <w:ind w:right="140" w:firstLine="464"/>
        <w:spacing w:after="0" w:line="277" w:lineRule="auto"/>
        <w:tabs>
          <w:tab w:leader="none" w:pos="636" w:val="left"/>
        </w:tabs>
        <w:numPr>
          <w:ilvl w:val="0"/>
          <w:numId w:val="61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340"/>
          </w:cols>
          <w:pgMar w:left="240" w:top="274" w:right="319" w:bottom="1440" w:gutter="0" w:footer="0" w:header="0"/>
        </w:sectPr>
      </w:pPr>
    </w:p>
    <w:bookmarkStart w:id="639" w:name="page640"/>
    <w:bookmarkEnd w:id="63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foregoing certifications, together with the calculations set forth in </w:t>
      </w:r>
      <w:r>
        <w:rPr>
          <w:rFonts w:ascii="Arial" w:cs="Arial" w:eastAsia="Arial" w:hAnsi="Arial"/>
          <w:sz w:val="18"/>
          <w:szCs w:val="18"/>
          <w:u w:val="single" w:color="auto"/>
          <w:color w:val="auto"/>
        </w:rPr>
        <w:t>Schedules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hereto, are made and delivered in my capacity described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 above for and on behalf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140"/>
          </w:cols>
          <w:pgMar w:left="240" w:top="274" w:right="519" w:bottom="1440" w:gutter="0" w:footer="0" w:header="0"/>
        </w:sectPr>
      </w:pPr>
    </w:p>
    <w:bookmarkStart w:id="640" w:name="page641"/>
    <w:bookmarkEnd w:id="640"/>
    <w:p>
      <w:pPr>
        <w:ind w:left="10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Compliance Certificate</w:t>
      </w:r>
    </w:p>
    <w:p>
      <w:pPr>
        <w:spacing w:after="0" w:line="211" w:lineRule="exact"/>
        <w:rPr>
          <w:sz w:val="20"/>
          <w:szCs w:val="20"/>
          <w:color w:val="auto"/>
        </w:rPr>
      </w:pPr>
    </w:p>
    <w:p>
      <w:pPr>
        <w:ind w:left="460"/>
        <w:spacing w:after="0"/>
        <w:tabs>
          <w:tab w:leader="none" w:pos="3820" w:val="left"/>
          <w:tab w:leader="none" w:pos="4320" w:val="left"/>
        </w:tabs>
        <w:rPr>
          <w:sz w:val="20"/>
          <w:szCs w:val="20"/>
          <w:color w:val="auto"/>
        </w:rPr>
      </w:pPr>
      <w:r>
        <w:rPr>
          <w:rFonts w:ascii="Arial" w:cs="Arial" w:eastAsia="Arial" w:hAnsi="Arial"/>
          <w:sz w:val="18"/>
          <w:szCs w:val="18"/>
          <w:color w:val="auto"/>
        </w:rPr>
        <w:t>Consolidated Domestic Liquidity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(the “Calculation Date”)</w:t>
      </w:r>
      <w:r>
        <w:rPr>
          <w:rFonts w:ascii="Arial" w:cs="Arial" w:eastAsia="Arial" w:hAnsi="Arial"/>
          <w:sz w:val="13"/>
          <w:szCs w:val="13"/>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3574415"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32" w:lineRule="exact"/>
        <w:rPr>
          <w:sz w:val="20"/>
          <w:szCs w:val="20"/>
          <w:color w:val="auto"/>
        </w:rPr>
      </w:pPr>
    </w:p>
    <w:p>
      <w:pPr>
        <w:ind w:right="5660" w:firstLine="8"/>
        <w:spacing w:after="0" w:line="277" w:lineRule="auto"/>
        <w:tabs>
          <w:tab w:leader="none" w:pos="295"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The Total Available Commitments under the 3-Year Credit Agreement as of the Calculation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660" w:firstLine="8"/>
        <w:spacing w:after="0" w:line="277" w:lineRule="auto"/>
        <w:tabs>
          <w:tab w:leader="none" w:pos="285"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660" w:firstLine="8"/>
        <w:spacing w:after="0" w:line="277" w:lineRule="auto"/>
        <w:tabs>
          <w:tab w:leader="none" w:pos="285" w:val="left"/>
        </w:tabs>
        <w:numPr>
          <w:ilvl w:val="0"/>
          <w:numId w:val="61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Total Available Commitments Under the 364-Day Credit Agreement as of the Calculation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760" w:firstLine="8"/>
        <w:spacing w:after="0" w:line="286" w:lineRule="auto"/>
        <w:tabs>
          <w:tab w:leader="none" w:pos="295" w:val="left"/>
        </w:tabs>
        <w:numPr>
          <w:ilvl w:val="0"/>
          <w:numId w:val="615"/>
        </w:numPr>
        <w:rPr>
          <w:rFonts w:ascii="Arial" w:cs="Arial" w:eastAsia="Arial" w:hAnsi="Arial"/>
          <w:sz w:val="17"/>
          <w:szCs w:val="17"/>
          <w:color w:val="auto"/>
        </w:rPr>
      </w:pPr>
      <w:r>
        <w:rPr>
          <w:rFonts w:ascii="Arial" w:cs="Arial" w:eastAsia="Arial" w:hAnsi="Arial"/>
          <w:sz w:val="17"/>
          <w:szCs w:val="17"/>
          <w:color w:val="auto"/>
        </w:rPr>
        <w:t>The total available commitments (after giving effect to any applicable borrowing base limitations) under other effective committed credit facilities of the Company or any Domestic Subsidiary as of the Calculation 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760" w:firstLine="8"/>
        <w:spacing w:after="0" w:line="291" w:lineRule="auto"/>
        <w:tabs>
          <w:tab w:leader="none" w:pos="275" w:val="left"/>
        </w:tabs>
        <w:numPr>
          <w:ilvl w:val="0"/>
          <w:numId w:val="616"/>
        </w:numPr>
        <w:rPr>
          <w:rFonts w:ascii="Arial" w:cs="Arial" w:eastAsia="Arial" w:hAnsi="Arial"/>
          <w:sz w:val="16"/>
          <w:szCs w:val="16"/>
          <w:color w:val="auto"/>
        </w:rPr>
      </w:pPr>
      <w:r>
        <w:rPr>
          <w:rFonts w:ascii="Arial" w:cs="Arial" w:eastAsia="Arial" w:hAnsi="Arial"/>
          <w:sz w:val="16"/>
          <w:szCs w:val="16"/>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sz w:val="20"/>
                <w:szCs w:val="20"/>
                <w:color w:val="auto"/>
              </w:rPr>
            </w:pPr>
            <w:r>
              <w:rPr>
                <w:rFonts w:ascii="Arial" w:cs="Arial" w:eastAsia="Arial" w:hAnsi="Arial"/>
                <w:sz w:val="18"/>
                <w:szCs w:val="18"/>
                <w:color w:val="auto"/>
              </w:rPr>
              <w:t>Sum of (A) plus (B) plus (C) plus (D) plus (E): Consolidated Domestic</w:t>
            </w:r>
          </w:p>
        </w:tc>
        <w:tc>
          <w:tcPr>
            <w:tcW w:w="2520" w:type="dxa"/>
            <w:vAlign w:val="bottom"/>
          </w:tcPr>
          <w:p>
            <w:pPr>
              <w:jc w:val="right"/>
              <w:spacing w:after="0"/>
              <w:rPr>
                <w:sz w:val="20"/>
                <w:szCs w:val="20"/>
                <w:color w:val="auto"/>
              </w:rPr>
            </w:pPr>
            <w:r>
              <w:rPr>
                <w:rFonts w:ascii="Arial" w:cs="Arial" w:eastAsia="Arial" w:hAnsi="Arial"/>
                <w:sz w:val="18"/>
                <w:szCs w:val="18"/>
                <w:color w:val="auto"/>
              </w:rPr>
              <w:t>$______________________</w:t>
            </w:r>
          </w:p>
        </w:tc>
      </w:tr>
      <w:tr>
        <w:trPr>
          <w:trHeight w:val="196"/>
        </w:trPr>
        <w:tc>
          <w:tcPr>
            <w:tcW w:w="51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Liquidity:</w:t>
            </w:r>
          </w:p>
        </w:tc>
        <w:tc>
          <w:tcPr>
            <w:tcW w:w="4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898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3" w:lineRule="exact"/>
        <w:rPr>
          <w:sz w:val="20"/>
          <w:szCs w:val="20"/>
          <w:color w:val="auto"/>
        </w:rPr>
      </w:pPr>
    </w:p>
    <w:p>
      <w:pPr>
        <w:ind w:left="460" w:right="80" w:hanging="452"/>
        <w:spacing w:after="0" w:line="277" w:lineRule="auto"/>
        <w:tabs>
          <w:tab w:leader="none" w:pos="460" w:val="left"/>
        </w:tabs>
        <w:numPr>
          <w:ilvl w:val="0"/>
          <w:numId w:val="617"/>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1420"/>
          </w:cols>
          <w:pgMar w:left="240" w:top="271" w:right="239" w:bottom="1440" w:gutter="0" w:footer="0" w:header="0"/>
        </w:sectPr>
      </w:pPr>
    </w:p>
    <w:bookmarkStart w:id="641" w:name="page642"/>
    <w:bookmarkEnd w:id="641"/>
    <w:p>
      <w:pPr>
        <w:ind w:left="9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7" w:lineRule="exact"/>
        <w:rPr>
          <w:sz w:val="20"/>
          <w:szCs w:val="20"/>
          <w:color w:val="auto"/>
        </w:rPr>
      </w:pPr>
    </w:p>
    <w:p>
      <w:pPr>
        <w:ind w:left="104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Compliance Certificate</w:t>
      </w:r>
    </w:p>
    <w:p>
      <w:pPr>
        <w:spacing w:after="0" w:line="211" w:lineRule="exact"/>
        <w:rPr>
          <w:sz w:val="20"/>
          <w:szCs w:val="20"/>
          <w:color w:val="auto"/>
        </w:rPr>
      </w:pPr>
    </w:p>
    <w:p>
      <w:pPr>
        <w:ind w:left="460"/>
        <w:spacing w:after="0"/>
        <w:tabs>
          <w:tab w:leader="none" w:pos="3620" w:val="left"/>
          <w:tab w:leader="none" w:pos="4120" w:val="left"/>
        </w:tabs>
        <w:rPr>
          <w:sz w:val="20"/>
          <w:szCs w:val="20"/>
          <w:color w:val="auto"/>
        </w:rPr>
      </w:pPr>
      <w:r>
        <w:rPr>
          <w:rFonts w:ascii="Arial" w:cs="Arial" w:eastAsia="Arial" w:hAnsi="Arial"/>
          <w:sz w:val="18"/>
          <w:szCs w:val="18"/>
          <w:color w:val="auto"/>
        </w:rPr>
        <w:t>Consolidated Global Liquidity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(the “Calculation Date”)</w:t>
      </w:r>
      <w:r>
        <w:rPr>
          <w:rFonts w:ascii="Arial" w:cs="Arial" w:eastAsia="Arial" w:hAnsi="Arial"/>
          <w:sz w:val="13"/>
          <w:szCs w:val="13"/>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3447415"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32" w:lineRule="exact"/>
        <w:rPr>
          <w:sz w:val="20"/>
          <w:szCs w:val="20"/>
          <w:color w:val="auto"/>
        </w:rPr>
      </w:pPr>
    </w:p>
    <w:p>
      <w:pPr>
        <w:ind w:right="5660" w:firstLine="8"/>
        <w:spacing w:after="0" w:line="277" w:lineRule="auto"/>
        <w:tabs>
          <w:tab w:leader="none" w:pos="295" w:val="left"/>
        </w:tabs>
        <w:numPr>
          <w:ilvl w:val="0"/>
          <w:numId w:val="618"/>
        </w:numPr>
        <w:rPr>
          <w:rFonts w:ascii="Arial" w:cs="Arial" w:eastAsia="Arial" w:hAnsi="Arial"/>
          <w:sz w:val="18"/>
          <w:szCs w:val="18"/>
          <w:color w:val="auto"/>
        </w:rPr>
      </w:pPr>
      <w:r>
        <w:rPr>
          <w:rFonts w:ascii="Arial" w:cs="Arial" w:eastAsia="Arial" w:hAnsi="Arial"/>
          <w:sz w:val="18"/>
          <w:szCs w:val="18"/>
          <w:color w:val="auto"/>
        </w:rPr>
        <w:t>The Total Available Commitments under the 3-Year Credit Agreement as of the Calculation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660" w:firstLine="8"/>
        <w:spacing w:after="0" w:line="277" w:lineRule="auto"/>
        <w:tabs>
          <w:tab w:leader="none" w:pos="285" w:val="left"/>
        </w:tabs>
        <w:numPr>
          <w:ilvl w:val="0"/>
          <w:numId w:val="619"/>
        </w:numPr>
        <w:rPr>
          <w:rFonts w:ascii="Arial" w:cs="Arial" w:eastAsia="Arial" w:hAnsi="Arial"/>
          <w:sz w:val="18"/>
          <w:szCs w:val="18"/>
          <w:color w:val="auto"/>
        </w:rPr>
      </w:pPr>
      <w:r>
        <w:rPr>
          <w:rFonts w:ascii="Arial" w:cs="Arial" w:eastAsia="Arial" w:hAnsi="Arial"/>
          <w:sz w:val="18"/>
          <w:szCs w:val="18"/>
          <w:color w:val="auto"/>
        </w:rPr>
        <w:t>The Total Available Commitments under the 5-Year Credit Agreement as of the Calculation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660" w:firstLine="8"/>
        <w:spacing w:after="0" w:line="277" w:lineRule="auto"/>
        <w:tabs>
          <w:tab w:leader="none" w:pos="285" w:val="left"/>
        </w:tabs>
        <w:numPr>
          <w:ilvl w:val="0"/>
          <w:numId w:val="6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Total Available Commitments Under the 364-Day Credit Agreement as of the Calculation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760" w:firstLine="8"/>
        <w:spacing w:after="0" w:line="286" w:lineRule="auto"/>
        <w:tabs>
          <w:tab w:leader="none" w:pos="295" w:val="left"/>
        </w:tabs>
        <w:numPr>
          <w:ilvl w:val="0"/>
          <w:numId w:val="621"/>
        </w:numPr>
        <w:rPr>
          <w:rFonts w:ascii="Arial" w:cs="Arial" w:eastAsia="Arial" w:hAnsi="Arial"/>
          <w:sz w:val="17"/>
          <w:szCs w:val="17"/>
          <w:color w:val="auto"/>
        </w:rPr>
      </w:pPr>
      <w:r>
        <w:rPr>
          <w:rFonts w:ascii="Arial" w:cs="Arial" w:eastAsia="Arial" w:hAnsi="Arial"/>
          <w:sz w:val="17"/>
          <w:szCs w:val="17"/>
          <w:color w:val="auto"/>
        </w:rPr>
        <w:t>The total available commitments (after giving effect to any applicable borrowing base limitations) under other effective committed credit facilities of the Company or any of its Subsidiaries as of the Calculation 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p>
    <w:p>
      <w:pPr>
        <w:spacing w:after="0" w:line="117" w:lineRule="exact"/>
        <w:rPr>
          <w:sz w:val="20"/>
          <w:szCs w:val="20"/>
          <w:color w:val="auto"/>
        </w:rPr>
      </w:pPr>
    </w:p>
    <w:p>
      <w:pPr>
        <w:ind w:right="5660" w:firstLine="8"/>
        <w:spacing w:after="0" w:line="276" w:lineRule="auto"/>
        <w:tabs>
          <w:tab w:leader="none" w:pos="275" w:val="left"/>
        </w:tabs>
        <w:numPr>
          <w:ilvl w:val="0"/>
          <w:numId w:val="622"/>
        </w:numPr>
        <w:rPr>
          <w:rFonts w:ascii="Arial" w:cs="Arial" w:eastAsia="Arial" w:hAnsi="Arial"/>
          <w:sz w:val="17"/>
          <w:szCs w:val="17"/>
          <w:color w:val="auto"/>
        </w:rPr>
      </w:pPr>
      <w:r>
        <w:rPr>
          <w:rFonts w:ascii="Arial" w:cs="Arial" w:eastAsia="Arial" w:hAnsi="Arial"/>
          <w:sz w:val="17"/>
          <w:szCs w:val="17"/>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6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u w:val="single" w:color="auto"/>
          <w:color w:val="auto"/>
        </w:rPr>
        <w:t>Sum of (A) plus (B) plus (C) plus (D) plus (E): Consolidated Global Liquidity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ind w:left="460" w:right="80" w:hanging="452"/>
        <w:spacing w:after="0" w:line="277" w:lineRule="auto"/>
        <w:tabs>
          <w:tab w:leader="none" w:pos="460" w:val="left"/>
        </w:tabs>
        <w:numPr>
          <w:ilvl w:val="0"/>
          <w:numId w:val="623"/>
        </w:numPr>
        <w:rPr>
          <w:rFonts w:ascii="Arial" w:cs="Arial" w:eastAsia="Arial" w:hAnsi="Arial"/>
          <w:sz w:val="15"/>
          <w:szCs w:val="15"/>
          <w:color w:val="auto"/>
        </w:rPr>
      </w:pPr>
      <w:r>
        <w:rPr>
          <w:rFonts w:ascii="Arial" w:cs="Arial" w:eastAsia="Arial" w:hAnsi="Arial"/>
          <w:sz w:val="18"/>
          <w:szCs w:val="18"/>
          <w:color w:val="auto"/>
        </w:rPr>
        <w:t xml:space="preserve">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ectPr>
          <w:pgSz w:w="11900" w:h="16838" w:orient="portrait"/>
          <w:cols w:equalWidth="0" w:num="1">
            <w:col w:w="11420"/>
          </w:cols>
          <w:pgMar w:left="240" w:top="270" w:right="239" w:bottom="1440" w:gutter="0" w:footer="0" w:header="0"/>
        </w:sectPr>
      </w:pPr>
    </w:p>
    <w:bookmarkStart w:id="642" w:name="page643"/>
    <w:bookmarkEnd w:id="642"/>
    <w:p>
      <w:pPr>
        <w:ind w:left="8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7"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Compliance Certificate</w:t>
      </w:r>
    </w:p>
    <w:p>
      <w:pPr>
        <w:spacing w:after="0" w:line="21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[Defaults/Events of Default that have occurred and are continuing]</w:t>
      </w:r>
    </w:p>
    <w:p>
      <w:pPr>
        <w:sectPr>
          <w:pgSz w:w="11900" w:h="16838" w:orient="portrait"/>
          <w:cols w:equalWidth="0" w:num="1">
            <w:col w:w="10220"/>
          </w:cols>
          <w:pgMar w:left="1440" w:top="271" w:right="239" w:bottom="1440" w:gutter="0" w:footer="0" w:header="0"/>
        </w:sectPr>
      </w:pPr>
    </w:p>
    <w:bookmarkStart w:id="643" w:name="page644"/>
    <w:bookmarkEnd w:id="643"/>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K</w:t>
      </w:r>
    </w:p>
    <w:p>
      <w:pPr>
        <w:spacing w:after="0" w:line="27" w:lineRule="exact"/>
        <w:rPr>
          <w:sz w:val="20"/>
          <w:szCs w:val="20"/>
          <w:color w:val="auto"/>
        </w:rPr>
      </w:pPr>
    </w:p>
    <w:p>
      <w:pPr>
        <w:ind w:left="106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5"/>
          </w:tcPr>
          <w:p>
            <w:pPr>
              <w:ind w:left="240"/>
              <w:spacing w:after="0"/>
              <w:rPr>
                <w:sz w:val="20"/>
                <w:szCs w:val="20"/>
                <w:color w:val="auto"/>
              </w:rPr>
            </w:pPr>
            <w:r>
              <w:rPr>
                <w:rFonts w:ascii="Arial" w:cs="Arial" w:eastAsia="Arial" w:hAnsi="Arial"/>
                <w:sz w:val="18"/>
                <w:szCs w:val="18"/>
                <w:color w:val="auto"/>
                <w:w w:val="92"/>
              </w:rPr>
              <w:t>New York, New York</w:t>
            </w:r>
          </w:p>
        </w:tc>
      </w:tr>
      <w:tr>
        <w:trPr>
          <w:trHeight w:val="190"/>
        </w:trPr>
        <w:tc>
          <w:tcPr>
            <w:tcW w:w="100" w:type="dxa"/>
            <w:vAlign w:val="bottom"/>
            <w:gridSpan w:val="2"/>
          </w:tcPr>
          <w:p>
            <w:pPr>
              <w:spacing w:after="0" w:line="190"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Pr>
          <w:p>
            <w:pPr>
              <w:jc w:val="right"/>
              <w:spacing w:after="0" w:line="190" w:lineRule="exact"/>
              <w:rPr>
                <w:sz w:val="20"/>
                <w:szCs w:val="20"/>
                <w:color w:val="auto"/>
              </w:rPr>
            </w:pPr>
            <w:r>
              <w:rPr>
                <w:rFonts w:ascii="Arial" w:cs="Arial" w:eastAsia="Arial" w:hAnsi="Arial"/>
                <w:sz w:val="18"/>
                <w:szCs w:val="18"/>
                <w:color w:val="auto"/>
                <w:w w:val="86"/>
              </w:rPr>
              <w:t>, 20</w:t>
            </w:r>
          </w:p>
        </w:tc>
        <w:tc>
          <w:tcPr>
            <w:tcW w:w="260" w:type="dxa"/>
            <w:vAlign w:val="bottom"/>
            <w:tcBorders>
              <w:bottom w:val="single" w:sz="8" w:color="auto"/>
            </w:tcBorders>
          </w:tcPr>
          <w:p>
            <w:pPr>
              <w:spacing w:after="0"/>
              <w:rPr>
                <w:sz w:val="16"/>
                <w:szCs w:val="16"/>
                <w:color w:val="auto"/>
              </w:rPr>
            </w:pPr>
          </w:p>
        </w:tc>
      </w:tr>
      <w:tr>
        <w:trPr>
          <w:trHeight w:val="43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320" w:type="dxa"/>
            <w:vAlign w:val="bottom"/>
            <w:gridSpan w:val="10"/>
          </w:tcPr>
          <w:p>
            <w:pPr>
              <w:ind w:left="360"/>
              <w:spacing w:after="0"/>
              <w:rPr>
                <w:sz w:val="20"/>
                <w:szCs w:val="20"/>
                <w:color w:val="auto"/>
              </w:rPr>
            </w:pPr>
            <w:r>
              <w:rPr>
                <w:rFonts w:ascii="Arial" w:cs="Arial" w:eastAsia="Arial" w:hAnsi="Arial"/>
                <w:sz w:val="18"/>
                <w:szCs w:val="18"/>
                <w:color w:val="auto"/>
              </w:rPr>
              <w:t>FOR VALUE RECEIVED, the undersigned, [NAME OF BORROWER], [JURISDICTION OF INCORPORATION/FORMATION], [TYPE OF</w:t>
            </w:r>
          </w:p>
        </w:tc>
      </w:tr>
      <w:tr>
        <w:trPr>
          <w:trHeight w:val="190"/>
        </w:trPr>
        <w:tc>
          <w:tcPr>
            <w:tcW w:w="10460" w:type="dxa"/>
            <w:vAlign w:val="bottom"/>
            <w:gridSpan w:val="9"/>
          </w:tcPr>
          <w:p>
            <w:pPr>
              <w:spacing w:after="0" w:line="190" w:lineRule="exact"/>
              <w:rPr>
                <w:sz w:val="20"/>
                <w:szCs w:val="20"/>
                <w:color w:val="auto"/>
              </w:rPr>
            </w:pPr>
            <w:r>
              <w:rPr>
                <w:rFonts w:ascii="Arial" w:cs="Arial" w:eastAsia="Arial" w:hAnsi="Arial"/>
                <w:sz w:val="18"/>
                <w:szCs w:val="18"/>
                <w:color w:val="auto"/>
                <w:w w:val="93"/>
              </w:rPr>
              <w:t>ORGANIZATION] (together with its successors and permitted assigns, the “Applicable Borrower”), hereby unconditionally promises to pay to</w:t>
            </w:r>
          </w:p>
        </w:tc>
        <w:tc>
          <w:tcPr>
            <w:tcW w:w="420" w:type="dxa"/>
            <w:vAlign w:val="bottom"/>
          </w:tcPr>
          <w:p>
            <w:pPr>
              <w:spacing w:after="0"/>
              <w:rPr>
                <w:sz w:val="16"/>
                <w:szCs w:val="16"/>
                <w:color w:val="auto"/>
              </w:rPr>
            </w:pPr>
          </w:p>
        </w:tc>
        <w:tc>
          <w:tcPr>
            <w:tcW w:w="54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(the</w:t>
            </w:r>
          </w:p>
        </w:tc>
      </w:tr>
      <w:tr>
        <w:trPr>
          <w:trHeight w:val="20"/>
        </w:trPr>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r>
      <w:tr>
        <w:trPr>
          <w:trHeight w:val="196"/>
        </w:trPr>
        <w:tc>
          <w:tcPr>
            <w:tcW w:w="11420" w:type="dxa"/>
            <w:vAlign w:val="bottom"/>
            <w:gridSpan w:val="12"/>
          </w:tcPr>
          <w:p>
            <w:pPr>
              <w:spacing w:after="0" w:line="196" w:lineRule="exact"/>
              <w:rPr>
                <w:sz w:val="20"/>
                <w:szCs w:val="20"/>
                <w:color w:val="auto"/>
              </w:rPr>
            </w:pPr>
            <w:r>
              <w:rPr>
                <w:rFonts w:ascii="Arial" w:cs="Arial" w:eastAsia="Arial" w:hAnsi="Arial"/>
                <w:sz w:val="18"/>
                <w:szCs w:val="18"/>
                <w:color w:val="auto"/>
                <w:w w:val="96"/>
              </w:rPr>
              <w:t>“Lender”) or its registered assigns, on the Lender’s Termination Date specified in the Credit Agreement (as hereinafter defined) at the Funding Office</w:t>
            </w:r>
          </w:p>
        </w:tc>
      </w:tr>
      <w:tr>
        <w:trPr>
          <w:trHeight w:val="20"/>
        </w:trPr>
        <w:tc>
          <w:tcPr>
            <w:tcW w:w="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0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237"/>
        </w:trPr>
        <w:tc>
          <w:tcPr>
            <w:tcW w:w="9620" w:type="dxa"/>
            <w:vAlign w:val="bottom"/>
            <w:gridSpan w:val="7"/>
          </w:tcPr>
          <w:p>
            <w:pPr>
              <w:spacing w:after="0"/>
              <w:rPr>
                <w:sz w:val="20"/>
                <w:szCs w:val="20"/>
                <w:color w:val="auto"/>
              </w:rPr>
            </w:pPr>
            <w:r>
              <w:rPr>
                <w:rFonts w:ascii="Arial" w:cs="Arial" w:eastAsia="Arial" w:hAnsi="Arial"/>
                <w:sz w:val="18"/>
                <w:szCs w:val="18"/>
                <w:color w:val="auto"/>
                <w:w w:val="93"/>
              </w:rPr>
              <w:t>specified in such Credit Agreement, in the currency of such Loans and in immediately available funds, the principal amount of (a)</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gridSpan w:val="3"/>
          </w:tcPr>
          <w:p>
            <w:pPr>
              <w:ind w:left="140"/>
              <w:spacing w:after="0"/>
              <w:rPr>
                <w:sz w:val="20"/>
                <w:szCs w:val="20"/>
                <w:color w:val="auto"/>
              </w:rPr>
            </w:pPr>
            <w:r>
              <w:rPr>
                <w:rFonts w:ascii="Arial" w:cs="Arial" w:eastAsia="Arial" w:hAnsi="Arial"/>
                <w:sz w:val="18"/>
                <w:szCs w:val="18"/>
                <w:color w:val="auto"/>
              </w:rPr>
              <w:t>), or, if</w:t>
            </w:r>
          </w:p>
        </w:tc>
      </w:tr>
    </w:tbl>
    <w:p>
      <w:pPr>
        <w:ind w:right="240"/>
        <w:spacing w:after="0" w:line="255" w:lineRule="auto"/>
        <w:rPr>
          <w:sz w:val="20"/>
          <w:szCs w:val="20"/>
          <w:color w:val="auto"/>
        </w:rPr>
      </w:pPr>
      <w:r>
        <w:rPr>
          <w:rFonts w:ascii="Arial" w:cs="Arial" w:eastAsia="Arial" w:hAnsi="Arial"/>
          <w:sz w:val="18"/>
          <w:szCs w:val="18"/>
          <w:color w:val="auto"/>
        </w:rPr>
        <w:t xml:space="preserve">less, (b) the unpaid principal amount of the Loans of the Lender outstanding under the Credit Agreement. The Applicable Borrower further agrees to pay interest in like money at such Funding Office on the unpaid principal amount hereof from time to time outstanding at the rates and on the dates specified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the Credit Agreement.</w:t>
      </w:r>
    </w:p>
    <w:p>
      <w:pPr>
        <w:spacing w:after="0" w:line="19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The holder of this Note is authorized to endorse on the schedules annexed hereto and made a part hereof or on a continuation thereof which shall be attached hereto and made a part hereof the date, Type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 </w:t>
      </w:r>
      <w:r>
        <w:rPr>
          <w:rFonts w:ascii="Arial" w:cs="Arial" w:eastAsia="Arial" w:hAnsi="Arial"/>
          <w:sz w:val="16"/>
          <w:szCs w:val="16"/>
          <w:u w:val="single" w:color="auto"/>
          <w:color w:val="auto"/>
        </w:rPr>
        <w:t>Section 10.6(b)</w:t>
      </w:r>
      <w:r>
        <w:rPr>
          <w:rFonts w:ascii="Arial" w:cs="Arial" w:eastAsia="Arial" w:hAnsi="Arial"/>
          <w:sz w:val="16"/>
          <w:szCs w:val="16"/>
          <w:color w:val="auto"/>
        </w:rPr>
        <w:t xml:space="preserve"> of the Credit Agreement, each such endorsement shall constitute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accuracy of the information endorsed. The failure to make any such endorsement or any error in any such endorsement shall not affect the obligations of the Applicable Borrower in respect of the Loans.</w:t>
      </w:r>
    </w:p>
    <w:p>
      <w:pPr>
        <w:spacing w:after="0" w:line="165"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This Note (a) is one of the Notes referred to in the 364-Day Revolving Credit Agreement, dated as of April 18, 2018 (as amended, restated, amended and restated, renewed,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General Motors Company, a Delaware corporation, General Motors Financial Company, Inc., a Texas corporation, GM Global Treasury Centre Limited, a corporation organized under the laws of England and Wales, the Subsidiary Borrowers from time to time party thereto, the Lender, the</w:t>
      </w:r>
    </w:p>
    <w:p>
      <w:pPr>
        <w:sectPr>
          <w:pgSz w:w="11900" w:h="16838" w:orient="portrait"/>
          <w:cols w:equalWidth="0" w:num="1">
            <w:col w:w="11420"/>
          </w:cols>
          <w:pgMar w:left="240" w:top="270" w:right="239" w:bottom="1440" w:gutter="0" w:footer="0" w:header="0"/>
        </w:sectPr>
      </w:pPr>
    </w:p>
    <w:bookmarkStart w:id="644" w:name="page645"/>
    <w:bookmarkEnd w:id="64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lenders from time to time party thereto, JPMorgan Chase Bank, N.A., as Administrative Agent, 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All parties now and hereafter liable with respect to this Note, whether as maker, principal, surety, guarantor, endorser or otherwise, hereby waive presentment, demand, protest and all other notices of any kind.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CREDIT AGREEMENT.</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THIS NOTE SHALL BE GOVERNED BY, AND CONSTRUED AND INTERPRETED IN ACCORDANCE WITH, THE LAW OF THE STATE OF NEW YORK.</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APPLICABLE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2885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126365</wp:posOffset>
            </wp:positionV>
            <wp:extent cx="51435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-10160</wp:posOffset>
            </wp:positionV>
            <wp:extent cx="222885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126365</wp:posOffset>
            </wp:positionV>
            <wp:extent cx="3429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-10160</wp:posOffset>
            </wp:positionV>
            <wp:extent cx="222885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126365</wp:posOffset>
            </wp:positionV>
            <wp:extent cx="40005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645" w:name="page646"/>
    <w:bookmarkEnd w:id="645"/>
    <w:p>
      <w:pPr>
        <w:ind w:left="102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39"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10620"/>
        <w:spacing w:after="0"/>
        <w:rPr>
          <w:sz w:val="20"/>
          <w:szCs w:val="20"/>
          <w:color w:val="auto"/>
        </w:rPr>
      </w:pPr>
      <w:r>
        <w:rPr>
          <w:rFonts w:ascii="Arial" w:cs="Arial" w:eastAsia="Arial" w:hAnsi="Arial"/>
          <w:sz w:val="18"/>
          <w:szCs w:val="18"/>
          <w:b w:val="1"/>
          <w:bCs w:val="1"/>
          <w:color w:val="auto"/>
        </w:rPr>
        <w:t>Note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LOANS, CONVERSIONS AND REPAYMENTS OF ABR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Amount</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Amount of Principal</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Amount of ABR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Unpaid Principal</w:t>
            </w:r>
          </w:p>
        </w:tc>
        <w:tc>
          <w:tcPr>
            <w:tcW w:w="640" w:type="dxa"/>
            <w:vAlign w:val="bottom"/>
          </w:tcPr>
          <w:p>
            <w:pPr>
              <w:spacing w:after="0"/>
              <w:rPr>
                <w:sz w:val="14"/>
                <w:szCs w:val="14"/>
                <w:color w:val="auto"/>
              </w:rPr>
            </w:pPr>
          </w:p>
        </w:tc>
      </w:tr>
      <w:tr>
        <w:trPr>
          <w:trHeight w:val="149"/>
        </w:trPr>
        <w:tc>
          <w:tcPr>
            <w:tcW w:w="2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Amount of</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Converted to</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of ABR Loans</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Loans Converted to</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Balance</w:t>
            </w:r>
          </w:p>
        </w:tc>
        <w:tc>
          <w:tcPr>
            <w:tcW w:w="640" w:type="dxa"/>
            <w:vAlign w:val="bottom"/>
          </w:tcPr>
          <w:p>
            <w:pPr>
              <w:spacing w:after="0"/>
              <w:rPr>
                <w:sz w:val="12"/>
                <w:szCs w:val="12"/>
                <w:color w:val="auto"/>
              </w:rPr>
            </w:pPr>
          </w:p>
        </w:tc>
      </w:t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218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ABR Loans</w:t>
            </w:r>
          </w:p>
        </w:tc>
        <w:tc>
          <w:tcPr>
            <w:tcW w:w="24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ABR Loans</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Repaid</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Eurocurrency Loans</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of ABR Loans</w:t>
            </w:r>
          </w:p>
        </w:tc>
        <w:tc>
          <w:tcPr>
            <w:tcW w:w="120" w:type="dxa"/>
            <w:vAlign w:val="bottom"/>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Made By</w:t>
            </w:r>
          </w:p>
        </w:tc>
      </w:tr>
    </w:tbl>
    <w:p>
      <w:pPr>
        <w:sectPr>
          <w:pgSz w:w="11900" w:h="16838" w:orient="portrait"/>
          <w:cols w:equalWidth="0" w:num="1">
            <w:col w:w="11420"/>
          </w:cols>
          <w:pgMar w:left="240" w:top="271" w:right="239" w:bottom="1440" w:gutter="0" w:footer="0" w:header="0"/>
        </w:sectPr>
      </w:pPr>
    </w:p>
    <w:bookmarkStart w:id="646" w:name="page647"/>
    <w:bookmarkEnd w:id="646"/>
    <w:p>
      <w:pPr>
        <w:ind w:left="102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39" w:lineRule="exact"/>
        <w:rPr>
          <w:sz w:val="20"/>
          <w:szCs w:val="20"/>
          <w:color w:val="auto"/>
        </w:rPr>
      </w:pPr>
    </w:p>
    <w:p>
      <w:pPr>
        <w:ind w:left="107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10620"/>
        <w:spacing w:after="0"/>
        <w:rPr>
          <w:sz w:val="20"/>
          <w:szCs w:val="20"/>
          <w:color w:val="auto"/>
        </w:rPr>
      </w:pPr>
      <w:r>
        <w:rPr>
          <w:rFonts w:ascii="Arial" w:cs="Arial" w:eastAsia="Arial" w:hAnsi="Arial"/>
          <w:sz w:val="18"/>
          <w:szCs w:val="18"/>
          <w:b w:val="1"/>
          <w:bCs w:val="1"/>
          <w:color w:val="auto"/>
        </w:rPr>
        <w:t>Note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LOANS, CONVERSIONS AND REPAYMENTS OF EUROCURRENCY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Unpaid</w:t>
            </w:r>
          </w:p>
        </w:tc>
        <w:tc>
          <w:tcPr>
            <w:tcW w:w="640" w:type="dxa"/>
            <w:vAlign w:val="bottom"/>
          </w:tcPr>
          <w:p>
            <w:pPr>
              <w:spacing w:after="0"/>
              <w:rPr>
                <w:sz w:val="14"/>
                <w:szCs w:val="14"/>
                <w:color w:val="auto"/>
              </w:rPr>
            </w:pPr>
          </w:p>
        </w:tc>
      </w:tr>
      <w:tr>
        <w:trPr>
          <w:trHeight w:val="149"/>
        </w:trPr>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Principal</w:t>
            </w:r>
          </w:p>
        </w:tc>
        <w:tc>
          <w:tcPr>
            <w:tcW w:w="640" w:type="dxa"/>
            <w:vAlign w:val="bottom"/>
          </w:tcPr>
          <w:p>
            <w:pPr>
              <w:spacing w:after="0"/>
              <w:rPr>
                <w:sz w:val="12"/>
                <w:szCs w:val="12"/>
                <w:color w:val="auto"/>
              </w:rPr>
            </w:pPr>
          </w:p>
        </w:tc>
      </w:tr>
      <w:tr>
        <w:trPr>
          <w:trHeight w:val="149"/>
        </w:trPr>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Amount of Principal</w:t>
            </w: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Amount of</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Balance</w:t>
            </w:r>
          </w:p>
        </w:tc>
        <w:tc>
          <w:tcPr>
            <w:tcW w:w="640" w:type="dxa"/>
            <w:vAlign w:val="bottom"/>
          </w:tcPr>
          <w:p>
            <w:pPr>
              <w:spacing w:after="0"/>
              <w:rPr>
                <w:sz w:val="12"/>
                <w:szCs w:val="12"/>
                <w:color w:val="auto"/>
              </w:rPr>
            </w:pPr>
          </w:p>
        </w:tc>
      </w:tr>
      <w:tr>
        <w:trPr>
          <w:trHeight w:val="149"/>
        </w:trPr>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Amount of</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of Eurocurrency</w:t>
            </w: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Eurocurrency</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of</w:t>
            </w:r>
          </w:p>
        </w:tc>
        <w:tc>
          <w:tcPr>
            <w:tcW w:w="640" w:type="dxa"/>
            <w:vAlign w:val="bottom"/>
          </w:tcPr>
          <w:p>
            <w:pPr>
              <w:spacing w:after="0"/>
              <w:rPr>
                <w:sz w:val="12"/>
                <w:szCs w:val="12"/>
                <w:color w:val="auto"/>
              </w:rPr>
            </w:pPr>
          </w:p>
        </w:tc>
      </w:tr>
      <w:tr>
        <w:trPr>
          <w:trHeight w:val="149"/>
        </w:trPr>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Interest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Eurocurrency</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Amount Converted to</w:t>
            </w:r>
          </w:p>
        </w:tc>
        <w:tc>
          <w:tcPr>
            <w:tcW w:w="1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Loans</w:t>
            </w: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Loans Converted to</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Eurocurrency</w:t>
            </w:r>
          </w:p>
        </w:tc>
        <w:tc>
          <w:tcPr>
            <w:tcW w:w="640" w:type="dxa"/>
            <w:vAlign w:val="bottom"/>
          </w:tcPr>
          <w:p>
            <w:pPr>
              <w:spacing w:after="0"/>
              <w:rPr>
                <w:sz w:val="12"/>
                <w:szCs w:val="12"/>
                <w:color w:val="auto"/>
              </w:rPr>
            </w:pPr>
          </w:p>
        </w:tc>
      </w:tr>
      <w:tr>
        <w:trPr>
          <w:trHeight w:val="18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17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Period</w:t>
            </w:r>
          </w:p>
        </w:tc>
        <w:tc>
          <w:tcPr>
            <w:tcW w:w="2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Loans</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Eurocurrency Loans</w:t>
            </w:r>
          </w:p>
        </w:tc>
        <w:tc>
          <w:tcPr>
            <w:tcW w:w="14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Repaid</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ABR Loans</w:t>
            </w: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Loans</w:t>
            </w:r>
          </w:p>
        </w:tc>
        <w:tc>
          <w:tcPr>
            <w:tcW w:w="120" w:type="dxa"/>
            <w:vAlign w:val="bottom"/>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Made By</w:t>
            </w:r>
          </w:p>
        </w:tc>
      </w:tr>
    </w:tbl>
    <w:p>
      <w:pPr>
        <w:sectPr>
          <w:pgSz w:w="11900" w:h="16838" w:orient="portrait"/>
          <w:cols w:equalWidth="0" w:num="1">
            <w:col w:w="11420"/>
          </w:cols>
          <w:pgMar w:left="240" w:top="270" w:right="239" w:bottom="1440" w:gutter="0" w:footer="0" w:header="0"/>
        </w:sectPr>
      </w:pPr>
    </w:p>
    <w:bookmarkStart w:id="647" w:name="page648"/>
    <w:bookmarkEnd w:id="647"/>
    <w:p>
      <w:pPr>
        <w:ind w:left="10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L</w:t>
      </w:r>
    </w:p>
    <w:p>
      <w:pPr>
        <w:spacing w:after="0" w:line="27" w:lineRule="exact"/>
        <w:rPr>
          <w:sz w:val="20"/>
          <w:szCs w:val="20"/>
          <w:color w:val="auto"/>
        </w:rPr>
      </w:pPr>
    </w:p>
    <w:p>
      <w:pPr>
        <w:ind w:left="1056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Credit Agreement</w:t>
      </w: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FORM OF BORROWING REQUEST</w:t>
      </w:r>
    </w:p>
    <w:p>
      <w:pPr>
        <w:spacing w:after="0" w:line="229" w:lineRule="exact"/>
        <w:rPr>
          <w:sz w:val="20"/>
          <w:szCs w:val="20"/>
          <w:color w:val="auto"/>
        </w:rPr>
      </w:pPr>
    </w:p>
    <w:p>
      <w:pPr>
        <w:ind w:right="5100"/>
        <w:spacing w:after="0" w:line="256" w:lineRule="auto"/>
        <w:rPr>
          <w:sz w:val="20"/>
          <w:szCs w:val="20"/>
          <w:color w:val="auto"/>
        </w:rPr>
      </w:pPr>
      <w:r>
        <w:rPr>
          <w:rFonts w:ascii="Arial" w:cs="Arial" w:eastAsia="Arial" w:hAnsi="Arial"/>
          <w:sz w:val="18"/>
          <w:szCs w:val="18"/>
          <w:color w:val="auto"/>
        </w:rPr>
        <w:t>JPMorgan Chase Bank, N.A., as Administrative Agent for the lenders referred to below Investment Bank Loan Operations North America 500 Stanton Christiana Road, NCC5, Floor 01</w:t>
      </w:r>
    </w:p>
    <w:p>
      <w:pPr>
        <w:spacing w:after="0"/>
        <w:rPr>
          <w:sz w:val="20"/>
          <w:szCs w:val="20"/>
          <w:color w:val="auto"/>
        </w:rPr>
      </w:pPr>
      <w:r>
        <w:rPr>
          <w:rFonts w:ascii="Arial" w:cs="Arial" w:eastAsia="Arial" w:hAnsi="Arial"/>
          <w:sz w:val="18"/>
          <w:szCs w:val="18"/>
          <w:color w:val="auto"/>
        </w:rPr>
        <w:t>Newark, DE, 19713-2107,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Meghan.Roberts@chase.com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302-634-4733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302-634-4670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Meghan Roberts</w:t>
      </w:r>
    </w:p>
    <w:p>
      <w:pPr>
        <w:spacing w:after="0" w:line="211"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-10160</wp:posOffset>
            </wp:positionV>
            <wp:extent cx="8001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The undersigned, [INSERT NAME OF APPLICABLE BORROWER] (the “</w:t>
      </w:r>
      <w:r>
        <w:rPr>
          <w:rFonts w:ascii="Arial" w:cs="Arial" w:eastAsia="Arial" w:hAnsi="Arial"/>
          <w:sz w:val="17"/>
          <w:szCs w:val="17"/>
          <w:u w:val="single" w:color="auto"/>
          <w:color w:val="auto"/>
        </w:rPr>
        <w:t>Applicable Borrower</w:t>
      </w:r>
      <w:r>
        <w:rPr>
          <w:rFonts w:ascii="Arial" w:cs="Arial" w:eastAsia="Arial" w:hAnsi="Arial"/>
          <w:sz w:val="17"/>
          <w:szCs w:val="17"/>
          <w:color w:val="auto"/>
        </w:rPr>
        <w:t>”) [and General Motors Company, a Delaware corporation (“</w:t>
      </w:r>
      <w:r>
        <w:rPr>
          <w:rFonts w:ascii="Arial" w:cs="Arial" w:eastAsia="Arial" w:hAnsi="Arial"/>
          <w:sz w:val="17"/>
          <w:szCs w:val="17"/>
          <w:u w:val="single" w:color="auto"/>
          <w:color w:val="auto"/>
        </w:rPr>
        <w:t>Company/Applicable Borrower”)]</w:t>
      </w:r>
      <w:r>
        <w:rPr>
          <w:rFonts w:ascii="Arial" w:cs="Arial" w:eastAsia="Arial" w:hAnsi="Arial"/>
          <w:sz w:val="14"/>
          <w:szCs w:val="14"/>
          <w:color w:val="auto"/>
        </w:rPr>
        <w:t>1</w:t>
      </w:r>
      <w:r>
        <w:rPr>
          <w:rFonts w:ascii="Arial" w:cs="Arial" w:eastAsia="Arial" w:hAnsi="Arial"/>
          <w:sz w:val="17"/>
          <w:szCs w:val="17"/>
          <w:color w:val="auto"/>
        </w:rPr>
        <w:t>, refer[s] to the 364-Day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Company/the Applicable Borrower]</w:t>
      </w:r>
      <w:r>
        <w:rPr>
          <w:rFonts w:ascii="Arial" w:cs="Arial" w:eastAsia="Arial" w:hAnsi="Arial"/>
          <w:sz w:val="14"/>
          <w:szCs w:val="14"/>
          <w:color w:val="auto"/>
        </w:rPr>
        <w:t>2</w:t>
      </w:r>
      <w:r>
        <w:rPr>
          <w:rFonts w:ascii="Arial" w:cs="Arial" w:eastAsia="Arial" w:hAnsi="Arial"/>
          <w:sz w:val="17"/>
          <w:szCs w:val="17"/>
          <w:color w:val="auto"/>
        </w:rPr>
        <w:t>, General Motors Financial Company, Inc., a Texas corporation, GM Global Treasury Centre Limited (“</w:t>
      </w:r>
      <w:r>
        <w:rPr>
          <w:rFonts w:ascii="Arial" w:cs="Arial" w:eastAsia="Arial" w:hAnsi="Arial"/>
          <w:sz w:val="17"/>
          <w:szCs w:val="17"/>
          <w:u w:val="single" w:color="auto"/>
          <w:color w:val="auto"/>
        </w:rPr>
        <w:t>GMGTC</w:t>
      </w:r>
      <w:r>
        <w:rPr>
          <w:rFonts w:ascii="Arial" w:cs="Arial" w:eastAsia="Arial" w:hAnsi="Arial"/>
          <w:sz w:val="17"/>
          <w:szCs w:val="17"/>
          <w:color w:val="auto"/>
        </w:rPr>
        <w:t>”), a corporation organized under the laws of England and Wales, the Subsidiary Borrowers from time to time party thereto,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 [2.2] of the Credit Agreement that it requests an Extension of Credit under the Credit Agreement, and in connection sets forth below the terms on which such Extension of Credit is requested to be made[, to which the Company hereby consents]</w:t>
      </w:r>
      <w:r>
        <w:rPr>
          <w:rFonts w:ascii="Arial" w:cs="Arial" w:eastAsia="Arial" w:hAnsi="Arial"/>
          <w:sz w:val="14"/>
          <w:szCs w:val="14"/>
          <w:color w:val="auto"/>
        </w:rPr>
        <w:t>3</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898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4" w:lineRule="exact"/>
        <w:rPr>
          <w:sz w:val="20"/>
          <w:szCs w:val="20"/>
          <w:color w:val="auto"/>
        </w:rPr>
      </w:pPr>
    </w:p>
    <w:p>
      <w:pPr>
        <w:ind w:left="460" w:hanging="452"/>
        <w:spacing w:after="0"/>
        <w:tabs>
          <w:tab w:leader="none" w:pos="460" w:val="left"/>
        </w:tabs>
        <w:numPr>
          <w:ilvl w:val="0"/>
          <w:numId w:val="624"/>
        </w:numPr>
        <w:rPr>
          <w:rFonts w:ascii="Arial" w:cs="Arial" w:eastAsia="Arial" w:hAnsi="Arial"/>
          <w:sz w:val="15"/>
          <w:szCs w:val="15"/>
          <w:color w:val="auto"/>
        </w:rPr>
      </w:pPr>
      <w:r>
        <w:rPr>
          <w:rFonts w:ascii="Arial" w:cs="Arial" w:eastAsia="Arial" w:hAnsi="Arial"/>
          <w:sz w:val="18"/>
          <w:szCs w:val="18"/>
          <w:color w:val="auto"/>
        </w:rPr>
        <w:t>Insert if the Company is not the Applicable Borrower.</w:t>
      </w:r>
    </w:p>
    <w:p>
      <w:pPr>
        <w:spacing w:after="0" w:line="22" w:lineRule="exact"/>
        <w:rPr>
          <w:sz w:val="20"/>
          <w:szCs w:val="20"/>
          <w:color w:val="auto"/>
        </w:rPr>
      </w:pPr>
    </w:p>
    <w:p>
      <w:pPr>
        <w:ind w:left="460" w:hanging="452"/>
        <w:spacing w:after="0"/>
        <w:tabs>
          <w:tab w:leader="none" w:pos="460" w:val="left"/>
        </w:tabs>
        <w:numPr>
          <w:ilvl w:val="0"/>
          <w:numId w:val="625"/>
        </w:numPr>
        <w:rPr>
          <w:rFonts w:ascii="Arial" w:cs="Arial" w:eastAsia="Arial" w:hAnsi="Arial"/>
          <w:sz w:val="15"/>
          <w:szCs w:val="15"/>
          <w:color w:val="auto"/>
        </w:rPr>
      </w:pPr>
      <w:r>
        <w:rPr>
          <w:rFonts w:ascii="Arial" w:cs="Arial" w:eastAsia="Arial" w:hAnsi="Arial"/>
          <w:sz w:val="18"/>
          <w:szCs w:val="18"/>
          <w:color w:val="auto"/>
        </w:rPr>
        <w:t>If Borrowing Request from the Company, it is the “Applicable Borrower”.</w:t>
      </w:r>
    </w:p>
    <w:p>
      <w:pPr>
        <w:spacing w:after="0" w:line="9" w:lineRule="exact"/>
        <w:rPr>
          <w:sz w:val="20"/>
          <w:szCs w:val="20"/>
          <w:color w:val="auto"/>
        </w:rPr>
      </w:pPr>
    </w:p>
    <w:p>
      <w:pPr>
        <w:ind w:left="460" w:hanging="452"/>
        <w:spacing w:after="0"/>
        <w:tabs>
          <w:tab w:leader="none" w:pos="460" w:val="left"/>
        </w:tabs>
        <w:numPr>
          <w:ilvl w:val="0"/>
          <w:numId w:val="626"/>
        </w:numPr>
        <w:rPr>
          <w:rFonts w:ascii="Arial" w:cs="Arial" w:eastAsia="Arial" w:hAnsi="Arial"/>
          <w:sz w:val="15"/>
          <w:szCs w:val="15"/>
          <w:color w:val="auto"/>
        </w:rPr>
      </w:pPr>
      <w:r>
        <w:rPr>
          <w:rFonts w:ascii="Arial" w:cs="Arial" w:eastAsia="Arial" w:hAnsi="Arial"/>
          <w:sz w:val="18"/>
          <w:szCs w:val="18"/>
          <w:color w:val="auto"/>
        </w:rPr>
        <w:t>Insert if the Applicable Borrower is a Domestic Subsidiary Borrower.</w:t>
      </w:r>
    </w:p>
    <w:p>
      <w:pPr>
        <w:sectPr>
          <w:pgSz w:w="11900" w:h="16838" w:orient="portrait"/>
          <w:cols w:equalWidth="0" w:num="1">
            <w:col w:w="11420"/>
          </w:cols>
          <w:pgMar w:left="240" w:top="270" w:right="239" w:bottom="1440" w:gutter="0" w:footer="0" w:header="0"/>
        </w:sectPr>
      </w:pPr>
    </w:p>
    <w:bookmarkStart w:id="648" w:name="page649"/>
    <w:bookmarkEnd w:id="6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Borrowing Date (which is a Business Day)</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-10160</wp:posOffset>
            </wp:positionV>
            <wp:extent cx="8001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97" w:lineRule="exact"/>
        <w:rPr>
          <w:sz w:val="20"/>
          <w:szCs w:val="20"/>
          <w:color w:val="auto"/>
        </w:rPr>
      </w:pPr>
    </w:p>
    <w:p>
      <w:pPr>
        <w:ind w:left="340" w:hanging="332"/>
        <w:spacing w:after="0"/>
        <w:tabs>
          <w:tab w:leader="none" w:pos="34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 xml:space="preserve">Aggregate Amount of Extension of Credit </w:t>
      </w:r>
      <w:r>
        <w:rPr>
          <w:rFonts w:ascii="Arial" w:cs="Arial" w:eastAsia="Arial" w:hAnsi="Arial"/>
          <w:sz w:val="15"/>
          <w:szCs w:val="15"/>
          <w:color w:val="auto"/>
        </w:rPr>
        <w:t>5</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 xml:space="preserve">Type of Extension of Credit </w:t>
      </w:r>
      <w:r>
        <w:rPr>
          <w:rFonts w:ascii="Arial" w:cs="Arial" w:eastAsia="Arial" w:hAnsi="Arial"/>
          <w:sz w:val="15"/>
          <w:szCs w:val="15"/>
          <w:color w:val="auto"/>
        </w:rPr>
        <w:t>6</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Interest Period and the last day thereof</w:t>
      </w:r>
      <w:r>
        <w:rPr>
          <w:rFonts w:ascii="Arial" w:cs="Arial" w:eastAsia="Arial" w:hAnsi="Arial"/>
          <w:sz w:val="15"/>
          <w:szCs w:val="15"/>
          <w:color w:val="auto"/>
        </w:rPr>
        <w:t>7</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627"/>
        </w:numPr>
        <w:rPr>
          <w:rFonts w:ascii="Arial" w:cs="Arial" w:eastAsia="Arial" w:hAnsi="Arial"/>
          <w:sz w:val="18"/>
          <w:szCs w:val="18"/>
          <w:color w:val="auto"/>
        </w:rPr>
      </w:pPr>
      <w:r>
        <w:rPr>
          <w:rFonts w:ascii="Arial" w:cs="Arial" w:eastAsia="Arial" w:hAnsi="Arial"/>
          <w:sz w:val="18"/>
          <w:szCs w:val="18"/>
          <w:color w:val="auto"/>
        </w:rPr>
        <w:t>Funds are requested to be disbursed to the Borrower’s account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-627380</wp:posOffset>
            </wp:positionV>
            <wp:extent cx="8001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-421640</wp:posOffset>
            </wp:positionV>
            <wp:extent cx="8001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-215900</wp:posOffset>
            </wp:positionV>
            <wp:extent cx="8001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-10160</wp:posOffset>
            </wp:positionV>
            <wp:extent cx="8001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 w:lineRule="exact"/>
        <w:rPr>
          <w:sz w:val="20"/>
          <w:szCs w:val="20"/>
          <w:color w:val="auto"/>
        </w:rPr>
      </w:pPr>
    </w:p>
    <w:p>
      <w:pPr>
        <w:ind w:left="960"/>
        <w:spacing w:after="0"/>
        <w:tabs>
          <w:tab w:leader="none" w:pos="2500" w:val="left"/>
        </w:tabs>
        <w:rPr>
          <w:sz w:val="20"/>
          <w:szCs w:val="20"/>
          <w:color w:val="auto"/>
        </w:rPr>
      </w:pPr>
      <w:r>
        <w:rPr>
          <w:rFonts w:ascii="Arial" w:cs="Arial" w:eastAsia="Arial" w:hAnsi="Arial"/>
          <w:sz w:val="18"/>
          <w:szCs w:val="18"/>
          <w:color w:val="auto"/>
        </w:rPr>
        <w:t>(Account No.</w:t>
      </w:r>
      <w:r>
        <w:rPr>
          <w:sz w:val="20"/>
          <w:szCs w:val="20"/>
          <w:color w:val="auto"/>
        </w:rPr>
        <w:tab/>
      </w:r>
      <w:r>
        <w:rPr>
          <w:rFonts w:ascii="Arial" w:cs="Arial" w:eastAsia="Arial" w:hAnsi="Arial"/>
          <w:sz w:val="16"/>
          <w:szCs w:val="16"/>
          <w:color w:val="auto"/>
        </w:rPr>
        <w: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ind w:left="460" w:hanging="452"/>
        <w:spacing w:after="0" w:line="291" w:lineRule="auto"/>
        <w:tabs>
          <w:tab w:leader="none" w:pos="460" w:val="left"/>
        </w:tabs>
        <w:numPr>
          <w:ilvl w:val="0"/>
          <w:numId w:val="628"/>
        </w:numPr>
        <w:rPr>
          <w:rFonts w:ascii="Arial" w:cs="Arial" w:eastAsia="Arial" w:hAnsi="Arial"/>
          <w:sz w:val="14"/>
          <w:szCs w:val="14"/>
          <w:color w:val="auto"/>
        </w:rPr>
      </w:pPr>
      <w:r>
        <w:rPr>
          <w:rFonts w:ascii="Arial" w:cs="Arial" w:eastAsia="Arial" w:hAnsi="Arial"/>
          <w:sz w:val="16"/>
          <w:szCs w:val="16"/>
          <w:color w:val="auto"/>
        </w:rPr>
        <w:t>Borrowing Request to be delivered to the Administrative Agent prior to (a) in the case of Eurocurrency Loans (i) in the case of requests made by the Company or any Subsidiary Borrower other than GMGTC, 1:00 P.M., New York City time, three Business Days prior to the requested Borrowing Date</w:t>
      </w:r>
    </w:p>
    <w:p>
      <w:pPr>
        <w:ind w:left="460" w:right="80"/>
        <w:spacing w:after="0" w:line="249" w:lineRule="auto"/>
        <w:rPr>
          <w:sz w:val="20"/>
          <w:szCs w:val="20"/>
          <w:color w:val="auto"/>
        </w:rPr>
      </w:pPr>
      <w:r>
        <w:rPr>
          <w:rFonts w:ascii="Arial" w:cs="Arial" w:eastAsia="Arial" w:hAnsi="Arial"/>
          <w:sz w:val="18"/>
          <w:szCs w:val="18"/>
          <w:color w:val="auto"/>
        </w:rPr>
        <w:t>or (ii) in the case of requests made by GMGTC, 1:00 P.M., London time, three Business Days prior to the requested Borrowing Date or (b) in the case of ABR Loans, 1:00 P.M., New York City time, on the date of the proposed borrowing.</w:t>
      </w:r>
    </w:p>
    <w:p>
      <w:pPr>
        <w:spacing w:after="0" w:line="1" w:lineRule="exact"/>
        <w:rPr>
          <w:sz w:val="20"/>
          <w:szCs w:val="20"/>
          <w:color w:val="auto"/>
        </w:rPr>
      </w:pPr>
    </w:p>
    <w:p>
      <w:pPr>
        <w:ind w:left="460" w:hanging="452"/>
        <w:spacing w:after="0"/>
        <w:tabs>
          <w:tab w:leader="none" w:pos="460" w:val="left"/>
        </w:tabs>
        <w:numPr>
          <w:ilvl w:val="0"/>
          <w:numId w:val="629"/>
        </w:numPr>
        <w:rPr>
          <w:rFonts w:ascii="Arial" w:cs="Arial" w:eastAsia="Arial" w:hAnsi="Arial"/>
          <w:sz w:val="14"/>
          <w:szCs w:val="14"/>
          <w:color w:val="auto"/>
        </w:rPr>
      </w:pPr>
      <w:r>
        <w:rPr>
          <w:rFonts w:ascii="Arial" w:cs="Arial" w:eastAsia="Arial" w:hAnsi="Arial"/>
          <w:sz w:val="16"/>
          <w:szCs w:val="16"/>
          <w:color w:val="auto"/>
        </w:rPr>
        <w:t>Each borrowing shall be in an amount equal to $25 million (or, if the Total Available Commitments at such time are less than $25 million, such lesser</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 or a whole multiple of $5 million in excess thereof.</w:t>
      </w:r>
    </w:p>
    <w:p>
      <w:pPr>
        <w:spacing w:after="0" w:line="8" w:lineRule="exact"/>
        <w:rPr>
          <w:sz w:val="20"/>
          <w:szCs w:val="20"/>
          <w:color w:val="auto"/>
        </w:rPr>
      </w:pPr>
    </w:p>
    <w:p>
      <w:pPr>
        <w:ind w:left="460" w:hanging="452"/>
        <w:spacing w:after="0"/>
        <w:tabs>
          <w:tab w:leader="none" w:pos="460" w:val="left"/>
        </w:tabs>
        <w:numPr>
          <w:ilvl w:val="0"/>
          <w:numId w:val="630"/>
        </w:numPr>
        <w:rPr>
          <w:rFonts w:ascii="Arial" w:cs="Arial" w:eastAsia="Arial" w:hAnsi="Arial"/>
          <w:sz w:val="15"/>
          <w:szCs w:val="15"/>
          <w:color w:val="auto"/>
        </w:rPr>
      </w:pPr>
      <w:r>
        <w:rPr>
          <w:rFonts w:ascii="Arial" w:cs="Arial" w:eastAsia="Arial" w:hAnsi="Arial"/>
          <w:sz w:val="18"/>
          <w:szCs w:val="18"/>
          <w:color w:val="auto"/>
        </w:rPr>
        <w:t>Specify Eurodollar Borrowing or ABR Borrowing.</w:t>
      </w:r>
    </w:p>
    <w:p>
      <w:pPr>
        <w:spacing w:after="0" w:line="9" w:lineRule="exact"/>
        <w:rPr>
          <w:sz w:val="20"/>
          <w:szCs w:val="20"/>
          <w:color w:val="auto"/>
        </w:rPr>
      </w:pPr>
    </w:p>
    <w:p>
      <w:pPr>
        <w:ind w:left="460" w:hanging="452"/>
        <w:spacing w:after="0"/>
        <w:tabs>
          <w:tab w:leader="none" w:pos="460" w:val="left"/>
        </w:tabs>
        <w:numPr>
          <w:ilvl w:val="0"/>
          <w:numId w:val="631"/>
        </w:numPr>
        <w:rPr>
          <w:rFonts w:ascii="Arial" w:cs="Arial" w:eastAsia="Arial" w:hAnsi="Arial"/>
          <w:sz w:val="15"/>
          <w:szCs w:val="15"/>
          <w:color w:val="auto"/>
        </w:rPr>
      </w:pPr>
      <w:r>
        <w:rPr>
          <w:rFonts w:ascii="Arial" w:cs="Arial" w:eastAsia="Arial" w:hAnsi="Arial"/>
          <w:sz w:val="18"/>
          <w:szCs w:val="18"/>
          <w:color w:val="auto"/>
        </w:rPr>
        <w:t>Which shall be subject to the definition of “Interest Period” and end on or before the Termination Date.</w:t>
      </w:r>
    </w:p>
    <w:p>
      <w:pPr>
        <w:sectPr>
          <w:pgSz w:w="11900" w:h="16838" w:orient="portrait"/>
          <w:cols w:equalWidth="0" w:num="1">
            <w:col w:w="11340"/>
          </w:cols>
          <w:pgMar w:left="240" w:top="274" w:right="319" w:bottom="1440" w:gutter="0" w:footer="0" w:header="0"/>
        </w:sectPr>
      </w:pPr>
    </w:p>
    <w:bookmarkStart w:id="649" w:name="page650"/>
    <w:bookmarkEnd w:id="649"/>
    <w:p>
      <w:pPr>
        <w:ind w:right="2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Applicable Borrower hereby represents and warrants to the Administrative Agent and the Lenders that, on the date of the requested Extension of Credit, the conditions to lending specified in Section[s] 5.1 [and 5.2</w:t>
      </w:r>
      <w:r>
        <w:rPr>
          <w:rFonts w:ascii="Arial" w:cs="Arial" w:eastAsia="Arial" w:hAnsi="Arial"/>
          <w:sz w:val="14"/>
          <w:szCs w:val="14"/>
          <w:color w:val="auto"/>
        </w:rPr>
        <w:t>8</w:t>
      </w:r>
      <w:r>
        <w:rPr>
          <w:rFonts w:ascii="Arial" w:cs="Arial" w:eastAsia="Arial" w:hAnsi="Arial"/>
          <w:sz w:val="17"/>
          <w:szCs w:val="17"/>
          <w:color w:val="auto"/>
        </w:rPr>
        <w:t>] of the Credit Agreement have been satisfied.</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[INSERT NAME OF APPLICABLE BORROWER]</w:t>
      </w:r>
      <w:r>
        <w:rPr>
          <w:rFonts w:ascii="Arial" w:cs="Arial" w:eastAsia="Arial" w:hAnsi="Arial"/>
          <w:sz w:val="14"/>
          <w:szCs w:val="14"/>
          <w:color w:val="auto"/>
        </w:rPr>
        <w:t>9</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898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5" w:lineRule="exact"/>
        <w:rPr>
          <w:sz w:val="20"/>
          <w:szCs w:val="20"/>
          <w:color w:val="auto"/>
        </w:rPr>
      </w:pPr>
    </w:p>
    <w:p>
      <w:pPr>
        <w:ind w:left="460" w:hanging="452"/>
        <w:spacing w:after="0"/>
        <w:tabs>
          <w:tab w:leader="none" w:pos="460" w:val="left"/>
        </w:tabs>
        <w:numPr>
          <w:ilvl w:val="0"/>
          <w:numId w:val="632"/>
        </w:numPr>
        <w:rPr>
          <w:rFonts w:ascii="Arial" w:cs="Arial" w:eastAsia="Arial" w:hAnsi="Arial"/>
          <w:sz w:val="15"/>
          <w:szCs w:val="15"/>
          <w:color w:val="auto"/>
        </w:rPr>
      </w:pPr>
      <w:r>
        <w:rPr>
          <w:rFonts w:ascii="Arial" w:cs="Arial" w:eastAsia="Arial" w:hAnsi="Arial"/>
          <w:sz w:val="18"/>
          <w:szCs w:val="18"/>
          <w:color w:val="auto"/>
        </w:rPr>
        <w:t>[Insert for Borrowing on the Closing Date.]</w:t>
      </w:r>
    </w:p>
    <w:p>
      <w:pPr>
        <w:spacing w:after="0" w:line="22" w:lineRule="exact"/>
        <w:rPr>
          <w:sz w:val="20"/>
          <w:szCs w:val="20"/>
          <w:color w:val="auto"/>
        </w:rPr>
      </w:pPr>
    </w:p>
    <w:p>
      <w:pPr>
        <w:ind w:left="460" w:hanging="452"/>
        <w:spacing w:after="0"/>
        <w:tabs>
          <w:tab w:leader="none" w:pos="460" w:val="left"/>
        </w:tabs>
        <w:numPr>
          <w:ilvl w:val="0"/>
          <w:numId w:val="633"/>
        </w:numPr>
        <w:rPr>
          <w:rFonts w:ascii="Arial" w:cs="Arial" w:eastAsia="Arial" w:hAnsi="Arial"/>
          <w:sz w:val="15"/>
          <w:szCs w:val="15"/>
          <w:color w:val="auto"/>
        </w:rPr>
      </w:pPr>
      <w:r>
        <w:rPr>
          <w:rFonts w:ascii="Arial" w:cs="Arial" w:eastAsia="Arial" w:hAnsi="Arial"/>
          <w:sz w:val="18"/>
          <w:szCs w:val="18"/>
          <w:color w:val="auto"/>
        </w:rPr>
        <w:t>[Insert for Borrowings by an Applicable Borrower other than the Company.]</w:t>
      </w:r>
    </w:p>
    <w:sectPr>
      <w:pgSz w:w="11900" w:h="16838" w:orient="portrait"/>
      <w:cols w:equalWidth="0" w:num="1">
        <w:col w:w="10720"/>
      </w:cols>
      <w:pgMar w:left="240" w:top="274"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75797C"/>
    <w:multiLevelType w:val="hybridMultilevel"/>
    <w:lvl w:ilvl="0">
      <w:lvlJc w:val="left"/>
      <w:lvlText w:val="☐"/>
      <w:numFmt w:val="bullet"/>
      <w:start w:val="1"/>
    </w:lvl>
  </w:abstractNum>
  <w:abstractNum w:abstractNumId="1">
    <w:nsid w:val="1626FB8C"/>
    <w:multiLevelType w:val="hybridMultilevel"/>
    <w:lvl w:ilvl="0">
      <w:lvlJc w:val="left"/>
      <w:lvlText w:val="†"/>
      <w:numFmt w:val="bullet"/>
      <w:start w:val="1"/>
    </w:lvl>
  </w:abstractNum>
  <w:abstractNum w:abstractNumId="2">
    <w:nsid w:val="3957756A"/>
    <w:multiLevelType w:val="hybridMultilevel"/>
    <w:lvl w:ilvl="0">
      <w:lvlJc w:val="left"/>
      <w:lvlText w:val="A"/>
      <w:numFmt w:val="bullet"/>
      <w:start w:val="1"/>
    </w:lvl>
  </w:abstractNum>
  <w:abstractNum w:abstractNumId="3">
    <w:nsid w:val="3E6DA1C7"/>
    <w:multiLevelType w:val="hybridMultilevel"/>
    <w:lvl w:ilvl="0">
      <w:lvlJc w:val="left"/>
      <w:lvlText w:val="B"/>
      <w:numFmt w:val="bullet"/>
      <w:start w:val="1"/>
    </w:lvl>
  </w:abstractNum>
  <w:abstractNum w:abstractNumId="4">
    <w:nsid w:val="65CA235B"/>
    <w:multiLevelType w:val="hybridMultilevel"/>
    <w:lvl w:ilvl="0">
      <w:lvlJc w:val="left"/>
      <w:lvlText w:val="C"/>
      <w:numFmt w:val="bullet"/>
      <w:start w:val="1"/>
    </w:lvl>
  </w:abstractNum>
  <w:abstractNum w:abstractNumId="5">
    <w:nsid w:val="51CB0DA4"/>
    <w:multiLevelType w:val="hybridMultilevel"/>
    <w:lvl w:ilvl="0">
      <w:lvlJc w:val="left"/>
      <w:lvlText w:val="D"/>
      <w:numFmt w:val="bullet"/>
      <w:start w:val="1"/>
    </w:lvl>
  </w:abstractNum>
  <w:abstractNum w:abstractNumId="6">
    <w:nsid w:val="7B9B743C"/>
    <w:multiLevelType w:val="hybridMultilevel"/>
    <w:lvl w:ilvl="0">
      <w:lvlJc w:val="left"/>
      <w:lvlText w:val="E"/>
      <w:numFmt w:val="bullet"/>
      <w:start w:val="1"/>
    </w:lvl>
  </w:abstractNum>
  <w:abstractNum w:abstractNumId="7">
    <w:nsid w:val="13E21002"/>
    <w:multiLevelType w:val="hybridMultilevel"/>
    <w:lvl w:ilvl="0">
      <w:lvlJc w:val="left"/>
      <w:lvlText w:val="F"/>
      <w:numFmt w:val="bullet"/>
      <w:start w:val="1"/>
    </w:lvl>
  </w:abstractNum>
  <w:abstractNum w:abstractNumId="8">
    <w:nsid w:val="257D63F4"/>
    <w:multiLevelType w:val="hybridMultilevel"/>
    <w:lvl w:ilvl="0">
      <w:lvlJc w:val="left"/>
      <w:lvlText w:val="G"/>
      <w:numFmt w:val="bullet"/>
      <w:start w:val="1"/>
    </w:lvl>
  </w:abstractNum>
  <w:abstractNum w:abstractNumId="9">
    <w:nsid w:val="70EC11B2"/>
    <w:multiLevelType w:val="hybridMultilevel"/>
    <w:lvl w:ilvl="0">
      <w:lvlJc w:val="left"/>
      <w:lvlText w:val="H"/>
      <w:numFmt w:val="bullet"/>
      <w:start w:val="1"/>
    </w:lvl>
  </w:abstractNum>
  <w:abstractNum w:abstractNumId="10">
    <w:nsid w:val="2EDA00ED"/>
    <w:multiLevelType w:val="hybridMultilevel"/>
    <w:lvl w:ilvl="0">
      <w:lvlJc w:val="left"/>
      <w:lvlText w:val="J"/>
      <w:numFmt w:val="bullet"/>
      <w:start w:val="1"/>
    </w:lvl>
  </w:abstractNum>
  <w:abstractNum w:abstractNumId="11">
    <w:nsid w:val="73209072"/>
    <w:multiLevelType w:val="hybridMultilevel"/>
    <w:lvl w:ilvl="0">
      <w:lvlJc w:val="left"/>
      <w:lvlText w:val="K"/>
      <w:numFmt w:val="bullet"/>
      <w:start w:val="1"/>
    </w:lvl>
  </w:abstractNum>
  <w:abstractNum w:abstractNumId="12">
    <w:nsid w:val="5FB29816"/>
    <w:multiLevelType w:val="hybridMultilevel"/>
    <w:lvl w:ilvl="0">
      <w:lvlJc w:val="left"/>
      <w:lvlText w:val="L"/>
      <w:numFmt w:val="bullet"/>
      <w:start w:val="1"/>
    </w:lvl>
  </w:abstractNum>
  <w:abstractNum w:abstractNumId="13">
    <w:nsid w:val="3CE732EC"/>
    <w:multiLevelType w:val="hybridMultilevel"/>
    <w:lvl w:ilvl="0">
      <w:lvlJc w:val="left"/>
      <w:lvlText w:val="M"/>
      <w:numFmt w:val="bullet"/>
      <w:start w:val="1"/>
    </w:lvl>
  </w:abstractNum>
  <w:abstractNum w:abstractNumId="14">
    <w:nsid w:val="22F13DF3"/>
    <w:multiLevelType w:val="hybridMultilevel"/>
    <w:lvl w:ilvl="0">
      <w:lvlJc w:val="left"/>
      <w:lvlText w:val="N"/>
      <w:numFmt w:val="bullet"/>
      <w:start w:val="1"/>
    </w:lvl>
  </w:abstractNum>
  <w:abstractNum w:abstractNumId="15">
    <w:nsid w:val="792B8401"/>
    <w:multiLevelType w:val="hybridMultilevel"/>
    <w:lvl w:ilvl="0">
      <w:lvlJc w:val="left"/>
      <w:lvlText w:val="(%1)"/>
      <w:numFmt w:val="lowerRoman"/>
      <w:start w:val="3"/>
    </w:lvl>
  </w:abstractNum>
  <w:abstractNum w:abstractNumId="16">
    <w:nsid w:val="FA85F4D"/>
    <w:multiLevelType w:val="hybridMultilevel"/>
    <w:lvl w:ilvl="0">
      <w:lvlJc w:val="left"/>
      <w:lvlText w:val="(%1)"/>
      <w:numFmt w:val="lowerLetter"/>
      <w:start w:val="2"/>
    </w:lvl>
  </w:abstractNum>
  <w:abstractNum w:abstractNumId="17">
    <w:nsid w:val="6ECE91F0"/>
    <w:multiLevelType w:val="hybridMultilevel"/>
    <w:lvl w:ilvl="0">
      <w:lvlJc w:val="left"/>
      <w:lvlText w:val="(%1)"/>
      <w:numFmt w:val="lowerLetter"/>
      <w:start w:val="2"/>
    </w:lvl>
  </w:abstractNum>
  <w:abstractNum w:abstractNumId="18">
    <w:nsid w:val="4FC4D600"/>
    <w:multiLevelType w:val="hybridMultilevel"/>
    <w:lvl w:ilvl="0">
      <w:lvlJc w:val="left"/>
      <w:lvlText w:val="(%1)"/>
      <w:numFmt w:val="lowerLetter"/>
      <w:start w:val="2"/>
    </w:lvl>
  </w:abstractNum>
  <w:abstractNum w:abstractNumId="19">
    <w:nsid w:val="5BFD4210"/>
    <w:multiLevelType w:val="hybridMultilevel"/>
    <w:lvl w:ilvl="0">
      <w:lvlJc w:val="left"/>
      <w:lvlText w:val="(%1)"/>
      <w:numFmt w:val="lowerLetter"/>
      <w:start w:val="3"/>
    </w:lvl>
  </w:abstractNum>
  <w:abstractNum w:abstractNumId="20">
    <w:nsid w:val="76574F8B"/>
    <w:multiLevelType w:val="hybridMultilevel"/>
    <w:lvl w:ilvl="0">
      <w:lvlJc w:val="left"/>
      <w:lvlText w:val="(%1)"/>
      <w:numFmt w:val="lowerRoman"/>
      <w:start w:val="5"/>
    </w:lvl>
  </w:abstractNum>
  <w:abstractNum w:abstractNumId="21">
    <w:nsid w:val="178F7B67"/>
    <w:multiLevelType w:val="hybridMultilevel"/>
    <w:lvl w:ilvl="0">
      <w:lvlJc w:val="left"/>
      <w:lvlText w:val="(%1)"/>
      <w:numFmt w:val="lowerRoman"/>
      <w:start w:val="2"/>
    </w:lvl>
  </w:abstractNum>
  <w:abstractNum w:abstractNumId="22">
    <w:nsid w:val="2421DFCF"/>
    <w:multiLevelType w:val="hybridMultilevel"/>
    <w:lvl w:ilvl="0">
      <w:lvlJc w:val="left"/>
      <w:lvlText w:val="(%1)"/>
      <w:numFmt w:val="lowerLetter"/>
      <w:start w:val="6"/>
    </w:lvl>
  </w:abstractNum>
  <w:abstractNum w:abstractNumId="23">
    <w:nsid w:val="1565AC99"/>
    <w:multiLevelType w:val="hybridMultilevel"/>
    <w:lvl w:ilvl="0">
      <w:lvlJc w:val="left"/>
      <w:lvlText w:val="(%1)"/>
      <w:numFmt w:val="lowerLetter"/>
      <w:start w:val="2"/>
    </w:lvl>
  </w:abstractNum>
  <w:abstractNum w:abstractNumId="24">
    <w:nsid w:val="19FB2650"/>
    <w:multiLevelType w:val="hybridMultilevel"/>
    <w:lvl w:ilvl="0">
      <w:lvlJc w:val="left"/>
      <w:lvlText w:val="(%1)"/>
      <w:numFmt w:val="lowerLetter"/>
      <w:start w:val="2"/>
    </w:lvl>
  </w:abstractNum>
  <w:abstractNum w:abstractNumId="25">
    <w:nsid w:val="5024DE5B"/>
    <w:multiLevelType w:val="hybridMultilevel"/>
    <w:lvl w:ilvl="0">
      <w:lvlJc w:val="left"/>
      <w:lvlText w:val="(%1)"/>
      <w:numFmt w:val="upperLetter"/>
      <w:start w:val="1"/>
    </w:lvl>
  </w:abstractNum>
  <w:abstractNum w:abstractNumId="26">
    <w:nsid w:val="168EFE17"/>
    <w:multiLevelType w:val="hybridMultilevel"/>
    <w:lvl w:ilvl="0">
      <w:lvlJc w:val="left"/>
      <w:lvlText w:val="(%1)"/>
      <w:numFmt w:val="upperLetter"/>
      <w:start w:val="3"/>
    </w:lvl>
  </w:abstractNum>
  <w:abstractNum w:abstractNumId="27">
    <w:nsid w:val="1036B29F"/>
    <w:multiLevelType w:val="hybridMultilevel"/>
    <w:lvl w:ilvl="0">
      <w:lvlJc w:val="left"/>
      <w:lvlText w:val="%1"/>
      <w:numFmt w:val="lowerRoman"/>
      <w:start w:val="1"/>
    </w:lvl>
    <w:lvl w:ilvl="1">
      <w:lvlJc w:val="left"/>
      <w:lvlText w:val="(%2)"/>
      <w:numFmt w:val="lowerLetter"/>
      <w:start w:val="1"/>
    </w:lvl>
  </w:abstractNum>
  <w:abstractNum w:abstractNumId="28">
    <w:nsid w:val="1D206B8E"/>
    <w:multiLevelType w:val="hybridMultilevel"/>
    <w:lvl w:ilvl="0">
      <w:lvlJc w:val="left"/>
      <w:lvlText w:val="(%1)"/>
      <w:numFmt w:val="lowerRoman"/>
      <w:start w:val="4"/>
    </w:lvl>
    <w:lvl w:ilvl="1">
      <w:lvlJc w:val="left"/>
      <w:lvlText w:val="%2"/>
      <w:numFmt w:val="lowerLetter"/>
      <w:start w:val="1"/>
    </w:lvl>
  </w:abstractNum>
  <w:abstractNum w:abstractNumId="29">
    <w:nsid w:val="7934D3D4"/>
    <w:multiLevelType w:val="hybridMultilevel"/>
    <w:lvl w:ilvl="0">
      <w:lvlJc w:val="left"/>
      <w:lvlText w:val="(%1)"/>
      <w:numFmt w:val="lowerLetter"/>
      <w:start w:val="2"/>
    </w:lvl>
  </w:abstractNum>
  <w:abstractNum w:abstractNumId="30">
    <w:nsid w:val="1C65E98"/>
    <w:multiLevelType w:val="hybridMultilevel"/>
    <w:lvl w:ilvl="0">
      <w:lvlJc w:val="left"/>
      <w:lvlText w:val="%1"/>
      <w:numFmt w:val="lowerRoman"/>
      <w:start w:val="1"/>
    </w:lvl>
    <w:lvl w:ilvl="1">
      <w:lvlJc w:val="left"/>
      <w:lvlText w:val="(%2)"/>
      <w:numFmt w:val="lowerLetter"/>
      <w:start w:val="10"/>
    </w:lvl>
  </w:abstractNum>
  <w:abstractNum w:abstractNumId="31">
    <w:nsid w:val="1495E50A"/>
    <w:multiLevelType w:val="hybridMultilevel"/>
    <w:lvl w:ilvl="0">
      <w:lvlJc w:val="left"/>
      <w:lvlText w:val="(%1)"/>
      <w:numFmt w:val="lowerRoman"/>
      <w:start w:val="4"/>
    </w:lvl>
    <w:lvl w:ilvl="1">
      <w:lvlJc w:val="left"/>
      <w:lvlText w:val="%2"/>
      <w:numFmt w:val="lowerLetter"/>
      <w:start w:val="1"/>
    </w:lvl>
  </w:abstractNum>
  <w:abstractNum w:abstractNumId="32">
    <w:nsid w:val="F5BCF61"/>
    <w:multiLevelType w:val="hybridMultilevel"/>
    <w:lvl w:ilvl="0">
      <w:lvlJc w:val="left"/>
      <w:lvlText w:val="(%1)"/>
      <w:numFmt w:val="lowerRoman"/>
      <w:start w:val="10"/>
    </w:lvl>
    <w:lvl w:ilvl="1">
      <w:lvlJc w:val="left"/>
      <w:lvlText w:val="(%2)"/>
      <w:numFmt w:val="lowerLetter"/>
      <w:start w:val="18"/>
    </w:lvl>
  </w:abstractNum>
  <w:abstractNum w:abstractNumId="33">
    <w:nsid w:val="3B1DD403"/>
    <w:multiLevelType w:val="hybridMultilevel"/>
    <w:lvl w:ilvl="0">
      <w:lvlJc w:val="left"/>
      <w:lvlText w:val="(%1)"/>
      <w:numFmt w:val="lowerLetter"/>
      <w:start w:val="19"/>
    </w:lvl>
  </w:abstractNum>
  <w:abstractNum w:abstractNumId="34">
    <w:nsid w:val="530386D1"/>
    <w:multiLevelType w:val="hybridMultilevel"/>
    <w:lvl w:ilvl="0">
      <w:lvlJc w:val="left"/>
      <w:lvlText w:val="(%1)"/>
      <w:numFmt w:val="lowerLetter"/>
      <w:start w:val="24"/>
    </w:lvl>
  </w:abstractNum>
  <w:abstractNum w:abstractNumId="35">
    <w:nsid w:val="7525F2BC"/>
    <w:multiLevelType w:val="hybridMultilevel"/>
    <w:lvl w:ilvl="0">
      <w:lvlJc w:val="left"/>
      <w:lvlText w:val="(%1)"/>
      <w:numFmt w:val="lowerLetter"/>
      <w:start w:val="2"/>
    </w:lvl>
  </w:abstractNum>
  <w:abstractNum w:abstractNumId="36">
    <w:nsid w:val="CE8E1A7"/>
    <w:multiLevelType w:val="hybridMultilevel"/>
    <w:lvl w:ilvl="0">
      <w:lvlJc w:val="left"/>
      <w:lvlText w:val="(%1)"/>
      <w:numFmt w:val="lowerLetter"/>
      <w:start w:val="2"/>
    </w:lvl>
  </w:abstractNum>
  <w:abstractNum w:abstractNumId="37">
    <w:nsid w:val="4E9EFB0D"/>
    <w:multiLevelType w:val="hybridMultilevel"/>
    <w:lvl w:ilvl="0">
      <w:lvlJc w:val="left"/>
      <w:lvlText w:val="%1"/>
      <w:numFmt w:val="lowerLetter"/>
      <w:start w:val="1"/>
    </w:lvl>
    <w:lvl w:ilvl="1">
      <w:lvlJc w:val="left"/>
      <w:lvlText w:val="(%2)"/>
      <w:numFmt w:val="lowerLetter"/>
      <w:start w:val="2"/>
    </w:lvl>
  </w:abstractNum>
  <w:abstractNum w:abstractNumId="38">
    <w:nsid w:val="90802BE"/>
    <w:multiLevelType w:val="hybridMultilevel"/>
    <w:lvl w:ilvl="0">
      <w:lvlJc w:val="left"/>
      <w:lvlText w:val="(%1)"/>
      <w:numFmt w:val="lowerLetter"/>
      <w:start w:val="9"/>
    </w:lvl>
    <w:lvl w:ilvl="1">
      <w:lvlJc w:val="left"/>
      <w:lvlText w:val="%2"/>
      <w:numFmt w:val="lowerLetter"/>
      <w:start w:val="1"/>
    </w:lvl>
  </w:abstractNum>
  <w:abstractNum w:abstractNumId="39">
    <w:nsid w:val="3266459B"/>
    <w:multiLevelType w:val="hybridMultilevel"/>
    <w:lvl w:ilvl="0">
      <w:lvlJc w:val="left"/>
      <w:lvlText w:val="(%1)"/>
      <w:numFmt w:val="lowerLetter"/>
      <w:start w:val="61"/>
    </w:lvl>
    <w:lvl w:ilvl="1">
      <w:lvlJc w:val="left"/>
      <w:lvlText w:val="%2"/>
      <w:numFmt w:val="lowerLetter"/>
      <w:start w:val="1"/>
    </w:lvl>
  </w:abstractNum>
  <w:abstractNum w:abstractNumId="40">
    <w:nsid w:val="3F8B0CBF"/>
    <w:multiLevelType w:val="hybridMultilevel"/>
    <w:lvl w:ilvl="0">
      <w:lvlJc w:val="left"/>
      <w:lvlText w:val="(%1)"/>
      <w:numFmt w:val="lowerLetter"/>
      <w:start w:val="22"/>
    </w:lvl>
    <w:lvl w:ilvl="1">
      <w:lvlJc w:val="left"/>
      <w:lvlText w:val="%2"/>
      <w:numFmt w:val="lowerLetter"/>
      <w:start w:val="1"/>
    </w:lvl>
  </w:abstractNum>
  <w:abstractNum w:abstractNumId="41">
    <w:nsid w:val="37E203AB"/>
    <w:multiLevelType w:val="hybridMultilevel"/>
    <w:lvl w:ilvl="0">
      <w:lvlJc w:val="left"/>
      <w:lvlText w:val="(%1)"/>
      <w:numFmt w:val="lowerRoman"/>
      <w:start w:val="8"/>
    </w:lvl>
    <w:lvl w:ilvl="1">
      <w:lvlJc w:val="left"/>
      <w:lvlText w:val="(%2)"/>
      <w:numFmt w:val="lowerLetter"/>
      <w:start w:val="3"/>
    </w:lvl>
  </w:abstractNum>
  <w:abstractNum w:abstractNumId="42">
    <w:nsid w:val="2586D60E"/>
    <w:multiLevelType w:val="hybridMultilevel"/>
    <w:lvl w:ilvl="0">
      <w:lvlJc w:val="left"/>
      <w:lvlText w:val="(%1)"/>
      <w:numFmt w:val="lowerLetter"/>
      <w:start w:val="1"/>
    </w:lvl>
  </w:abstractNum>
  <w:abstractNum w:abstractNumId="43">
    <w:nsid w:val="1F3DA4D5"/>
    <w:multiLevelType w:val="hybridMultilevel"/>
    <w:lvl w:ilvl="0">
      <w:lvlJc w:val="left"/>
      <w:lvlText w:val="(%1)"/>
      <w:numFmt w:val="lowerLetter"/>
      <w:start w:val="2"/>
    </w:lvl>
  </w:abstractNum>
  <w:abstractNum w:abstractNumId="44">
    <w:nsid w:val="74C93698"/>
    <w:multiLevelType w:val="hybridMultilevel"/>
    <w:lvl w:ilvl="0">
      <w:lvlJc w:val="left"/>
      <w:lvlText w:val="(%1)"/>
      <w:numFmt w:val="lowerLetter"/>
      <w:start w:val="2"/>
    </w:lvl>
  </w:abstractNum>
  <w:abstractNum w:abstractNumId="45">
    <w:nsid w:val="48781401"/>
    <w:multiLevelType w:val="hybridMultilevel"/>
    <w:lvl w:ilvl="0">
      <w:lvlJc w:val="left"/>
      <w:lvlText w:val="(%1)"/>
      <w:numFmt w:val="lowerLetter"/>
      <w:start w:val="1"/>
    </w:lvl>
  </w:abstractNum>
  <w:abstractNum w:abstractNumId="46">
    <w:nsid w:val="186928D6"/>
    <w:multiLevelType w:val="hybridMultilevel"/>
    <w:lvl w:ilvl="0">
      <w:lvlJc w:val="left"/>
      <w:lvlText w:val="(%1)"/>
      <w:numFmt w:val="lowerLetter"/>
      <w:start w:val="24"/>
    </w:lvl>
    <w:lvl w:ilvl="1">
      <w:lvlJc w:val="left"/>
      <w:lvlText w:val="(%2)"/>
      <w:numFmt w:val="lowerLetter"/>
      <w:start w:val="2"/>
    </w:lvl>
  </w:abstractNum>
  <w:abstractNum w:abstractNumId="47">
    <w:nsid w:val="47195E5"/>
    <w:multiLevelType w:val="hybridMultilevel"/>
    <w:lvl w:ilvl="0">
      <w:lvlJc w:val="left"/>
      <w:lvlText w:val="(%1)"/>
      <w:numFmt w:val="lowerLetter"/>
      <w:start w:val="2"/>
    </w:lvl>
  </w:abstractNum>
  <w:abstractNum w:abstractNumId="48">
    <w:nsid w:val="3746A5F2"/>
    <w:multiLevelType w:val="hybridMultilevel"/>
    <w:lvl w:ilvl="0">
      <w:lvlJc w:val="left"/>
      <w:lvlText w:val="(%1)"/>
      <w:numFmt w:val="lowerRoman"/>
      <w:start w:val="2"/>
    </w:lvl>
  </w:abstractNum>
  <w:abstractNum w:abstractNumId="49">
    <w:nsid w:val="682DFED6"/>
    <w:multiLevelType w:val="hybridMultilevel"/>
    <w:lvl w:ilvl="0">
      <w:lvlJc w:val="left"/>
      <w:lvlText w:val="%1"/>
      <w:numFmt w:val="lowerLetter"/>
      <w:start w:val="1"/>
    </w:lvl>
    <w:lvl w:ilvl="1">
      <w:lvlJc w:val="left"/>
      <w:lvlText w:val="(%2)"/>
      <w:numFmt w:val="lowerLetter"/>
      <w:start w:val="2"/>
    </w:lvl>
  </w:abstractNum>
  <w:abstractNum w:abstractNumId="50">
    <w:nsid w:val="606ED7F6"/>
    <w:multiLevelType w:val="hybridMultilevel"/>
    <w:lvl w:ilvl="0">
      <w:lvlJc w:val="left"/>
      <w:lvlText w:val="(%1)"/>
      <w:numFmt w:val="lowerLetter"/>
      <w:start w:val="24"/>
    </w:lvl>
    <w:lvl w:ilvl="1">
      <w:lvlJc w:val="left"/>
      <w:lvlText w:val="(%2)"/>
      <w:numFmt w:val="lowerLetter"/>
      <w:start w:val="3"/>
    </w:lvl>
  </w:abstractNum>
  <w:abstractNum w:abstractNumId="51">
    <w:nsid w:val="2D9DF57D"/>
    <w:multiLevelType w:val="hybridMultilevel"/>
    <w:lvl w:ilvl="0">
      <w:lvlJc w:val="left"/>
      <w:lvlText w:val="%1"/>
      <w:numFmt w:val="lowerLetter"/>
      <w:start w:val="1"/>
    </w:lvl>
    <w:lvl w:ilvl="1">
      <w:lvlJc w:val="left"/>
      <w:lvlText w:val="(%2)"/>
      <w:numFmt w:val="lowerLetter"/>
      <w:start w:val="4"/>
    </w:lvl>
  </w:abstractNum>
  <w:abstractNum w:abstractNumId="52">
    <w:nsid w:val="7FBD7A3E"/>
    <w:multiLevelType w:val="hybridMultilevel"/>
    <w:lvl w:ilvl="0">
      <w:lvlJc w:val="left"/>
      <w:lvlText w:val="(%1)"/>
      <w:numFmt w:val="lowerLetter"/>
      <w:start w:val="35"/>
    </w:lvl>
    <w:lvl w:ilvl="1">
      <w:lvlJc w:val="left"/>
      <w:lvlText w:val="(%2)"/>
      <w:numFmt w:val="lowerLetter"/>
      <w:start w:val="5"/>
    </w:lvl>
  </w:abstractNum>
  <w:abstractNum w:abstractNumId="53">
    <w:nsid w:val="490B7C5"/>
    <w:multiLevelType w:val="hybridMultilevel"/>
    <w:lvl w:ilvl="0">
      <w:lvlJc w:val="left"/>
      <w:lvlText w:val="(%1)"/>
      <w:numFmt w:val="lowerLetter"/>
      <w:start w:val="6"/>
    </w:lvl>
  </w:abstractNum>
  <w:abstractNum w:abstractNumId="54">
    <w:nsid w:val="4303A216"/>
    <w:multiLevelType w:val="hybridMultilevel"/>
    <w:lvl w:ilvl="0">
      <w:lvlJc w:val="left"/>
      <w:lvlText w:val="(%1)"/>
      <w:numFmt w:val="lowerLetter"/>
      <w:start w:val="2"/>
    </w:lvl>
  </w:abstractNum>
  <w:abstractNum w:abstractNumId="55">
    <w:nsid w:val="19B8A08E"/>
    <w:multiLevelType w:val="hybridMultilevel"/>
    <w:lvl w:ilvl="0">
      <w:lvlJc w:val="left"/>
      <w:lvlText w:val="(%1)"/>
      <w:numFmt w:val="lowerLetter"/>
      <w:start w:val="5"/>
    </w:lvl>
  </w:abstractNum>
  <w:abstractNum w:abstractNumId="56">
    <w:nsid w:val="54B59621"/>
    <w:multiLevelType w:val="hybridMultilevel"/>
    <w:lvl w:ilvl="0">
      <w:lvlJc w:val="left"/>
      <w:lvlText w:val="(%1)"/>
      <w:numFmt w:val="lowerLetter"/>
      <w:start w:val="1"/>
    </w:lvl>
  </w:abstractNum>
  <w:abstractNum w:abstractNumId="57">
    <w:nsid w:val="5992A02E"/>
    <w:multiLevelType w:val="hybridMultilevel"/>
    <w:lvl w:ilvl="0">
      <w:lvlJc w:val="left"/>
      <w:lvlText w:val="%1"/>
      <w:numFmt w:val="upperLetter"/>
      <w:start w:val="1"/>
    </w:lvl>
    <w:lvl w:ilvl="1">
      <w:lvlJc w:val="left"/>
      <w:lvlText w:val="(%2)"/>
      <w:numFmt w:val="lowerLetter"/>
      <w:start w:val="3"/>
    </w:lvl>
  </w:abstractNum>
  <w:abstractNum w:abstractNumId="58">
    <w:nsid w:val="29EF532D"/>
    <w:multiLevelType w:val="hybridMultilevel"/>
    <w:lvl w:ilvl="0">
      <w:lvlJc w:val="left"/>
      <w:lvlText w:val="(%1)"/>
      <w:numFmt w:val="upperLetter"/>
      <w:start w:val="2"/>
    </w:lvl>
    <w:lvl w:ilvl="1">
      <w:lvlJc w:val="left"/>
      <w:lvlText w:val="(%2)"/>
      <w:numFmt w:val="lowerLetter"/>
      <w:start w:val="4"/>
    </w:lvl>
  </w:abstractNum>
  <w:abstractNum w:abstractNumId="59">
    <w:nsid w:val="71D601AF"/>
    <w:multiLevelType w:val="hybridMultilevel"/>
    <w:lvl w:ilvl="0">
      <w:lvlJc w:val="left"/>
      <w:lvlText w:val="(%1)"/>
      <w:numFmt w:val="upperLetter"/>
      <w:start w:val="1"/>
    </w:lvl>
    <w:lvl w:ilvl="1">
      <w:lvlJc w:val="left"/>
      <w:lvlText w:val="(%2)"/>
      <w:numFmt w:val="lowerLetter"/>
      <w:start w:val="5"/>
    </w:lvl>
  </w:abstractNum>
  <w:abstractNum w:abstractNumId="60">
    <w:nsid w:val="52C77402"/>
    <w:multiLevelType w:val="hybridMultilevel"/>
    <w:lvl w:ilvl="0">
      <w:lvlJc w:val="left"/>
      <w:lvlText w:val="(%1)"/>
      <w:numFmt w:val="lowerRoman"/>
      <w:start w:val="10"/>
    </w:lvl>
  </w:abstractNum>
  <w:abstractNum w:abstractNumId="61">
    <w:nsid w:val="2BB5B1C6"/>
    <w:multiLevelType w:val="hybridMultilevel"/>
    <w:lvl w:ilvl="0">
      <w:lvlJc w:val="left"/>
      <w:lvlText w:val="(%1)"/>
      <w:numFmt w:val="lowerLetter"/>
      <w:start w:val="2"/>
    </w:lvl>
  </w:abstractNum>
  <w:abstractNum w:abstractNumId="62">
    <w:nsid w:val="66BE6B9"/>
    <w:multiLevelType w:val="hybridMultilevel"/>
    <w:lvl w:ilvl="0">
      <w:lvlJc w:val="left"/>
      <w:lvlText w:val="(%1)"/>
      <w:numFmt w:val="lowerLetter"/>
      <w:start w:val="2"/>
    </w:lvl>
  </w:abstractNum>
  <w:abstractNum w:abstractNumId="63">
    <w:nsid w:val="62234363"/>
    <w:multiLevelType w:val="hybridMultilevel"/>
    <w:lvl w:ilvl="0">
      <w:lvlJc w:val="left"/>
      <w:lvlText w:val="(%1)"/>
      <w:numFmt w:val="lowerLetter"/>
      <w:start w:val="2"/>
    </w:lvl>
  </w:abstractNum>
  <w:abstractNum w:abstractNumId="64">
    <w:nsid w:val="66D385C9"/>
    <w:multiLevelType w:val="hybridMultilevel"/>
    <w:lvl w:ilvl="0">
      <w:lvlJc w:val="left"/>
      <w:lvlText w:val="(%1)"/>
      <w:numFmt w:val="lowerLetter"/>
      <w:start w:val="4"/>
    </w:lvl>
  </w:abstractNum>
  <w:abstractNum w:abstractNumId="65">
    <w:nsid w:val="596F6D8A"/>
    <w:multiLevelType w:val="hybridMultilevel"/>
    <w:lvl w:ilvl="0">
      <w:lvlJc w:val="left"/>
      <w:lvlText w:val="(%1)"/>
      <w:numFmt w:val="lowerLetter"/>
      <w:start w:val="61"/>
    </w:lvl>
    <w:lvl w:ilvl="1">
      <w:lvlJc w:val="left"/>
      <w:lvlText w:val="(%2)"/>
      <w:numFmt w:val="lowerLetter"/>
      <w:start w:val="2"/>
    </w:lvl>
  </w:abstractNum>
  <w:abstractNum w:abstractNumId="66">
    <w:nsid w:val="5749361F"/>
    <w:multiLevelType w:val="hybridMultilevel"/>
    <w:lvl w:ilvl="0">
      <w:lvlJc w:val="left"/>
      <w:lvlText w:val="(%1)"/>
      <w:numFmt w:val="lowerRoman"/>
      <w:start w:val="1"/>
    </w:lvl>
  </w:abstractNum>
  <w:abstractNum w:abstractNumId="67">
    <w:nsid w:val="73BC6770"/>
    <w:multiLevelType w:val="hybridMultilevel"/>
    <w:lvl w:ilvl="0">
      <w:lvlJc w:val="left"/>
      <w:lvlText w:val="(%1)"/>
      <w:numFmt w:val="lowerLetter"/>
      <w:start w:val="61"/>
    </w:lvl>
    <w:lvl w:ilvl="1">
      <w:lvlJc w:val="left"/>
      <w:lvlText w:val="(%2)"/>
      <w:numFmt w:val="lowerLetter"/>
      <w:start w:val="2"/>
    </w:lvl>
  </w:abstractNum>
  <w:abstractNum w:abstractNumId="68">
    <w:nsid w:val="280E6897"/>
    <w:multiLevelType w:val="hybridMultilevel"/>
    <w:lvl w:ilvl="0">
      <w:lvlJc w:val="left"/>
      <w:lvlText w:val="(%1)"/>
      <w:numFmt w:val="lowerLetter"/>
      <w:start w:val="3"/>
    </w:lvl>
  </w:abstractNum>
  <w:abstractNum w:abstractNumId="69">
    <w:nsid w:val="605138DE"/>
    <w:multiLevelType w:val="hybridMultilevel"/>
    <w:lvl w:ilvl="0">
      <w:lvlJc w:val="left"/>
      <w:lvlText w:val="(%1)"/>
      <w:numFmt w:val="lowerLetter"/>
      <w:start w:val="2"/>
    </w:lvl>
  </w:abstractNum>
  <w:abstractNum w:abstractNumId="70">
    <w:nsid w:val="2622AD0C"/>
    <w:multiLevelType w:val="hybridMultilevel"/>
    <w:lvl w:ilvl="0">
      <w:lvlJc w:val="left"/>
      <w:lvlText w:val="(%1)"/>
      <w:numFmt w:val="lowerLetter"/>
      <w:start w:val="6"/>
    </w:lvl>
  </w:abstractNum>
  <w:abstractNum w:abstractNumId="71">
    <w:nsid w:val="67997556"/>
    <w:multiLevelType w:val="hybridMultilevel"/>
    <w:lvl w:ilvl="0">
      <w:lvlJc w:val="left"/>
      <w:lvlText w:val="(%1)"/>
      <w:numFmt w:val="lowerRoman"/>
      <w:start w:val="1"/>
    </w:lvl>
  </w:abstractNum>
  <w:abstractNum w:abstractNumId="72">
    <w:nsid w:val="18333C89"/>
    <w:multiLevelType w:val="hybridMultilevel"/>
    <w:lvl w:ilvl="0">
      <w:lvlJc w:val="left"/>
      <w:lvlText w:val="(%1)"/>
      <w:numFmt w:val="lowerLetter"/>
      <w:start w:val="2"/>
    </w:lvl>
  </w:abstractNum>
  <w:abstractNum w:abstractNumId="73">
    <w:nsid w:val="4BA9831A"/>
    <w:multiLevelType w:val="hybridMultilevel"/>
    <w:lvl w:ilvl="0">
      <w:lvlJc w:val="left"/>
      <w:lvlText w:val="(%1)"/>
      <w:numFmt w:val="lowerLetter"/>
      <w:start w:val="2"/>
    </w:lvl>
  </w:abstractNum>
  <w:abstractNum w:abstractNumId="74">
    <w:nsid w:val="6D71A2B"/>
    <w:multiLevelType w:val="hybridMultilevel"/>
    <w:lvl w:ilvl="0">
      <w:lvlJc w:val="left"/>
      <w:lvlText w:val="%1"/>
      <w:numFmt w:val="lowerLetter"/>
      <w:start w:val="1"/>
    </w:lvl>
    <w:lvl w:ilvl="1">
      <w:lvlJc w:val="left"/>
      <w:lvlText w:val="(%2)"/>
      <w:numFmt w:val="lowerLetter"/>
      <w:start w:val="4"/>
    </w:lvl>
  </w:abstractNum>
  <w:abstractNum w:abstractNumId="75">
    <w:nsid w:val="CFC7321"/>
    <w:multiLevelType w:val="hybridMultilevel"/>
    <w:lvl w:ilvl="0">
      <w:lvlJc w:val="left"/>
      <w:lvlText w:val="(%1)"/>
      <w:numFmt w:val="lowerLetter"/>
      <w:start w:val="35"/>
    </w:lvl>
    <w:lvl w:ilvl="1">
      <w:lvlJc w:val="left"/>
      <w:lvlText w:val="(%2)"/>
      <w:numFmt w:val="lowerLetter"/>
      <w:start w:val="5"/>
    </w:lvl>
  </w:abstractNum>
  <w:abstractNum w:abstractNumId="76">
    <w:nsid w:val="1421971B"/>
    <w:multiLevelType w:val="hybridMultilevel"/>
    <w:lvl w:ilvl="0">
      <w:lvlJc w:val="left"/>
      <w:lvlText w:val="(%1)"/>
      <w:numFmt w:val="lowerRoman"/>
      <w:start w:val="1"/>
    </w:lvl>
  </w:abstractNum>
  <w:abstractNum w:abstractNumId="77">
    <w:nsid w:val="1F404301"/>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8">
    <w:nsid w:val="116E0907"/>
    <w:multiLevelType w:val="hybridMultilevel"/>
    <w:lvl w:ilvl="0">
      <w:lvlJc w:val="left"/>
      <w:lvlText w:val="(%1)"/>
      <w:numFmt w:val="lowerLetter"/>
      <w:start w:val="25"/>
    </w:lvl>
    <w:lvl w:ilvl="1">
      <w:lvlJc w:val="left"/>
      <w:lvlText w:val="(%2)"/>
      <w:numFmt w:val="lowerRoman"/>
      <w:start w:val="4"/>
    </w:lvl>
    <w:lvl w:ilvl="2">
      <w:lvlJc w:val="left"/>
      <w:lvlText w:val="(%3)"/>
      <w:numFmt w:val="upperLetter"/>
      <w:start w:val="2"/>
    </w:lvl>
  </w:abstractNum>
  <w:abstractNum w:abstractNumId="79">
    <w:nsid w:val="4B683D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0">
    <w:nsid w:val="76E41D8"/>
    <w:multiLevelType w:val="hybridMultilevel"/>
    <w:lvl w:ilvl="0">
      <w:lvlJc w:val="left"/>
      <w:lvlText w:val="(%1)"/>
      <w:numFmt w:val="upperLetter"/>
      <w:start w:val="2"/>
    </w:lvl>
    <w:lvl w:ilvl="1">
      <w:lvlJc w:val="left"/>
      <w:lvlText w:val="(%2)"/>
      <w:numFmt w:val="decimal"/>
      <w:start w:val="1"/>
    </w:lvl>
  </w:abstractNum>
  <w:abstractNum w:abstractNumId="81">
    <w:nsid w:val="71DCE0FD"/>
    <w:multiLevelType w:val="hybridMultilevel"/>
    <w:lvl w:ilvl="0">
      <w:lvlJc w:val="left"/>
      <w:lvlText w:val="(%1)"/>
      <w:numFmt w:val="lowerRoman"/>
      <w:start w:val="6"/>
    </w:lvl>
  </w:abstractNum>
  <w:abstractNum w:abstractNumId="82">
    <w:nsid w:val="7906328B"/>
    <w:multiLevelType w:val="hybridMultilevel"/>
    <w:lvl w:ilvl="0">
      <w:lvlJc w:val="left"/>
      <w:lvlText w:val="(%1)"/>
      <w:numFmt w:val="lowerLetter"/>
      <w:start w:val="6"/>
    </w:lvl>
  </w:abstractNum>
  <w:abstractNum w:abstractNumId="83">
    <w:nsid w:val="72BBC16"/>
    <w:multiLevelType w:val="hybridMultilevel"/>
    <w:lvl w:ilvl="0">
      <w:lvlJc w:val="left"/>
      <w:lvlText w:val="(%1)"/>
      <w:numFmt w:val="lowerLetter"/>
      <w:start w:val="7"/>
    </w:lvl>
  </w:abstractNum>
  <w:abstractNum w:abstractNumId="84">
    <w:nsid w:val="766D98C2"/>
    <w:multiLevelType w:val="hybridMultilevel"/>
    <w:lvl w:ilvl="0">
      <w:lvlJc w:val="left"/>
      <w:lvlText w:val="(%1)"/>
      <w:numFmt w:val="upperLetter"/>
      <w:start w:val="2"/>
    </w:lvl>
  </w:abstractNum>
  <w:abstractNum w:abstractNumId="85">
    <w:nsid w:val="3C09D4A1"/>
    <w:multiLevelType w:val="hybridMultilevel"/>
    <w:lvl w:ilvl="0">
      <w:lvlJc w:val="left"/>
      <w:lvlText w:val="%1"/>
      <w:numFmt w:val="lowerLetter"/>
      <w:start w:val="1"/>
    </w:lvl>
    <w:lvl w:ilvl="1">
      <w:lvlJc w:val="left"/>
      <w:lvlText w:val="(%2)"/>
      <w:numFmt w:val="lowerLetter"/>
      <w:start w:val="1"/>
    </w:lvl>
  </w:abstractNum>
  <w:abstractNum w:abstractNumId="86">
    <w:nsid w:val="20E45CA4"/>
    <w:multiLevelType w:val="hybridMultilevel"/>
    <w:lvl w:ilvl="0">
      <w:lvlJc w:val="left"/>
      <w:lvlText w:val="(%1)"/>
      <w:numFmt w:val="lowerLetter"/>
      <w:start w:val="61"/>
    </w:lvl>
    <w:lvl w:ilvl="1">
      <w:lvlJc w:val="left"/>
      <w:lvlText w:val="%2"/>
      <w:numFmt w:val="lowerLetter"/>
      <w:start w:val="1"/>
    </w:lvl>
  </w:abstractNum>
  <w:abstractNum w:abstractNumId="87">
    <w:nsid w:val="4B232EE3"/>
    <w:multiLevelType w:val="hybridMultilevel"/>
    <w:lvl w:ilvl="0">
      <w:lvlJc w:val="left"/>
      <w:lvlText w:val="%1"/>
      <w:numFmt w:val="lowerRoman"/>
      <w:start w:val="1"/>
    </w:lvl>
    <w:lvl w:ilvl="1">
      <w:lvlJc w:val="left"/>
      <w:lvlText w:val="(%2)"/>
      <w:numFmt w:val="lowerRoman"/>
      <w:start w:val="1"/>
    </w:lvl>
  </w:abstractNum>
  <w:abstractNum w:abstractNumId="88">
    <w:nsid w:val="159C74CF"/>
    <w:multiLevelType w:val="hybridMultilevel"/>
    <w:lvl w:ilvl="0">
      <w:lvlJc w:val="left"/>
      <w:lvlText w:val="(%1)"/>
      <w:numFmt w:val="lowerRoman"/>
      <w:start w:val="2"/>
    </w:lvl>
    <w:lvl w:ilvl="1">
      <w:lvlJc w:val="left"/>
      <w:lvlText w:val="(%2)"/>
      <w:numFmt w:val="lowerRoman"/>
      <w:start w:val="4"/>
    </w:lvl>
  </w:abstractNum>
  <w:abstractNum w:abstractNumId="89">
    <w:nsid w:val="4AD3AFD2"/>
    <w:multiLevelType w:val="hybridMultilevel"/>
    <w:lvl w:ilvl="0">
      <w:lvlJc w:val="left"/>
      <w:lvlText w:val="(%1)"/>
      <w:numFmt w:val="lowerLetter"/>
      <w:start w:val="4"/>
    </w:lvl>
  </w:abstractNum>
  <w:abstractNum w:abstractNumId="90">
    <w:nsid w:val="3CF93092"/>
    <w:multiLevelType w:val="hybridMultilevel"/>
    <w:lvl w:ilvl="0">
      <w:lvlJc w:val="left"/>
      <w:lvlText w:val="(%1)"/>
      <w:numFmt w:val="lowerLetter"/>
      <w:start w:val="2"/>
    </w:lvl>
  </w:abstractNum>
  <w:abstractNum w:abstractNumId="91">
    <w:nsid w:val="6863E8D2"/>
    <w:multiLevelType w:val="hybridMultilevel"/>
    <w:lvl w:ilvl="0">
      <w:lvlJc w:val="left"/>
      <w:lvlText w:val="(%1)"/>
      <w:numFmt w:val="upperLetter"/>
      <w:start w:val="2"/>
    </w:lvl>
    <w:lvl w:ilvl="1">
      <w:lvlJc w:val="left"/>
      <w:lvlText w:val="(%2)"/>
      <w:numFmt w:val="lowerLetter"/>
      <w:start w:val="2"/>
    </w:lvl>
  </w:abstractNum>
  <w:abstractNum w:abstractNumId="92">
    <w:nsid w:val="76896198"/>
    <w:multiLevelType w:val="hybridMultilevel"/>
    <w:lvl w:ilvl="0">
      <w:lvlJc w:val="left"/>
      <w:lvlText w:val="(%1)"/>
      <w:numFmt w:val="lowerLetter"/>
      <w:start w:val="3"/>
    </w:lvl>
  </w:abstractNum>
  <w:abstractNum w:abstractNumId="93">
    <w:nsid w:val="4365174B"/>
    <w:multiLevelType w:val="hybridMultilevel"/>
    <w:lvl w:ilvl="0">
      <w:lvlJc w:val="left"/>
      <w:lvlText w:val="(%1)"/>
      <w:numFmt w:val="lowerLetter"/>
      <w:start w:val="2"/>
    </w:lvl>
  </w:abstractNum>
  <w:abstractNum w:abstractNumId="94">
    <w:nsid w:val="4A872C35"/>
    <w:multiLevelType w:val="hybridMultilevel"/>
    <w:lvl w:ilvl="0">
      <w:lvlJc w:val="left"/>
      <w:lvlText w:val="(%1)"/>
      <w:numFmt w:val="lowerRoman"/>
      <w:start w:val="1"/>
    </w:lvl>
    <w:lvl w:ilvl="1">
      <w:lvlJc w:val="left"/>
      <w:lvlText w:val="(%2)"/>
      <w:numFmt w:val="upperLetter"/>
      <w:start w:val="1"/>
    </w:lvl>
  </w:abstractNum>
  <w:abstractNum w:abstractNumId="95">
    <w:nsid w:val="5D5CE761"/>
    <w:multiLevelType w:val="hybridMultilevel"/>
    <w:lvl w:ilvl="0">
      <w:lvlJc w:val="left"/>
      <w:lvlText w:val="(%1)"/>
      <w:numFmt w:val="lowerRoman"/>
      <w:start w:val="2"/>
    </w:lvl>
  </w:abstractNum>
  <w:abstractNum w:abstractNumId="96">
    <w:nsid w:val="1CD484D5"/>
    <w:multiLevelType w:val="hybridMultilevel"/>
    <w:lvl w:ilvl="0">
      <w:lvlJc w:val="left"/>
      <w:lvlText w:val="(%1)"/>
      <w:numFmt w:val="lowerLetter"/>
      <w:start w:val="3"/>
    </w:lvl>
  </w:abstractNum>
  <w:abstractNum w:abstractNumId="97">
    <w:nsid w:val="21D06255"/>
    <w:multiLevelType w:val="hybridMultilevel"/>
    <w:lvl w:ilvl="0">
      <w:lvlJc w:val="left"/>
      <w:lvlText w:val="(%1)"/>
      <w:numFmt w:val="lowerRoman"/>
      <w:start w:val="2"/>
    </w:lvl>
  </w:abstractNum>
  <w:abstractNum w:abstractNumId="98">
    <w:nsid w:val="51194ED1"/>
    <w:multiLevelType w:val="hybridMultilevel"/>
    <w:lvl w:ilvl="0">
      <w:lvlJc w:val="left"/>
      <w:lvlText w:val="(%1)"/>
      <w:numFmt w:val="lowerLetter"/>
      <w:start w:val="4"/>
    </w:lvl>
  </w:abstractNum>
  <w:abstractNum w:abstractNumId="99">
    <w:nsid w:val="44E2ED6C"/>
    <w:multiLevelType w:val="hybridMultilevel"/>
    <w:lvl w:ilvl="0">
      <w:lvlJc w:val="left"/>
      <w:lvlText w:val="(%1)"/>
      <w:numFmt w:val="lowerRoman"/>
      <w:start w:val="2"/>
    </w:lvl>
  </w:abstractNum>
  <w:abstractNum w:abstractNumId="100">
    <w:nsid w:val="2219B33"/>
    <w:multiLevelType w:val="hybridMultilevel"/>
    <w:lvl w:ilvl="0">
      <w:lvlJc w:val="left"/>
      <w:lvlText w:val="(%1)"/>
      <w:numFmt w:val="lowerLetter"/>
      <w:start w:val="5"/>
    </w:lvl>
  </w:abstractNum>
  <w:abstractNum w:abstractNumId="101">
    <w:nsid w:val="773BFBDD"/>
    <w:multiLevelType w:val="hybridMultilevel"/>
    <w:lvl w:ilvl="0">
      <w:lvlJc w:val="left"/>
      <w:lvlText w:val="(%1)"/>
      <w:numFmt w:val="lowerRoman"/>
      <w:start w:val="2"/>
    </w:lvl>
    <w:lvl w:ilvl="1">
      <w:lvlJc w:val="left"/>
      <w:lvlText w:val="(%2)"/>
      <w:numFmt w:val="upperLetter"/>
      <w:start w:val="1"/>
    </w:lvl>
  </w:abstractNum>
  <w:abstractNum w:abstractNumId="102">
    <w:nsid w:val="2C7C62C2"/>
    <w:multiLevelType w:val="hybridMultilevel"/>
    <w:lvl w:ilvl="0">
      <w:lvlJc w:val="left"/>
      <w:lvlText w:val="(%1)"/>
      <w:numFmt w:val="lowerLetter"/>
      <w:start w:val="6"/>
    </w:lvl>
    <w:lvl w:ilvl="1">
      <w:lvlJc w:val="left"/>
      <w:lvlText w:val="(%2)"/>
      <w:numFmt w:val="upperLetter"/>
      <w:start w:val="1"/>
    </w:lvl>
  </w:abstractNum>
  <w:abstractNum w:abstractNumId="103">
    <w:nsid w:val="1A54D7BC"/>
    <w:multiLevelType w:val="hybridMultilevel"/>
    <w:lvl w:ilvl="0">
      <w:lvlJc w:val="left"/>
      <w:lvlText w:val="%1"/>
      <w:numFmt w:val="lowerLetter"/>
      <w:start w:val="1"/>
    </w:lvl>
    <w:lvl w:ilvl="1">
      <w:lvlJc w:val="left"/>
      <w:lvlText w:val="(%2)"/>
      <w:numFmt w:val="upperLetter"/>
      <w:start w:val="1"/>
    </w:lvl>
  </w:abstractNum>
  <w:abstractNum w:abstractNumId="104">
    <w:nsid w:val="42E57EF7"/>
    <w:multiLevelType w:val="hybridMultilevel"/>
    <w:lvl w:ilvl="0">
      <w:lvlJc w:val="left"/>
      <w:lvlText w:val="(%1)"/>
      <w:numFmt w:val="lowerLetter"/>
      <w:start w:val="8"/>
    </w:lvl>
    <w:lvl w:ilvl="1">
      <w:lvlJc w:val="left"/>
      <w:lvlText w:val="%2"/>
      <w:numFmt w:val="upperLetter"/>
      <w:start w:val="1"/>
    </w:lvl>
  </w:abstractNum>
  <w:abstractNum w:abstractNumId="105">
    <w:nsid w:val="33537CED"/>
    <w:multiLevelType w:val="hybridMultilevel"/>
    <w:lvl w:ilvl="0">
      <w:lvlJc w:val="left"/>
      <w:lvlText w:val="(%1)"/>
      <w:numFmt w:val="lowerLetter"/>
      <w:start w:val="12"/>
    </w:lvl>
  </w:abstractNum>
  <w:abstractNum w:abstractNumId="106">
    <w:nsid w:val="27514ADE"/>
    <w:multiLevelType w:val="hybridMultilevel"/>
    <w:lvl w:ilvl="0">
      <w:lvlJc w:val="left"/>
      <w:lvlText w:val="(%1)"/>
      <w:numFmt w:val="upperLetter"/>
      <w:start w:val="3"/>
    </w:lvl>
    <w:lvl w:ilvl="1">
      <w:lvlJc w:val="left"/>
      <w:lvlText w:val="%2"/>
      <w:numFmt w:val="lowerLetter"/>
      <w:start w:val="1"/>
    </w:lvl>
  </w:abstractNum>
  <w:abstractNum w:abstractNumId="107">
    <w:nsid w:val="57071613"/>
    <w:multiLevelType w:val="hybridMultilevel"/>
    <w:lvl w:ilvl="0">
      <w:lvlJc w:val="left"/>
      <w:lvlText w:val="(%1)"/>
      <w:numFmt w:val="upperLetter"/>
      <w:start w:val="1"/>
    </w:lvl>
    <w:lvl w:ilvl="1">
      <w:lvlJc w:val="left"/>
      <w:lvlText w:val="(%2)"/>
      <w:numFmt w:val="lowerLetter"/>
      <w:start w:val="2"/>
    </w:lvl>
  </w:abstractNum>
  <w:abstractNum w:abstractNumId="108">
    <w:nsid w:val="5293BFEF"/>
    <w:multiLevelType w:val="hybridMultilevel"/>
    <w:lvl w:ilvl="0">
      <w:lvlJc w:val="left"/>
      <w:lvlText w:val="(%1)"/>
      <w:numFmt w:val="lowerLetter"/>
      <w:start w:val="2"/>
    </w:lvl>
  </w:abstractNum>
  <w:abstractNum w:abstractNumId="109">
    <w:nsid w:val="38BF53E5"/>
    <w:multiLevelType w:val="hybridMultilevel"/>
    <w:lvl w:ilvl="0">
      <w:lvlJc w:val="left"/>
      <w:lvlText w:val="(%1)"/>
      <w:numFmt w:val="lowerLetter"/>
      <w:start w:val="2"/>
    </w:lvl>
  </w:abstractNum>
  <w:abstractNum w:abstractNumId="110">
    <w:nsid w:val="226F5320"/>
    <w:multiLevelType w:val="hybridMultilevel"/>
    <w:lvl w:ilvl="0">
      <w:lvlJc w:val="left"/>
      <w:lvlText w:val="(%1)"/>
      <w:numFmt w:val="lowerLetter"/>
      <w:start w:val="3"/>
    </w:lvl>
  </w:abstractNum>
  <w:abstractNum w:abstractNumId="111">
    <w:nsid w:val="5A0201C7"/>
    <w:multiLevelType w:val="hybridMultilevel"/>
    <w:lvl w:ilvl="0">
      <w:lvlJc w:val="left"/>
      <w:lvlText w:val="(%1)"/>
      <w:numFmt w:val="lowerLetter"/>
      <w:start w:val="2"/>
    </w:lvl>
  </w:abstractNum>
  <w:abstractNum w:abstractNumId="112">
    <w:nsid w:val="2A9C34E2"/>
    <w:multiLevelType w:val="hybridMultilevel"/>
    <w:lvl w:ilvl="0">
      <w:lvlJc w:val="left"/>
      <w:lvlText w:val="(%1)"/>
      <w:numFmt w:val="lowerLetter"/>
      <w:start w:val="2"/>
    </w:lvl>
  </w:abstractNum>
  <w:abstractNum w:abstractNumId="113">
    <w:nsid w:val="1B7585AB"/>
    <w:multiLevelType w:val="hybridMultilevel"/>
    <w:lvl w:ilvl="0">
      <w:lvlJc w:val="left"/>
      <w:lvlText w:val="(%1)"/>
      <w:numFmt w:val="lowerLetter"/>
      <w:start w:val="4"/>
    </w:lvl>
  </w:abstractNum>
  <w:abstractNum w:abstractNumId="114">
    <w:nsid w:val="612DBDDD"/>
    <w:multiLevelType w:val="hybridMultilevel"/>
    <w:lvl w:ilvl="0">
      <w:lvlJc w:val="left"/>
      <w:lvlText w:val="(%1)"/>
      <w:numFmt w:val="lowerLetter"/>
      <w:start w:val="2"/>
    </w:lvl>
  </w:abstractNum>
  <w:abstractNum w:abstractNumId="115">
    <w:nsid w:val="2109CDA4"/>
    <w:multiLevelType w:val="hybridMultilevel"/>
    <w:lvl w:ilvl="0">
      <w:lvlJc w:val="left"/>
      <w:lvlText w:val="(%1)"/>
      <w:numFmt w:val="lowerLetter"/>
      <w:start w:val="2"/>
    </w:lvl>
  </w:abstractNum>
  <w:abstractNum w:abstractNumId="116">
    <w:nsid w:val="577F5A4D"/>
    <w:multiLevelType w:val="hybridMultilevel"/>
    <w:lvl w:ilvl="0">
      <w:lvlJc w:val="left"/>
      <w:lvlText w:val="(%1)"/>
      <w:numFmt w:val="lowerLetter"/>
      <w:start w:val="25"/>
    </w:lvl>
  </w:abstractNum>
  <w:abstractNum w:abstractNumId="117">
    <w:nsid w:val="2121A81"/>
    <w:multiLevelType w:val="hybridMultilevel"/>
    <w:lvl w:ilvl="0">
      <w:lvlJc w:val="left"/>
      <w:lvlText w:val="(%1)"/>
      <w:numFmt w:val="lowerLetter"/>
      <w:start w:val="1"/>
    </w:lvl>
  </w:abstractNum>
  <w:abstractNum w:abstractNumId="118">
    <w:nsid w:val="6C2CFC88"/>
    <w:multiLevelType w:val="hybridMultilevel"/>
    <w:lvl w:ilvl="0">
      <w:lvlJc w:val="left"/>
      <w:lvlText w:val="%1"/>
      <w:numFmt w:val="upperLetter"/>
      <w:start w:val="1"/>
    </w:lvl>
    <w:lvl w:ilvl="1">
      <w:lvlJc w:val="left"/>
      <w:lvlText w:val="(%2)"/>
      <w:numFmt w:val="lowerLetter"/>
      <w:start w:val="3"/>
    </w:lvl>
  </w:abstractNum>
  <w:abstractNum w:abstractNumId="119">
    <w:nsid w:val="6D1BCF1C"/>
    <w:multiLevelType w:val="hybridMultilevel"/>
    <w:lvl w:ilvl="0">
      <w:lvlJc w:val="left"/>
      <w:lvlText w:val="(%1)"/>
      <w:numFmt w:val="upperLetter"/>
      <w:start w:val="1"/>
    </w:lvl>
    <w:lvl w:ilvl="1">
      <w:lvlJc w:val="left"/>
      <w:lvlText w:val="(%2)"/>
      <w:numFmt w:val="lowerLetter"/>
      <w:start w:val="4"/>
    </w:lvl>
  </w:abstractNum>
  <w:abstractNum w:abstractNumId="120">
    <w:nsid w:val="4CE5CA53"/>
    <w:multiLevelType w:val="hybridMultilevel"/>
    <w:lvl w:ilvl="0">
      <w:lvlJc w:val="left"/>
      <w:lvlText w:val="(%1)"/>
      <w:numFmt w:val="lowerLetter"/>
      <w:start w:val="6"/>
    </w:lvl>
  </w:abstractNum>
  <w:abstractNum w:abstractNumId="121">
    <w:nsid w:val="29262D1A"/>
    <w:multiLevelType w:val="hybridMultilevel"/>
    <w:lvl w:ilvl="0">
      <w:lvlJc w:val="left"/>
      <w:lvlText w:val="(%1)"/>
      <w:numFmt w:val="lowerLetter"/>
      <w:start w:val="1"/>
    </w:lvl>
  </w:abstractNum>
  <w:abstractNum w:abstractNumId="122">
    <w:nsid w:val="557FB7EE"/>
    <w:multiLevelType w:val="hybridMultilevel"/>
    <w:lvl w:ilvl="0">
      <w:lvlJc w:val="left"/>
      <w:lvlText w:val="%1"/>
      <w:numFmt w:val="lowerLetter"/>
      <w:start w:val="1"/>
    </w:lvl>
    <w:lvl w:ilvl="1">
      <w:lvlJc w:val="left"/>
      <w:lvlText w:val="(%2)"/>
      <w:numFmt w:val="lowerLetter"/>
      <w:start w:val="2"/>
    </w:lvl>
  </w:abstractNum>
  <w:abstractNum w:abstractNumId="123">
    <w:nsid w:val="436F2BEB"/>
    <w:multiLevelType w:val="hybridMultilevel"/>
    <w:lvl w:ilvl="0">
      <w:lvlJc w:val="left"/>
      <w:lvlText w:val="(%1)"/>
      <w:numFmt w:val="lowerLetter"/>
      <w:start w:val="23"/>
    </w:lvl>
    <w:lvl w:ilvl="1">
      <w:lvlJc w:val="left"/>
      <w:lvlText w:val="(%2)"/>
      <w:numFmt w:val="lowerLetter"/>
      <w:start w:val="3"/>
    </w:lvl>
  </w:abstractNum>
  <w:abstractNum w:abstractNumId="124">
    <w:nsid w:val="6C8B4466"/>
    <w:multiLevelType w:val="hybridMultilevel"/>
    <w:lvl w:ilvl="0">
      <w:lvlJc w:val="left"/>
      <w:lvlText w:val="(%1)"/>
      <w:numFmt w:val="lowerLetter"/>
      <w:start w:val="1"/>
    </w:lvl>
  </w:abstractNum>
  <w:abstractNum w:abstractNumId="125">
    <w:nsid w:val="2006E424"/>
    <w:multiLevelType w:val="hybridMultilevel"/>
    <w:lvl w:ilvl="0">
      <w:lvlJc w:val="left"/>
      <w:lvlText w:val="(%1)"/>
      <w:numFmt w:val="lowerLetter"/>
      <w:start w:val="1"/>
    </w:lvl>
  </w:abstractNum>
  <w:abstractNum w:abstractNumId="126">
    <w:nsid w:val="20CC134C"/>
    <w:multiLevelType w:val="hybridMultilevel"/>
    <w:lvl w:ilvl="0">
      <w:lvlJc w:val="left"/>
      <w:lvlText w:val="%1"/>
      <w:numFmt w:val="lowerLetter"/>
      <w:start w:val="1"/>
    </w:lvl>
    <w:lvl w:ilvl="1">
      <w:lvlJc w:val="left"/>
      <w:lvlText w:val="(%2)"/>
      <w:numFmt w:val="lowerLetter"/>
      <w:start w:val="1"/>
    </w:lvl>
  </w:abstractNum>
  <w:abstractNum w:abstractNumId="127">
    <w:nsid w:val="95FC93B"/>
    <w:multiLevelType w:val="hybridMultilevel"/>
    <w:lvl w:ilvl="0">
      <w:lvlJc w:val="left"/>
      <w:lvlText w:val="(%1)"/>
      <w:numFmt w:val="lowerLetter"/>
      <w:start w:val="35"/>
    </w:lvl>
    <w:lvl w:ilvl="1">
      <w:lvlJc w:val="left"/>
      <w:lvlText w:val="%2"/>
      <w:numFmt w:val="lowerLetter"/>
      <w:start w:val="1"/>
    </w:lvl>
  </w:abstractNum>
  <w:abstractNum w:abstractNumId="128">
    <w:nsid w:val="41D74679"/>
    <w:multiLevelType w:val="hybridMultilevel"/>
    <w:lvl w:ilvl="0">
      <w:lvlJc w:val="left"/>
      <w:lvlText w:val="(%1)"/>
      <w:numFmt w:val="lowerLetter"/>
      <w:start w:val="5"/>
    </w:lvl>
  </w:abstractNum>
  <w:abstractNum w:abstractNumId="129">
    <w:nsid w:val="71E5621E"/>
    <w:multiLevelType w:val="hybridMultilevel"/>
    <w:lvl w:ilvl="0">
      <w:lvlJc w:val="left"/>
      <w:lvlText w:val="(%1)"/>
      <w:numFmt w:val="lowerRoman"/>
      <w:start w:val="1"/>
    </w:lvl>
  </w:abstractNum>
  <w:abstractNum w:abstractNumId="130">
    <w:nsid w:val="4E42B6A8"/>
    <w:multiLevelType w:val="hybridMultilevel"/>
    <w:lvl w:ilvl="0">
      <w:lvlJc w:val="left"/>
      <w:lvlText w:val="(%1)"/>
      <w:numFmt w:val="lowerLetter"/>
      <w:start w:val="25"/>
    </w:lvl>
  </w:abstractNum>
  <w:abstractNum w:abstractNumId="131">
    <w:nsid w:val="43F8E1AC"/>
    <w:multiLevelType w:val="hybridMultilevel"/>
    <w:lvl w:ilvl="0">
      <w:lvlJc w:val="left"/>
      <w:lvlText w:val="(%1)"/>
      <w:numFmt w:val="lowerLetter"/>
      <w:start w:val="25"/>
    </w:lvl>
    <w:lvl w:ilvl="1">
      <w:lvlJc w:val="left"/>
      <w:lvlText w:val="(%2)"/>
      <w:numFmt w:val="lowerLetter"/>
      <w:start w:val="9"/>
    </w:lvl>
  </w:abstractNum>
  <w:abstractNum w:abstractNumId="132">
    <w:nsid w:val="69215DFB"/>
    <w:multiLevelType w:val="hybridMultilevel"/>
    <w:lvl w:ilvl="0">
      <w:lvlJc w:val="left"/>
      <w:lvlText w:val="%1"/>
      <w:numFmt w:val="lowerLetter"/>
      <w:start w:val="1"/>
    </w:lvl>
    <w:lvl w:ilvl="1">
      <w:lvlJc w:val="left"/>
      <w:lvlText w:val="(%2)"/>
      <w:numFmt w:val="lowerRoman"/>
      <w:start w:val="2"/>
    </w:lvl>
  </w:abstractNum>
  <w:abstractNum w:abstractNumId="133">
    <w:nsid w:val="7ABF196A"/>
    <w:multiLevelType w:val="hybridMultilevel"/>
    <w:lvl w:ilvl="0">
      <w:lvlJc w:val="left"/>
      <w:lvlText w:val="(%1)"/>
      <w:numFmt w:val="lowerLetter"/>
      <w:start w:val="2"/>
    </w:lvl>
    <w:lvl w:ilvl="1">
      <w:lvlJc w:val="left"/>
      <w:lvlText w:val="(%2)"/>
      <w:numFmt w:val="lowerRoman"/>
      <w:start w:val="1"/>
    </w:lvl>
  </w:abstractNum>
  <w:abstractNum w:abstractNumId="134">
    <w:nsid w:val="5E4DB968"/>
    <w:multiLevelType w:val="hybridMultilevel"/>
    <w:lvl w:ilvl="0">
      <w:lvlJc w:val="left"/>
      <w:lvlText w:val="%1"/>
      <w:numFmt w:val="lowerLetter"/>
      <w:start w:val="1"/>
    </w:lvl>
    <w:lvl w:ilvl="1">
      <w:lvlJc w:val="left"/>
      <w:lvlText w:val="(%2)"/>
      <w:numFmt w:val="lowerRoman"/>
      <w:start w:val="3"/>
    </w:lvl>
  </w:abstractNum>
  <w:abstractNum w:abstractNumId="135">
    <w:nsid w:val="2C06DCF3"/>
    <w:multiLevelType w:val="hybridMultilevel"/>
    <w:lvl w:ilvl="0">
      <w:lvlJc w:val="left"/>
      <w:lvlText w:val="(%1)"/>
      <w:numFmt w:val="lowerLetter"/>
      <w:start w:val="3"/>
    </w:lvl>
    <w:lvl w:ilvl="1">
      <w:lvlJc w:val="left"/>
      <w:lvlText w:val="%2"/>
      <w:numFmt w:val="lowerRoman"/>
      <w:start w:val="1"/>
    </w:lvl>
  </w:abstractNum>
  <w:abstractNum w:abstractNumId="136">
    <w:nsid w:val="2E129658"/>
    <w:multiLevelType w:val="hybridMultilevel"/>
    <w:lvl w:ilvl="0">
      <w:lvlJc w:val="left"/>
      <w:lvlText w:val="(%1)"/>
      <w:numFmt w:val="upperLetter"/>
      <w:start w:val="1"/>
    </w:lvl>
  </w:abstractNum>
  <w:abstractNum w:abstractNumId="137">
    <w:nsid w:val="59F0446"/>
    <w:multiLevelType w:val="hybridMultilevel"/>
    <w:lvl w:ilvl="0">
      <w:lvlJc w:val="left"/>
      <w:lvlText w:val="(%1)"/>
      <w:numFmt w:val="lowerLetter"/>
      <w:start w:val="2"/>
    </w:lvl>
  </w:abstractNum>
  <w:abstractNum w:abstractNumId="138">
    <w:nsid w:val="30DF306"/>
    <w:multiLevelType w:val="hybridMultilevel"/>
    <w:lvl w:ilvl="0">
      <w:lvlJc w:val="left"/>
      <w:lvlText w:val="(%1)"/>
      <w:numFmt w:val="lowerRoman"/>
      <w:start w:val="1"/>
    </w:lvl>
  </w:abstractNum>
  <w:abstractNum w:abstractNumId="139">
    <w:nsid w:val="A65647"/>
    <w:multiLevelType w:val="hybridMultilevel"/>
    <w:lvl w:ilvl="0">
      <w:lvlJc w:val="left"/>
      <w:lvlText w:val="(%1)"/>
      <w:numFmt w:val="upperLetter"/>
      <w:start w:val="3"/>
    </w:lvl>
    <w:lvl w:ilvl="1">
      <w:lvlJc w:val="left"/>
      <w:lvlText w:val="(%2)"/>
      <w:numFmt w:val="lowerRoman"/>
      <w:start w:val="2"/>
    </w:lvl>
  </w:abstractNum>
  <w:abstractNum w:abstractNumId="140">
    <w:nsid w:val="3E5E582B"/>
    <w:multiLevelType w:val="hybridMultilevel"/>
    <w:lvl w:ilvl="0">
      <w:lvlJc w:val="left"/>
      <w:lvlText w:val="(%1)"/>
      <w:numFmt w:val="lowerLetter"/>
      <w:start w:val="2"/>
    </w:lvl>
  </w:abstractNum>
  <w:abstractNum w:abstractNumId="141">
    <w:nsid w:val="257D4626"/>
    <w:multiLevelType w:val="hybridMultilevel"/>
    <w:lvl w:ilvl="0">
      <w:lvlJc w:val="left"/>
      <w:lvlText w:val="(%1)"/>
      <w:numFmt w:val="lowerLetter"/>
      <w:start w:val="3"/>
    </w:lvl>
  </w:abstractNum>
  <w:abstractNum w:abstractNumId="142">
    <w:nsid w:val="5AA8580E"/>
    <w:multiLevelType w:val="hybridMultilevel"/>
    <w:lvl w:ilvl="0">
      <w:lvlJc w:val="left"/>
      <w:lvlText w:val="(%1)"/>
      <w:numFmt w:val="lowerRoman"/>
      <w:start w:val="1"/>
    </w:lvl>
  </w:abstractNum>
  <w:abstractNum w:abstractNumId="143">
    <w:nsid w:val="68FA8D0D"/>
    <w:multiLevelType w:val="hybridMultilevel"/>
    <w:lvl w:ilvl="0">
      <w:lvlJc w:val="left"/>
      <w:lvlText w:val="(%1)"/>
      <w:numFmt w:val="lowerLetter"/>
      <w:start w:val="2"/>
    </w:lvl>
    <w:lvl w:ilvl="1">
      <w:lvlJc w:val="left"/>
      <w:lvlText w:val="(%2)"/>
      <w:numFmt w:val="decimal"/>
      <w:start w:val="1"/>
    </w:lvl>
  </w:abstractNum>
  <w:abstractNum w:abstractNumId="144">
    <w:nsid w:val="40F2CBD2"/>
    <w:multiLevelType w:val="hybridMultilevel"/>
    <w:lvl w:ilvl="0">
      <w:lvlJc w:val="left"/>
      <w:lvlText w:val="(%1)"/>
      <w:numFmt w:val="decimal"/>
      <w:start w:val="3"/>
    </w:lvl>
  </w:abstractNum>
  <w:abstractNum w:abstractNumId="145">
    <w:nsid w:val="3BD615EB"/>
    <w:multiLevelType w:val="hybridMultilevel"/>
    <w:lvl w:ilvl="0">
      <w:lvlJc w:val="left"/>
      <w:lvlText w:val="(%1)"/>
      <w:numFmt w:val="lowerRoman"/>
      <w:start w:val="2"/>
    </w:lvl>
    <w:lvl w:ilvl="1">
      <w:lvlJc w:val="left"/>
      <w:lvlText w:val="(%2)"/>
      <w:numFmt w:val="upperLetter"/>
      <w:start w:val="1"/>
    </w:lvl>
  </w:abstractNum>
  <w:abstractNum w:abstractNumId="146">
    <w:nsid w:val="A045AB2"/>
    <w:multiLevelType w:val="hybridMultilevel"/>
    <w:lvl w:ilvl="0">
      <w:lvlJc w:val="left"/>
      <w:lvlText w:val="%1"/>
      <w:numFmt w:val="lowerRoman"/>
      <w:start w:val="1"/>
    </w:lvl>
    <w:lvl w:ilvl="1">
      <w:lvlJc w:val="left"/>
      <w:lvlText w:val="(%2)"/>
      <w:numFmt w:val="upperLetter"/>
      <w:start w:val="3"/>
    </w:lvl>
  </w:abstractNum>
  <w:abstractNum w:abstractNumId="147">
    <w:nsid w:val="1872261F"/>
    <w:multiLevelType w:val="hybridMultilevel"/>
    <w:lvl w:ilvl="0">
      <w:lvlJc w:val="left"/>
      <w:lvlText w:val="(%1)"/>
      <w:numFmt w:val="lowerRoman"/>
      <w:start w:val="3"/>
    </w:lvl>
    <w:lvl w:ilvl="1">
      <w:lvlJc w:val="left"/>
      <w:lvlText w:val="%2"/>
      <w:numFmt w:val="upperLetter"/>
      <w:start w:val="1"/>
    </w:lvl>
  </w:abstractNum>
  <w:abstractNum w:abstractNumId="148">
    <w:nsid w:val="3DE8306C"/>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3"/>
    </w:lvl>
  </w:abstractNum>
  <w:abstractNum w:abstractNumId="149">
    <w:nsid w:val="7631573A"/>
    <w:multiLevelType w:val="hybridMultilevel"/>
    <w:lvl w:ilvl="0">
      <w:lvlJc w:val="left"/>
      <w:lvlText w:val="(%1)"/>
      <w:numFmt w:val="upperLetter"/>
      <w:start w:val="4"/>
    </w:lvl>
    <w:lvl w:ilvl="1">
      <w:lvlJc w:val="left"/>
      <w:lvlText w:val="%2"/>
      <w:numFmt w:val="lowerRoman"/>
      <w:start w:val="1"/>
    </w:lvl>
    <w:lvl w:ilvl="2">
      <w:lvlJc w:val="left"/>
      <w:lvlText w:val="%3"/>
      <w:numFmt w:val="lowerLetter"/>
      <w:start w:val="1"/>
    </w:lvl>
  </w:abstractNum>
  <w:abstractNum w:abstractNumId="150">
    <w:nsid w:val="58DF53B"/>
    <w:multiLevelType w:val="hybridMultilevel"/>
    <w:lvl w:ilvl="0">
      <w:lvlJc w:val="left"/>
      <w:lvlText w:val="(%1)"/>
      <w:numFmt w:val="lowerLetter"/>
      <w:start w:val="35"/>
    </w:lvl>
    <w:lvl w:ilvl="1">
      <w:lvlJc w:val="left"/>
      <w:lvlText w:val="%2"/>
      <w:numFmt w:val="lowerLetter"/>
      <w:start w:val="1"/>
    </w:lvl>
  </w:abstractNum>
  <w:abstractNum w:abstractNumId="151">
    <w:nsid w:val="ACDFAC0"/>
    <w:multiLevelType w:val="hybridMultilevel"/>
    <w:lvl w:ilvl="0">
      <w:lvlJc w:val="left"/>
      <w:lvlText w:val="(%1)"/>
      <w:numFmt w:val="lowerLetter"/>
      <w:start w:val="4"/>
    </w:lvl>
    <w:lvl w:ilvl="1">
      <w:lvlJc w:val="left"/>
      <w:lvlText w:val="%2"/>
      <w:numFmt w:val="lowerLetter"/>
      <w:start w:val="1"/>
    </w:lvl>
  </w:abstractNum>
  <w:abstractNum w:abstractNumId="152">
    <w:nsid w:val="1F578454"/>
    <w:multiLevelType w:val="hybridMultilevel"/>
    <w:lvl w:ilvl="0">
      <w:lvlJc w:val="left"/>
      <w:lvlText w:val="(%1)"/>
      <w:numFmt w:val="lowerRoman"/>
      <w:start w:val="1"/>
    </w:lvl>
  </w:abstractNum>
  <w:abstractNum w:abstractNumId="153">
    <w:nsid w:val="5B0DAD2A"/>
    <w:multiLevelType w:val="hybridMultilevel"/>
    <w:lvl w:ilvl="0">
      <w:lvlJc w:val="left"/>
      <w:lvlText w:val="(%1)"/>
      <w:numFmt w:val="lowerRoman"/>
      <w:start w:val="2"/>
    </w:lvl>
    <w:lvl w:ilvl="1">
      <w:lvlJc w:val="left"/>
      <w:lvlText w:val="(%2)"/>
      <w:numFmt w:val="lowerLetter"/>
      <w:start w:val="2"/>
    </w:lvl>
  </w:abstractNum>
  <w:abstractNum w:abstractNumId="154">
    <w:nsid w:val="4E3D26AB"/>
    <w:multiLevelType w:val="hybridMultilevel"/>
    <w:lvl w:ilvl="0">
      <w:lvlJc w:val="left"/>
      <w:lvlText w:val="(%1)"/>
      <w:numFmt w:val="lowerLetter"/>
      <w:start w:val="1"/>
    </w:lvl>
  </w:abstractNum>
  <w:abstractNum w:abstractNumId="155">
    <w:nsid w:val="BE2C8BA"/>
    <w:multiLevelType w:val="hybridMultilevel"/>
    <w:lvl w:ilvl="0">
      <w:lvlJc w:val="left"/>
      <w:lvlText w:val="(%1)"/>
      <w:numFmt w:val="lowerLetter"/>
      <w:start w:val="2"/>
    </w:lvl>
  </w:abstractNum>
  <w:abstractNum w:abstractNumId="156">
    <w:nsid w:val="7B14914E"/>
    <w:multiLevelType w:val="hybridMultilevel"/>
    <w:lvl w:ilvl="0">
      <w:lvlJc w:val="left"/>
      <w:lvlText w:val="(%1)"/>
      <w:numFmt w:val="lowerLetter"/>
      <w:start w:val="1"/>
    </w:lvl>
  </w:abstractNum>
  <w:abstractNum w:abstractNumId="157">
    <w:nsid w:val="6F0939F8"/>
    <w:multiLevelType w:val="hybridMultilevel"/>
    <w:lvl w:ilvl="0">
      <w:lvlJc w:val="left"/>
      <w:lvlText w:val="(%1)"/>
      <w:numFmt w:val="lowerLetter"/>
      <w:start w:val="4"/>
    </w:lvl>
  </w:abstractNum>
  <w:abstractNum w:abstractNumId="158">
    <w:nsid w:val="154291F6"/>
    <w:multiLevelType w:val="hybridMultilevel"/>
    <w:lvl w:ilvl="0">
      <w:lvlJc w:val="left"/>
      <w:lvlText w:val="%1"/>
      <w:numFmt w:val="lowerRoman"/>
      <w:start w:val="1"/>
    </w:lvl>
    <w:lvl w:ilvl="1">
      <w:lvlJc w:val="left"/>
      <w:lvlText w:val="(%2)"/>
      <w:numFmt w:val="lowerLetter"/>
      <w:start w:val="1"/>
    </w:lvl>
  </w:abstractNum>
  <w:abstractNum w:abstractNumId="159">
    <w:nsid w:val="3CEBD7C7"/>
    <w:multiLevelType w:val="hybridMultilevel"/>
    <w:lvl w:ilvl="0">
      <w:lvlJc w:val="left"/>
      <w:lvlText w:val="(%1)"/>
      <w:numFmt w:val="lowerRoman"/>
      <w:start w:val="1"/>
    </w:lvl>
    <w:lvl w:ilvl="1">
      <w:lvlJc w:val="left"/>
      <w:lvlText w:val="%2"/>
      <w:numFmt w:val="lowerLetter"/>
      <w:start w:val="1"/>
    </w:lvl>
  </w:abstractNum>
  <w:abstractNum w:abstractNumId="160">
    <w:nsid w:val="60EE9C16"/>
    <w:multiLevelType w:val="hybridMultilevel"/>
    <w:lvl w:ilvl="0">
      <w:lvlJc w:val="left"/>
      <w:lvlText w:val="1"/>
      <w:numFmt w:val="bullet"/>
      <w:start w:val="1"/>
    </w:lvl>
  </w:abstractNum>
  <w:abstractNum w:abstractNumId="161">
    <w:nsid w:val="6385489E"/>
    <w:multiLevelType w:val="hybridMultilevel"/>
    <w:lvl w:ilvl="0">
      <w:lvlJc w:val="left"/>
      <w:lvlText w:val="[***]"/>
      <w:numFmt w:val="bullet"/>
      <w:start w:val="1"/>
    </w:lvl>
  </w:abstractNum>
  <w:abstractNum w:abstractNumId="162">
    <w:nsid w:val="E4B973"/>
    <w:multiLevelType w:val="hybridMultilevel"/>
    <w:lvl w:ilvl="0">
      <w:lvlJc w:val="left"/>
      <w:lvlText w:val="[***]"/>
      <w:numFmt w:val="bullet"/>
      <w:start w:val="1"/>
    </w:lvl>
  </w:abstractNum>
  <w:abstractNum w:abstractNumId="163">
    <w:nsid w:val="4A0FFA11"/>
    <w:multiLevelType w:val="hybridMultilevel"/>
    <w:lvl w:ilvl="0">
      <w:lvlJc w:val="left"/>
      <w:lvlText w:val="[***]"/>
      <w:numFmt w:val="bullet"/>
      <w:start w:val="1"/>
    </w:lvl>
  </w:abstractNum>
  <w:abstractNum w:abstractNumId="164">
    <w:nsid w:val="5E446208"/>
    <w:multiLevelType w:val="hybridMultilevel"/>
    <w:lvl w:ilvl="0">
      <w:lvlJc w:val="left"/>
      <w:lvlText w:val="[***]"/>
      <w:numFmt w:val="bullet"/>
      <w:start w:val="1"/>
    </w:lvl>
  </w:abstractNum>
  <w:abstractNum w:abstractNumId="165">
    <w:nsid w:val="5F3272DB"/>
    <w:multiLevelType w:val="hybridMultilevel"/>
    <w:lvl w:ilvl="0">
      <w:lvlJc w:val="left"/>
      <w:lvlText w:val="[***]"/>
      <w:numFmt w:val="bullet"/>
      <w:start w:val="1"/>
    </w:lvl>
  </w:abstractNum>
  <w:abstractNum w:abstractNumId="166">
    <w:nsid w:val="7616D704"/>
    <w:multiLevelType w:val="hybridMultilevel"/>
    <w:lvl w:ilvl="0">
      <w:lvlJc w:val="left"/>
      <w:lvlText w:val="[***]"/>
      <w:numFmt w:val="bullet"/>
      <w:start w:val="1"/>
    </w:lvl>
  </w:abstractNum>
  <w:abstractNum w:abstractNumId="167">
    <w:nsid w:val="C56F860"/>
    <w:multiLevelType w:val="hybridMultilevel"/>
    <w:lvl w:ilvl="0">
      <w:lvlJc w:val="left"/>
      <w:lvlText w:val="[***]"/>
      <w:numFmt w:val="bullet"/>
      <w:start w:val="1"/>
    </w:lvl>
  </w:abstractNum>
  <w:abstractNum w:abstractNumId="168">
    <w:nsid w:val="64D17722"/>
    <w:multiLevelType w:val="hybridMultilevel"/>
    <w:lvl w:ilvl="0">
      <w:lvlJc w:val="left"/>
      <w:lvlText w:val="(%1)"/>
      <w:numFmt w:val="lowerLetter"/>
      <w:start w:val="1"/>
    </w:lvl>
  </w:abstractNum>
  <w:abstractNum w:abstractNumId="169">
    <w:nsid w:val="7924CA0A"/>
    <w:multiLevelType w:val="hybridMultilevel"/>
    <w:lvl w:ilvl="0">
      <w:lvlJc w:val="left"/>
      <w:lvlText w:val="(%1)"/>
      <w:numFmt w:val="lowerRoman"/>
      <w:start w:val="3"/>
    </w:lvl>
  </w:abstractNum>
  <w:abstractNum w:abstractNumId="170">
    <w:nsid w:val="CFD4EA7"/>
    <w:multiLevelType w:val="hybridMultilevel"/>
    <w:lvl w:ilvl="0">
      <w:lvlJc w:val="left"/>
      <w:lvlText w:val="(%1)"/>
      <w:numFmt w:val="lowerLetter"/>
      <w:start w:val="1"/>
    </w:lvl>
  </w:abstractNum>
  <w:abstractNum w:abstractNumId="171">
    <w:nsid w:val="232FCF4D"/>
    <w:multiLevelType w:val="hybridMultilevel"/>
    <w:lvl w:ilvl="0">
      <w:lvlJc w:val="left"/>
      <w:lvlText w:val="(%1)"/>
      <w:numFmt w:val="lowerLetter"/>
      <w:start w:val="1"/>
    </w:lvl>
  </w:abstractNum>
  <w:abstractNum w:abstractNumId="172">
    <w:nsid w:val="1EA21031"/>
    <w:multiLevelType w:val="hybridMultilevel"/>
    <w:lvl w:ilvl="0">
      <w:lvlJc w:val="left"/>
      <w:lvlText w:val="(%1)"/>
      <w:numFmt w:val="lowerLetter"/>
      <w:start w:val="2"/>
    </w:lvl>
  </w:abstractNum>
  <w:abstractNum w:abstractNumId="173">
    <w:nsid w:val="67A5A6B5"/>
    <w:multiLevelType w:val="hybridMultilevel"/>
    <w:lvl w:ilvl="0">
      <w:lvlJc w:val="left"/>
      <w:lvlText w:val="(%1)"/>
      <w:numFmt w:val="lowerLetter"/>
      <w:start w:val="3"/>
    </w:lvl>
  </w:abstractNum>
  <w:abstractNum w:abstractNumId="174">
    <w:nsid w:val="C2A5C5B"/>
    <w:multiLevelType w:val="hybridMultilevel"/>
    <w:lvl w:ilvl="0">
      <w:lvlJc w:val="left"/>
      <w:lvlText w:val="(%1)"/>
      <w:numFmt w:val="lowerLetter"/>
      <w:start w:val="1"/>
    </w:lvl>
  </w:abstractNum>
  <w:abstractNum w:abstractNumId="175">
    <w:nsid w:val="5F94DC03"/>
    <w:multiLevelType w:val="hybridMultilevel"/>
    <w:lvl w:ilvl="0">
      <w:lvlJc w:val="left"/>
      <w:lvlText w:val="(%1)"/>
      <w:numFmt w:val="lowerLetter"/>
      <w:start w:val="1"/>
    </w:lvl>
  </w:abstractNum>
  <w:abstractNum w:abstractNumId="176">
    <w:nsid w:val="237BBCA0"/>
    <w:multiLevelType w:val="hybridMultilevel"/>
    <w:lvl w:ilvl="0">
      <w:lvlJc w:val="left"/>
      <w:lvlText w:val="(%1)"/>
      <w:numFmt w:val="lowerLetter"/>
      <w:start w:val="2"/>
    </w:lvl>
  </w:abstractNum>
  <w:abstractNum w:abstractNumId="177">
    <w:nsid w:val="162EB70D"/>
    <w:multiLevelType w:val="hybridMultilevel"/>
    <w:lvl w:ilvl="0">
      <w:lvlJc w:val="left"/>
      <w:lvlText w:val="(%1)"/>
      <w:numFmt w:val="lowerLetter"/>
      <w:start w:val="1"/>
    </w:lvl>
  </w:abstractNum>
  <w:abstractNum w:abstractNumId="178">
    <w:nsid w:val="78070222"/>
    <w:multiLevelType w:val="hybridMultilevel"/>
    <w:lvl w:ilvl="0">
      <w:lvlJc w:val="left"/>
      <w:lvlText w:val="(%1)"/>
      <w:numFmt w:val="lowerLetter"/>
      <w:start w:val="4"/>
    </w:lvl>
  </w:abstractNum>
  <w:abstractNum w:abstractNumId="179">
    <w:nsid w:val="6163ED0D"/>
    <w:multiLevelType w:val="hybridMultilevel"/>
    <w:lvl w:ilvl="0">
      <w:lvlJc w:val="left"/>
      <w:lvlText w:val="%1."/>
      <w:numFmt w:val="decimal"/>
      <w:start w:val="1"/>
    </w:lvl>
  </w:abstractNum>
  <w:abstractNum w:abstractNumId="180">
    <w:nsid w:val="C600E47"/>
    <w:multiLevelType w:val="hybridMultilevel"/>
    <w:lvl w:ilvl="0">
      <w:lvlJc w:val="left"/>
      <w:lvlText w:val="(%1)"/>
      <w:numFmt w:val="upperLetter"/>
      <w:start w:val="2"/>
    </w:lvl>
  </w:abstractNum>
  <w:abstractNum w:abstractNumId="181">
    <w:nsid w:val="7D94F75D"/>
    <w:multiLevelType w:val="hybridMultilevel"/>
    <w:lvl w:ilvl="0">
      <w:lvlJc w:val="left"/>
      <w:lvlText w:val="1"/>
      <w:numFmt w:val="bullet"/>
      <w:start w:val="1"/>
    </w:lvl>
  </w:abstractNum>
  <w:abstractNum w:abstractNumId="182">
    <w:nsid w:val="6C31E7CD"/>
    <w:multiLevelType w:val="hybridMultilevel"/>
    <w:lvl w:ilvl="0">
      <w:lvlJc w:val="left"/>
      <w:lvlText w:val="2"/>
      <w:numFmt w:val="bullet"/>
      <w:start w:val="1"/>
    </w:lvl>
  </w:abstractNum>
  <w:abstractNum w:abstractNumId="183">
    <w:nsid w:val="2BB7929B"/>
    <w:multiLevelType w:val="hybridMultilevel"/>
    <w:lvl w:ilvl="0">
      <w:lvlJc w:val="left"/>
      <w:lvlText w:val="3"/>
      <w:numFmt w:val="bullet"/>
      <w:start w:val="1"/>
    </w:lvl>
  </w:abstractNum>
  <w:abstractNum w:abstractNumId="184">
    <w:nsid w:val="58A2A487"/>
    <w:multiLevelType w:val="hybridMultilevel"/>
    <w:lvl w:ilvl="0">
      <w:lvlJc w:val="left"/>
      <w:lvlText w:val="(%1)"/>
      <w:numFmt w:val="upperLetter"/>
      <w:start w:val="3"/>
    </w:lvl>
  </w:abstractNum>
  <w:abstractNum w:abstractNumId="185">
    <w:nsid w:val="3A6F0E78"/>
    <w:multiLevelType w:val="hybridMultilevel"/>
    <w:lvl w:ilvl="0">
      <w:lvlJc w:val="left"/>
      <w:lvlText w:val="4"/>
      <w:numFmt w:val="bullet"/>
      <w:start w:val="1"/>
    </w:lvl>
  </w:abstractNum>
  <w:abstractNum w:abstractNumId="186">
    <w:nsid w:val="379A5B56"/>
    <w:multiLevelType w:val="hybridMultilevel"/>
    <w:lvl w:ilvl="0">
      <w:lvlJc w:val="left"/>
      <w:lvlText w:val="5"/>
      <w:numFmt w:val="bullet"/>
      <w:start w:val="1"/>
    </w:lvl>
  </w:abstractNum>
  <w:abstractNum w:abstractNumId="187">
    <w:nsid w:val="53B735D5"/>
    <w:multiLevelType w:val="hybridMultilevel"/>
    <w:lvl w:ilvl="0">
      <w:lvlJc w:val="left"/>
      <w:lvlText w:val="6"/>
      <w:numFmt w:val="bullet"/>
      <w:start w:val="1"/>
    </w:lvl>
  </w:abstractNum>
  <w:abstractNum w:abstractNumId="188">
    <w:nsid w:val="29784870"/>
    <w:multiLevelType w:val="hybridMultilevel"/>
    <w:lvl w:ilvl="0">
      <w:lvlJc w:val="left"/>
      <w:lvlText w:val="1"/>
      <w:numFmt w:val="bullet"/>
      <w:start w:val="1"/>
    </w:lvl>
  </w:abstractNum>
  <w:abstractNum w:abstractNumId="189">
    <w:nsid w:val="4CDCED4C"/>
    <w:multiLevelType w:val="hybridMultilevel"/>
    <w:lvl w:ilvl="0">
      <w:lvlJc w:val="left"/>
      <w:lvlText w:val="2"/>
      <w:numFmt w:val="bullet"/>
      <w:start w:val="1"/>
    </w:lvl>
  </w:abstractNum>
  <w:abstractNum w:abstractNumId="190">
    <w:nsid w:val="10A30D9C"/>
    <w:multiLevelType w:val="hybridMultilevel"/>
    <w:lvl w:ilvl="0">
      <w:lvlJc w:val="left"/>
      <w:lvlText w:val="(%1)"/>
      <w:numFmt w:val="upperLetter"/>
      <w:start w:val="4"/>
    </w:lvl>
  </w:abstractNum>
  <w:abstractNum w:abstractNumId="191">
    <w:nsid w:val="A66E486"/>
    <w:multiLevelType w:val="hybridMultilevel"/>
    <w:lvl w:ilvl="0">
      <w:lvlJc w:val="left"/>
      <w:lvlText w:val="3"/>
      <w:numFmt w:val="bullet"/>
      <w:start w:val="1"/>
    </w:lvl>
  </w:abstractNum>
  <w:abstractNum w:abstractNumId="192">
    <w:nsid w:val="306235EA"/>
    <w:multiLevelType w:val="hybridMultilevel"/>
    <w:lvl w:ilvl="0">
      <w:lvlJc w:val="left"/>
      <w:lvlText w:val="1"/>
      <w:numFmt w:val="bullet"/>
      <w:start w:val="1"/>
    </w:lvl>
  </w:abstractNum>
  <w:abstractNum w:abstractNumId="193">
    <w:nsid w:val="1187C70F"/>
    <w:multiLevelType w:val="hybridMultilevel"/>
    <w:lvl w:ilvl="0">
      <w:lvlJc w:val="left"/>
      <w:lvlText w:val="2"/>
      <w:numFmt w:val="bullet"/>
      <w:start w:val="1"/>
    </w:lvl>
  </w:abstractNum>
  <w:abstractNum w:abstractNumId="194">
    <w:nsid w:val="5476DE98"/>
    <w:multiLevelType w:val="hybridMultilevel"/>
    <w:lvl w:ilvl="0">
      <w:lvlJc w:val="left"/>
      <w:lvlText w:val="%1."/>
      <w:numFmt w:val="decimal"/>
      <w:start w:val="1"/>
    </w:lvl>
  </w:abstractNum>
  <w:abstractNum w:abstractNumId="195">
    <w:nsid w:val="EA697F2"/>
    <w:multiLevelType w:val="hybridMultilevel"/>
    <w:lvl w:ilvl="0">
      <w:lvlJc w:val="left"/>
      <w:lvlText w:val="%1."/>
      <w:numFmt w:val="decimal"/>
      <w:start w:val="7"/>
    </w:lvl>
    <w:lvl w:ilvl="1">
      <w:lvlJc w:val="left"/>
      <w:lvlText w:val="(%2)"/>
      <w:numFmt w:val="lowerLetter"/>
      <w:start w:val="1"/>
    </w:lvl>
  </w:abstractNum>
  <w:abstractNum w:abstractNumId="196">
    <w:nsid w:val="70BA39EB"/>
    <w:multiLevelType w:val="hybridMultilevel"/>
    <w:lvl w:ilvl="0">
      <w:lvlJc w:val="left"/>
      <w:lvlText w:val="1"/>
      <w:numFmt w:val="bullet"/>
      <w:start w:val="1"/>
    </w:lvl>
  </w:abstractNum>
  <w:abstractNum w:abstractNumId="197">
    <w:nsid w:val="4A8DB59C"/>
    <w:multiLevelType w:val="hybridMultilevel"/>
    <w:lvl w:ilvl="0">
      <w:lvlJc w:val="left"/>
      <w:lvlText w:val="%1."/>
      <w:numFmt w:val="decimal"/>
      <w:start w:val="1"/>
    </w:lvl>
  </w:abstractNum>
  <w:abstractNum w:abstractNumId="198">
    <w:nsid w:val="1AFD9053"/>
    <w:multiLevelType w:val="hybridMultilevel"/>
    <w:lvl w:ilvl="0">
      <w:lvlJc w:val="left"/>
      <w:lvlText w:val="%1."/>
      <w:numFmt w:val="decimal"/>
      <w:start w:val="2"/>
    </w:lvl>
  </w:abstractNum>
  <w:abstractNum w:abstractNumId="199">
    <w:nsid w:val="558BB10D"/>
    <w:multiLevelType w:val="hybridMultilevel"/>
    <w:lvl w:ilvl="0">
      <w:lvlJc w:val="left"/>
      <w:lvlText w:val="1"/>
      <w:numFmt w:val="bullet"/>
      <w:start w:val="1"/>
    </w:lvl>
  </w:abstractNum>
  <w:abstractNum w:abstractNumId="200">
    <w:nsid w:val="43B27FA7"/>
    <w:multiLevelType w:val="hybridMultilevel"/>
    <w:lvl w:ilvl="0">
      <w:lvlJc w:val="left"/>
      <w:lvlText w:val="2"/>
      <w:numFmt w:val="bullet"/>
      <w:start w:val="1"/>
    </w:lvl>
  </w:abstractNum>
  <w:abstractNum w:abstractNumId="201">
    <w:nsid w:val="27FADEFA"/>
    <w:multiLevelType w:val="hybridMultilevel"/>
    <w:lvl w:ilvl="0">
      <w:lvlJc w:val="left"/>
      <w:lvlText w:val="%1."/>
      <w:numFmt w:val="decimal"/>
      <w:start w:val="1"/>
    </w:lvl>
  </w:abstractNum>
  <w:abstractNum w:abstractNumId="202">
    <w:nsid w:val="78BB805A"/>
    <w:multiLevelType w:val="hybridMultilevel"/>
    <w:lvl w:ilvl="0">
      <w:lvlJc w:val="left"/>
      <w:lvlText w:val="1"/>
      <w:numFmt w:val="bullet"/>
      <w:start w:val="1"/>
    </w:lvl>
  </w:abstractNum>
  <w:abstractNum w:abstractNumId="203">
    <w:nsid w:val="62548FD8"/>
    <w:multiLevelType w:val="hybridMultilevel"/>
    <w:lvl w:ilvl="0">
      <w:lvlJc w:val="left"/>
      <w:lvlText w:val="%1"/>
      <w:numFmt w:val="lowerLetter"/>
      <w:start w:val="1"/>
    </w:lvl>
    <w:lvl w:ilvl="1">
      <w:lvlJc w:val="left"/>
      <w:lvlText w:val="%2."/>
      <w:numFmt w:val="decimal"/>
      <w:start w:val="2"/>
    </w:lvl>
  </w:abstractNum>
  <w:abstractNum w:abstractNumId="204">
    <w:nsid w:val="FA085B0"/>
    <w:multiLevelType w:val="hybridMultilevel"/>
    <w:lvl w:ilvl="0">
      <w:lvlJc w:val="left"/>
      <w:lvlText w:val="(%1)"/>
      <w:numFmt w:val="lowerLetter"/>
      <w:start w:val="35"/>
    </w:lvl>
    <w:lvl w:ilvl="1">
      <w:lvlJc w:val="left"/>
      <w:lvlText w:val="%2"/>
      <w:numFmt w:val="decimal"/>
      <w:start w:val="1"/>
    </w:lvl>
  </w:abstractNum>
  <w:abstractNum w:abstractNumId="205">
    <w:nsid w:val="4E5DCB5"/>
    <w:multiLevelType w:val="hybridMultilevel"/>
    <w:lvl w:ilvl="0">
      <w:lvlJc w:val="left"/>
      <w:lvlText w:val="(%1)"/>
      <w:numFmt w:val="lowerLetter"/>
      <w:start w:val="3"/>
    </w:lvl>
    <w:lvl w:ilvl="1">
      <w:lvlJc w:val="left"/>
      <w:lvlText w:val="%2."/>
      <w:numFmt w:val="decimal"/>
      <w:start w:val="3"/>
    </w:lvl>
  </w:abstractNum>
  <w:abstractNum w:abstractNumId="206">
    <w:nsid w:val="41E96BDB"/>
    <w:multiLevelType w:val="hybridMultilevel"/>
    <w:lvl w:ilvl="0">
      <w:lvlJc w:val="left"/>
      <w:lvlText w:val="%1."/>
      <w:numFmt w:val="decimal"/>
      <w:start w:val="4"/>
    </w:lvl>
  </w:abstractNum>
  <w:abstractNum w:abstractNumId="207">
    <w:nsid w:val="331C4250"/>
    <w:multiLevelType w:val="hybridMultilevel"/>
    <w:lvl w:ilvl="0">
      <w:lvlJc w:val="left"/>
      <w:lvlText w:val="2"/>
      <w:numFmt w:val="bullet"/>
      <w:start w:val="1"/>
    </w:lvl>
  </w:abstractNum>
  <w:abstractNum w:abstractNumId="208">
    <w:nsid w:val="1B1493C2"/>
    <w:multiLevelType w:val="hybridMultilevel"/>
    <w:lvl w:ilvl="0">
      <w:lvlJc w:val="left"/>
      <w:lvlText w:val="3"/>
      <w:numFmt w:val="bullet"/>
      <w:start w:val="1"/>
    </w:lvl>
  </w:abstractNum>
  <w:abstractNum w:abstractNumId="209">
    <w:nsid w:val="39F06DFD"/>
    <w:multiLevelType w:val="hybridMultilevel"/>
    <w:lvl w:ilvl="0">
      <w:lvlJc w:val="left"/>
      <w:lvlText w:val="4"/>
      <w:numFmt w:val="bullet"/>
      <w:start w:val="1"/>
    </w:lvl>
  </w:abstractNum>
  <w:abstractNum w:abstractNumId="210">
    <w:nsid w:val="14802F5D"/>
    <w:multiLevelType w:val="hybridMultilevel"/>
    <w:lvl w:ilvl="0">
      <w:lvlJc w:val="left"/>
      <w:lvlText w:val="%1."/>
      <w:numFmt w:val="decimal"/>
      <w:start w:val="7"/>
    </w:lvl>
  </w:abstractNum>
  <w:abstractNum w:abstractNumId="211">
    <w:nsid w:val="2774A209"/>
    <w:multiLevelType w:val="hybridMultilevel"/>
    <w:lvl w:ilvl="0">
      <w:lvlJc w:val="left"/>
      <w:lvlText w:val="5"/>
      <w:numFmt w:val="bullet"/>
      <w:start w:val="1"/>
    </w:lvl>
  </w:abstractNum>
  <w:abstractNum w:abstractNumId="212">
    <w:nsid w:val="3785655A"/>
    <w:multiLevelType w:val="hybridMultilevel"/>
    <w:lvl w:ilvl="0">
      <w:lvlJc w:val="left"/>
      <w:lvlText w:val="(%1)"/>
      <w:numFmt w:val="lowerLetter"/>
      <w:start w:val="1"/>
    </w:lvl>
  </w:abstractNum>
  <w:abstractNum w:abstractNumId="213">
    <w:nsid w:val="B2172A"/>
    <w:multiLevelType w:val="hybridMultilevel"/>
    <w:lvl w:ilvl="0">
      <w:lvlJc w:val="left"/>
      <w:lvlText w:val="1"/>
      <w:numFmt w:val="bullet"/>
      <w:start w:val="1"/>
    </w:lvl>
  </w:abstractNum>
  <w:abstractNum w:abstractNumId="214">
    <w:nsid w:val="532C34A5"/>
    <w:multiLevelType w:val="hybridMultilevel"/>
    <w:lvl w:ilvl="0">
      <w:lvlJc w:val="left"/>
      <w:lvlText w:val="%1."/>
      <w:numFmt w:val="decimal"/>
      <w:start w:val="1"/>
    </w:lvl>
  </w:abstractNum>
  <w:abstractNum w:abstractNumId="215">
    <w:nsid w:val="102809E2"/>
    <w:multiLevelType w:val="hybridMultilevel"/>
    <w:lvl w:ilvl="0">
      <w:lvlJc w:val="left"/>
      <w:lvlText w:val="1"/>
      <w:numFmt w:val="bullet"/>
      <w:start w:val="1"/>
    </w:lvl>
  </w:abstractNum>
  <w:abstractNum w:abstractNumId="216">
    <w:nsid w:val="3B2125A3"/>
    <w:multiLevelType w:val="hybridMultilevel"/>
    <w:lvl w:ilvl="0">
      <w:lvlJc w:val="left"/>
      <w:lvlText w:val="(%1)"/>
      <w:numFmt w:val="lowerRoman"/>
      <w:start w:val="2"/>
    </w:lvl>
  </w:abstractNum>
  <w:abstractNum w:abstractNumId="217">
    <w:nsid w:val="AC68FFB"/>
    <w:multiLevelType w:val="hybridMultilevel"/>
    <w:lvl w:ilvl="0">
      <w:lvlJc w:val="left"/>
      <w:lvlText w:val="(%1)"/>
      <w:numFmt w:val="lowerRoman"/>
      <w:start w:val="3"/>
    </w:lvl>
  </w:abstractNum>
  <w:abstractNum w:abstractNumId="218">
    <w:nsid w:val="63DF3FB7"/>
    <w:multiLevelType w:val="hybridMultilevel"/>
    <w:lvl w:ilvl="0">
      <w:lvlJc w:val="left"/>
      <w:lvlText w:val="(%1)"/>
      <w:numFmt w:val="lowerRoman"/>
      <w:start w:val="3"/>
    </w:lvl>
  </w:abstractNum>
  <w:abstractNum w:abstractNumId="219">
    <w:nsid w:val="64996E13"/>
    <w:multiLevelType w:val="hybridMultilevel"/>
    <w:lvl w:ilvl="0">
      <w:lvlJc w:val="left"/>
      <w:lvlText w:val="%1."/>
      <w:numFmt w:val="decimal"/>
      <w:start w:val="1"/>
    </w:lvl>
  </w:abstractNum>
  <w:abstractNum w:abstractNumId="220">
    <w:nsid w:val="57A37D47"/>
    <w:multiLevelType w:val="hybridMultilevel"/>
    <w:lvl w:ilvl="0">
      <w:lvlJc w:val="left"/>
      <w:lvlText w:val="(%1)"/>
      <w:numFmt w:val="upperLetter"/>
      <w:start w:val="1"/>
    </w:lvl>
  </w:abstractNum>
  <w:abstractNum w:abstractNumId="221">
    <w:nsid w:val="74824D54"/>
    <w:multiLevelType w:val="hybridMultilevel"/>
    <w:lvl w:ilvl="0">
      <w:lvlJc w:val="left"/>
      <w:lvlText w:val="(%1)"/>
      <w:numFmt w:val="upperLetter"/>
      <w:start w:val="2"/>
    </w:lvl>
  </w:abstractNum>
  <w:abstractNum w:abstractNumId="222">
    <w:nsid w:val="6F00529A"/>
    <w:multiLevelType w:val="hybridMultilevel"/>
    <w:lvl w:ilvl="0">
      <w:lvlJc w:val="left"/>
      <w:lvlText w:val="(%1)"/>
      <w:numFmt w:val="upperLetter"/>
      <w:start w:val="3"/>
    </w:lvl>
  </w:abstractNum>
  <w:abstractNum w:abstractNumId="223">
    <w:nsid w:val="805B331"/>
    <w:multiLevelType w:val="hybridMultilevel"/>
    <w:lvl w:ilvl="0">
      <w:lvlJc w:val="left"/>
      <w:lvlText w:val="(%1)"/>
      <w:numFmt w:val="upperLetter"/>
      <w:start w:val="4"/>
    </w:lvl>
  </w:abstractNum>
  <w:abstractNum w:abstractNumId="224">
    <w:nsid w:val="60A1463"/>
    <w:multiLevelType w:val="hybridMultilevel"/>
    <w:lvl w:ilvl="0">
      <w:lvlJc w:val="left"/>
      <w:lvlText w:val="(%1)"/>
      <w:numFmt w:val="upperLetter"/>
      <w:start w:val="5"/>
    </w:lvl>
  </w:abstractNum>
  <w:abstractNum w:abstractNumId="225">
    <w:nsid w:val="43773132"/>
    <w:multiLevelType w:val="hybridMultilevel"/>
    <w:lvl w:ilvl="0">
      <w:lvlJc w:val="left"/>
      <w:lvlText w:val="1"/>
      <w:numFmt w:val="bullet"/>
      <w:start w:val="1"/>
    </w:lvl>
  </w:abstractNum>
  <w:abstractNum w:abstractNumId="226">
    <w:nsid w:val="16AC4B23"/>
    <w:multiLevelType w:val="hybridMultilevel"/>
    <w:lvl w:ilvl="0">
      <w:lvlJc w:val="left"/>
      <w:lvlText w:val="(%1)"/>
      <w:numFmt w:val="upperLetter"/>
      <w:start w:val="2"/>
    </w:lvl>
  </w:abstractNum>
  <w:abstractNum w:abstractNumId="227">
    <w:nsid w:val="76C44E4E"/>
    <w:multiLevelType w:val="hybridMultilevel"/>
    <w:lvl w:ilvl="0">
      <w:lvlJc w:val="left"/>
      <w:lvlText w:val="1"/>
      <w:numFmt w:val="bullet"/>
      <w:start w:val="1"/>
    </w:lvl>
  </w:abstractNum>
  <w:abstractNum w:abstractNumId="228">
    <w:nsid w:val="E04E6CE"/>
    <w:multiLevelType w:val="hybridMultilevel"/>
    <w:lvl w:ilvl="0">
      <w:lvlJc w:val="left"/>
      <w:lvlText w:val="1"/>
      <w:numFmt w:val="bullet"/>
      <w:start w:val="1"/>
    </w:lvl>
  </w:abstractNum>
  <w:abstractNum w:abstractNumId="229">
    <w:nsid w:val="31A9DB76"/>
    <w:multiLevelType w:val="hybridMultilevel"/>
    <w:lvl w:ilvl="0">
      <w:lvlJc w:val="left"/>
      <w:lvlText w:val="2"/>
      <w:numFmt w:val="bullet"/>
      <w:start w:val="1"/>
    </w:lvl>
  </w:abstractNum>
  <w:abstractNum w:abstractNumId="230">
    <w:nsid w:val="4C4FFF5B"/>
    <w:multiLevelType w:val="hybridMultilevel"/>
    <w:lvl w:ilvl="0">
      <w:lvlJc w:val="left"/>
      <w:lvlText w:val="3"/>
      <w:numFmt w:val="bullet"/>
      <w:start w:val="1"/>
    </w:lvl>
  </w:abstractNum>
  <w:abstractNum w:abstractNumId="231">
    <w:nsid w:val="51B76675"/>
    <w:multiLevelType w:val="hybridMultilevel"/>
    <w:lvl w:ilvl="0">
      <w:lvlJc w:val="left"/>
      <w:lvlText w:val="(%1)"/>
      <w:numFmt w:val="upperLetter"/>
      <w:start w:val="1"/>
    </w:lvl>
  </w:abstractNum>
  <w:abstractNum w:abstractNumId="232">
    <w:nsid w:val="59A4BA71"/>
    <w:multiLevelType w:val="hybridMultilevel"/>
    <w:lvl w:ilvl="0">
      <w:lvlJc w:val="left"/>
      <w:lvlText w:val="4"/>
      <w:numFmt w:val="bullet"/>
      <w:start w:val="1"/>
    </w:lvl>
  </w:abstractNum>
  <w:abstractNum w:abstractNumId="233">
    <w:nsid w:val="450B7FB6"/>
    <w:multiLevelType w:val="hybridMultilevel"/>
    <w:lvl w:ilvl="0">
      <w:lvlJc w:val="left"/>
      <w:lvlText w:val="5"/>
      <w:numFmt w:val="bullet"/>
      <w:start w:val="1"/>
    </w:lvl>
  </w:abstractNum>
  <w:abstractNum w:abstractNumId="234">
    <w:nsid w:val="340BF64D"/>
    <w:multiLevelType w:val="hybridMultilevel"/>
    <w:lvl w:ilvl="0">
      <w:lvlJc w:val="left"/>
      <w:lvlText w:val="(%1)"/>
      <w:numFmt w:val="lowerLetter"/>
      <w:start w:val="2"/>
    </w:lvl>
  </w:abstractNum>
  <w:abstractNum w:abstractNumId="235">
    <w:nsid w:val="69454021"/>
    <w:multiLevelType w:val="hybridMultilevel"/>
    <w:lvl w:ilvl="0">
      <w:lvlJc w:val="left"/>
      <w:lvlText w:val="6"/>
      <w:numFmt w:val="bullet"/>
      <w:start w:val="1"/>
    </w:lvl>
  </w:abstractNum>
  <w:abstractNum w:abstractNumId="236">
    <w:nsid w:val="49F15C6B"/>
    <w:multiLevelType w:val="hybridMultilevel"/>
    <w:lvl w:ilvl="0">
      <w:lvlJc w:val="left"/>
      <w:lvlText w:val="(%1)"/>
      <w:numFmt w:val="upperLetter"/>
      <w:start w:val="5"/>
    </w:lvl>
  </w:abstractNum>
  <w:abstractNum w:abstractNumId="237">
    <w:nsid w:val="75F56228"/>
    <w:multiLevelType w:val="hybridMultilevel"/>
    <w:lvl w:ilvl="0">
      <w:lvlJc w:val="left"/>
      <w:lvlText w:val="7"/>
      <w:numFmt w:val="bullet"/>
      <w:start w:val="1"/>
    </w:lvl>
  </w:abstractNum>
  <w:abstractNum w:abstractNumId="238">
    <w:nsid w:val="1C618271"/>
    <w:multiLevelType w:val="hybridMultilevel"/>
    <w:lvl w:ilvl="0">
      <w:lvlJc w:val="left"/>
      <w:lvlText w:val="8"/>
      <w:numFmt w:val="bullet"/>
      <w:start w:val="1"/>
    </w:lvl>
  </w:abstractNum>
  <w:abstractNum w:abstractNumId="239">
    <w:nsid w:val="6505F02E"/>
    <w:multiLevelType w:val="hybridMultilevel"/>
    <w:lvl w:ilvl="0">
      <w:lvlJc w:val="left"/>
      <w:lvlText w:val="9"/>
      <w:numFmt w:val="bullet"/>
      <w:start w:val="1"/>
    </w:lvl>
  </w:abstractNum>
  <w:abstractNum w:abstractNumId="240">
    <w:nsid w:val="2FE5D025"/>
    <w:multiLevelType w:val="hybridMultilevel"/>
    <w:lvl w:ilvl="0">
      <w:lvlJc w:val="left"/>
      <w:lvlText w:val="%1"/>
      <w:numFmt w:val="decimal"/>
      <w:start w:val="10"/>
    </w:lvl>
  </w:abstractNum>
  <w:abstractNum w:abstractNumId="241">
    <w:nsid w:val="30E1B1CF"/>
    <w:multiLevelType w:val="hybridMultilevel"/>
    <w:lvl w:ilvl="0">
      <w:lvlJc w:val="left"/>
      <w:lvlText w:val="["/>
      <w:numFmt w:val="bullet"/>
      <w:start w:val="1"/>
    </w:lvl>
  </w:abstractNum>
  <w:abstractNum w:abstractNumId="242">
    <w:nsid w:val="C7A9237"/>
    <w:multiLevelType w:val="hybridMultilevel"/>
    <w:lvl w:ilvl="0">
      <w:lvlJc w:val="left"/>
      <w:lvlText w:val="%1."/>
      <w:numFmt w:val="decimal"/>
      <w:start w:val="1"/>
    </w:lvl>
  </w:abstractNum>
  <w:abstractNum w:abstractNumId="243">
    <w:nsid w:val="676B3580"/>
    <w:multiLevelType w:val="hybridMultilevel"/>
    <w:lvl w:ilvl="0">
      <w:lvlJc w:val="left"/>
      <w:lvlText w:val="%1."/>
      <w:numFmt w:val="decimal"/>
      <w:start w:val="2"/>
    </w:lvl>
  </w:abstractNum>
  <w:abstractNum w:abstractNumId="244">
    <w:nsid w:val="3193C8F9"/>
    <w:multiLevelType w:val="hybridMultilevel"/>
    <w:lvl w:ilvl="0">
      <w:lvlJc w:val="left"/>
      <w:lvlText w:val="%1"/>
      <w:numFmt w:val="decimal"/>
      <w:start w:val="1"/>
    </w:lvl>
    <w:lvl w:ilvl="1">
      <w:lvlJc w:val="left"/>
      <w:lvlText w:val="%2."/>
      <w:numFmt w:val="decimal"/>
      <w:start w:val="3"/>
    </w:lvl>
  </w:abstractNum>
  <w:abstractNum w:abstractNumId="245">
    <w:nsid w:val="5FA6C6DC"/>
    <w:multiLevelType w:val="hybridMultilevel"/>
    <w:lvl w:ilvl="0">
      <w:lvlJc w:val="left"/>
      <w:lvlText w:val="%1."/>
      <w:numFmt w:val="decimal"/>
      <w:start w:val="4"/>
    </w:lvl>
    <w:lvl w:ilvl="1">
      <w:lvlJc w:val="left"/>
      <w:lvlText w:val="%2"/>
      <w:numFmt w:val="decimal"/>
      <w:start w:val="1"/>
    </w:lvl>
  </w:abstractNum>
  <w:abstractNum w:abstractNumId="246">
    <w:nsid w:val="77933F62"/>
    <w:multiLevelType w:val="hybridMultilevel"/>
    <w:lvl w:ilvl="0">
      <w:lvlJc w:val="left"/>
      <w:lvlText w:val="A"/>
      <w:numFmt w:val="bullet"/>
      <w:start w:val="1"/>
    </w:lvl>
  </w:abstractNum>
  <w:abstractNum w:abstractNumId="247">
    <w:nsid w:val="6CB4EE9C"/>
    <w:multiLevelType w:val="hybridMultilevel"/>
    <w:lvl w:ilvl="0">
      <w:lvlJc w:val="left"/>
      <w:lvlText w:val="B"/>
      <w:numFmt w:val="bullet"/>
      <w:start w:val="1"/>
    </w:lvl>
  </w:abstractNum>
  <w:abstractNum w:abstractNumId="248">
    <w:nsid w:val="6A6D56D7"/>
    <w:multiLevelType w:val="hybridMultilevel"/>
    <w:lvl w:ilvl="0">
      <w:lvlJc w:val="left"/>
      <w:lvlText w:val="C"/>
      <w:numFmt w:val="bullet"/>
      <w:start w:val="1"/>
    </w:lvl>
  </w:abstractNum>
  <w:abstractNum w:abstractNumId="249">
    <w:nsid w:val="5B727F19"/>
    <w:multiLevelType w:val="hybridMultilevel"/>
    <w:lvl w:ilvl="0">
      <w:lvlJc w:val="left"/>
      <w:lvlText w:val="D"/>
      <w:numFmt w:val="bullet"/>
      <w:start w:val="1"/>
    </w:lvl>
  </w:abstractNum>
  <w:abstractNum w:abstractNumId="250">
    <w:nsid w:val="514E5CB0"/>
    <w:multiLevelType w:val="hybridMultilevel"/>
    <w:lvl w:ilvl="0">
      <w:lvlJc w:val="left"/>
      <w:lvlText w:val="E"/>
      <w:numFmt w:val="bullet"/>
      <w:start w:val="1"/>
    </w:lvl>
  </w:abstractNum>
  <w:abstractNum w:abstractNumId="251">
    <w:nsid w:val="4210D41E"/>
    <w:multiLevelType w:val="hybridMultilevel"/>
    <w:lvl w:ilvl="0">
      <w:lvlJc w:val="left"/>
      <w:lvlText w:val="F"/>
      <w:numFmt w:val="bullet"/>
      <w:start w:val="1"/>
    </w:lvl>
  </w:abstractNum>
  <w:abstractNum w:abstractNumId="252">
    <w:nsid w:val="4FF4CC6D"/>
    <w:multiLevelType w:val="hybridMultilevel"/>
    <w:lvl w:ilvl="0">
      <w:lvlJc w:val="left"/>
      <w:lvlText w:val="G"/>
      <w:numFmt w:val="bullet"/>
      <w:start w:val="1"/>
    </w:lvl>
  </w:abstractNum>
  <w:abstractNum w:abstractNumId="253">
    <w:nsid w:val="404EAF4A"/>
    <w:multiLevelType w:val="hybridMultilevel"/>
    <w:lvl w:ilvl="0">
      <w:lvlJc w:val="left"/>
      <w:lvlText w:val="H"/>
      <w:numFmt w:val="bullet"/>
      <w:start w:val="1"/>
    </w:lvl>
  </w:abstractNum>
  <w:abstractNum w:abstractNumId="254">
    <w:nsid w:val="4A16874F"/>
    <w:multiLevelType w:val="hybridMultilevel"/>
    <w:lvl w:ilvl="0">
      <w:lvlJc w:val="left"/>
      <w:lvlText w:val="J"/>
      <w:numFmt w:val="bullet"/>
      <w:start w:val="1"/>
    </w:lvl>
  </w:abstractNum>
  <w:abstractNum w:abstractNumId="255">
    <w:nsid w:val="55FEE0D1"/>
    <w:multiLevelType w:val="hybridMultilevel"/>
    <w:lvl w:ilvl="0">
      <w:lvlJc w:val="left"/>
      <w:lvlText w:val="K"/>
      <w:numFmt w:val="bullet"/>
      <w:start w:val="1"/>
    </w:lvl>
  </w:abstractNum>
  <w:abstractNum w:abstractNumId="256">
    <w:nsid w:val="3C5E07C"/>
    <w:multiLevelType w:val="hybridMultilevel"/>
    <w:lvl w:ilvl="0">
      <w:lvlJc w:val="left"/>
      <w:lvlText w:val="L"/>
      <w:numFmt w:val="bullet"/>
      <w:start w:val="1"/>
    </w:lvl>
  </w:abstractNum>
  <w:abstractNum w:abstractNumId="257">
    <w:nsid w:val="60C2D273"/>
    <w:multiLevelType w:val="hybridMultilevel"/>
    <w:lvl w:ilvl="0">
      <w:lvlJc w:val="left"/>
      <w:lvlText w:val="(%1)"/>
      <w:numFmt w:val="lowerLetter"/>
      <w:start w:val="2"/>
    </w:lvl>
  </w:abstractNum>
  <w:abstractNum w:abstractNumId="258">
    <w:nsid w:val="4CC32F1F"/>
    <w:multiLevelType w:val="hybridMultilevel"/>
    <w:lvl w:ilvl="0">
      <w:lvlJc w:val="left"/>
      <w:lvlText w:val="(%1)"/>
      <w:numFmt w:val="lowerLetter"/>
      <w:start w:val="2"/>
    </w:lvl>
  </w:abstractNum>
  <w:abstractNum w:abstractNumId="259">
    <w:nsid w:val="11CAC74A"/>
    <w:multiLevelType w:val="hybridMultilevel"/>
    <w:lvl w:ilvl="0">
      <w:lvlJc w:val="left"/>
      <w:lvlText w:val="(%1)"/>
      <w:numFmt w:val="lowerLetter"/>
      <w:start w:val="2"/>
    </w:lvl>
  </w:abstractNum>
  <w:abstractNum w:abstractNumId="260">
    <w:nsid w:val="126CADE9"/>
    <w:multiLevelType w:val="hybridMultilevel"/>
    <w:lvl w:ilvl="0">
      <w:lvlJc w:val="left"/>
      <w:lvlText w:val="(%1)"/>
      <w:numFmt w:val="lowerLetter"/>
      <w:start w:val="2"/>
    </w:lvl>
  </w:abstractNum>
  <w:abstractNum w:abstractNumId="261">
    <w:nsid w:val="19132E7B"/>
    <w:multiLevelType w:val="hybridMultilevel"/>
    <w:lvl w:ilvl="0">
      <w:lvlJc w:val="left"/>
      <w:lvlText w:val="(%1)"/>
      <w:numFmt w:val="lowerLetter"/>
      <w:start w:val="3"/>
    </w:lvl>
  </w:abstractNum>
  <w:abstractNum w:abstractNumId="262">
    <w:nsid w:val="63822DC0"/>
    <w:multiLevelType w:val="hybridMultilevel"/>
    <w:lvl w:ilvl="0">
      <w:lvlJc w:val="left"/>
      <w:lvlText w:val="(%1)"/>
      <w:numFmt w:val="lowerRoman"/>
      <w:start w:val="5"/>
    </w:lvl>
  </w:abstractNum>
  <w:abstractNum w:abstractNumId="263">
    <w:nsid w:val="6C11685A"/>
    <w:multiLevelType w:val="hybridMultilevel"/>
    <w:lvl w:ilvl="0">
      <w:lvlJc w:val="left"/>
      <w:lvlText w:val="(%1)"/>
      <w:numFmt w:val="lowerRoman"/>
      <w:start w:val="2"/>
    </w:lvl>
  </w:abstractNum>
  <w:abstractNum w:abstractNumId="264">
    <w:nsid w:val="5E1EAE31"/>
    <w:multiLevelType w:val="hybridMultilevel"/>
    <w:lvl w:ilvl="0">
      <w:lvlJc w:val="left"/>
      <w:lvlText w:val="(%1)"/>
      <w:numFmt w:val="lowerLetter"/>
      <w:start w:val="6"/>
    </w:lvl>
  </w:abstractNum>
  <w:abstractNum w:abstractNumId="265">
    <w:nsid w:val="178E240D"/>
    <w:multiLevelType w:val="hybridMultilevel"/>
    <w:lvl w:ilvl="0">
      <w:lvlJc w:val="left"/>
      <w:lvlText w:val="(%1)"/>
      <w:numFmt w:val="lowerLetter"/>
      <w:start w:val="3"/>
    </w:lvl>
  </w:abstractNum>
  <w:abstractNum w:abstractNumId="266">
    <w:nsid w:val="5556A87B"/>
    <w:multiLevelType w:val="hybridMultilevel"/>
    <w:lvl w:ilvl="0">
      <w:lvlJc w:val="left"/>
      <w:lvlText w:val="(%1)"/>
      <w:numFmt w:val="lowerLetter"/>
      <w:start w:val="2"/>
    </w:lvl>
  </w:abstractNum>
  <w:abstractNum w:abstractNumId="267">
    <w:nsid w:val="28100A9C"/>
    <w:multiLevelType w:val="hybridMultilevel"/>
    <w:lvl w:ilvl="0">
      <w:lvlJc w:val="left"/>
      <w:lvlText w:val="(%1)"/>
      <w:numFmt w:val="lowerLetter"/>
      <w:start w:val="3"/>
    </w:lvl>
  </w:abstractNum>
  <w:abstractNum w:abstractNumId="268">
    <w:nsid w:val="D838636"/>
    <w:multiLevelType w:val="hybridMultilevel"/>
    <w:lvl w:ilvl="0">
      <w:lvlJc w:val="left"/>
      <w:lvlText w:val="(%1)"/>
      <w:numFmt w:val="upperLetter"/>
      <w:start w:val="1"/>
    </w:lvl>
  </w:abstractNum>
  <w:abstractNum w:abstractNumId="269">
    <w:nsid w:val="71B82AED"/>
    <w:multiLevelType w:val="hybridMultilevel"/>
    <w:lvl w:ilvl="0">
      <w:lvlJc w:val="left"/>
      <w:lvlText w:val="%1"/>
      <w:numFmt w:val="lowerRoman"/>
      <w:start w:val="1"/>
    </w:lvl>
    <w:lvl w:ilvl="1">
      <w:lvlJc w:val="left"/>
      <w:lvlText w:val="(%2)"/>
      <w:numFmt w:val="lowerLetter"/>
      <w:start w:val="1"/>
    </w:lvl>
  </w:abstractNum>
  <w:abstractNum w:abstractNumId="270">
    <w:nsid w:val="D15FACA"/>
    <w:multiLevelType w:val="hybridMultilevel"/>
    <w:lvl w:ilvl="0">
      <w:lvlJc w:val="left"/>
      <w:lvlText w:val="(%1)"/>
      <w:numFmt w:val="lowerRoman"/>
      <w:start w:val="4"/>
    </w:lvl>
    <w:lvl w:ilvl="1">
      <w:lvlJc w:val="left"/>
      <w:lvlText w:val="%2"/>
      <w:numFmt w:val="lowerLetter"/>
      <w:start w:val="1"/>
    </w:lvl>
  </w:abstractNum>
  <w:abstractNum w:abstractNumId="271">
    <w:nsid w:val="3D69565B"/>
    <w:multiLevelType w:val="hybridMultilevel"/>
    <w:lvl w:ilvl="0">
      <w:lvlJc w:val="left"/>
      <w:lvlText w:val="(%1)"/>
      <w:numFmt w:val="lowerLetter"/>
      <w:start w:val="2"/>
    </w:lvl>
  </w:abstractNum>
  <w:abstractNum w:abstractNumId="272">
    <w:nsid w:val="2299DCBC"/>
    <w:multiLevelType w:val="hybridMultilevel"/>
    <w:lvl w:ilvl="0">
      <w:lvlJc w:val="left"/>
      <w:lvlText w:val="%1"/>
      <w:numFmt w:val="lowerRoman"/>
      <w:start w:val="1"/>
    </w:lvl>
    <w:lvl w:ilvl="1">
      <w:lvlJc w:val="left"/>
      <w:lvlText w:val="(%2)"/>
      <w:numFmt w:val="lowerLetter"/>
      <w:start w:val="10"/>
    </w:lvl>
  </w:abstractNum>
  <w:abstractNum w:abstractNumId="273">
    <w:nsid w:val="19908D02"/>
    <w:multiLevelType w:val="hybridMultilevel"/>
    <w:lvl w:ilvl="0">
      <w:lvlJc w:val="left"/>
      <w:lvlText w:val="(%1)"/>
      <w:numFmt w:val="lowerRoman"/>
      <w:start w:val="4"/>
    </w:lvl>
    <w:lvl w:ilvl="1">
      <w:lvlJc w:val="left"/>
      <w:lvlText w:val="%2"/>
      <w:numFmt w:val="lowerLetter"/>
      <w:start w:val="1"/>
    </w:lvl>
  </w:abstractNum>
  <w:abstractNum w:abstractNumId="274">
    <w:nsid w:val="24D48BDB"/>
    <w:multiLevelType w:val="hybridMultilevel"/>
    <w:lvl w:ilvl="0">
      <w:lvlJc w:val="left"/>
      <w:lvlText w:val="(%1)"/>
      <w:numFmt w:val="lowerRoman"/>
      <w:start w:val="10"/>
    </w:lvl>
    <w:lvl w:ilvl="1">
      <w:lvlJc w:val="left"/>
      <w:lvlText w:val="%2"/>
      <w:numFmt w:val="lowerLetter"/>
      <w:start w:val="1"/>
    </w:lvl>
  </w:abstractNum>
  <w:abstractNum w:abstractNumId="275">
    <w:nsid w:val="542DA5B5"/>
    <w:multiLevelType w:val="hybridMultilevel"/>
    <w:lvl w:ilvl="0">
      <w:lvlJc w:val="left"/>
      <w:lvlText w:val="(%1)"/>
      <w:numFmt w:val="lowerLetter"/>
      <w:start w:val="18"/>
    </w:lvl>
  </w:abstractNum>
  <w:abstractNum w:abstractNumId="276">
    <w:nsid w:val="793753DE"/>
    <w:multiLevelType w:val="hybridMultilevel"/>
    <w:lvl w:ilvl="0">
      <w:lvlJc w:val="left"/>
      <w:lvlText w:val="(%1)"/>
      <w:numFmt w:val="lowerLetter"/>
      <w:start w:val="1"/>
    </w:lvl>
  </w:abstractNum>
  <w:abstractNum w:abstractNumId="277">
    <w:nsid w:val="1C67CB3D"/>
    <w:multiLevelType w:val="hybridMultilevel"/>
    <w:lvl w:ilvl="0">
      <w:lvlJc w:val="left"/>
      <w:lvlText w:val="(%1)"/>
      <w:numFmt w:val="lowerLetter"/>
      <w:start w:val="2"/>
    </w:lvl>
  </w:abstractNum>
  <w:abstractNum w:abstractNumId="278">
    <w:nsid w:val="40E29452"/>
    <w:multiLevelType w:val="hybridMultilevel"/>
    <w:lvl w:ilvl="0">
      <w:lvlJc w:val="left"/>
      <w:lvlText w:val="%1"/>
      <w:numFmt w:val="lowerLetter"/>
      <w:start w:val="1"/>
    </w:lvl>
    <w:lvl w:ilvl="1">
      <w:lvlJc w:val="left"/>
      <w:lvlText w:val="(%2)"/>
      <w:numFmt w:val="lowerLetter"/>
      <w:start w:val="1"/>
    </w:lvl>
  </w:abstractNum>
  <w:abstractNum w:abstractNumId="279">
    <w:nsid w:val="63A4AAB6"/>
    <w:multiLevelType w:val="hybridMultilevel"/>
    <w:lvl w:ilvl="0">
      <w:lvlJc w:val="left"/>
      <w:lvlText w:val="(%1)"/>
      <w:numFmt w:val="lowerLetter"/>
      <w:start w:val="9"/>
    </w:lvl>
    <w:lvl w:ilvl="1">
      <w:lvlJc w:val="left"/>
      <w:lvlText w:val="%2"/>
      <w:numFmt w:val="lowerLetter"/>
      <w:start w:val="1"/>
    </w:lvl>
  </w:abstractNum>
  <w:abstractNum w:abstractNumId="280">
    <w:nsid w:val="77DA4A57"/>
    <w:multiLevelType w:val="hybridMultilevel"/>
    <w:lvl w:ilvl="0">
      <w:lvlJc w:val="left"/>
      <w:lvlText w:val="(%1)"/>
      <w:numFmt w:val="lowerLetter"/>
      <w:start w:val="61"/>
    </w:lvl>
    <w:lvl w:ilvl="1">
      <w:lvlJc w:val="left"/>
      <w:lvlText w:val="%2"/>
      <w:numFmt w:val="lowerLetter"/>
      <w:start w:val="1"/>
    </w:lvl>
  </w:abstractNum>
  <w:abstractNum w:abstractNumId="281">
    <w:nsid w:val="1230F102"/>
    <w:multiLevelType w:val="hybridMultilevel"/>
    <w:lvl w:ilvl="0">
      <w:lvlJc w:val="left"/>
      <w:lvlText w:val="(%1)"/>
      <w:numFmt w:val="lowerLetter"/>
      <w:start w:val="22"/>
    </w:lvl>
    <w:lvl w:ilvl="1">
      <w:lvlJc w:val="left"/>
      <w:lvlText w:val="%2"/>
      <w:numFmt w:val="lowerLetter"/>
      <w:start w:val="1"/>
    </w:lvl>
  </w:abstractNum>
  <w:abstractNum w:abstractNumId="282">
    <w:nsid w:val="25B57ED4"/>
    <w:multiLevelType w:val="hybridMultilevel"/>
    <w:lvl w:ilvl="0">
      <w:lvlJc w:val="left"/>
      <w:lvlText w:val="(%1)"/>
      <w:numFmt w:val="lowerLetter"/>
      <w:start w:val="3"/>
    </w:lvl>
  </w:abstractNum>
  <w:abstractNum w:abstractNumId="283">
    <w:nsid w:val="47CF16C4"/>
    <w:multiLevelType w:val="hybridMultilevel"/>
    <w:lvl w:ilvl="0">
      <w:lvlJc w:val="left"/>
      <w:lvlText w:val="(%1)"/>
      <w:numFmt w:val="lowerLetter"/>
      <w:start w:val="1"/>
    </w:lvl>
  </w:abstractNum>
  <w:abstractNum w:abstractNumId="284">
    <w:nsid w:val="527FA04C"/>
    <w:multiLevelType w:val="hybridMultilevel"/>
    <w:lvl w:ilvl="0">
      <w:lvlJc w:val="left"/>
      <w:lvlText w:val="(%1)"/>
      <w:numFmt w:val="lowerLetter"/>
      <w:start w:val="1"/>
    </w:lvl>
  </w:abstractNum>
  <w:abstractNum w:abstractNumId="285">
    <w:nsid w:val="6FCC0624"/>
    <w:multiLevelType w:val="hybridMultilevel"/>
    <w:lvl w:ilvl="0">
      <w:lvlJc w:val="left"/>
      <w:lvlText w:val="(%1)"/>
      <w:numFmt w:val="lowerLetter"/>
      <w:start w:val="2"/>
    </w:lvl>
  </w:abstractNum>
  <w:abstractNum w:abstractNumId="286">
    <w:nsid w:val="1DCDF795"/>
    <w:multiLevelType w:val="hybridMultilevel"/>
    <w:lvl w:ilvl="0">
      <w:lvlJc w:val="left"/>
      <w:lvlText w:val="(%1)"/>
      <w:numFmt w:val="lowerLetter"/>
      <w:start w:val="1"/>
    </w:lvl>
  </w:abstractNum>
  <w:abstractNum w:abstractNumId="287">
    <w:nsid w:val="564580C8"/>
    <w:multiLevelType w:val="hybridMultilevel"/>
    <w:lvl w:ilvl="0">
      <w:lvlJc w:val="left"/>
      <w:lvlText w:val="(%1)"/>
      <w:numFmt w:val="lowerLetter"/>
      <w:start w:val="2"/>
    </w:lvl>
  </w:abstractNum>
  <w:abstractNum w:abstractNumId="288">
    <w:nsid w:val="508ED897"/>
    <w:multiLevelType w:val="hybridMultilevel"/>
    <w:lvl w:ilvl="0">
      <w:lvlJc w:val="left"/>
      <w:lvlText w:val="(%1)"/>
      <w:numFmt w:val="lowerLetter"/>
      <w:start w:val="1"/>
    </w:lvl>
  </w:abstractNum>
  <w:abstractNum w:abstractNumId="289">
    <w:nsid w:val="6A9126B5"/>
    <w:multiLevelType w:val="hybridMultilevel"/>
    <w:lvl w:ilvl="0">
      <w:lvlJc w:val="left"/>
      <w:lvlText w:val="(%1)"/>
      <w:numFmt w:val="lowerLetter"/>
      <w:start w:val="24"/>
    </w:lvl>
    <w:lvl w:ilvl="1">
      <w:lvlJc w:val="left"/>
      <w:lvlText w:val="(%2)"/>
      <w:numFmt w:val="lowerLetter"/>
      <w:start w:val="2"/>
    </w:lvl>
  </w:abstractNum>
  <w:abstractNum w:abstractNumId="290">
    <w:nsid w:val="68104812"/>
    <w:multiLevelType w:val="hybridMultilevel"/>
    <w:lvl w:ilvl="0">
      <w:lvlJc w:val="left"/>
      <w:lvlText w:val="(%1)"/>
      <w:numFmt w:val="lowerRoman"/>
      <w:start w:val="2"/>
    </w:lvl>
  </w:abstractNum>
  <w:abstractNum w:abstractNumId="291">
    <w:nsid w:val="62FB8680"/>
    <w:multiLevelType w:val="hybridMultilevel"/>
    <w:lvl w:ilvl="0">
      <w:lvlJc w:val="left"/>
      <w:lvlText w:val="%1"/>
      <w:numFmt w:val="lowerLetter"/>
      <w:start w:val="1"/>
    </w:lvl>
    <w:lvl w:ilvl="1">
      <w:lvlJc w:val="left"/>
      <w:lvlText w:val="(%2)"/>
      <w:numFmt w:val="lowerLetter"/>
      <w:start w:val="2"/>
    </w:lvl>
  </w:abstractNum>
  <w:abstractNum w:abstractNumId="292">
    <w:nsid w:val="3A45530"/>
    <w:multiLevelType w:val="hybridMultilevel"/>
    <w:lvl w:ilvl="0">
      <w:lvlJc w:val="left"/>
      <w:lvlText w:val="(%1)"/>
      <w:numFmt w:val="lowerLetter"/>
      <w:start w:val="24"/>
    </w:lvl>
    <w:lvl w:ilvl="1">
      <w:lvlJc w:val="left"/>
      <w:lvlText w:val="(%2)"/>
      <w:numFmt w:val="lowerLetter"/>
      <w:start w:val="3"/>
    </w:lvl>
  </w:abstractNum>
  <w:abstractNum w:abstractNumId="293">
    <w:nsid w:val="4B9275D2"/>
    <w:multiLevelType w:val="hybridMultilevel"/>
    <w:lvl w:ilvl="0">
      <w:lvlJc w:val="left"/>
      <w:lvlText w:val="%1"/>
      <w:numFmt w:val="lowerLetter"/>
      <w:start w:val="1"/>
    </w:lvl>
    <w:lvl w:ilvl="1">
      <w:lvlJc w:val="left"/>
      <w:lvlText w:val="(%2)"/>
      <w:numFmt w:val="lowerLetter"/>
      <w:start w:val="4"/>
    </w:lvl>
  </w:abstractNum>
  <w:abstractNum w:abstractNumId="294">
    <w:nsid w:val="4F0CEEDB"/>
    <w:multiLevelType w:val="hybridMultilevel"/>
    <w:lvl w:ilvl="0">
      <w:lvlJc w:val="left"/>
      <w:lvlText w:val="(%1)"/>
      <w:numFmt w:val="lowerLetter"/>
      <w:start w:val="35"/>
    </w:lvl>
    <w:lvl w:ilvl="1">
      <w:lvlJc w:val="left"/>
      <w:lvlText w:val="%2"/>
      <w:numFmt w:val="lowerLetter"/>
      <w:start w:val="1"/>
    </w:lvl>
  </w:abstractNum>
  <w:abstractNum w:abstractNumId="295">
    <w:nsid w:val="61C30361"/>
    <w:multiLevelType w:val="hybridMultilevel"/>
    <w:lvl w:ilvl="0">
      <w:lvlJc w:val="left"/>
      <w:lvlText w:val="%1"/>
      <w:numFmt w:val="upperLetter"/>
      <w:start w:val="1"/>
    </w:lvl>
    <w:lvl w:ilvl="1">
      <w:lvlJc w:val="left"/>
      <w:lvlText w:val="(%2)"/>
      <w:numFmt w:val="lowerLetter"/>
      <w:start w:val="5"/>
    </w:lvl>
  </w:abstractNum>
  <w:abstractNum w:abstractNumId="296">
    <w:nsid w:val="632099E0"/>
    <w:multiLevelType w:val="hybridMultilevel"/>
    <w:lvl w:ilvl="0">
      <w:lvlJc w:val="left"/>
      <w:lvlText w:val="(%1)"/>
      <w:numFmt w:val="upperLetter"/>
      <w:start w:val="3"/>
    </w:lvl>
    <w:lvl w:ilvl="1">
      <w:lvlJc w:val="left"/>
      <w:lvlText w:val="(%2)"/>
      <w:numFmt w:val="lowerLetter"/>
      <w:start w:val="6"/>
    </w:lvl>
  </w:abstractNum>
  <w:abstractNum w:abstractNumId="297">
    <w:nsid w:val="24639756"/>
    <w:multiLevelType w:val="hybridMultilevel"/>
    <w:lvl w:ilvl="0">
      <w:lvlJc w:val="left"/>
      <w:lvlText w:val="(%1)"/>
      <w:numFmt w:val="lowerLetter"/>
      <w:start w:val="7"/>
    </w:lvl>
  </w:abstractNum>
  <w:abstractNum w:abstractNumId="298">
    <w:nsid w:val="9D30DFD"/>
    <w:multiLevelType w:val="hybridMultilevel"/>
    <w:lvl w:ilvl="0">
      <w:lvlJc w:val="left"/>
      <w:lvlText w:val="(%1)"/>
      <w:numFmt w:val="lowerLetter"/>
      <w:start w:val="2"/>
    </w:lvl>
  </w:abstractNum>
  <w:abstractNum w:abstractNumId="299">
    <w:nsid w:val="70A42016"/>
    <w:multiLevelType w:val="hybridMultilevel"/>
    <w:lvl w:ilvl="0">
      <w:lvlJc w:val="left"/>
      <w:lvlText w:val="(%1)"/>
      <w:numFmt w:val="lowerLetter"/>
      <w:start w:val="1"/>
    </w:lvl>
  </w:abstractNum>
  <w:abstractNum w:abstractNumId="300">
    <w:nsid w:val="161BC243"/>
    <w:multiLevelType w:val="hybridMultilevel"/>
    <w:lvl w:ilvl="0">
      <w:lvlJc w:val="left"/>
      <w:lvlText w:val="(%1)"/>
      <w:numFmt w:val="lowerLetter"/>
      <w:start w:val="2"/>
    </w:lvl>
  </w:abstractNum>
  <w:abstractNum w:abstractNumId="301">
    <w:nsid w:val="16E908C8"/>
    <w:multiLevelType w:val="hybridMultilevel"/>
    <w:lvl w:ilvl="0">
      <w:lvlJc w:val="left"/>
      <w:lvlText w:val="(%1)"/>
      <w:numFmt w:val="lowerLetter"/>
      <w:start w:val="3"/>
    </w:lvl>
    <w:lvl w:ilvl="1">
      <w:lvlJc w:val="left"/>
      <w:lvlText w:val="(%2)"/>
      <w:numFmt w:val="lowerLetter"/>
      <w:start w:val="4"/>
    </w:lvl>
  </w:abstractNum>
  <w:abstractNum w:abstractNumId="302">
    <w:nsid w:val="2E0D7671"/>
    <w:multiLevelType w:val="hybridMultilevel"/>
    <w:lvl w:ilvl="0">
      <w:lvlJc w:val="left"/>
      <w:lvlText w:val="(%1)"/>
      <w:numFmt w:val="lowerRoman"/>
      <w:start w:val="10"/>
    </w:lvl>
  </w:abstractNum>
  <w:abstractNum w:abstractNumId="303">
    <w:nsid w:val="38B59EFF"/>
    <w:multiLevelType w:val="hybridMultilevel"/>
    <w:lvl w:ilvl="0">
      <w:lvlJc w:val="left"/>
      <w:lvlText w:val="(%1)"/>
      <w:numFmt w:val="lowerLetter"/>
      <w:start w:val="2"/>
    </w:lvl>
  </w:abstractNum>
  <w:abstractNum w:abstractNumId="304">
    <w:nsid w:val="307995CA"/>
    <w:multiLevelType w:val="hybridMultilevel"/>
    <w:lvl w:ilvl="0">
      <w:lvlJc w:val="left"/>
      <w:lvlText w:val="(%1)"/>
      <w:numFmt w:val="lowerLetter"/>
      <w:start w:val="1"/>
    </w:lvl>
  </w:abstractNum>
  <w:abstractNum w:abstractNumId="305">
    <w:nsid w:val="52E2024D"/>
    <w:multiLevelType w:val="hybridMultilevel"/>
    <w:lvl w:ilvl="0">
      <w:lvlJc w:val="left"/>
      <w:lvlText w:val="(%1)"/>
      <w:numFmt w:val="lowerLetter"/>
      <w:start w:val="2"/>
    </w:lvl>
  </w:abstractNum>
  <w:abstractNum w:abstractNumId="306">
    <w:nsid w:val="CE344B5"/>
    <w:multiLevelType w:val="hybridMultilevel"/>
    <w:lvl w:ilvl="0">
      <w:lvlJc w:val="left"/>
      <w:lvlText w:val="(%1)"/>
      <w:numFmt w:val="lowerLetter"/>
      <w:start w:val="1"/>
    </w:lvl>
  </w:abstractNum>
  <w:abstractNum w:abstractNumId="307">
    <w:nsid w:val="29B0E9A8"/>
    <w:multiLevelType w:val="hybridMultilevel"/>
    <w:lvl w:ilvl="0">
      <w:lvlJc w:val="left"/>
      <w:lvlText w:val="(%1)"/>
      <w:numFmt w:val="lowerLetter"/>
      <w:start w:val="6"/>
    </w:lvl>
  </w:abstractNum>
  <w:abstractNum w:abstractNumId="308">
    <w:nsid w:val="6F49CD8A"/>
    <w:multiLevelType w:val="hybridMultilevel"/>
    <w:lvl w:ilvl="0">
      <w:lvlJc w:val="left"/>
      <w:lvlText w:val="(%1)"/>
      <w:numFmt w:val="lowerLetter"/>
      <w:start w:val="61"/>
    </w:lvl>
    <w:lvl w:ilvl="1">
      <w:lvlJc w:val="left"/>
      <w:lvlText w:val="(%2)"/>
      <w:numFmt w:val="lowerLetter"/>
      <w:start w:val="2"/>
    </w:lvl>
  </w:abstractNum>
  <w:abstractNum w:abstractNumId="309">
    <w:nsid w:val="4DC5D907"/>
    <w:multiLevelType w:val="hybridMultilevel"/>
    <w:lvl w:ilvl="0">
      <w:lvlJc w:val="left"/>
      <w:lvlText w:val="(%1)"/>
      <w:numFmt w:val="lowerRoman"/>
      <w:start w:val="1"/>
    </w:lvl>
  </w:abstractNum>
  <w:abstractNum w:abstractNumId="310">
    <w:nsid w:val="D55945E"/>
    <w:multiLevelType w:val="hybridMultilevel"/>
    <w:lvl w:ilvl="0">
      <w:lvlJc w:val="left"/>
      <w:lvlText w:val="(%1)"/>
      <w:numFmt w:val="lowerRoman"/>
      <w:start w:val="2"/>
    </w:lvl>
  </w:abstractNum>
  <w:abstractNum w:abstractNumId="311">
    <w:nsid w:val="672417E1"/>
    <w:multiLevelType w:val="hybridMultilevel"/>
    <w:lvl w:ilvl="0">
      <w:lvlJc w:val="left"/>
      <w:lvlText w:val="(%1)"/>
      <w:numFmt w:val="lowerLetter"/>
      <w:start w:val="2"/>
    </w:lvl>
  </w:abstractNum>
  <w:abstractNum w:abstractNumId="312">
    <w:nsid w:val="5FF6CA09"/>
    <w:multiLevelType w:val="hybridMultilevel"/>
    <w:lvl w:ilvl="0">
      <w:lvlJc w:val="left"/>
      <w:lvlText w:val="(%1)"/>
      <w:numFmt w:val="lowerLetter"/>
      <w:start w:val="3"/>
    </w:lvl>
  </w:abstractNum>
  <w:abstractNum w:abstractNumId="313">
    <w:nsid w:val="330B1333"/>
    <w:multiLevelType w:val="hybridMultilevel"/>
    <w:lvl w:ilvl="0">
      <w:lvlJc w:val="left"/>
      <w:lvlText w:val="(%1)"/>
      <w:numFmt w:val="lowerLetter"/>
      <w:start w:val="2"/>
    </w:lvl>
  </w:abstractNum>
  <w:abstractNum w:abstractNumId="314">
    <w:nsid w:val="2EF32EA6"/>
    <w:multiLevelType w:val="hybridMultilevel"/>
    <w:lvl w:ilvl="0">
      <w:lvlJc w:val="left"/>
      <w:lvlText w:val="(%1)"/>
      <w:numFmt w:val="lowerLetter"/>
      <w:start w:val="4"/>
    </w:lvl>
  </w:abstractNum>
  <w:abstractNum w:abstractNumId="315">
    <w:nsid w:val="32766A55"/>
    <w:multiLevelType w:val="hybridMultilevel"/>
    <w:lvl w:ilvl="0">
      <w:lvlJc w:val="left"/>
      <w:lvlText w:val="(%1)"/>
      <w:numFmt w:val="lowerLetter"/>
      <w:start w:val="7"/>
    </w:lvl>
  </w:abstractNum>
  <w:abstractNum w:abstractNumId="316">
    <w:nsid w:val="22D71957"/>
    <w:multiLevelType w:val="hybridMultilevel"/>
    <w:lvl w:ilvl="0">
      <w:lvlJc w:val="left"/>
      <w:lvlText w:val="(%1)"/>
      <w:numFmt w:val="lowerRoman"/>
      <w:start w:val="1"/>
    </w:lvl>
  </w:abstractNum>
  <w:abstractNum w:abstractNumId="317">
    <w:nsid w:val="4CC1263B"/>
    <w:multiLevelType w:val="hybridMultilevel"/>
    <w:lvl w:ilvl="0">
      <w:lvlJc w:val="left"/>
      <w:lvlText w:val="(%1)"/>
      <w:numFmt w:val="lowerLetter"/>
      <w:start w:val="2"/>
    </w:lvl>
  </w:abstractNum>
  <w:abstractNum w:abstractNumId="318">
    <w:nsid w:val="8BBEB1D"/>
    <w:multiLevelType w:val="hybridMultilevel"/>
    <w:lvl w:ilvl="0">
      <w:lvlJc w:val="left"/>
      <w:lvlText w:val="(%1)"/>
      <w:numFmt w:val="lowerLetter"/>
      <w:start w:val="3"/>
    </w:lvl>
  </w:abstractNum>
  <w:abstractNum w:abstractNumId="319">
    <w:nsid w:val="7365F1EE"/>
    <w:multiLevelType w:val="hybridMultilevel"/>
    <w:lvl w:ilvl="0">
      <w:lvlJc w:val="left"/>
      <w:lvlText w:val="(%1)"/>
      <w:numFmt w:val="lowerLetter"/>
      <w:start w:val="2"/>
    </w:lvl>
  </w:abstractNum>
  <w:abstractNum w:abstractNumId="320">
    <w:nsid w:val="37524CF0"/>
    <w:multiLevelType w:val="hybridMultilevel"/>
    <w:lvl w:ilvl="0">
      <w:lvlJc w:val="left"/>
      <w:lvlText w:val="(%1)"/>
      <w:numFmt w:val="lowerLetter"/>
      <w:start w:val="5"/>
    </w:lvl>
  </w:abstractNum>
  <w:abstractNum w:abstractNumId="321">
    <w:nsid w:val="70CC332F"/>
    <w:multiLevelType w:val="hybridMultilevel"/>
    <w:lvl w:ilvl="0">
      <w:lvlJc w:val="left"/>
      <w:lvlText w:val="(%1)"/>
      <w:numFmt w:val="lowerRoman"/>
      <w:start w:val="1"/>
    </w:lvl>
  </w:abstractNum>
  <w:abstractNum w:abstractNumId="322">
    <w:nsid w:val="5661786E"/>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323">
    <w:nsid w:val="3AF6A220"/>
    <w:multiLevelType w:val="hybridMultilevel"/>
    <w:lvl w:ilvl="0">
      <w:lvlJc w:val="left"/>
      <w:lvlText w:val="(%1)"/>
      <w:numFmt w:val="lowerLetter"/>
      <w:start w:val="25"/>
    </w:lvl>
    <w:lvl w:ilvl="1">
      <w:lvlJc w:val="left"/>
      <w:lvlText w:val="(%2)"/>
      <w:numFmt w:val="lowerRoman"/>
      <w:start w:val="4"/>
    </w:lvl>
    <w:lvl w:ilvl="2">
      <w:lvlJc w:val="left"/>
      <w:lvlText w:val="(%3)"/>
      <w:numFmt w:val="upperLetter"/>
      <w:start w:val="2"/>
    </w:lvl>
    <w:lvl w:ilvl="3">
      <w:lvlJc w:val="left"/>
      <w:lvlText w:val="%4"/>
      <w:numFmt w:val="decimal"/>
      <w:start w:val="1"/>
    </w:lvl>
  </w:abstractNum>
  <w:abstractNum w:abstractNumId="324">
    <w:nsid w:val="3C5EA90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25">
    <w:nsid w:val="256E6749"/>
    <w:multiLevelType w:val="hybridMultilevel"/>
    <w:lvl w:ilvl="0">
      <w:lvlJc w:val="left"/>
      <w:lvlText w:val="(%1)"/>
      <w:numFmt w:val="lowerRoman"/>
      <w:start w:val="6"/>
    </w:lvl>
  </w:abstractNum>
  <w:abstractNum w:abstractNumId="326">
    <w:nsid w:val="1CB9A581"/>
    <w:multiLevelType w:val="hybridMultilevel"/>
    <w:lvl w:ilvl="0">
      <w:lvlJc w:val="left"/>
      <w:lvlText w:val="(%1)"/>
      <w:numFmt w:val="lowerLetter"/>
      <w:start w:val="6"/>
    </w:lvl>
  </w:abstractNum>
  <w:abstractNum w:abstractNumId="327">
    <w:nsid w:val="1F7F42E2"/>
    <w:multiLevelType w:val="hybridMultilevel"/>
    <w:lvl w:ilvl="0">
      <w:lvlJc w:val="left"/>
      <w:lvlText w:val="(%1)"/>
      <w:numFmt w:val="lowerLetter"/>
      <w:start w:val="8"/>
    </w:lvl>
  </w:abstractNum>
  <w:abstractNum w:abstractNumId="328">
    <w:nsid w:val="49D1FEA0"/>
    <w:multiLevelType w:val="hybridMultilevel"/>
    <w:lvl w:ilvl="0">
      <w:lvlJc w:val="left"/>
      <w:lvlText w:val="%1"/>
      <w:numFmt w:val="lowerLetter"/>
      <w:start w:val="1"/>
    </w:lvl>
    <w:lvl w:ilvl="1">
      <w:lvlJc w:val="left"/>
      <w:lvlText w:val="(%2)"/>
      <w:numFmt w:val="lowerLetter"/>
      <w:start w:val="1"/>
    </w:lvl>
  </w:abstractNum>
  <w:abstractNum w:abstractNumId="329">
    <w:nsid w:val="268CB37F"/>
    <w:multiLevelType w:val="hybridMultilevel"/>
    <w:lvl w:ilvl="0">
      <w:lvlJc w:val="left"/>
      <w:lvlText w:val="(%1)"/>
      <w:numFmt w:val="lowerLetter"/>
      <w:start w:val="61"/>
    </w:lvl>
    <w:lvl w:ilvl="1">
      <w:lvlJc w:val="left"/>
      <w:lvlText w:val="(%2)"/>
      <w:numFmt w:val="lowerLetter"/>
      <w:start w:val="3"/>
    </w:lvl>
  </w:abstractNum>
  <w:abstractNum w:abstractNumId="330">
    <w:nsid w:val="102362F8"/>
    <w:multiLevelType w:val="hybridMultilevel"/>
    <w:lvl w:ilvl="0">
      <w:lvlJc w:val="left"/>
      <w:lvlText w:val="(%1)"/>
      <w:numFmt w:val="lowerRoman"/>
      <w:start w:val="1"/>
    </w:lvl>
  </w:abstractNum>
  <w:abstractNum w:abstractNumId="331">
    <w:nsid w:val="5FEDC0E3"/>
    <w:multiLevelType w:val="hybridMultilevel"/>
    <w:lvl w:ilvl="0">
      <w:lvlJc w:val="left"/>
      <w:lvlText w:val="%1"/>
      <w:numFmt w:val="lowerRoman"/>
      <w:start w:val="1"/>
    </w:lvl>
    <w:lvl w:ilvl="1">
      <w:lvlJc w:val="left"/>
      <w:lvlText w:val="(%2)"/>
      <w:numFmt w:val="lowerRoman"/>
      <w:start w:val="3"/>
    </w:lvl>
  </w:abstractNum>
  <w:abstractNum w:abstractNumId="332">
    <w:nsid w:val="3D75BC47"/>
    <w:multiLevelType w:val="hybridMultilevel"/>
    <w:lvl w:ilvl="0">
      <w:lvlJc w:val="left"/>
      <w:lvlText w:val="(%1)"/>
      <w:numFmt w:val="lowerRoman"/>
      <w:start w:val="2"/>
    </w:lvl>
    <w:lvl w:ilvl="1">
      <w:lvlJc w:val="left"/>
      <w:lvlText w:val="(%2)"/>
      <w:numFmt w:val="lowerRoman"/>
      <w:start w:val="4"/>
    </w:lvl>
  </w:abstractNum>
  <w:abstractNum w:abstractNumId="333">
    <w:nsid w:val="3E30D969"/>
    <w:multiLevelType w:val="hybridMultilevel"/>
    <w:lvl w:ilvl="0">
      <w:lvlJc w:val="left"/>
      <w:lvlText w:val="(%1)"/>
      <w:numFmt w:val="lowerLetter"/>
      <w:start w:val="4"/>
    </w:lvl>
  </w:abstractNum>
  <w:abstractNum w:abstractNumId="334">
    <w:nsid w:val="18A35FE3"/>
    <w:multiLevelType w:val="hybridMultilevel"/>
    <w:lvl w:ilvl="0">
      <w:lvlJc w:val="left"/>
      <w:lvlText w:val="(%1)"/>
      <w:numFmt w:val="lowerLetter"/>
      <w:start w:val="25"/>
    </w:lvl>
  </w:abstractNum>
  <w:abstractNum w:abstractNumId="335">
    <w:nsid w:val="6DEF5211"/>
    <w:multiLevelType w:val="hybridMultilevel"/>
    <w:lvl w:ilvl="0">
      <w:lvlJc w:val="left"/>
      <w:lvlText w:val="(%1)"/>
      <w:numFmt w:val="lowerLetter"/>
      <w:start w:val="2"/>
    </w:lvl>
  </w:abstractNum>
  <w:abstractNum w:abstractNumId="336">
    <w:nsid w:val="1112DBB6"/>
    <w:multiLevelType w:val="hybridMultilevel"/>
    <w:lvl w:ilvl="0">
      <w:lvlJc w:val="left"/>
      <w:lvlText w:val="(%1)"/>
      <w:numFmt w:val="lowerLetter"/>
      <w:start w:val="2"/>
    </w:lvl>
  </w:abstractNum>
  <w:abstractNum w:abstractNumId="337">
    <w:nsid w:val="2586A498"/>
    <w:multiLevelType w:val="hybridMultilevel"/>
    <w:lvl w:ilvl="0">
      <w:lvlJc w:val="left"/>
      <w:lvlText w:val="(%1)"/>
      <w:numFmt w:val="lowerLetter"/>
      <w:start w:val="2"/>
    </w:lvl>
  </w:abstractNum>
  <w:abstractNum w:abstractNumId="338">
    <w:nsid w:val="17A03BB9"/>
    <w:multiLevelType w:val="hybridMultilevel"/>
    <w:lvl w:ilvl="0">
      <w:lvlJc w:val="left"/>
      <w:lvlText w:val="(%1)"/>
      <w:numFmt w:val="lowerLetter"/>
      <w:start w:val="2"/>
    </w:lvl>
  </w:abstractNum>
  <w:abstractNum w:abstractNumId="339">
    <w:nsid w:val="5CA941"/>
    <w:multiLevelType w:val="hybridMultilevel"/>
    <w:lvl w:ilvl="0">
      <w:lvlJc w:val="left"/>
      <w:lvlText w:val="(%1)"/>
      <w:numFmt w:val="lowerRoman"/>
      <w:start w:val="4"/>
    </w:lvl>
    <w:lvl w:ilvl="1">
      <w:lvlJc w:val="left"/>
      <w:lvlText w:val="(%2)"/>
      <w:numFmt w:val="lowerLetter"/>
      <w:start w:val="2"/>
    </w:lvl>
  </w:abstractNum>
  <w:abstractNum w:abstractNumId="340">
    <w:nsid w:val="734C7D9F"/>
    <w:multiLevelType w:val="hybridMultilevel"/>
    <w:lvl w:ilvl="0">
      <w:lvlJc w:val="left"/>
      <w:lvlText w:val="(%1)"/>
      <w:numFmt w:val="upperLetter"/>
      <w:start w:val="1"/>
    </w:lvl>
  </w:abstractNum>
  <w:abstractNum w:abstractNumId="341">
    <w:nsid w:val="24F5D018"/>
    <w:multiLevelType w:val="hybridMultilevel"/>
    <w:lvl w:ilvl="0">
      <w:lvlJc w:val="left"/>
      <w:lvlText w:val="(%1)"/>
      <w:numFmt w:val="lowerLetter"/>
      <w:start w:val="2"/>
    </w:lvl>
  </w:abstractNum>
  <w:abstractNum w:abstractNumId="342">
    <w:nsid w:val="6780C122"/>
    <w:multiLevelType w:val="hybridMultilevel"/>
    <w:lvl w:ilvl="0">
      <w:lvlJc w:val="left"/>
      <w:lvlText w:val="(%1)"/>
      <w:numFmt w:val="lowerLetter"/>
      <w:start w:val="2"/>
    </w:lvl>
  </w:abstractNum>
  <w:abstractNum w:abstractNumId="343">
    <w:nsid w:val="534347A8"/>
    <w:multiLevelType w:val="hybridMultilevel"/>
    <w:lvl w:ilvl="0">
      <w:lvlJc w:val="left"/>
      <w:lvlText w:val="(%1)"/>
      <w:numFmt w:val="lowerLetter"/>
      <w:start w:val="25"/>
    </w:lvl>
  </w:abstractNum>
  <w:abstractNum w:abstractNumId="344">
    <w:nsid w:val="5800E34B"/>
    <w:multiLevelType w:val="hybridMultilevel"/>
    <w:lvl w:ilvl="0">
      <w:lvlJc w:val="left"/>
      <w:lvlText w:val="%1"/>
      <w:numFmt w:val="upperLetter"/>
      <w:start w:val="1"/>
    </w:lvl>
    <w:lvl w:ilvl="1">
      <w:lvlJc w:val="left"/>
      <w:lvlText w:val="(%2)"/>
      <w:numFmt w:val="lowerLetter"/>
      <w:start w:val="1"/>
    </w:lvl>
  </w:abstractNum>
  <w:abstractNum w:abstractNumId="345">
    <w:nsid w:val="1673EFC8"/>
    <w:multiLevelType w:val="hybridMultilevel"/>
    <w:lvl w:ilvl="0">
      <w:lvlJc w:val="left"/>
      <w:lvlText w:val="(%1)"/>
      <w:numFmt w:val="upperLetter"/>
      <w:start w:val="1"/>
    </w:lvl>
    <w:lvl w:ilvl="1">
      <w:lvlJc w:val="left"/>
      <w:lvlText w:val="(%2)"/>
      <w:numFmt w:val="lowerLetter"/>
      <w:start w:val="4"/>
    </w:lvl>
  </w:abstractNum>
  <w:abstractNum w:abstractNumId="346">
    <w:nsid w:val="5B9B1FD"/>
    <w:multiLevelType w:val="hybridMultilevel"/>
    <w:lvl w:ilvl="0">
      <w:lvlJc w:val="left"/>
      <w:lvlText w:val="(%1)"/>
      <w:numFmt w:val="lowerLetter"/>
      <w:start w:val="1"/>
    </w:lvl>
  </w:abstractNum>
  <w:abstractNum w:abstractNumId="347">
    <w:nsid w:val="7AD7FCA2"/>
    <w:multiLevelType w:val="hybridMultilevel"/>
    <w:lvl w:ilvl="0">
      <w:lvlJc w:val="left"/>
      <w:lvlText w:val="%1"/>
      <w:numFmt w:val="lowerLetter"/>
      <w:start w:val="1"/>
    </w:lvl>
    <w:lvl w:ilvl="1">
      <w:lvlJc w:val="left"/>
      <w:lvlText w:val="(%2)"/>
      <w:numFmt w:val="lowerLetter"/>
      <w:start w:val="1"/>
    </w:lvl>
  </w:abstractNum>
  <w:abstractNum w:abstractNumId="348">
    <w:nsid w:val="63351604"/>
    <w:multiLevelType w:val="hybridMultilevel"/>
    <w:lvl w:ilvl="0">
      <w:lvlJc w:val="left"/>
      <w:lvlText w:val="(%1)"/>
      <w:numFmt w:val="lowerLetter"/>
      <w:start w:val="23"/>
    </w:lvl>
    <w:lvl w:ilvl="1">
      <w:lvlJc w:val="left"/>
      <w:lvlText w:val="%2"/>
      <w:numFmt w:val="lowerLetter"/>
      <w:start w:val="1"/>
    </w:lvl>
  </w:abstractNum>
  <w:abstractNum w:abstractNumId="349">
    <w:nsid w:val="E759D1A"/>
    <w:multiLevelType w:val="hybridMultilevel"/>
    <w:lvl w:ilvl="0">
      <w:lvlJc w:val="left"/>
      <w:lvlText w:val="(%1)"/>
      <w:numFmt w:val="lowerLetter"/>
      <w:start w:val="3"/>
    </w:lvl>
  </w:abstractNum>
  <w:abstractNum w:abstractNumId="350">
    <w:nsid w:val="6E3DEE90"/>
    <w:multiLevelType w:val="hybridMultilevel"/>
    <w:lvl w:ilvl="0">
      <w:lvlJc w:val="left"/>
      <w:lvlText w:val="(%1)"/>
      <w:numFmt w:val="lowerLetter"/>
      <w:start w:val="1"/>
    </w:lvl>
  </w:abstractNum>
  <w:abstractNum w:abstractNumId="351">
    <w:nsid w:val="1A8762F4"/>
    <w:multiLevelType w:val="hybridMultilevel"/>
    <w:lvl w:ilvl="0">
      <w:lvlJc w:val="left"/>
      <w:lvlText w:val="(%1)"/>
      <w:numFmt w:val="lowerRoman"/>
      <w:start w:val="10"/>
    </w:lvl>
  </w:abstractNum>
  <w:abstractNum w:abstractNumId="352">
    <w:nsid w:val="7F41D049"/>
    <w:multiLevelType w:val="hybridMultilevel"/>
    <w:lvl w:ilvl="0">
      <w:lvlJc w:val="left"/>
      <w:lvlText w:val="(%1)"/>
      <w:numFmt w:val="lowerLetter"/>
      <w:start w:val="1"/>
    </w:lvl>
  </w:abstractNum>
  <w:abstractNum w:abstractNumId="353">
    <w:nsid w:val="449F66FE"/>
    <w:multiLevelType w:val="hybridMultilevel"/>
    <w:lvl w:ilvl="0">
      <w:lvlJc w:val="left"/>
      <w:lvlText w:val="%1"/>
      <w:numFmt w:val="lowerLetter"/>
      <w:start w:val="1"/>
    </w:lvl>
    <w:lvl w:ilvl="1">
      <w:lvlJc w:val="left"/>
      <w:lvlText w:val="(%2)"/>
      <w:numFmt w:val="lowerLetter"/>
      <w:start w:val="1"/>
    </w:lvl>
  </w:abstractNum>
  <w:abstractNum w:abstractNumId="354">
    <w:nsid w:val="557E0515"/>
    <w:multiLevelType w:val="hybridMultilevel"/>
    <w:lvl w:ilvl="0">
      <w:lvlJc w:val="left"/>
      <w:lvlText w:val="(%1)"/>
      <w:numFmt w:val="lowerLetter"/>
      <w:start w:val="35"/>
    </w:lvl>
    <w:lvl w:ilvl="1">
      <w:lvlJc w:val="left"/>
      <w:lvlText w:val="(%2)"/>
      <w:numFmt w:val="lowerLetter"/>
      <w:start w:val="5"/>
    </w:lvl>
  </w:abstractNum>
  <w:abstractNum w:abstractNumId="355">
    <w:nsid w:val="3BA0794B"/>
    <w:multiLevelType w:val="hybridMultilevel"/>
    <w:lvl w:ilvl="0">
      <w:lvlJc w:val="left"/>
      <w:lvlText w:val="(%1)"/>
      <w:numFmt w:val="lowerLetter"/>
      <w:start w:val="6"/>
    </w:lvl>
  </w:abstractNum>
  <w:abstractNum w:abstractNumId="356">
    <w:nsid w:val="6A0DCE48"/>
    <w:multiLevelType w:val="hybridMultilevel"/>
    <w:lvl w:ilvl="0">
      <w:lvlJc w:val="left"/>
      <w:lvlText w:val="(%1)"/>
      <w:numFmt w:val="lowerLetter"/>
      <w:start w:val="25"/>
    </w:lvl>
  </w:abstractNum>
  <w:abstractNum w:abstractNumId="357">
    <w:nsid w:val="7237AA96"/>
    <w:multiLevelType w:val="hybridMultilevel"/>
    <w:lvl w:ilvl="0">
      <w:lvlJc w:val="left"/>
      <w:lvlText w:val="(%1)"/>
      <w:numFmt w:val="lowerLetter"/>
      <w:start w:val="1"/>
    </w:lvl>
    <w:lvl w:ilvl="1">
      <w:lvlJc w:val="left"/>
      <w:lvlText w:val="(%2)"/>
      <w:numFmt w:val="lowerRoman"/>
      <w:start w:val="1"/>
    </w:lvl>
  </w:abstractNum>
  <w:abstractNum w:abstractNumId="358">
    <w:nsid w:val="5B1FBC2D"/>
    <w:multiLevelType w:val="hybridMultilevel"/>
    <w:lvl w:ilvl="0">
      <w:lvlJc w:val="left"/>
      <w:lvlText w:val="%1"/>
      <w:numFmt w:val="lowerLetter"/>
      <w:start w:val="1"/>
    </w:lvl>
    <w:lvl w:ilvl="1">
      <w:lvlJc w:val="left"/>
      <w:lvlText w:val="(%2)"/>
      <w:numFmt w:val="lowerRoman"/>
      <w:start w:val="3"/>
    </w:lvl>
  </w:abstractNum>
  <w:abstractNum w:abstractNumId="359">
    <w:nsid w:val="33DFCCE8"/>
    <w:multiLevelType w:val="hybridMultilevel"/>
    <w:lvl w:ilvl="0">
      <w:lvlJc w:val="left"/>
      <w:lvlText w:val="(%1)"/>
      <w:numFmt w:val="lowerLetter"/>
      <w:start w:val="2"/>
    </w:lvl>
    <w:lvl w:ilvl="1">
      <w:lvlJc w:val="left"/>
      <w:lvlText w:val="(%2)"/>
      <w:numFmt w:val="lowerRoman"/>
      <w:start w:val="1"/>
    </w:lvl>
  </w:abstractNum>
  <w:abstractNum w:abstractNumId="360">
    <w:nsid w:val="18C45E15"/>
    <w:multiLevelType w:val="hybridMultilevel"/>
    <w:lvl w:ilvl="0">
      <w:lvlJc w:val="left"/>
      <w:lvlText w:val="(%1)"/>
      <w:numFmt w:val="lowerLetter"/>
      <w:start w:val="3"/>
    </w:lvl>
  </w:abstractNum>
  <w:abstractNum w:abstractNumId="361">
    <w:nsid w:val="6B431F25"/>
    <w:multiLevelType w:val="hybridMultilevel"/>
    <w:lvl w:ilvl="0">
      <w:lvlJc w:val="left"/>
      <w:lvlText w:val="(%1)"/>
      <w:numFmt w:val="lowerRoman"/>
      <w:start w:val="1"/>
    </w:lvl>
    <w:lvl w:ilvl="1">
      <w:lvlJc w:val="left"/>
      <w:lvlText w:val="(%2)"/>
      <w:numFmt w:val="upperLetter"/>
      <w:start w:val="1"/>
    </w:lvl>
  </w:abstractNum>
  <w:abstractNum w:abstractNumId="362">
    <w:nsid w:val="13CD8DCB"/>
    <w:multiLevelType w:val="hybridMultilevel"/>
    <w:lvl w:ilvl="0">
      <w:lvlJc w:val="left"/>
      <w:lvlText w:val="(%1)"/>
      <w:numFmt w:val="upperLetter"/>
      <w:start w:val="2"/>
    </w:lvl>
  </w:abstractNum>
  <w:abstractNum w:abstractNumId="363">
    <w:nsid w:val="563A1A5C"/>
    <w:multiLevelType w:val="hybridMultilevel"/>
    <w:lvl w:ilvl="0">
      <w:lvlJc w:val="left"/>
      <w:lvlText w:val="(%1)"/>
      <w:numFmt w:val="lowerLetter"/>
      <w:start w:val="2"/>
    </w:lvl>
  </w:abstractNum>
  <w:abstractNum w:abstractNumId="364">
    <w:nsid w:val="2973F88F"/>
    <w:multiLevelType w:val="hybridMultilevel"/>
    <w:lvl w:ilvl="0">
      <w:lvlJc w:val="left"/>
      <w:lvlText w:val="(%1)"/>
      <w:numFmt w:val="lowerLetter"/>
      <w:start w:val="3"/>
    </w:lvl>
  </w:abstractNum>
  <w:abstractNum w:abstractNumId="365">
    <w:nsid w:val="2C70EDAE"/>
    <w:multiLevelType w:val="hybridMultilevel"/>
    <w:lvl w:ilvl="0">
      <w:lvlJc w:val="left"/>
      <w:lvlText w:val="%1"/>
      <w:numFmt w:val="upperLetter"/>
      <w:start w:val="1"/>
    </w:lvl>
    <w:lvl w:ilvl="1">
      <w:lvlJc w:val="left"/>
      <w:lvlText w:val="(%2)"/>
      <w:numFmt w:val="lowerRoman"/>
      <w:start w:val="1"/>
    </w:lvl>
  </w:abstractNum>
  <w:abstractNum w:abstractNumId="366">
    <w:nsid w:val="44296C6D"/>
    <w:multiLevelType w:val="hybridMultilevel"/>
    <w:lvl w:ilvl="0">
      <w:lvlJc w:val="left"/>
      <w:lvlText w:val="(%1)"/>
      <w:numFmt w:val="upperLetter"/>
      <w:start w:val="1"/>
    </w:lvl>
    <w:lvl w:ilvl="1">
      <w:lvlJc w:val="left"/>
      <w:lvlText w:val="%2"/>
      <w:numFmt w:val="lowerRoman"/>
      <w:start w:val="1"/>
    </w:lvl>
  </w:abstractNum>
  <w:abstractNum w:abstractNumId="367">
    <w:nsid w:val="3A86D445"/>
    <w:multiLevelType w:val="hybridMultilevel"/>
    <w:lvl w:ilvl="0">
      <w:lvlJc w:val="left"/>
      <w:lvlText w:val="(%1)"/>
      <w:numFmt w:val="lowerRoman"/>
      <w:start w:val="2"/>
    </w:lvl>
  </w:abstractNum>
  <w:abstractNum w:abstractNumId="368">
    <w:nsid w:val="51F79246"/>
    <w:multiLevelType w:val="hybridMultilevel"/>
    <w:lvl w:ilvl="0">
      <w:lvlJc w:val="left"/>
      <w:lvlText w:val="(%1)"/>
      <w:numFmt w:val="lowerLetter"/>
      <w:start w:val="2"/>
    </w:lvl>
  </w:abstractNum>
  <w:abstractNum w:abstractNumId="369">
    <w:nsid w:val="5BC9A827"/>
    <w:multiLevelType w:val="hybridMultilevel"/>
    <w:lvl w:ilvl="0">
      <w:lvlJc w:val="left"/>
      <w:lvlText w:val="(%1)"/>
      <w:numFmt w:val="lowerLetter"/>
      <w:start w:val="2"/>
    </w:lvl>
  </w:abstractNum>
  <w:abstractNum w:abstractNumId="370">
    <w:nsid w:val="3AE37D86"/>
    <w:multiLevelType w:val="hybridMultilevel"/>
    <w:lvl w:ilvl="0">
      <w:lvlJc w:val="left"/>
      <w:lvlText w:val="(%1)"/>
      <w:numFmt w:val="decimal"/>
      <w:start w:val="1"/>
    </w:lvl>
  </w:abstractNum>
  <w:abstractNum w:abstractNumId="371">
    <w:nsid w:val="45440FE5"/>
    <w:multiLevelType w:val="hybridMultilevel"/>
    <w:lvl w:ilvl="0">
      <w:lvlJc w:val="left"/>
      <w:lvlText w:val="(%1)"/>
      <w:numFmt w:val="lowerRoman"/>
      <w:start w:val="2"/>
    </w:lvl>
    <w:lvl w:ilvl="1">
      <w:lvlJc w:val="left"/>
      <w:lvlText w:val="(%2)"/>
      <w:numFmt w:val="upperLetter"/>
      <w:start w:val="1"/>
    </w:lvl>
  </w:abstractNum>
  <w:abstractNum w:abstractNumId="372">
    <w:nsid w:val="BF783F"/>
    <w:multiLevelType w:val="hybridMultilevel"/>
    <w:lvl w:ilvl="0">
      <w:lvlJc w:val="left"/>
      <w:lvlText w:val="%1"/>
      <w:numFmt w:val="lowerRoman"/>
      <w:start w:val="1"/>
    </w:lvl>
    <w:lvl w:ilvl="1">
      <w:lvlJc w:val="left"/>
      <w:lvlText w:val="(%2)"/>
      <w:numFmt w:val="upperLetter"/>
      <w:start w:val="3"/>
    </w:lvl>
  </w:abstractNum>
  <w:abstractNum w:abstractNumId="373">
    <w:nsid w:val="22643EA9"/>
    <w:multiLevelType w:val="hybridMultilevel"/>
    <w:lvl w:ilvl="0">
      <w:lvlJc w:val="left"/>
      <w:lvlText w:val="(%1)"/>
      <w:numFmt w:val="lowerRoman"/>
      <w:start w:val="3"/>
    </w:lvl>
    <w:lvl w:ilvl="1">
      <w:lvlJc w:val="left"/>
      <w:lvlText w:val="%2"/>
      <w:numFmt w:val="upperLetter"/>
      <w:start w:val="1"/>
    </w:lvl>
  </w:abstractNum>
  <w:abstractNum w:abstractNumId="374">
    <w:nsid w:val="1887578D"/>
    <w:multiLevelType w:val="hybridMultilevel"/>
    <w:lvl w:ilvl="0">
      <w:lvlJc w:val="left"/>
      <w:lvlText w:val="%1"/>
      <w:numFmt w:val="upperLetter"/>
      <w:start w:val="1"/>
    </w:lvl>
    <w:lvl w:ilvl="1">
      <w:lvlJc w:val="left"/>
      <w:lvlText w:val="(%2)"/>
      <w:numFmt w:val="lowerLetter"/>
      <w:start w:val="3"/>
    </w:lvl>
  </w:abstractNum>
  <w:abstractNum w:abstractNumId="375">
    <w:nsid w:val="58C05B8A"/>
    <w:multiLevelType w:val="hybridMultilevel"/>
    <w:lvl w:ilvl="0">
      <w:lvlJc w:val="left"/>
      <w:lvlText w:val="(%1)"/>
      <w:numFmt w:val="upperLetter"/>
      <w:start w:val="4"/>
    </w:lvl>
    <w:lvl w:ilvl="1">
      <w:lvlJc w:val="left"/>
      <w:lvlText w:val="%2"/>
      <w:numFmt w:val="lowerLetter"/>
      <w:start w:val="1"/>
    </w:lvl>
  </w:abstractNum>
  <w:abstractNum w:abstractNumId="376">
    <w:nsid w:val="38D82E71"/>
    <w:multiLevelType w:val="hybridMultilevel"/>
    <w:lvl w:ilvl="0">
      <w:lvlJc w:val="left"/>
      <w:lvlText w:val="(%1)"/>
      <w:numFmt w:val="lowerRoman"/>
      <w:start w:val="2"/>
    </w:lvl>
  </w:abstractNum>
  <w:abstractNum w:abstractNumId="377">
    <w:nsid w:val="1E41098A"/>
    <w:multiLevelType w:val="hybridMultilevel"/>
    <w:lvl w:ilvl="0">
      <w:lvlJc w:val="left"/>
      <w:lvlText w:val="(%1)"/>
      <w:numFmt w:val="lowerLetter"/>
      <w:start w:val="4"/>
    </w:lvl>
  </w:abstractNum>
  <w:abstractNum w:abstractNumId="378">
    <w:nsid w:val="5398582C"/>
    <w:multiLevelType w:val="hybridMultilevel"/>
    <w:lvl w:ilvl="0">
      <w:lvlJc w:val="left"/>
      <w:lvlText w:val="(%1)"/>
      <w:numFmt w:val="lowerLetter"/>
      <w:start w:val="1"/>
    </w:lvl>
  </w:abstractNum>
  <w:abstractNum w:abstractNumId="379">
    <w:nsid w:val="1C0D4475"/>
    <w:multiLevelType w:val="hybridMultilevel"/>
    <w:lvl w:ilvl="0">
      <w:lvlJc w:val="left"/>
      <w:lvlText w:val="(%1)"/>
      <w:numFmt w:val="lowerRoman"/>
      <w:start w:val="1"/>
    </w:lvl>
  </w:abstractNum>
  <w:abstractNum w:abstractNumId="380">
    <w:nsid w:val="2CB6A6A4"/>
    <w:multiLevelType w:val="hybridMultilevel"/>
    <w:lvl w:ilvl="0">
      <w:lvlJc w:val="left"/>
      <w:lvlText w:val="(%1)"/>
      <w:numFmt w:val="lowerLetter"/>
      <w:start w:val="2"/>
    </w:lvl>
  </w:abstractNum>
  <w:abstractNum w:abstractNumId="381">
    <w:nsid w:val="41D646BC"/>
    <w:multiLevelType w:val="hybridMultilevel"/>
    <w:lvl w:ilvl="0">
      <w:lvlJc w:val="left"/>
      <w:lvlText w:val="(%1)"/>
      <w:numFmt w:val="lowerLetter"/>
      <w:start w:val="1"/>
    </w:lvl>
  </w:abstractNum>
  <w:abstractNum w:abstractNumId="382">
    <w:nsid w:val="3694A76A"/>
    <w:multiLevelType w:val="hybridMultilevel"/>
    <w:lvl w:ilvl="0">
      <w:lvlJc w:val="left"/>
      <w:lvlText w:val="(%1)"/>
      <w:numFmt w:val="lowerLetter"/>
      <w:start w:val="1"/>
    </w:lvl>
  </w:abstractNum>
  <w:abstractNum w:abstractNumId="383">
    <w:nsid w:val="2BF876EE"/>
    <w:multiLevelType w:val="hybridMultilevel"/>
    <w:lvl w:ilvl="0">
      <w:lvlJc w:val="left"/>
      <w:lvlText w:val="(%1)"/>
      <w:numFmt w:val="lowerLetter"/>
      <w:start w:val="1"/>
    </w:lvl>
  </w:abstractNum>
  <w:abstractNum w:abstractNumId="384">
    <w:nsid w:val="675ADBA"/>
    <w:multiLevelType w:val="hybridMultilevel"/>
    <w:lvl w:ilvl="0">
      <w:lvlJc w:val="left"/>
      <w:lvlText w:val="(%1)"/>
      <w:numFmt w:val="lowerRoman"/>
      <w:start w:val="1"/>
    </w:lvl>
  </w:abstractNum>
  <w:abstractNum w:abstractNumId="385">
    <w:nsid w:val="C12AC7F"/>
    <w:multiLevelType w:val="hybridMultilevel"/>
    <w:lvl w:ilvl="0">
      <w:lvlJc w:val="left"/>
      <w:lvlText w:val="[***]"/>
      <w:numFmt w:val="bullet"/>
      <w:start w:val="1"/>
    </w:lvl>
  </w:abstractNum>
  <w:abstractNum w:abstractNumId="386">
    <w:nsid w:val="6798F039"/>
    <w:multiLevelType w:val="hybridMultilevel"/>
    <w:lvl w:ilvl="0">
      <w:lvlJc w:val="left"/>
      <w:lvlText w:val="1"/>
      <w:numFmt w:val="bullet"/>
      <w:start w:val="1"/>
    </w:lvl>
  </w:abstractNum>
  <w:abstractNum w:abstractNumId="387">
    <w:nsid w:val="70837C02"/>
    <w:multiLevelType w:val="hybridMultilevel"/>
    <w:lvl w:ilvl="0">
      <w:lvlJc w:val="left"/>
      <w:lvlText w:val="[***]"/>
      <w:numFmt w:val="bullet"/>
      <w:start w:val="1"/>
    </w:lvl>
  </w:abstractNum>
  <w:abstractNum w:abstractNumId="388">
    <w:nsid w:val="7E4A5715"/>
    <w:multiLevelType w:val="hybridMultilevel"/>
    <w:lvl w:ilvl="0">
      <w:lvlJc w:val="left"/>
      <w:lvlText w:val="[***]"/>
      <w:numFmt w:val="bullet"/>
      <w:start w:val="1"/>
    </w:lvl>
  </w:abstractNum>
  <w:abstractNum w:abstractNumId="389">
    <w:nsid w:val="42B8AC67"/>
    <w:multiLevelType w:val="hybridMultilevel"/>
    <w:lvl w:ilvl="0">
      <w:lvlJc w:val="left"/>
      <w:lvlText w:val="[***]"/>
      <w:numFmt w:val="bullet"/>
      <w:start w:val="1"/>
    </w:lvl>
  </w:abstractNum>
  <w:abstractNum w:abstractNumId="390">
    <w:nsid w:val="246348EA"/>
    <w:multiLevelType w:val="hybridMultilevel"/>
    <w:lvl w:ilvl="0">
      <w:lvlJc w:val="left"/>
      <w:lvlText w:val="[***]"/>
      <w:numFmt w:val="bullet"/>
      <w:start w:val="1"/>
    </w:lvl>
  </w:abstractNum>
  <w:abstractNum w:abstractNumId="391">
    <w:nsid w:val="170EB52B"/>
    <w:multiLevelType w:val="hybridMultilevel"/>
    <w:lvl w:ilvl="0">
      <w:lvlJc w:val="left"/>
      <w:lvlText w:val="[***]"/>
      <w:numFmt w:val="bullet"/>
      <w:start w:val="1"/>
    </w:lvl>
  </w:abstractNum>
  <w:abstractNum w:abstractNumId="392">
    <w:nsid w:val="2DFBCB8C"/>
    <w:multiLevelType w:val="hybridMultilevel"/>
    <w:lvl w:ilvl="0">
      <w:lvlJc w:val="left"/>
      <w:lvlText w:val="(%1)"/>
      <w:numFmt w:val="lowerLetter"/>
      <w:start w:val="2"/>
    </w:lvl>
  </w:abstractNum>
  <w:abstractNum w:abstractNumId="393">
    <w:nsid w:val="3830D6B6"/>
    <w:multiLevelType w:val="hybridMultilevel"/>
    <w:lvl w:ilvl="0">
      <w:lvlJc w:val="left"/>
      <w:lvlText w:val="(%1)"/>
      <w:numFmt w:val="lowerRoman"/>
      <w:start w:val="3"/>
    </w:lvl>
  </w:abstractNum>
  <w:abstractNum w:abstractNumId="394">
    <w:nsid w:val="6D48CF87"/>
    <w:multiLevelType w:val="hybridMultilevel"/>
    <w:lvl w:ilvl="0">
      <w:lvlJc w:val="left"/>
      <w:lvlText w:val="(%1)"/>
      <w:numFmt w:val="lowerLetter"/>
      <w:start w:val="2"/>
    </w:lvl>
  </w:abstractNum>
  <w:abstractNum w:abstractNumId="395">
    <w:nsid w:val="576FC41B"/>
    <w:multiLevelType w:val="hybridMultilevel"/>
    <w:lvl w:ilvl="0">
      <w:lvlJc w:val="left"/>
      <w:lvlText w:val="(%1)"/>
      <w:numFmt w:val="lowerLetter"/>
      <w:start w:val="2"/>
    </w:lvl>
  </w:abstractNum>
  <w:abstractNum w:abstractNumId="396">
    <w:nsid w:val="64A1C464"/>
    <w:multiLevelType w:val="hybridMultilevel"/>
    <w:lvl w:ilvl="0">
      <w:lvlJc w:val="left"/>
      <w:lvlText w:val="(%1)"/>
      <w:numFmt w:val="lowerLetter"/>
      <w:start w:val="2"/>
    </w:lvl>
  </w:abstractNum>
  <w:abstractNum w:abstractNumId="397">
    <w:nsid w:val="31723BF5"/>
    <w:multiLevelType w:val="hybridMultilevel"/>
    <w:lvl w:ilvl="0">
      <w:lvlJc w:val="left"/>
      <w:lvlText w:val="(%1)"/>
      <w:numFmt w:val="lowerLetter"/>
      <w:start w:val="1"/>
    </w:lvl>
  </w:abstractNum>
  <w:abstractNum w:abstractNumId="398">
    <w:nsid w:val="11F69861"/>
    <w:multiLevelType w:val="hybridMultilevel"/>
    <w:lvl w:ilvl="0">
      <w:lvlJc w:val="left"/>
      <w:lvlText w:val="(%1)"/>
      <w:numFmt w:val="lowerLetter"/>
      <w:start w:val="3"/>
    </w:lvl>
  </w:abstractNum>
  <w:abstractNum w:abstractNumId="399">
    <w:nsid w:val="369956AB"/>
    <w:multiLevelType w:val="hybridMultilevel"/>
    <w:lvl w:ilvl="0">
      <w:lvlJc w:val="left"/>
      <w:lvlText w:val="(%1)"/>
      <w:numFmt w:val="lowerLetter"/>
      <w:start w:val="2"/>
    </w:lvl>
  </w:abstractNum>
  <w:abstractNum w:abstractNumId="400">
    <w:nsid w:val="D3BE41C"/>
    <w:multiLevelType w:val="hybridMultilevel"/>
    <w:lvl w:ilvl="0">
      <w:lvlJc w:val="left"/>
      <w:lvlText w:val="%1."/>
      <w:numFmt w:val="decimal"/>
      <w:start w:val="1"/>
    </w:lvl>
  </w:abstractNum>
  <w:abstractNum w:abstractNumId="401">
    <w:nsid w:val="4CDA15E7"/>
    <w:multiLevelType w:val="hybridMultilevel"/>
    <w:lvl w:ilvl="0">
      <w:lvlJc w:val="left"/>
      <w:lvlText w:val="(%1)"/>
      <w:numFmt w:val="upperLetter"/>
      <w:start w:val="2"/>
    </w:lvl>
  </w:abstractNum>
  <w:abstractNum w:abstractNumId="402">
    <w:nsid w:val="7BDD6690"/>
    <w:multiLevelType w:val="hybridMultilevel"/>
    <w:lvl w:ilvl="0">
      <w:lvlJc w:val="left"/>
      <w:lvlText w:val="1"/>
      <w:numFmt w:val="bullet"/>
      <w:start w:val="1"/>
    </w:lvl>
  </w:abstractNum>
  <w:abstractNum w:abstractNumId="403">
    <w:nsid w:val="DFB5C5B"/>
    <w:multiLevelType w:val="hybridMultilevel"/>
    <w:lvl w:ilvl="0">
      <w:lvlJc w:val="left"/>
      <w:lvlText w:val="2"/>
      <w:numFmt w:val="bullet"/>
      <w:start w:val="1"/>
    </w:lvl>
  </w:abstractNum>
  <w:abstractNum w:abstractNumId="404">
    <w:nsid w:val="6F3E5490"/>
    <w:multiLevelType w:val="hybridMultilevel"/>
    <w:lvl w:ilvl="0">
      <w:lvlJc w:val="left"/>
      <w:lvlText w:val="(%1)"/>
      <w:numFmt w:val="upperLetter"/>
      <w:start w:val="3"/>
    </w:lvl>
  </w:abstractNum>
  <w:abstractNum w:abstractNumId="405">
    <w:nsid w:val="1464BE1E"/>
    <w:multiLevelType w:val="hybridMultilevel"/>
    <w:lvl w:ilvl="0">
      <w:lvlJc w:val="left"/>
      <w:lvlText w:val="3"/>
      <w:numFmt w:val="bullet"/>
      <w:start w:val="1"/>
    </w:lvl>
  </w:abstractNum>
  <w:abstractNum w:abstractNumId="406">
    <w:nsid w:val="66BBB7E5"/>
    <w:multiLevelType w:val="hybridMultilevel"/>
    <w:lvl w:ilvl="0">
      <w:lvlJc w:val="left"/>
      <w:lvlText w:val="4"/>
      <w:numFmt w:val="bullet"/>
      <w:start w:val="1"/>
    </w:lvl>
  </w:abstractNum>
  <w:abstractNum w:abstractNumId="407">
    <w:nsid w:val="28168302"/>
    <w:multiLevelType w:val="hybridMultilevel"/>
    <w:lvl w:ilvl="0">
      <w:lvlJc w:val="left"/>
      <w:lvlText w:val="5"/>
      <w:numFmt w:val="bullet"/>
      <w:start w:val="1"/>
    </w:lvl>
  </w:abstractNum>
  <w:abstractNum w:abstractNumId="408">
    <w:nsid w:val="32A5C7A8"/>
    <w:multiLevelType w:val="hybridMultilevel"/>
    <w:lvl w:ilvl="0">
      <w:lvlJc w:val="left"/>
      <w:lvlText w:val="(%1)"/>
      <w:numFmt w:val="upperLetter"/>
      <w:start w:val="2"/>
    </w:lvl>
  </w:abstractNum>
  <w:abstractNum w:abstractNumId="409">
    <w:nsid w:val="3A541011"/>
    <w:multiLevelType w:val="hybridMultilevel"/>
    <w:lvl w:ilvl="0">
      <w:lvlJc w:val="left"/>
      <w:lvlText w:val="1"/>
      <w:numFmt w:val="bullet"/>
      <w:start w:val="1"/>
    </w:lvl>
  </w:abstractNum>
  <w:abstractNum w:abstractNumId="410">
    <w:nsid w:val="4423C777"/>
    <w:multiLevelType w:val="hybridMultilevel"/>
    <w:lvl w:ilvl="0">
      <w:lvlJc w:val="left"/>
      <w:lvlText w:val="2"/>
      <w:numFmt w:val="bullet"/>
      <w:start w:val="1"/>
    </w:lvl>
  </w:abstractNum>
  <w:abstractNum w:abstractNumId="411">
    <w:nsid w:val="5F5C6E4D"/>
    <w:multiLevelType w:val="hybridMultilevel"/>
    <w:lvl w:ilvl="0">
      <w:lvlJc w:val="left"/>
      <w:lvlText w:val="3"/>
      <w:numFmt w:val="bullet"/>
      <w:start w:val="1"/>
    </w:lvl>
  </w:abstractNum>
  <w:abstractNum w:abstractNumId="412">
    <w:nsid w:val="7C2A56CD"/>
    <w:multiLevelType w:val="hybridMultilevel"/>
    <w:lvl w:ilvl="0">
      <w:lvlJc w:val="left"/>
      <w:lvlText w:val="(%1)"/>
      <w:numFmt w:val="upperLetter"/>
      <w:start w:val="4"/>
    </w:lvl>
  </w:abstractNum>
  <w:abstractNum w:abstractNumId="413">
    <w:nsid w:val="7AB86EE1"/>
    <w:multiLevelType w:val="hybridMultilevel"/>
    <w:lvl w:ilvl="0">
      <w:lvlJc w:val="left"/>
      <w:lvlText w:val="1"/>
      <w:numFmt w:val="bullet"/>
      <w:start w:val="1"/>
    </w:lvl>
  </w:abstractNum>
  <w:abstractNum w:abstractNumId="414">
    <w:nsid w:val="B54E53B"/>
    <w:multiLevelType w:val="hybridMultilevel"/>
    <w:lvl w:ilvl="0">
      <w:lvlJc w:val="left"/>
      <w:lvlText w:val="2"/>
      <w:numFmt w:val="bullet"/>
      <w:start w:val="1"/>
    </w:lvl>
  </w:abstractNum>
  <w:abstractNum w:abstractNumId="415">
    <w:nsid w:val="2A00487"/>
    <w:multiLevelType w:val="hybridMultilevel"/>
    <w:lvl w:ilvl="0">
      <w:lvlJc w:val="left"/>
      <w:lvlText w:val="%1."/>
      <w:numFmt w:val="decimal"/>
      <w:start w:val="1"/>
    </w:lvl>
  </w:abstractNum>
  <w:abstractNum w:abstractNumId="416">
    <w:nsid w:val="6CB1B60"/>
    <w:multiLevelType w:val="hybridMultilevel"/>
    <w:lvl w:ilvl="0">
      <w:lvlJc w:val="left"/>
      <w:lvlText w:val="%1."/>
      <w:numFmt w:val="decimal"/>
      <w:start w:val="7"/>
    </w:lvl>
    <w:lvl w:ilvl="1">
      <w:lvlJc w:val="left"/>
      <w:lvlText w:val="(%2)"/>
      <w:numFmt w:val="lowerLetter"/>
      <w:start w:val="1"/>
    </w:lvl>
  </w:abstractNum>
  <w:abstractNum w:abstractNumId="417">
    <w:nsid w:val="72EDD574"/>
    <w:multiLevelType w:val="hybridMultilevel"/>
    <w:lvl w:ilvl="0">
      <w:lvlJc w:val="left"/>
      <w:lvlText w:val="1"/>
      <w:numFmt w:val="bullet"/>
      <w:start w:val="1"/>
    </w:lvl>
  </w:abstractNum>
  <w:abstractNum w:abstractNumId="418">
    <w:nsid w:val="7323808A"/>
    <w:multiLevelType w:val="hybridMultilevel"/>
    <w:lvl w:ilvl="0">
      <w:lvlJc w:val="left"/>
      <w:lvlText w:val="%1."/>
      <w:numFmt w:val="decimal"/>
      <w:start w:val="1"/>
    </w:lvl>
  </w:abstractNum>
  <w:abstractNum w:abstractNumId="419">
    <w:nsid w:val="5157276"/>
    <w:multiLevelType w:val="hybridMultilevel"/>
    <w:lvl w:ilvl="0">
      <w:lvlJc w:val="left"/>
      <w:lvlText w:val="%1."/>
      <w:numFmt w:val="decimal"/>
      <w:start w:val="4"/>
    </w:lvl>
  </w:abstractNum>
  <w:abstractNum w:abstractNumId="420">
    <w:nsid w:val="35A681DB"/>
    <w:multiLevelType w:val="hybridMultilevel"/>
    <w:lvl w:ilvl="0">
      <w:lvlJc w:val="left"/>
      <w:lvlText w:val="%1"/>
      <w:numFmt w:val="decimal"/>
      <w:start w:val="1"/>
    </w:lvl>
    <w:lvl w:ilvl="1">
      <w:lvlJc w:val="left"/>
      <w:lvlText w:val="%2."/>
      <w:numFmt w:val="decimal"/>
      <w:start w:val="1"/>
    </w:lvl>
  </w:abstractNum>
  <w:abstractNum w:abstractNumId="421">
    <w:nsid w:val="1786C974"/>
    <w:multiLevelType w:val="hybridMultilevel"/>
    <w:lvl w:ilvl="0">
      <w:lvlJc w:val="left"/>
      <w:lvlText w:val="%1."/>
      <w:numFmt w:val="decimal"/>
      <w:start w:val="2"/>
    </w:lvl>
    <w:lvl w:ilvl="1">
      <w:lvlJc w:val="left"/>
      <w:lvlText w:val="%2"/>
      <w:numFmt w:val="decimal"/>
      <w:start w:val="1"/>
    </w:lvl>
  </w:abstractNum>
  <w:abstractNum w:abstractNumId="422">
    <w:nsid w:val="1C2427A1"/>
    <w:multiLevelType w:val="hybridMultilevel"/>
    <w:lvl w:ilvl="0">
      <w:lvlJc w:val="left"/>
      <w:lvlText w:val="1"/>
      <w:numFmt w:val="bullet"/>
      <w:start w:val="1"/>
    </w:lvl>
  </w:abstractNum>
  <w:abstractNum w:abstractNumId="423">
    <w:nsid w:val="63A24D68"/>
    <w:multiLevelType w:val="hybridMultilevel"/>
    <w:lvl w:ilvl="0">
      <w:lvlJc w:val="left"/>
      <w:lvlText w:val="2"/>
      <w:numFmt w:val="bullet"/>
      <w:start w:val="1"/>
    </w:lvl>
  </w:abstractNum>
  <w:abstractNum w:abstractNumId="424">
    <w:nsid w:val="4FB7A02A"/>
    <w:multiLevelType w:val="hybridMultilevel"/>
    <w:lvl w:ilvl="0">
      <w:lvlJc w:val="left"/>
      <w:lvlText w:val="%1."/>
      <w:numFmt w:val="decimal"/>
      <w:start w:val="1"/>
    </w:lvl>
  </w:abstractNum>
  <w:abstractNum w:abstractNumId="425">
    <w:nsid w:val="96CF728"/>
    <w:multiLevelType w:val="hybridMultilevel"/>
    <w:lvl w:ilvl="0">
      <w:lvlJc w:val="left"/>
      <w:lvlText w:val="1"/>
      <w:numFmt w:val="bullet"/>
      <w:start w:val="1"/>
    </w:lvl>
  </w:abstractNum>
  <w:abstractNum w:abstractNumId="426">
    <w:nsid w:val="3B121183"/>
    <w:multiLevelType w:val="hybridMultilevel"/>
    <w:lvl w:ilvl="0">
      <w:lvlJc w:val="left"/>
      <w:lvlText w:val="%1"/>
      <w:numFmt w:val="lowerLetter"/>
      <w:start w:val="1"/>
    </w:lvl>
    <w:lvl w:ilvl="1">
      <w:lvlJc w:val="left"/>
      <w:lvlText w:val="%2."/>
      <w:numFmt w:val="decimal"/>
      <w:start w:val="2"/>
    </w:lvl>
  </w:abstractNum>
  <w:abstractNum w:abstractNumId="427">
    <w:nsid w:val="3459648F"/>
    <w:multiLevelType w:val="hybridMultilevel"/>
    <w:lvl w:ilvl="0">
      <w:lvlJc w:val="left"/>
      <w:lvlText w:val="(%1)"/>
      <w:numFmt w:val="lowerLetter"/>
      <w:start w:val="35"/>
    </w:lvl>
    <w:lvl w:ilvl="1">
      <w:lvlJc w:val="left"/>
      <w:lvlText w:val="%2"/>
      <w:numFmt w:val="decimal"/>
      <w:start w:val="1"/>
    </w:lvl>
  </w:abstractNum>
  <w:abstractNum w:abstractNumId="428">
    <w:nsid w:val="3ADF331D"/>
    <w:multiLevelType w:val="hybridMultilevel"/>
    <w:lvl w:ilvl="0">
      <w:lvlJc w:val="left"/>
      <w:lvlText w:val="(%1)"/>
      <w:numFmt w:val="lowerLetter"/>
      <w:start w:val="3"/>
    </w:lvl>
    <w:lvl w:ilvl="1">
      <w:lvlJc w:val="left"/>
      <w:lvlText w:val="%2."/>
      <w:numFmt w:val="decimal"/>
      <w:start w:val="3"/>
    </w:lvl>
  </w:abstractNum>
  <w:abstractNum w:abstractNumId="429">
    <w:nsid w:val="4D08A9E4"/>
    <w:multiLevelType w:val="hybridMultilevel"/>
    <w:lvl w:ilvl="0">
      <w:lvlJc w:val="left"/>
      <w:lvlText w:val="%1."/>
      <w:numFmt w:val="decimal"/>
      <w:start w:val="4"/>
    </w:lvl>
  </w:abstractNum>
  <w:abstractNum w:abstractNumId="430">
    <w:nsid w:val="6AF2BB3A"/>
    <w:multiLevelType w:val="hybridMultilevel"/>
    <w:lvl w:ilvl="0">
      <w:lvlJc w:val="left"/>
      <w:lvlText w:val="%1."/>
      <w:numFmt w:val="decimal"/>
      <w:start w:val="8"/>
    </w:lvl>
  </w:abstractNum>
  <w:abstractNum w:abstractNumId="431">
    <w:nsid w:val="481B1739"/>
    <w:multiLevelType w:val="hybridMultilevel"/>
    <w:lvl w:ilvl="0">
      <w:lvlJc w:val="left"/>
      <w:lvlText w:val="2"/>
      <w:numFmt w:val="bullet"/>
      <w:start w:val="1"/>
    </w:lvl>
  </w:abstractNum>
  <w:abstractNum w:abstractNumId="432">
    <w:nsid w:val="19E2BFCC"/>
    <w:multiLevelType w:val="hybridMultilevel"/>
    <w:lvl w:ilvl="0">
      <w:lvlJc w:val="left"/>
      <w:lvlText w:val="(%1)"/>
      <w:numFmt w:val="lowerLetter"/>
      <w:start w:val="1"/>
    </w:lvl>
  </w:abstractNum>
  <w:abstractNum w:abstractNumId="433">
    <w:nsid w:val="66D021CA"/>
    <w:multiLevelType w:val="hybridMultilevel"/>
    <w:lvl w:ilvl="0">
      <w:lvlJc w:val="left"/>
      <w:lvlText w:val="1"/>
      <w:numFmt w:val="bullet"/>
      <w:start w:val="1"/>
    </w:lvl>
  </w:abstractNum>
  <w:abstractNum w:abstractNumId="434">
    <w:nsid w:val="56167394"/>
    <w:multiLevelType w:val="hybridMultilevel"/>
    <w:lvl w:ilvl="0">
      <w:lvlJc w:val="left"/>
      <w:lvlText w:val="%1."/>
      <w:numFmt w:val="decimal"/>
      <w:start w:val="1"/>
    </w:lvl>
  </w:abstractNum>
  <w:abstractNum w:abstractNumId="435">
    <w:nsid w:val="921145C"/>
    <w:multiLevelType w:val="hybridMultilevel"/>
    <w:lvl w:ilvl="0">
      <w:lvlJc w:val="left"/>
      <w:lvlText w:val="%1."/>
      <w:numFmt w:val="decimal"/>
      <w:start w:val="3"/>
    </w:lvl>
  </w:abstractNum>
  <w:abstractNum w:abstractNumId="436">
    <w:nsid w:val="7B34DFE8"/>
    <w:multiLevelType w:val="hybridMultilevel"/>
    <w:lvl w:ilvl="0">
      <w:lvlJc w:val="left"/>
      <w:lvlText w:val="1"/>
      <w:numFmt w:val="bullet"/>
      <w:start w:val="1"/>
    </w:lvl>
  </w:abstractNum>
  <w:abstractNum w:abstractNumId="437">
    <w:nsid w:val="3CD22B79"/>
    <w:multiLevelType w:val="hybridMultilevel"/>
    <w:lvl w:ilvl="0">
      <w:lvlJc w:val="left"/>
      <w:lvlText w:val="(%1)"/>
      <w:numFmt w:val="lowerRoman"/>
      <w:start w:val="2"/>
    </w:lvl>
  </w:abstractNum>
  <w:abstractNum w:abstractNumId="438">
    <w:nsid w:val="3137975E"/>
    <w:multiLevelType w:val="hybridMultilevel"/>
    <w:lvl w:ilvl="0">
      <w:lvlJc w:val="left"/>
      <w:lvlText w:val="(%1)"/>
      <w:numFmt w:val="lowerRoman"/>
      <w:start w:val="3"/>
    </w:lvl>
  </w:abstractNum>
  <w:abstractNum w:abstractNumId="439">
    <w:nsid w:val="2DDAA791"/>
    <w:multiLevelType w:val="hybridMultilevel"/>
    <w:lvl w:ilvl="0">
      <w:lvlJc w:val="left"/>
      <w:lvlText w:val="%1."/>
      <w:numFmt w:val="decimal"/>
      <w:start w:val="1"/>
    </w:lvl>
  </w:abstractNum>
  <w:abstractNum w:abstractNumId="440">
    <w:nsid w:val="77263B8A"/>
    <w:multiLevelType w:val="hybridMultilevel"/>
    <w:lvl w:ilvl="0">
      <w:lvlJc w:val="left"/>
      <w:lvlText w:val="(%1)"/>
      <w:numFmt w:val="upperLetter"/>
      <w:start w:val="1"/>
    </w:lvl>
  </w:abstractNum>
  <w:abstractNum w:abstractNumId="441">
    <w:nsid w:val="755B5ED6"/>
    <w:multiLevelType w:val="hybridMultilevel"/>
    <w:lvl w:ilvl="0">
      <w:lvlJc w:val="left"/>
      <w:lvlText w:val="(%1)"/>
      <w:numFmt w:val="upperLetter"/>
      <w:start w:val="2"/>
    </w:lvl>
  </w:abstractNum>
  <w:abstractNum w:abstractNumId="442">
    <w:nsid w:val="D3715DE"/>
    <w:multiLevelType w:val="hybridMultilevel"/>
    <w:lvl w:ilvl="0">
      <w:lvlJc w:val="left"/>
      <w:lvlText w:val="(%1)"/>
      <w:numFmt w:val="upperLetter"/>
      <w:start w:val="3"/>
    </w:lvl>
  </w:abstractNum>
  <w:abstractNum w:abstractNumId="443">
    <w:nsid w:val="73509257"/>
    <w:multiLevelType w:val="hybridMultilevel"/>
    <w:lvl w:ilvl="0">
      <w:lvlJc w:val="left"/>
      <w:lvlText w:val="(%1)"/>
      <w:numFmt w:val="upperLetter"/>
      <w:start w:val="4"/>
    </w:lvl>
  </w:abstractNum>
  <w:abstractNum w:abstractNumId="444">
    <w:nsid w:val="7013CDB7"/>
    <w:multiLevelType w:val="hybridMultilevel"/>
    <w:lvl w:ilvl="0">
      <w:lvlJc w:val="left"/>
      <w:lvlText w:val="(%1)"/>
      <w:numFmt w:val="upperLetter"/>
      <w:start w:val="5"/>
    </w:lvl>
  </w:abstractNum>
  <w:abstractNum w:abstractNumId="445">
    <w:nsid w:val="188BFB19"/>
    <w:multiLevelType w:val="hybridMultilevel"/>
    <w:lvl w:ilvl="0">
      <w:lvlJc w:val="left"/>
      <w:lvlText w:val="1"/>
      <w:numFmt w:val="bullet"/>
      <w:start w:val="1"/>
    </w:lvl>
  </w:abstractNum>
  <w:abstractNum w:abstractNumId="446">
    <w:nsid w:val="75F096DF"/>
    <w:multiLevelType w:val="hybridMultilevel"/>
    <w:lvl w:ilvl="0">
      <w:lvlJc w:val="left"/>
      <w:lvlText w:val="(%1)"/>
      <w:numFmt w:val="upperLetter"/>
      <w:start w:val="1"/>
    </w:lvl>
  </w:abstractNum>
  <w:abstractNum w:abstractNumId="447">
    <w:nsid w:val="76DEE918"/>
    <w:multiLevelType w:val="hybridMultilevel"/>
    <w:lvl w:ilvl="0">
      <w:lvlJc w:val="left"/>
      <w:lvlText w:val="(%1)"/>
      <w:numFmt w:val="upperLetter"/>
      <w:start w:val="2"/>
    </w:lvl>
  </w:abstractNum>
  <w:abstractNum w:abstractNumId="448">
    <w:nsid w:val="B79D08D"/>
    <w:multiLevelType w:val="hybridMultilevel"/>
    <w:lvl w:ilvl="0">
      <w:lvlJc w:val="left"/>
      <w:lvlText w:val="(%1)"/>
      <w:numFmt w:val="upperLetter"/>
      <w:start w:val="3"/>
    </w:lvl>
  </w:abstractNum>
  <w:abstractNum w:abstractNumId="449">
    <w:nsid w:val="69141769"/>
    <w:multiLevelType w:val="hybridMultilevel"/>
    <w:lvl w:ilvl="0">
      <w:lvlJc w:val="left"/>
      <w:lvlText w:val="(%1)"/>
      <w:numFmt w:val="upperLetter"/>
      <w:start w:val="4"/>
    </w:lvl>
  </w:abstractNum>
  <w:abstractNum w:abstractNumId="450">
    <w:nsid w:val="7BF45B8E"/>
    <w:multiLevelType w:val="hybridMultilevel"/>
    <w:lvl w:ilvl="0">
      <w:lvlJc w:val="left"/>
      <w:lvlText w:val="(%1)"/>
      <w:numFmt w:val="upperLetter"/>
      <w:start w:val="5"/>
    </w:lvl>
  </w:abstractNum>
  <w:abstractNum w:abstractNumId="451">
    <w:nsid w:val="41205269"/>
    <w:multiLevelType w:val="hybridMultilevel"/>
    <w:lvl w:ilvl="0">
      <w:lvlJc w:val="left"/>
      <w:lvlText w:val="1"/>
      <w:numFmt w:val="bullet"/>
      <w:start w:val="1"/>
    </w:lvl>
  </w:abstractNum>
  <w:abstractNum w:abstractNumId="452">
    <w:nsid w:val="9AE0DD"/>
    <w:multiLevelType w:val="hybridMultilevel"/>
    <w:lvl w:ilvl="0">
      <w:lvlJc w:val="left"/>
      <w:lvlText w:val="(%1)"/>
      <w:numFmt w:val="lowerLetter"/>
      <w:start w:val="2"/>
    </w:lvl>
  </w:abstractNum>
  <w:abstractNum w:abstractNumId="453">
    <w:nsid w:val="1818832F"/>
    <w:multiLevelType w:val="hybridMultilevel"/>
    <w:lvl w:ilvl="0">
      <w:lvlJc w:val="left"/>
      <w:lvlText w:val="1"/>
      <w:numFmt w:val="bullet"/>
      <w:start w:val="1"/>
    </w:lvl>
  </w:abstractNum>
  <w:abstractNum w:abstractNumId="454">
    <w:nsid w:val="24C29FD1"/>
    <w:multiLevelType w:val="hybridMultilevel"/>
    <w:lvl w:ilvl="0">
      <w:lvlJc w:val="left"/>
      <w:lvlText w:val="2"/>
      <w:numFmt w:val="bullet"/>
      <w:start w:val="1"/>
    </w:lvl>
  </w:abstractNum>
  <w:abstractNum w:abstractNumId="455">
    <w:nsid w:val="50528108"/>
    <w:multiLevelType w:val="hybridMultilevel"/>
    <w:lvl w:ilvl="0">
      <w:lvlJc w:val="left"/>
      <w:lvlText w:val="3"/>
      <w:numFmt w:val="bullet"/>
      <w:start w:val="1"/>
    </w:lvl>
  </w:abstractNum>
  <w:abstractNum w:abstractNumId="456">
    <w:nsid w:val="21857A57"/>
    <w:multiLevelType w:val="hybridMultilevel"/>
    <w:lvl w:ilvl="0">
      <w:lvlJc w:val="left"/>
      <w:lvlText w:val="(%1)"/>
      <w:numFmt w:val="upperLetter"/>
      <w:start w:val="1"/>
    </w:lvl>
  </w:abstractNum>
  <w:abstractNum w:abstractNumId="457">
    <w:nsid w:val="5FD4B154"/>
    <w:multiLevelType w:val="hybridMultilevel"/>
    <w:lvl w:ilvl="0">
      <w:lvlJc w:val="left"/>
      <w:lvlText w:val="4"/>
      <w:numFmt w:val="bullet"/>
      <w:start w:val="1"/>
    </w:lvl>
  </w:abstractNum>
  <w:abstractNum w:abstractNumId="458">
    <w:nsid w:val="4ABE597"/>
    <w:multiLevelType w:val="hybridMultilevel"/>
    <w:lvl w:ilvl="0">
      <w:lvlJc w:val="left"/>
      <w:lvlText w:val="5"/>
      <w:numFmt w:val="bullet"/>
      <w:start w:val="1"/>
    </w:lvl>
  </w:abstractNum>
  <w:abstractNum w:abstractNumId="459">
    <w:nsid w:val="5C64AD75"/>
    <w:multiLevelType w:val="hybridMultilevel"/>
    <w:lvl w:ilvl="0">
      <w:lvlJc w:val="left"/>
      <w:lvlText w:val="6"/>
      <w:numFmt w:val="bullet"/>
      <w:start w:val="1"/>
    </w:lvl>
  </w:abstractNum>
  <w:abstractNum w:abstractNumId="460">
    <w:nsid w:val="2CDD5B39"/>
    <w:multiLevelType w:val="hybridMultilevel"/>
    <w:lvl w:ilvl="0">
      <w:lvlJc w:val="left"/>
      <w:lvlText w:val="7"/>
      <w:numFmt w:val="bullet"/>
      <w:start w:val="1"/>
    </w:lvl>
  </w:abstractNum>
  <w:abstractNum w:abstractNumId="461">
    <w:nsid w:val="6F9EA0D1"/>
    <w:multiLevelType w:val="hybridMultilevel"/>
    <w:lvl w:ilvl="0">
      <w:lvlJc w:val="left"/>
      <w:lvlText w:val="8"/>
      <w:numFmt w:val="bullet"/>
      <w:start w:val="1"/>
    </w:lvl>
  </w:abstractNum>
  <w:abstractNum w:abstractNumId="462">
    <w:nsid w:val="247FC4AE"/>
    <w:multiLevelType w:val="hybridMultilevel"/>
    <w:lvl w:ilvl="0">
      <w:lvlJc w:val="left"/>
      <w:lvlText w:val="9"/>
      <w:numFmt w:val="bullet"/>
      <w:start w:val="1"/>
    </w:lvl>
  </w:abstractNum>
  <w:abstractNum w:abstractNumId="463">
    <w:nsid w:val="46C01B05"/>
    <w:multiLevelType w:val="hybridMultilevel"/>
    <w:lvl w:ilvl="0">
      <w:lvlJc w:val="left"/>
      <w:lvlText w:val="%1"/>
      <w:numFmt w:val="decimal"/>
      <w:start w:val="10"/>
    </w:lvl>
  </w:abstractNum>
  <w:abstractNum w:abstractNumId="464">
    <w:nsid w:val="566EC29B"/>
    <w:multiLevelType w:val="hybridMultilevel"/>
    <w:lvl w:ilvl="0">
      <w:lvlJc w:val="left"/>
      <w:lvlText w:val="A"/>
      <w:numFmt w:val="bullet"/>
      <w:start w:val="1"/>
    </w:lvl>
  </w:abstractNum>
  <w:abstractNum w:abstractNumId="465">
    <w:nsid w:val="7A963843"/>
    <w:multiLevelType w:val="hybridMultilevel"/>
    <w:lvl w:ilvl="0">
      <w:lvlJc w:val="left"/>
      <w:lvlText w:val="B"/>
      <w:numFmt w:val="bullet"/>
      <w:start w:val="1"/>
    </w:lvl>
  </w:abstractNum>
  <w:abstractNum w:abstractNumId="466">
    <w:nsid w:val="4FE12F61"/>
    <w:multiLevelType w:val="hybridMultilevel"/>
    <w:lvl w:ilvl="0">
      <w:lvlJc w:val="left"/>
      <w:lvlText w:val="E"/>
      <w:numFmt w:val="bullet"/>
      <w:start w:val="1"/>
    </w:lvl>
  </w:abstractNum>
  <w:abstractNum w:abstractNumId="467">
    <w:nsid w:val="51A3A284"/>
    <w:multiLevelType w:val="hybridMultilevel"/>
    <w:lvl w:ilvl="0">
      <w:lvlJc w:val="left"/>
      <w:lvlText w:val="F"/>
      <w:numFmt w:val="bullet"/>
      <w:start w:val="1"/>
    </w:lvl>
  </w:abstractNum>
  <w:abstractNum w:abstractNumId="468">
    <w:nsid w:val="376863BC"/>
    <w:multiLevelType w:val="hybridMultilevel"/>
    <w:lvl w:ilvl="0">
      <w:lvlJc w:val="left"/>
      <w:lvlText w:val="G"/>
      <w:numFmt w:val="bullet"/>
      <w:start w:val="1"/>
    </w:lvl>
  </w:abstractNum>
  <w:abstractNum w:abstractNumId="469">
    <w:nsid w:val="118C6C0"/>
    <w:multiLevelType w:val="hybridMultilevel"/>
    <w:lvl w:ilvl="0">
      <w:lvlJc w:val="left"/>
      <w:lvlText w:val="(%1)"/>
      <w:numFmt w:val="lowerLetter"/>
      <w:start w:val="2"/>
    </w:lvl>
  </w:abstractNum>
  <w:abstractNum w:abstractNumId="470">
    <w:nsid w:val="7F7E4A15"/>
    <w:multiLevelType w:val="hybridMultilevel"/>
    <w:lvl w:ilvl="0">
      <w:lvlJc w:val="left"/>
      <w:lvlText w:val="(%1)"/>
      <w:numFmt w:val="lowerLetter"/>
      <w:start w:val="3"/>
    </w:lvl>
  </w:abstractNum>
  <w:abstractNum w:abstractNumId="471">
    <w:nsid w:val="2E8E9F47"/>
    <w:multiLevelType w:val="hybridMultilevel"/>
    <w:lvl w:ilvl="0">
      <w:lvlJc w:val="left"/>
      <w:lvlText w:val="(%1)"/>
      <w:numFmt w:val="lowerRoman"/>
      <w:start w:val="5"/>
    </w:lvl>
  </w:abstractNum>
  <w:abstractNum w:abstractNumId="472">
    <w:nsid w:val="76742596"/>
    <w:multiLevelType w:val="hybridMultilevel"/>
    <w:lvl w:ilvl="0">
      <w:lvlJc w:val="left"/>
      <w:lvlText w:val="(%1)"/>
      <w:numFmt w:val="lowerRoman"/>
      <w:start w:val="2"/>
    </w:lvl>
  </w:abstractNum>
  <w:abstractNum w:abstractNumId="473">
    <w:nsid w:val="CB55FF3"/>
    <w:multiLevelType w:val="hybridMultilevel"/>
    <w:lvl w:ilvl="0">
      <w:lvlJc w:val="left"/>
      <w:lvlText w:val="(%1)"/>
      <w:numFmt w:val="lowerLetter"/>
      <w:start w:val="6"/>
    </w:lvl>
  </w:abstractNum>
  <w:abstractNum w:abstractNumId="474">
    <w:nsid w:val="21DF319E"/>
    <w:multiLevelType w:val="hybridMultilevel"/>
    <w:lvl w:ilvl="0">
      <w:lvlJc w:val="left"/>
      <w:lvlText w:val="(%1)"/>
      <w:numFmt w:val="lowerLetter"/>
      <w:start w:val="2"/>
    </w:lvl>
  </w:abstractNum>
  <w:abstractNum w:abstractNumId="475">
    <w:nsid w:val="6687F34D"/>
    <w:multiLevelType w:val="hybridMultilevel"/>
    <w:lvl w:ilvl="0">
      <w:lvlJc w:val="left"/>
      <w:lvlText w:val="(%1)"/>
      <w:numFmt w:val="lowerLetter"/>
      <w:start w:val="2"/>
    </w:lvl>
  </w:abstractNum>
  <w:abstractNum w:abstractNumId="476">
    <w:nsid w:val="25415B0C"/>
    <w:multiLevelType w:val="hybridMultilevel"/>
    <w:lvl w:ilvl="0">
      <w:lvlJc w:val="left"/>
      <w:lvlText w:val="(%1)"/>
      <w:numFmt w:val="upperLetter"/>
      <w:start w:val="1"/>
    </w:lvl>
  </w:abstractNum>
  <w:abstractNum w:abstractNumId="477">
    <w:nsid w:val="17CFC87D"/>
    <w:multiLevelType w:val="hybridMultilevel"/>
    <w:lvl w:ilvl="0">
      <w:lvlJc w:val="left"/>
      <w:lvlText w:val="%1"/>
      <w:numFmt w:val="lowerRoman"/>
      <w:start w:val="1"/>
    </w:lvl>
    <w:lvl w:ilvl="1">
      <w:lvlJc w:val="left"/>
      <w:lvlText w:val="(%2)"/>
      <w:numFmt w:val="lowerLetter"/>
      <w:start w:val="1"/>
    </w:lvl>
  </w:abstractNum>
  <w:abstractNum w:abstractNumId="478">
    <w:nsid w:val="5D66DC65"/>
    <w:multiLevelType w:val="hybridMultilevel"/>
    <w:lvl w:ilvl="0">
      <w:lvlJc w:val="left"/>
      <w:lvlText w:val="(%1)"/>
      <w:numFmt w:val="lowerRoman"/>
      <w:start w:val="4"/>
    </w:lvl>
    <w:lvl w:ilvl="1">
      <w:lvlJc w:val="left"/>
      <w:lvlText w:val="(%2)"/>
      <w:numFmt w:val="lowerLetter"/>
      <w:start w:val="2"/>
    </w:lvl>
  </w:abstractNum>
  <w:abstractNum w:abstractNumId="479">
    <w:nsid w:val="30BB2B99"/>
    <w:multiLevelType w:val="hybridMultilevel"/>
    <w:lvl w:ilvl="0">
      <w:lvlJc w:val="left"/>
      <w:lvlText w:val="(%1)"/>
      <w:numFmt w:val="lowerLetter"/>
      <w:start w:val="3"/>
    </w:lvl>
  </w:abstractNum>
  <w:abstractNum w:abstractNumId="480">
    <w:nsid w:val="E3DFE6"/>
    <w:multiLevelType w:val="hybridMultilevel"/>
    <w:lvl w:ilvl="0">
      <w:lvlJc w:val="left"/>
      <w:lvlText w:val="%1"/>
      <w:numFmt w:val="lowerRoman"/>
      <w:start w:val="1"/>
    </w:lvl>
    <w:lvl w:ilvl="1">
      <w:lvlJc w:val="left"/>
      <w:lvlText w:val="(%2)"/>
      <w:numFmt w:val="lowerLetter"/>
      <w:start w:val="10"/>
    </w:lvl>
  </w:abstractNum>
  <w:abstractNum w:abstractNumId="481">
    <w:nsid w:val="595B37F3"/>
    <w:multiLevelType w:val="hybridMultilevel"/>
    <w:lvl w:ilvl="0">
      <w:lvlJc w:val="left"/>
      <w:lvlText w:val="(%1)"/>
      <w:numFmt w:val="lowerRoman"/>
      <w:start w:val="4"/>
    </w:lvl>
    <w:lvl w:ilvl="1">
      <w:lvlJc w:val="left"/>
      <w:lvlText w:val="%2"/>
      <w:numFmt w:val="lowerLetter"/>
      <w:start w:val="1"/>
    </w:lvl>
  </w:abstractNum>
  <w:abstractNum w:abstractNumId="482">
    <w:nsid w:val="71DB7E02"/>
    <w:multiLevelType w:val="hybridMultilevel"/>
    <w:lvl w:ilvl="0">
      <w:lvlJc w:val="left"/>
      <w:lvlText w:val="(%1)"/>
      <w:numFmt w:val="lowerRoman"/>
      <w:start w:val="10"/>
    </w:lvl>
    <w:lvl w:ilvl="1">
      <w:lvlJc w:val="left"/>
      <w:lvlText w:val="(%2)"/>
      <w:numFmt w:val="lowerLetter"/>
      <w:start w:val="18"/>
    </w:lvl>
  </w:abstractNum>
  <w:abstractNum w:abstractNumId="483">
    <w:nsid w:val="17EC0C4"/>
    <w:multiLevelType w:val="hybridMultilevel"/>
    <w:lvl w:ilvl="0">
      <w:lvlJc w:val="left"/>
      <w:lvlText w:val="(%1)"/>
      <w:numFmt w:val="lowerLetter"/>
      <w:start w:val="20"/>
    </w:lvl>
  </w:abstractNum>
  <w:abstractNum w:abstractNumId="484">
    <w:nsid w:val="7173BB22"/>
    <w:multiLevelType w:val="hybridMultilevel"/>
    <w:lvl w:ilvl="0">
      <w:lvlJc w:val="left"/>
      <w:lvlText w:val="(%1)"/>
      <w:numFmt w:val="lowerLetter"/>
      <w:start w:val="24"/>
    </w:lvl>
  </w:abstractNum>
  <w:abstractNum w:abstractNumId="485">
    <w:nsid w:val="169E1DD3"/>
    <w:multiLevelType w:val="hybridMultilevel"/>
    <w:lvl w:ilvl="0">
      <w:lvlJc w:val="left"/>
      <w:lvlText w:val="(%1)"/>
      <w:numFmt w:val="lowerLetter"/>
      <w:start w:val="2"/>
    </w:lvl>
  </w:abstractNum>
  <w:abstractNum w:abstractNumId="486">
    <w:nsid w:val="51D141CC"/>
    <w:multiLevelType w:val="hybridMultilevel"/>
    <w:lvl w:ilvl="0">
      <w:lvlJc w:val="left"/>
      <w:lvlText w:val="(%1)"/>
      <w:numFmt w:val="lowerLetter"/>
      <w:start w:val="2"/>
    </w:lvl>
  </w:abstractNum>
  <w:abstractNum w:abstractNumId="487">
    <w:nsid w:val="12F9357A"/>
    <w:multiLevelType w:val="hybridMultilevel"/>
    <w:lvl w:ilvl="0">
      <w:lvlJc w:val="left"/>
      <w:lvlText w:val="%1"/>
      <w:numFmt w:val="lowerLetter"/>
      <w:start w:val="1"/>
    </w:lvl>
    <w:lvl w:ilvl="1">
      <w:lvlJc w:val="left"/>
      <w:lvlText w:val="(%2)"/>
      <w:numFmt w:val="lowerLetter"/>
      <w:start w:val="2"/>
    </w:lvl>
  </w:abstractNum>
  <w:abstractNum w:abstractNumId="488">
    <w:nsid w:val="7672CF28"/>
    <w:multiLevelType w:val="hybridMultilevel"/>
    <w:lvl w:ilvl="0">
      <w:lvlJc w:val="left"/>
      <w:lvlText w:val="(%1)"/>
      <w:numFmt w:val="lowerLetter"/>
      <w:start w:val="9"/>
    </w:lvl>
    <w:lvl w:ilvl="1">
      <w:lvlJc w:val="left"/>
      <w:lvlText w:val="%2"/>
      <w:numFmt w:val="lowerLetter"/>
      <w:start w:val="1"/>
    </w:lvl>
  </w:abstractNum>
  <w:abstractNum w:abstractNumId="489">
    <w:nsid w:val="567D2763"/>
    <w:multiLevelType w:val="hybridMultilevel"/>
    <w:lvl w:ilvl="0">
      <w:lvlJc w:val="left"/>
      <w:lvlText w:val="(%1)"/>
      <w:numFmt w:val="lowerLetter"/>
      <w:start w:val="61"/>
    </w:lvl>
    <w:lvl w:ilvl="1">
      <w:lvlJc w:val="left"/>
      <w:lvlText w:val="%2"/>
      <w:numFmt w:val="lowerLetter"/>
      <w:start w:val="1"/>
    </w:lvl>
  </w:abstractNum>
  <w:abstractNum w:abstractNumId="490">
    <w:nsid w:val="6F5DE2EF"/>
    <w:multiLevelType w:val="hybridMultilevel"/>
    <w:lvl w:ilvl="0">
      <w:lvlJc w:val="left"/>
      <w:lvlText w:val="(%1)"/>
      <w:numFmt w:val="lowerLetter"/>
      <w:start w:val="22"/>
    </w:lvl>
    <w:lvl w:ilvl="1">
      <w:lvlJc w:val="left"/>
      <w:lvlText w:val="(%2)"/>
      <w:numFmt w:val="lowerLetter"/>
      <w:start w:val="3"/>
    </w:lvl>
  </w:abstractNum>
  <w:abstractNum w:abstractNumId="491">
    <w:nsid w:val="23502A61"/>
    <w:multiLevelType w:val="hybridMultilevel"/>
    <w:lvl w:ilvl="0">
      <w:lvlJc w:val="left"/>
      <w:lvlText w:val="(%1)"/>
      <w:numFmt w:val="lowerLetter"/>
      <w:start w:val="1"/>
    </w:lvl>
  </w:abstractNum>
  <w:abstractNum w:abstractNumId="492">
    <w:nsid w:val="461BC834"/>
    <w:multiLevelType w:val="hybridMultilevel"/>
    <w:lvl w:ilvl="0">
      <w:lvlJc w:val="left"/>
      <w:lvlText w:val="(%1)"/>
      <w:numFmt w:val="lowerLetter"/>
      <w:start w:val="2"/>
    </w:lvl>
  </w:abstractNum>
  <w:abstractNum w:abstractNumId="493">
    <w:nsid w:val="13DDA79D"/>
    <w:multiLevelType w:val="hybridMultilevel"/>
    <w:lvl w:ilvl="0">
      <w:lvlJc w:val="left"/>
      <w:lvlText w:val="(%1)"/>
      <w:numFmt w:val="lowerLetter"/>
      <w:start w:val="2"/>
    </w:lvl>
  </w:abstractNum>
  <w:abstractNum w:abstractNumId="494">
    <w:nsid w:val="6A104566"/>
    <w:multiLevelType w:val="hybridMultilevel"/>
    <w:lvl w:ilvl="0">
      <w:lvlJc w:val="left"/>
      <w:lvlText w:val="(%1)"/>
      <w:numFmt w:val="lowerRoman"/>
      <w:start w:val="2"/>
    </w:lvl>
  </w:abstractNum>
  <w:abstractNum w:abstractNumId="495">
    <w:nsid w:val="1C8A8ACF"/>
    <w:multiLevelType w:val="hybridMultilevel"/>
    <w:lvl w:ilvl="0">
      <w:lvlJc w:val="left"/>
      <w:lvlText w:val="(%1)"/>
      <w:numFmt w:val="decimal"/>
      <w:start w:val="1"/>
    </w:lvl>
    <w:lvl w:ilvl="1">
      <w:lvlJc w:val="left"/>
      <w:lvlText w:val="(%2)"/>
      <w:numFmt w:val="lowerLetter"/>
      <w:start w:val="2"/>
    </w:lvl>
  </w:abstractNum>
  <w:abstractNum w:abstractNumId="496">
    <w:nsid w:val="E73DFE0"/>
    <w:multiLevelType w:val="hybridMultilevel"/>
    <w:lvl w:ilvl="0">
      <w:lvlJc w:val="left"/>
      <w:lvlText w:val="%1"/>
      <w:numFmt w:val="lowerLetter"/>
      <w:start w:val="1"/>
    </w:lvl>
    <w:lvl w:ilvl="1">
      <w:lvlJc w:val="left"/>
      <w:lvlText w:val="(%2)"/>
      <w:numFmt w:val="lowerLetter"/>
      <w:start w:val="3"/>
    </w:lvl>
  </w:abstractNum>
  <w:abstractNum w:abstractNumId="497">
    <w:nsid w:val="39F174C7"/>
    <w:multiLevelType w:val="hybridMultilevel"/>
    <w:lvl w:ilvl="0">
      <w:lvlJc w:val="left"/>
      <w:lvlText w:val="(%1)"/>
      <w:numFmt w:val="lowerLetter"/>
      <w:start w:val="9"/>
    </w:lvl>
    <w:lvl w:ilvl="1">
      <w:lvlJc w:val="left"/>
      <w:lvlText w:val="(%2)"/>
      <w:numFmt w:val="lowerLetter"/>
      <w:start w:val="4"/>
    </w:lvl>
  </w:abstractNum>
  <w:abstractNum w:abstractNumId="498">
    <w:nsid w:val="6E2E2D53"/>
    <w:multiLevelType w:val="hybridMultilevel"/>
    <w:lvl w:ilvl="0">
      <w:lvlJc w:val="left"/>
      <w:lvlText w:val="(%1)"/>
      <w:numFmt w:val="lowerLetter"/>
      <w:start w:val="35"/>
    </w:lvl>
    <w:lvl w:ilvl="1">
      <w:lvlJc w:val="left"/>
      <w:lvlText w:val="%2"/>
      <w:numFmt w:val="lowerLetter"/>
      <w:start w:val="1"/>
    </w:lvl>
  </w:abstractNum>
  <w:abstractNum w:abstractNumId="499">
    <w:nsid w:val="45DC439D"/>
    <w:multiLevelType w:val="hybridMultilevel"/>
    <w:lvl w:ilvl="0">
      <w:lvlJc w:val="left"/>
      <w:lvlText w:val="(%1)"/>
      <w:numFmt w:val="lowerLetter"/>
      <w:start w:val="6"/>
    </w:lvl>
  </w:abstractNum>
  <w:abstractNum w:abstractNumId="500">
    <w:nsid w:val="3B0A3B87"/>
    <w:multiLevelType w:val="hybridMultilevel"/>
    <w:lvl w:ilvl="0">
      <w:lvlJc w:val="left"/>
      <w:lvlText w:val="(%1)"/>
      <w:numFmt w:val="lowerLetter"/>
      <w:start w:val="2"/>
    </w:lvl>
  </w:abstractNum>
  <w:abstractNum w:abstractNumId="501">
    <w:nsid w:val="6DAC7768"/>
    <w:multiLevelType w:val="hybridMultilevel"/>
    <w:lvl w:ilvl="0">
      <w:lvlJc w:val="left"/>
      <w:lvlText w:val="(%1)"/>
      <w:numFmt w:val="lowerLetter"/>
      <w:start w:val="2"/>
    </w:lvl>
  </w:abstractNum>
  <w:abstractNum w:abstractNumId="502">
    <w:nsid w:val="746AE2E4"/>
    <w:multiLevelType w:val="hybridMultilevel"/>
    <w:lvl w:ilvl="0">
      <w:lvlJc w:val="left"/>
      <w:lvlText w:val="(%1)"/>
      <w:numFmt w:val="lowerLetter"/>
      <w:start w:val="2"/>
    </w:lvl>
  </w:abstractNum>
  <w:abstractNum w:abstractNumId="503">
    <w:nsid w:val="317E611D"/>
    <w:multiLevelType w:val="hybridMultilevel"/>
    <w:lvl w:ilvl="0">
      <w:lvlJc w:val="left"/>
      <w:lvlText w:val="(%1)"/>
      <w:numFmt w:val="lowerLetter"/>
      <w:start w:val="6"/>
    </w:lvl>
  </w:abstractNum>
  <w:abstractNum w:abstractNumId="504">
    <w:nsid w:val="7A61D75B"/>
    <w:multiLevelType w:val="hybridMultilevel"/>
    <w:lvl w:ilvl="0">
      <w:lvlJc w:val="left"/>
      <w:lvlText w:val="(%1)"/>
      <w:numFmt w:val="lowerLetter"/>
      <w:start w:val="2"/>
    </w:lvl>
  </w:abstractNum>
  <w:abstractNum w:abstractNumId="505">
    <w:nsid w:val="164A1482"/>
    <w:multiLevelType w:val="hybridMultilevel"/>
    <w:lvl w:ilvl="0">
      <w:lvlJc w:val="left"/>
      <w:lvlText w:val="(%1)"/>
      <w:numFmt w:val="lowerRoman"/>
      <w:start w:val="1"/>
    </w:lvl>
  </w:abstractNum>
  <w:abstractNum w:abstractNumId="506">
    <w:nsid w:val="1806546B"/>
    <w:multiLevelType w:val="hybridMultilevel"/>
    <w:lvl w:ilvl="0">
      <w:lvlJc w:val="left"/>
      <w:lvlText w:val="(%1)"/>
      <w:numFmt w:val="lowerLetter"/>
      <w:start w:val="2"/>
    </w:lvl>
  </w:abstractNum>
  <w:abstractNum w:abstractNumId="507">
    <w:nsid w:val="1FA33267"/>
    <w:multiLevelType w:val="hybridMultilevel"/>
    <w:lvl w:ilvl="0">
      <w:lvlJc w:val="left"/>
      <w:lvlText w:val="%1"/>
      <w:numFmt w:val="lowerLetter"/>
      <w:start w:val="1"/>
    </w:lvl>
    <w:lvl w:ilvl="1">
      <w:lvlJc w:val="left"/>
      <w:lvlText w:val="(%2)"/>
      <w:numFmt w:val="lowerLetter"/>
      <w:start w:val="2"/>
    </w:lvl>
  </w:abstractNum>
  <w:abstractNum w:abstractNumId="508">
    <w:nsid w:val="2E19DD00"/>
    <w:multiLevelType w:val="hybridMultilevel"/>
    <w:lvl w:ilvl="0">
      <w:lvlJc w:val="left"/>
      <w:lvlText w:val="(%1)"/>
      <w:numFmt w:val="lowerLetter"/>
      <w:start w:val="9"/>
    </w:lvl>
    <w:lvl w:ilvl="1">
      <w:lvlJc w:val="left"/>
      <w:lvlText w:val="(%2)"/>
      <w:numFmt w:val="lowerLetter"/>
      <w:start w:val="5"/>
    </w:lvl>
  </w:abstractNum>
  <w:abstractNum w:abstractNumId="509">
    <w:nsid w:val="756D30D0"/>
    <w:multiLevelType w:val="hybridMultilevel"/>
    <w:lvl w:ilvl="0">
      <w:lvlJc w:val="left"/>
      <w:lvlText w:val="(%1)"/>
      <w:numFmt w:val="lowerLetter"/>
      <w:start w:val="6"/>
    </w:lvl>
  </w:abstractNum>
  <w:abstractNum w:abstractNumId="510">
    <w:nsid w:val="505E5E01"/>
    <w:multiLevelType w:val="hybridMultilevel"/>
    <w:lvl w:ilvl="0">
      <w:lvlJc w:val="left"/>
      <w:lvlText w:val="(%1)"/>
      <w:numFmt w:val="lowerRoman"/>
      <w:start w:val="1"/>
    </w:lvl>
  </w:abstractNum>
  <w:abstractNum w:abstractNumId="511">
    <w:nsid w:val="2EFDBCE6"/>
    <w:multiLevelType w:val="hybridMultilevel"/>
    <w:lvl w:ilvl="0">
      <w:lvlJc w:val="left"/>
      <w:lvlText w:val="(%1)"/>
      <w:numFmt w:val="lowerLetter"/>
      <w:start w:val="2"/>
    </w:lvl>
  </w:abstractNum>
  <w:abstractNum w:abstractNumId="512">
    <w:nsid w:val="4EC868C4"/>
    <w:multiLevelType w:val="hybridMultilevel"/>
    <w:lvl w:ilvl="0">
      <w:lvlJc w:val="left"/>
      <w:lvlText w:val="(%1)"/>
      <w:numFmt w:val="lowerLetter"/>
      <w:start w:val="3"/>
    </w:lvl>
  </w:abstractNum>
  <w:abstractNum w:abstractNumId="513">
    <w:nsid w:val="4239DC03"/>
    <w:multiLevelType w:val="hybridMultilevel"/>
    <w:lvl w:ilvl="0">
      <w:lvlJc w:val="left"/>
      <w:lvlText w:val="(%1)"/>
      <w:numFmt w:val="lowerLetter"/>
      <w:start w:val="2"/>
    </w:lvl>
  </w:abstractNum>
  <w:abstractNum w:abstractNumId="514">
    <w:nsid w:val="307C7DAA"/>
    <w:multiLevelType w:val="hybridMultilevel"/>
    <w:lvl w:ilvl="0">
      <w:lvlJc w:val="left"/>
      <w:lvlText w:val="(%1)"/>
      <w:numFmt w:val="lowerLetter"/>
      <w:start w:val="5"/>
    </w:lvl>
  </w:abstractNum>
  <w:abstractNum w:abstractNumId="515">
    <w:nsid w:val="403C23E6"/>
    <w:multiLevelType w:val="hybridMultilevel"/>
    <w:lvl w:ilvl="0">
      <w:lvlJc w:val="left"/>
      <w:lvlText w:val="(%1)"/>
      <w:numFmt w:val="lowerRoman"/>
      <w:start w:val="1"/>
    </w:lvl>
  </w:abstractNum>
  <w:abstractNum w:abstractNumId="516">
    <w:nsid w:val="58D7F9D7"/>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517">
    <w:nsid w:val="24DBF76"/>
    <w:multiLevelType w:val="hybridMultilevel"/>
    <w:lvl w:ilvl="0">
      <w:lvlJc w:val="left"/>
      <w:lvlText w:val="(%1)"/>
      <w:numFmt w:val="lowerLetter"/>
      <w:start w:val="25"/>
    </w:lvl>
    <w:lvl w:ilvl="1">
      <w:lvlJc w:val="left"/>
      <w:lvlText w:val="(%2)"/>
      <w:numFmt w:val="lowerRoman"/>
      <w:start w:val="4"/>
    </w:lvl>
    <w:lvl w:ilvl="2">
      <w:lvlJc w:val="left"/>
      <w:lvlText w:val="(%3)"/>
      <w:numFmt w:val="upperLetter"/>
      <w:start w:val="2"/>
    </w:lvl>
    <w:lvl w:ilvl="3">
      <w:lvlJc w:val="left"/>
      <w:lvlText w:val="%4"/>
      <w:numFmt w:val="decimal"/>
      <w:start w:val="1"/>
    </w:lvl>
  </w:abstractNum>
  <w:abstractNum w:abstractNumId="518">
    <w:nsid w:val="5335596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19">
    <w:nsid w:val="4F4AC8FF"/>
    <w:multiLevelType w:val="hybridMultilevel"/>
    <w:lvl w:ilvl="0">
      <w:lvlJc w:val="left"/>
      <w:lvlText w:val="(%1)"/>
      <w:numFmt w:val="lowerRoman"/>
      <w:start w:val="6"/>
    </w:lvl>
  </w:abstractNum>
  <w:abstractNum w:abstractNumId="520">
    <w:nsid w:val="58CAE6D9"/>
    <w:multiLevelType w:val="hybridMultilevel"/>
    <w:lvl w:ilvl="0">
      <w:lvlJc w:val="left"/>
      <w:lvlText w:val="(%1)"/>
      <w:numFmt w:val="lowerRoman"/>
      <w:start w:val="7"/>
    </w:lvl>
  </w:abstractNum>
  <w:abstractNum w:abstractNumId="521">
    <w:nsid w:val="42933C4F"/>
    <w:multiLevelType w:val="hybridMultilevel"/>
    <w:lvl w:ilvl="0">
      <w:lvlJc w:val="left"/>
      <w:lvlText w:val="(%1)"/>
      <w:numFmt w:val="lowerLetter"/>
      <w:start w:val="6"/>
    </w:lvl>
  </w:abstractNum>
  <w:abstractNum w:abstractNumId="522">
    <w:nsid w:val="729AF360"/>
    <w:multiLevelType w:val="hybridMultilevel"/>
    <w:lvl w:ilvl="0">
      <w:lvlJc w:val="left"/>
      <w:lvlText w:val="(%1)"/>
      <w:numFmt w:val="lowerLetter"/>
      <w:start w:val="35"/>
    </w:lvl>
    <w:lvl w:ilvl="1">
      <w:lvlJc w:val="left"/>
      <w:lvlText w:val="(%2)"/>
      <w:numFmt w:val="lowerLetter"/>
      <w:start w:val="8"/>
    </w:lvl>
  </w:abstractNum>
  <w:abstractNum w:abstractNumId="523">
    <w:nsid w:val="1EE6AF0D"/>
    <w:multiLevelType w:val="hybridMultilevel"/>
    <w:lvl w:ilvl="0">
      <w:lvlJc w:val="left"/>
      <w:lvlText w:val="(%1)"/>
      <w:numFmt w:val="lowerLetter"/>
      <w:start w:val="1"/>
    </w:lvl>
  </w:abstractNum>
  <w:abstractNum w:abstractNumId="524">
    <w:nsid w:val="5670E3ED"/>
    <w:multiLevelType w:val="hybridMultilevel"/>
    <w:lvl w:ilvl="0">
      <w:lvlJc w:val="left"/>
      <w:lvlText w:val="(%1)"/>
      <w:numFmt w:val="lowerLetter"/>
      <w:start w:val="2"/>
    </w:lvl>
  </w:abstractNum>
  <w:abstractNum w:abstractNumId="525">
    <w:nsid w:val="5CAB38C6"/>
    <w:multiLevelType w:val="hybridMultilevel"/>
    <w:lvl w:ilvl="0">
      <w:lvlJc w:val="left"/>
      <w:lvlText w:val="(%1)"/>
      <w:numFmt w:val="lowerLetter"/>
      <w:start w:val="1"/>
    </w:lvl>
  </w:abstractNum>
  <w:abstractNum w:abstractNumId="526">
    <w:nsid w:val="3B7139DD"/>
    <w:multiLevelType w:val="hybridMultilevel"/>
    <w:lvl w:ilvl="0">
      <w:lvlJc w:val="left"/>
      <w:lvlText w:val="(%1)"/>
      <w:numFmt w:val="lowerLetter"/>
      <w:start w:val="2"/>
    </w:lvl>
  </w:abstractNum>
  <w:abstractNum w:abstractNumId="527">
    <w:nsid w:val="64E4C3CD"/>
    <w:multiLevelType w:val="hybridMultilevel"/>
    <w:lvl w:ilvl="0">
      <w:lvlJc w:val="left"/>
      <w:lvlText w:val="(%1)"/>
      <w:numFmt w:val="lowerLetter"/>
      <w:start w:val="2"/>
    </w:lvl>
  </w:abstractNum>
  <w:abstractNum w:abstractNumId="528">
    <w:nsid w:val="169CAD8D"/>
    <w:multiLevelType w:val="hybridMultilevel"/>
    <w:lvl w:ilvl="0">
      <w:lvlJc w:val="left"/>
      <w:lvlText w:val="(%1)"/>
      <w:numFmt w:val="lowerLetter"/>
      <w:start w:val="1"/>
    </w:lvl>
  </w:abstractNum>
  <w:abstractNum w:abstractNumId="529">
    <w:nsid w:val="299F6730"/>
    <w:multiLevelType w:val="hybridMultilevel"/>
    <w:lvl w:ilvl="0">
      <w:lvlJc w:val="left"/>
      <w:lvlText w:val="(%1)"/>
      <w:numFmt w:val="lowerLetter"/>
      <w:start w:val="4"/>
    </w:lvl>
  </w:abstractNum>
  <w:abstractNum w:abstractNumId="530">
    <w:nsid w:val="2AC1076A"/>
    <w:multiLevelType w:val="hybridMultilevel"/>
    <w:lvl w:ilvl="0">
      <w:lvlJc w:val="left"/>
      <w:lvlText w:val="%1"/>
      <w:numFmt w:val="upperLetter"/>
      <w:start w:val="1"/>
    </w:lvl>
    <w:lvl w:ilvl="1">
      <w:lvlJc w:val="left"/>
      <w:lvlText w:val="(%2)"/>
      <w:numFmt w:val="lowerLetter"/>
      <w:start w:val="1"/>
    </w:lvl>
  </w:abstractNum>
  <w:abstractNum w:abstractNumId="531">
    <w:nsid w:val="51A6E915"/>
    <w:multiLevelType w:val="hybridMultilevel"/>
    <w:lvl w:ilvl="0">
      <w:lvlJc w:val="left"/>
      <w:lvlText w:val="(%1)"/>
      <w:numFmt w:val="upperLetter"/>
      <w:start w:val="2"/>
    </w:lvl>
    <w:lvl w:ilvl="1">
      <w:lvlJc w:val="left"/>
      <w:lvlText w:val="%2"/>
      <w:numFmt w:val="lowerLetter"/>
      <w:start w:val="1"/>
    </w:lvl>
  </w:abstractNum>
  <w:abstractNum w:abstractNumId="532">
    <w:nsid w:val="174BDE99"/>
    <w:multiLevelType w:val="hybridMultilevel"/>
    <w:lvl w:ilvl="0">
      <w:lvlJc w:val="left"/>
      <w:lvlText w:val="(%1)"/>
      <w:numFmt w:val="upperLetter"/>
      <w:start w:val="2"/>
    </w:lvl>
    <w:lvl w:ilvl="1">
      <w:lvlJc w:val="left"/>
      <w:lvlText w:val="%2"/>
      <w:numFmt w:val="lowerLetter"/>
      <w:start w:val="1"/>
    </w:lvl>
  </w:abstractNum>
  <w:abstractNum w:abstractNumId="533">
    <w:nsid w:val="1F2BEA4E"/>
    <w:multiLevelType w:val="hybridMultilevel"/>
    <w:lvl w:ilvl="0">
      <w:lvlJc w:val="left"/>
      <w:lvlText w:val="%1"/>
      <w:numFmt w:val="lowerLetter"/>
      <w:start w:val="1"/>
    </w:lvl>
    <w:lvl w:ilvl="1">
      <w:lvlJc w:val="left"/>
      <w:lvlText w:val="(%2)"/>
      <w:numFmt w:val="lowerLetter"/>
      <w:start w:val="2"/>
    </w:lvl>
  </w:abstractNum>
  <w:abstractNum w:abstractNumId="534">
    <w:nsid w:val="3254A32"/>
    <w:multiLevelType w:val="hybridMultilevel"/>
    <w:lvl w:ilvl="0">
      <w:lvlJc w:val="left"/>
      <w:lvlText w:val="(%1)"/>
      <w:numFmt w:val="lowerLetter"/>
      <w:start w:val="23"/>
    </w:lvl>
    <w:lvl w:ilvl="1">
      <w:lvlJc w:val="left"/>
      <w:lvlText w:val="(%2)"/>
      <w:numFmt w:val="lowerLetter"/>
      <w:start w:val="3"/>
    </w:lvl>
  </w:abstractNum>
  <w:abstractNum w:abstractNumId="535">
    <w:nsid w:val="11ADB5F4"/>
    <w:multiLevelType w:val="hybridMultilevel"/>
    <w:lvl w:ilvl="0">
      <w:lvlJc w:val="left"/>
      <w:lvlText w:val="(%1)"/>
      <w:numFmt w:val="lowerLetter"/>
      <w:start w:val="1"/>
    </w:lvl>
  </w:abstractNum>
  <w:abstractNum w:abstractNumId="536">
    <w:nsid w:val="3575FED1"/>
    <w:multiLevelType w:val="hybridMultilevel"/>
    <w:lvl w:ilvl="0">
      <w:lvlJc w:val="left"/>
      <w:lvlText w:val="(%1)"/>
      <w:numFmt w:val="lowerLetter"/>
      <w:start w:val="1"/>
    </w:lvl>
  </w:abstractNum>
  <w:abstractNum w:abstractNumId="537">
    <w:nsid w:val="1B2B9E9D"/>
    <w:multiLevelType w:val="hybridMultilevel"/>
    <w:lvl w:ilvl="0">
      <w:lvlJc w:val="left"/>
      <w:lvlText w:val="%1"/>
      <w:numFmt w:val="lowerLetter"/>
      <w:start w:val="1"/>
    </w:lvl>
    <w:lvl w:ilvl="1">
      <w:lvlJc w:val="left"/>
      <w:lvlText w:val="(%2)"/>
      <w:numFmt w:val="lowerLetter"/>
      <w:start w:val="1"/>
    </w:lvl>
  </w:abstractNum>
  <w:abstractNum w:abstractNumId="538">
    <w:nsid w:val="3150E85C"/>
    <w:multiLevelType w:val="hybridMultilevel"/>
    <w:lvl w:ilvl="0">
      <w:lvlJc w:val="left"/>
      <w:lvlText w:val="(%1)"/>
      <w:numFmt w:val="lowerLetter"/>
      <w:start w:val="35"/>
    </w:lvl>
    <w:lvl w:ilvl="1">
      <w:lvlJc w:val="left"/>
      <w:lvlText w:val="%2"/>
      <w:numFmt w:val="lowerLetter"/>
      <w:start w:val="1"/>
    </w:lvl>
  </w:abstractNum>
  <w:abstractNum w:abstractNumId="539">
    <w:nsid w:val="638FDBD1"/>
    <w:multiLevelType w:val="hybridMultilevel"/>
    <w:lvl w:ilvl="0">
      <w:lvlJc w:val="left"/>
      <w:lvlText w:val="(%1)"/>
      <w:numFmt w:val="lowerLetter"/>
      <w:start w:val="5"/>
    </w:lvl>
  </w:abstractNum>
  <w:abstractNum w:abstractNumId="540">
    <w:nsid w:val="1098CF6E"/>
    <w:multiLevelType w:val="hybridMultilevel"/>
    <w:lvl w:ilvl="0">
      <w:lvlJc w:val="left"/>
      <w:lvlText w:val="(%1)"/>
      <w:numFmt w:val="lowerRoman"/>
      <w:start w:val="1"/>
    </w:lvl>
  </w:abstractNum>
  <w:abstractNum w:abstractNumId="541">
    <w:nsid w:val="1AF465D"/>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542">
    <w:nsid w:val="128D98B7"/>
    <w:multiLevelType w:val="hybridMultilevel"/>
    <w:lvl w:ilvl="0">
      <w:lvlJc w:val="left"/>
      <w:lvlText w:val="%1"/>
      <w:numFmt w:val="lowerLetter"/>
      <w:start w:val="1"/>
    </w:lvl>
    <w:lvl w:ilvl="1">
      <w:lvlJc w:val="left"/>
      <w:lvlText w:val="(%2)"/>
      <w:numFmt w:val="lowerRoman"/>
      <w:start w:val="3"/>
    </w:lvl>
  </w:abstractNum>
  <w:abstractNum w:abstractNumId="543">
    <w:nsid w:val="5F613832"/>
    <w:multiLevelType w:val="hybridMultilevel"/>
    <w:lvl w:ilvl="0">
      <w:lvlJc w:val="left"/>
      <w:lvlText w:val="(%1)"/>
      <w:numFmt w:val="lowerLetter"/>
      <w:start w:val="3"/>
    </w:lvl>
    <w:lvl w:ilvl="1">
      <w:lvlJc w:val="left"/>
      <w:lvlText w:val="%2"/>
      <w:numFmt w:val="lowerRoman"/>
      <w:start w:val="1"/>
    </w:lvl>
  </w:abstractNum>
  <w:abstractNum w:abstractNumId="544">
    <w:nsid w:val="43E92260"/>
    <w:multiLevelType w:val="hybridMultilevel"/>
    <w:lvl w:ilvl="0">
      <w:lvlJc w:val="left"/>
      <w:lvlText w:val="(%1)"/>
      <w:numFmt w:val="upperLetter"/>
      <w:start w:val="1"/>
    </w:lvl>
  </w:abstractNum>
  <w:abstractNum w:abstractNumId="545">
    <w:nsid w:val="430A1662"/>
    <w:multiLevelType w:val="hybridMultilevel"/>
    <w:lvl w:ilvl="0">
      <w:lvlJc w:val="left"/>
      <w:lvlText w:val="%1"/>
      <w:numFmt w:val="upperLetter"/>
      <w:start w:val="1"/>
    </w:lvl>
    <w:lvl w:ilvl="1">
      <w:lvlJc w:val="left"/>
      <w:lvlText w:val="(%2)"/>
      <w:numFmt w:val="lowerLetter"/>
      <w:start w:val="2"/>
    </w:lvl>
  </w:abstractNum>
  <w:abstractNum w:abstractNumId="546">
    <w:nsid w:val="1F9D5C18"/>
    <w:multiLevelType w:val="hybridMultilevel"/>
    <w:lvl w:ilvl="0">
      <w:lvlJc w:val="left"/>
      <w:lvlText w:val="(%1)"/>
      <w:numFmt w:val="upperLetter"/>
      <w:start w:val="1"/>
    </w:lvl>
    <w:lvl w:ilvl="1">
      <w:lvlJc w:val="left"/>
      <w:lvlText w:val="(%2)"/>
      <w:numFmt w:val="lowerLetter"/>
      <w:start w:val="3"/>
    </w:lvl>
  </w:abstractNum>
  <w:abstractNum w:abstractNumId="547">
    <w:nsid w:val="1CC11C37"/>
    <w:multiLevelType w:val="hybridMultilevel"/>
    <w:lvl w:ilvl="0">
      <w:lvlJc w:val="left"/>
      <w:lvlText w:val="%1"/>
      <w:numFmt w:val="upperLetter"/>
      <w:start w:val="1"/>
    </w:lvl>
    <w:lvl w:ilvl="1">
      <w:lvlJc w:val="left"/>
      <w:lvlText w:val="(%2)"/>
      <w:numFmt w:val="lowerRoman"/>
      <w:start w:val="1"/>
    </w:lvl>
  </w:abstractNum>
  <w:abstractNum w:abstractNumId="548">
    <w:nsid w:val="4557D5D8"/>
    <w:multiLevelType w:val="hybridMultilevel"/>
    <w:lvl w:ilvl="0">
      <w:lvlJc w:val="left"/>
      <w:lvlText w:val="(%1)"/>
      <w:numFmt w:val="upperLetter"/>
      <w:start w:val="2"/>
    </w:lvl>
    <w:lvl w:ilvl="1">
      <w:lvlJc w:val="left"/>
      <w:lvlText w:val="%2"/>
      <w:numFmt w:val="lowerRoman"/>
      <w:start w:val="1"/>
    </w:lvl>
  </w:abstractNum>
  <w:abstractNum w:abstractNumId="549">
    <w:nsid w:val="72D2B579"/>
    <w:multiLevelType w:val="hybridMultilevel"/>
    <w:lvl w:ilvl="0">
      <w:lvlJc w:val="left"/>
      <w:lvlText w:val="(%1)"/>
      <w:numFmt w:val="lowerRoman"/>
      <w:start w:val="2"/>
    </w:lvl>
  </w:abstractNum>
  <w:abstractNum w:abstractNumId="550">
    <w:nsid w:val="6C0BE536"/>
    <w:multiLevelType w:val="hybridMultilevel"/>
    <w:lvl w:ilvl="0">
      <w:lvlJc w:val="left"/>
      <w:lvlText w:val="(%1)"/>
      <w:numFmt w:val="lowerLetter"/>
      <w:start w:val="2"/>
    </w:lvl>
  </w:abstractNum>
  <w:abstractNum w:abstractNumId="551">
    <w:nsid w:val="1E22BCB2"/>
    <w:multiLevelType w:val="hybridMultilevel"/>
    <w:lvl w:ilvl="0">
      <w:lvlJc w:val="left"/>
      <w:lvlText w:val="(%1)"/>
      <w:numFmt w:val="lowerLetter"/>
      <w:start w:val="4"/>
    </w:lvl>
  </w:abstractNum>
  <w:abstractNum w:abstractNumId="552">
    <w:nsid w:val="3565F1C8"/>
    <w:multiLevelType w:val="hybridMultilevel"/>
    <w:lvl w:ilvl="0">
      <w:lvlJc w:val="left"/>
      <w:lvlText w:val="(%1)"/>
      <w:numFmt w:val="lowerLetter"/>
      <w:start w:val="2"/>
    </w:lvl>
    <w:lvl w:ilvl="1">
      <w:lvlJc w:val="left"/>
      <w:lvlText w:val="(%2)"/>
      <w:numFmt w:val="decimal"/>
      <w:start w:val="1"/>
    </w:lvl>
  </w:abstractNum>
  <w:abstractNum w:abstractNumId="553">
    <w:nsid w:val="5EA6D896"/>
    <w:multiLevelType w:val="hybridMultilevel"/>
    <w:lvl w:ilvl="0">
      <w:lvlJc w:val="left"/>
      <w:lvlText w:val="(%1)"/>
      <w:numFmt w:val="lowerRoman"/>
      <w:start w:val="2"/>
    </w:lvl>
    <w:lvl w:ilvl="1">
      <w:lvlJc w:val="left"/>
      <w:lvlText w:val="(%2)"/>
      <w:numFmt w:val="upperLetter"/>
      <w:start w:val="1"/>
    </w:lvl>
  </w:abstractNum>
  <w:abstractNum w:abstractNumId="554">
    <w:nsid w:val="3D096BB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555">
    <w:nsid w:val="BD6D5B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556">
    <w:nsid w:val="3B52115C"/>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557">
    <w:nsid w:val="787AA59C"/>
    <w:multiLevelType w:val="hybridMultilevel"/>
    <w:lvl w:ilvl="0">
      <w:lvlJc w:val="left"/>
      <w:lvlText w:val="(%1)"/>
      <w:numFmt w:val="lowerRoman"/>
      <w:start w:val="4"/>
    </w:lvl>
  </w:abstractNum>
  <w:abstractNum w:abstractNumId="558">
    <w:nsid w:val="70BB998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59">
    <w:nsid w:val="51EEBEEA"/>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4"/>
    </w:lvl>
  </w:abstractNum>
  <w:abstractNum w:abstractNumId="560">
    <w:nsid w:val="221A0CCD"/>
    <w:multiLevelType w:val="hybridMultilevel"/>
    <w:lvl w:ilvl="0">
      <w:lvlJc w:val="left"/>
      <w:lvlText w:val="(%1)"/>
      <w:numFmt w:val="lowerLetter"/>
      <w:start w:val="5"/>
    </w:lvl>
  </w:abstractNum>
  <w:abstractNum w:abstractNumId="561">
    <w:nsid w:val="1B7CA0ED"/>
    <w:multiLevelType w:val="hybridMultilevel"/>
    <w:lvl w:ilvl="0">
      <w:lvlJc w:val="left"/>
      <w:lvlText w:val="(%1)"/>
      <w:numFmt w:val="lowerRoman"/>
      <w:start w:val="1"/>
    </w:lvl>
    <w:lvl w:ilvl="1">
      <w:lvlJc w:val="left"/>
      <w:lvlText w:val="(%2)"/>
      <w:numFmt w:val="lowerLetter"/>
      <w:start w:val="2"/>
    </w:lvl>
  </w:abstractNum>
  <w:abstractNum w:abstractNumId="562">
    <w:nsid w:val="2395A7FF"/>
    <w:multiLevelType w:val="hybridMultilevel"/>
    <w:lvl w:ilvl="0">
      <w:lvlJc w:val="left"/>
      <w:lvlText w:val="(%1)"/>
      <w:numFmt w:val="lowerLetter"/>
      <w:start w:val="1"/>
    </w:lvl>
  </w:abstractNum>
  <w:abstractNum w:abstractNumId="563">
    <w:nsid w:val="3965EB66"/>
    <w:multiLevelType w:val="hybridMultilevel"/>
    <w:lvl w:ilvl="0">
      <w:lvlJc w:val="left"/>
      <w:lvlText w:val="(%1)"/>
      <w:numFmt w:val="lowerLetter"/>
      <w:start w:val="1"/>
    </w:lvl>
  </w:abstractNum>
  <w:abstractNum w:abstractNumId="564">
    <w:nsid w:val="3AA88B3C"/>
    <w:multiLevelType w:val="hybridMultilevel"/>
    <w:lvl w:ilvl="0">
      <w:lvlJc w:val="left"/>
      <w:lvlText w:val="%1"/>
      <w:numFmt w:val="lowerLetter"/>
      <w:start w:val="1"/>
    </w:lvl>
    <w:lvl w:ilvl="1">
      <w:lvlJc w:val="left"/>
      <w:lvlText w:val="(%2)"/>
      <w:numFmt w:val="lowerLetter"/>
      <w:start w:val="1"/>
    </w:lvl>
  </w:abstractNum>
  <w:abstractNum w:abstractNumId="565">
    <w:nsid w:val="26BAF231"/>
    <w:multiLevelType w:val="hybridMultilevel"/>
    <w:lvl w:ilvl="0">
      <w:lvlJc w:val="left"/>
      <w:lvlText w:val="(%1)"/>
      <w:numFmt w:val="lowerLetter"/>
      <w:start w:val="9"/>
    </w:lvl>
    <w:lvl w:ilvl="1">
      <w:lvlJc w:val="left"/>
      <w:lvlText w:val="%2"/>
      <w:numFmt w:val="lowerLetter"/>
      <w:start w:val="1"/>
    </w:lvl>
  </w:abstractNum>
  <w:abstractNum w:abstractNumId="566">
    <w:nsid w:val="4B13A15A"/>
    <w:multiLevelType w:val="hybridMultilevel"/>
    <w:lvl w:ilvl="0">
      <w:lvlJc w:val="left"/>
      <w:lvlText w:val="(%1)"/>
      <w:numFmt w:val="lowerRoman"/>
      <w:start w:val="2"/>
    </w:lvl>
  </w:abstractNum>
  <w:abstractNum w:abstractNumId="567">
    <w:nsid w:val="701E8A0D"/>
    <w:multiLevelType w:val="hybridMultilevel"/>
    <w:lvl w:ilvl="0">
      <w:lvlJc w:val="left"/>
      <w:lvlText w:val="1"/>
      <w:numFmt w:val="bullet"/>
      <w:start w:val="1"/>
    </w:lvl>
  </w:abstractNum>
  <w:abstractNum w:abstractNumId="568">
    <w:nsid w:val="41E690CF"/>
    <w:multiLevelType w:val="hybridMultilevel"/>
    <w:lvl w:ilvl="0">
      <w:lvlJc w:val="left"/>
      <w:lvlText w:val="[***]"/>
      <w:numFmt w:val="bullet"/>
      <w:start w:val="1"/>
    </w:lvl>
  </w:abstractNum>
  <w:abstractNum w:abstractNumId="569">
    <w:nsid w:val="7C6489B6"/>
    <w:multiLevelType w:val="hybridMultilevel"/>
    <w:lvl w:ilvl="0">
      <w:lvlJc w:val="left"/>
      <w:lvlText w:val="[***]"/>
      <w:numFmt w:val="bullet"/>
      <w:start w:val="1"/>
    </w:lvl>
  </w:abstractNum>
  <w:abstractNum w:abstractNumId="570">
    <w:nsid w:val="53AE65DE"/>
    <w:multiLevelType w:val="hybridMultilevel"/>
    <w:lvl w:ilvl="0">
      <w:lvlJc w:val="left"/>
      <w:lvlText w:val="[***]"/>
      <w:numFmt w:val="bullet"/>
      <w:start w:val="1"/>
    </w:lvl>
  </w:abstractNum>
  <w:abstractNum w:abstractNumId="571">
    <w:nsid w:val="527F603D"/>
    <w:multiLevelType w:val="hybridMultilevel"/>
    <w:lvl w:ilvl="0">
      <w:lvlJc w:val="left"/>
      <w:lvlText w:val="[***]"/>
      <w:numFmt w:val="bullet"/>
      <w:start w:val="1"/>
    </w:lvl>
  </w:abstractNum>
  <w:abstractNum w:abstractNumId="572">
    <w:nsid w:val="7E13D013"/>
    <w:multiLevelType w:val="hybridMultilevel"/>
    <w:lvl w:ilvl="0">
      <w:lvlJc w:val="left"/>
      <w:lvlText w:val="(%1)"/>
      <w:numFmt w:val="lowerLetter"/>
      <w:start w:val="1"/>
    </w:lvl>
  </w:abstractNum>
  <w:abstractNum w:abstractNumId="573">
    <w:nsid w:val="663BFE95"/>
    <w:multiLevelType w:val="hybridMultilevel"/>
    <w:lvl w:ilvl="0">
      <w:lvlJc w:val="left"/>
      <w:lvlText w:val="(%1)"/>
      <w:numFmt w:val="lowerRoman"/>
      <w:start w:val="3"/>
    </w:lvl>
  </w:abstractNum>
  <w:abstractNum w:abstractNumId="574">
    <w:nsid w:val="31E0986F"/>
    <w:multiLevelType w:val="hybridMultilevel"/>
    <w:lvl w:ilvl="0">
      <w:lvlJc w:val="left"/>
      <w:lvlText w:val="(%1)"/>
      <w:numFmt w:val="lowerLetter"/>
      <w:start w:val="1"/>
    </w:lvl>
  </w:abstractNum>
  <w:abstractNum w:abstractNumId="575">
    <w:nsid w:val="41FCF274"/>
    <w:multiLevelType w:val="hybridMultilevel"/>
    <w:lvl w:ilvl="0">
      <w:lvlJc w:val="left"/>
      <w:lvlText w:val="(%1)"/>
      <w:numFmt w:val="lowerLetter"/>
      <w:start w:val="1"/>
    </w:lvl>
  </w:abstractNum>
  <w:abstractNum w:abstractNumId="576">
    <w:nsid w:val="294614F7"/>
    <w:multiLevelType w:val="hybridMultilevel"/>
    <w:lvl w:ilvl="0">
      <w:lvlJc w:val="left"/>
      <w:lvlText w:val="(%1)"/>
      <w:numFmt w:val="lowerLetter"/>
      <w:start w:val="25"/>
    </w:lvl>
  </w:abstractNum>
  <w:abstractNum w:abstractNumId="577">
    <w:nsid w:val="517DF487"/>
    <w:multiLevelType w:val="hybridMultilevel"/>
    <w:lvl w:ilvl="0">
      <w:lvlJc w:val="left"/>
      <w:lvlText w:val="(%1)"/>
      <w:numFmt w:val="lowerLetter"/>
      <w:start w:val="1"/>
    </w:lvl>
  </w:abstractNum>
  <w:abstractNum w:abstractNumId="578">
    <w:nsid w:val="5EBE0EAB"/>
    <w:multiLevelType w:val="hybridMultilevel"/>
    <w:lvl w:ilvl="0">
      <w:lvlJc w:val="left"/>
      <w:lvlText w:val="(%1)"/>
      <w:numFmt w:val="lowerLetter"/>
      <w:start w:val="1"/>
    </w:lvl>
  </w:abstractNum>
  <w:abstractNum w:abstractNumId="579">
    <w:nsid w:val="6E9DEAD0"/>
    <w:multiLevelType w:val="hybridMultilevel"/>
    <w:lvl w:ilvl="0">
      <w:lvlJc w:val="left"/>
      <w:lvlText w:val="(%1)"/>
      <w:numFmt w:val="lowerLetter"/>
      <w:start w:val="1"/>
    </w:lvl>
  </w:abstractNum>
  <w:abstractNum w:abstractNumId="580">
    <w:nsid w:val="4450AA00"/>
    <w:multiLevelType w:val="hybridMultilevel"/>
    <w:lvl w:ilvl="0">
      <w:lvlJc w:val="left"/>
      <w:lvlText w:val="%1."/>
      <w:numFmt w:val="decimal"/>
      <w:start w:val="1"/>
    </w:lvl>
  </w:abstractNum>
  <w:abstractNum w:abstractNumId="581">
    <w:nsid w:val="4AC9F3E2"/>
    <w:multiLevelType w:val="hybridMultilevel"/>
    <w:lvl w:ilvl="0">
      <w:lvlJc w:val="left"/>
      <w:lvlText w:val="(%1)"/>
      <w:numFmt w:val="upperLetter"/>
      <w:start w:val="1"/>
    </w:lvl>
  </w:abstractNum>
  <w:abstractNum w:abstractNumId="582">
    <w:nsid w:val="CC0A782"/>
    <w:multiLevelType w:val="hybridMultilevel"/>
    <w:lvl w:ilvl="0">
      <w:lvlJc w:val="left"/>
      <w:lvlText w:val="1"/>
      <w:numFmt w:val="bullet"/>
      <w:start w:val="1"/>
    </w:lvl>
  </w:abstractNum>
  <w:abstractNum w:abstractNumId="583">
    <w:nsid w:val="79B69BC9"/>
    <w:multiLevelType w:val="hybridMultilevel"/>
    <w:lvl w:ilvl="0">
      <w:lvlJc w:val="left"/>
      <w:lvlText w:val="2"/>
      <w:numFmt w:val="bullet"/>
      <w:start w:val="1"/>
    </w:lvl>
  </w:abstractNum>
  <w:abstractNum w:abstractNumId="584">
    <w:nsid w:val="2970CC78"/>
    <w:multiLevelType w:val="hybridMultilevel"/>
    <w:lvl w:ilvl="0">
      <w:lvlJc w:val="left"/>
      <w:lvlText w:val="3"/>
      <w:numFmt w:val="bullet"/>
      <w:start w:val="1"/>
    </w:lvl>
  </w:abstractNum>
  <w:abstractNum w:abstractNumId="585">
    <w:nsid w:val="49CA1341"/>
    <w:multiLevelType w:val="hybridMultilevel"/>
    <w:lvl w:ilvl="0">
      <w:lvlJc w:val="left"/>
      <w:lvlText w:val="(%1)"/>
      <w:numFmt w:val="upperLetter"/>
      <w:start w:val="3"/>
    </w:lvl>
  </w:abstractNum>
  <w:abstractNum w:abstractNumId="586">
    <w:nsid w:val="58D717E"/>
    <w:multiLevelType w:val="hybridMultilevel"/>
    <w:lvl w:ilvl="0">
      <w:lvlJc w:val="left"/>
      <w:lvlText w:val="4"/>
      <w:numFmt w:val="bullet"/>
      <w:start w:val="1"/>
    </w:lvl>
  </w:abstractNum>
  <w:abstractNum w:abstractNumId="587">
    <w:nsid w:val="64C2DDD5"/>
    <w:multiLevelType w:val="hybridMultilevel"/>
    <w:lvl w:ilvl="0">
      <w:lvlJc w:val="left"/>
      <w:lvlText w:val="5"/>
      <w:numFmt w:val="bullet"/>
      <w:start w:val="1"/>
    </w:lvl>
  </w:abstractNum>
  <w:abstractNum w:abstractNumId="588">
    <w:nsid w:val="4244B8DE"/>
    <w:multiLevelType w:val="hybridMultilevel"/>
    <w:lvl w:ilvl="0">
      <w:lvlJc w:val="left"/>
      <w:lvlText w:val="%1"/>
      <w:numFmt w:val="decimal"/>
      <w:start w:val="1"/>
    </w:lvl>
    <w:lvl w:ilvl="1">
      <w:lvlJc w:val="left"/>
      <w:lvlText w:val="(%2)"/>
      <w:numFmt w:val="upperLetter"/>
      <w:start w:val="1"/>
    </w:lvl>
  </w:abstractNum>
  <w:abstractNum w:abstractNumId="589">
    <w:nsid w:val="76490B01"/>
    <w:multiLevelType w:val="hybridMultilevel"/>
    <w:lvl w:ilvl="0">
      <w:lvlJc w:val="left"/>
      <w:lvlText w:val="2"/>
      <w:numFmt w:val="bullet"/>
      <w:start w:val="1"/>
    </w:lvl>
  </w:abstractNum>
  <w:abstractNum w:abstractNumId="590">
    <w:nsid w:val="36B19CBF"/>
    <w:multiLevelType w:val="hybridMultilevel"/>
    <w:lvl w:ilvl="0">
      <w:lvlJc w:val="left"/>
      <w:lvlText w:val="1"/>
      <w:numFmt w:val="bullet"/>
      <w:start w:val="1"/>
    </w:lvl>
  </w:abstractNum>
  <w:abstractNum w:abstractNumId="591">
    <w:nsid w:val="645EC5AB"/>
    <w:multiLevelType w:val="hybridMultilevel"/>
    <w:lvl w:ilvl="0">
      <w:lvlJc w:val="left"/>
      <w:lvlText w:val="2"/>
      <w:numFmt w:val="bullet"/>
      <w:start w:val="1"/>
    </w:lvl>
  </w:abstractNum>
  <w:abstractNum w:abstractNumId="592">
    <w:nsid w:val="11C5ABEF"/>
    <w:multiLevelType w:val="hybridMultilevel"/>
    <w:lvl w:ilvl="0">
      <w:lvlJc w:val="left"/>
      <w:lvlText w:val="%1."/>
      <w:numFmt w:val="decimal"/>
      <w:start w:val="1"/>
    </w:lvl>
  </w:abstractNum>
  <w:abstractNum w:abstractNumId="593">
    <w:nsid w:val="5A4744BE"/>
    <w:multiLevelType w:val="hybridMultilevel"/>
    <w:lvl w:ilvl="0">
      <w:lvlJc w:val="left"/>
      <w:lvlText w:val="%1."/>
      <w:numFmt w:val="decimal"/>
      <w:start w:val="4"/>
    </w:lvl>
  </w:abstractNum>
  <w:abstractNum w:abstractNumId="594">
    <w:nsid w:val="1DC4B111"/>
    <w:multiLevelType w:val="hybridMultilevel"/>
    <w:lvl w:ilvl="0">
      <w:lvlJc w:val="left"/>
      <w:lvlText w:val="%1"/>
      <w:numFmt w:val="decimal"/>
      <w:start w:val="1"/>
    </w:lvl>
    <w:lvl w:ilvl="1">
      <w:lvlJc w:val="left"/>
      <w:lvlText w:val="%2."/>
      <w:numFmt w:val="decimal"/>
      <w:start w:val="1"/>
    </w:lvl>
  </w:abstractNum>
  <w:abstractNum w:abstractNumId="595">
    <w:nsid w:val="4C6E372B"/>
    <w:multiLevelType w:val="hybridMultilevel"/>
    <w:lvl w:ilvl="0">
      <w:lvlJc w:val="left"/>
      <w:lvlText w:val="%1."/>
      <w:numFmt w:val="decimal"/>
      <w:start w:val="2"/>
    </w:lvl>
    <w:lvl w:ilvl="1">
      <w:lvlJc w:val="left"/>
      <w:lvlText w:val="%2"/>
      <w:numFmt w:val="decimal"/>
      <w:start w:val="1"/>
    </w:lvl>
  </w:abstractNum>
  <w:abstractNum w:abstractNumId="596">
    <w:nsid w:val="10236EF"/>
    <w:multiLevelType w:val="hybridMultilevel"/>
    <w:lvl w:ilvl="0">
      <w:lvlJc w:val="left"/>
      <w:lvlText w:val="1"/>
      <w:numFmt w:val="bullet"/>
      <w:start w:val="1"/>
    </w:lvl>
  </w:abstractNum>
  <w:abstractNum w:abstractNumId="597">
    <w:nsid w:val="68D8526B"/>
    <w:multiLevelType w:val="hybridMultilevel"/>
    <w:lvl w:ilvl="0">
      <w:lvlJc w:val="left"/>
      <w:lvlText w:val="2"/>
      <w:numFmt w:val="bullet"/>
      <w:start w:val="1"/>
    </w:lvl>
  </w:abstractNum>
  <w:abstractNum w:abstractNumId="598">
    <w:nsid w:val="3C8CC138"/>
    <w:multiLevelType w:val="hybridMultilevel"/>
    <w:lvl w:ilvl="0">
      <w:lvlJc w:val="left"/>
      <w:lvlText w:val="%1."/>
      <w:numFmt w:val="decimal"/>
      <w:start w:val="1"/>
    </w:lvl>
  </w:abstractNum>
  <w:abstractNum w:abstractNumId="599">
    <w:nsid w:val="42E8C7BE"/>
    <w:multiLevelType w:val="hybridMultilevel"/>
    <w:lvl w:ilvl="0">
      <w:lvlJc w:val="left"/>
      <w:lvlText w:val="(%1)"/>
      <w:numFmt w:val="lowerLetter"/>
      <w:start w:val="35"/>
    </w:lvl>
    <w:lvl w:ilvl="1">
      <w:lvlJc w:val="left"/>
      <w:lvlText w:val="%2."/>
      <w:numFmt w:val="decimal"/>
      <w:start w:val="2"/>
    </w:lvl>
  </w:abstractNum>
  <w:abstractNum w:abstractNumId="600">
    <w:nsid w:val="653CDC22"/>
    <w:multiLevelType w:val="hybridMultilevel"/>
    <w:lvl w:ilvl="0">
      <w:lvlJc w:val="left"/>
      <w:lvlText w:val="(%1)"/>
      <w:numFmt w:val="lowerLetter"/>
      <w:start w:val="35"/>
    </w:lvl>
    <w:lvl w:ilvl="1">
      <w:lvlJc w:val="left"/>
      <w:lvlText w:val="%2"/>
      <w:numFmt w:val="decimal"/>
      <w:start w:val="1"/>
    </w:lvl>
  </w:abstractNum>
  <w:abstractNum w:abstractNumId="601">
    <w:nsid w:val="103B2716"/>
    <w:multiLevelType w:val="hybridMultilevel"/>
    <w:lvl w:ilvl="0">
      <w:lvlJc w:val="left"/>
      <w:lvlText w:val="(%1)"/>
      <w:numFmt w:val="lowerLetter"/>
      <w:start w:val="3"/>
    </w:lvl>
    <w:lvl w:ilvl="1">
      <w:lvlJc w:val="left"/>
      <w:lvlText w:val="%2."/>
      <w:numFmt w:val="decimal"/>
      <w:start w:val="3"/>
    </w:lvl>
  </w:abstractNum>
  <w:abstractNum w:abstractNumId="602">
    <w:nsid w:val="156827FB"/>
    <w:multiLevelType w:val="hybridMultilevel"/>
    <w:lvl w:ilvl="0">
      <w:lvlJc w:val="left"/>
      <w:lvlText w:val="%1."/>
      <w:numFmt w:val="decimal"/>
      <w:start w:val="4"/>
    </w:lvl>
  </w:abstractNum>
  <w:abstractNum w:abstractNumId="603">
    <w:nsid w:val="6350AC35"/>
    <w:multiLevelType w:val="hybridMultilevel"/>
    <w:lvl w:ilvl="0">
      <w:lvlJc w:val="left"/>
      <w:lvlText w:val="1"/>
      <w:numFmt w:val="bullet"/>
      <w:start w:val="1"/>
    </w:lvl>
  </w:abstractNum>
  <w:abstractNum w:abstractNumId="604">
    <w:nsid w:val="767725AB"/>
    <w:multiLevelType w:val="hybridMultilevel"/>
    <w:lvl w:ilvl="0">
      <w:lvlJc w:val="left"/>
      <w:lvlText w:val="(%1)"/>
      <w:numFmt w:val="lowerLetter"/>
      <w:start w:val="1"/>
    </w:lvl>
  </w:abstractNum>
  <w:abstractNum w:abstractNumId="605">
    <w:nsid w:val="4748C06A"/>
    <w:multiLevelType w:val="hybridMultilevel"/>
    <w:lvl w:ilvl="0">
      <w:lvlJc w:val="left"/>
      <w:lvlText w:val="1"/>
      <w:numFmt w:val="bullet"/>
      <w:start w:val="1"/>
    </w:lvl>
  </w:abstractNum>
  <w:abstractNum w:abstractNumId="606">
    <w:nsid w:val="254D9EA9"/>
    <w:multiLevelType w:val="hybridMultilevel"/>
    <w:lvl w:ilvl="0">
      <w:lvlJc w:val="left"/>
      <w:lvlText w:val="%1."/>
      <w:numFmt w:val="decimal"/>
      <w:start w:val="1"/>
    </w:lvl>
  </w:abstractNum>
  <w:abstractNum w:abstractNumId="607">
    <w:nsid w:val="1FBD3AA3"/>
    <w:multiLevelType w:val="hybridMultilevel"/>
    <w:lvl w:ilvl="0">
      <w:lvlJc w:val="left"/>
      <w:lvlText w:val="(%1)"/>
      <w:numFmt w:val="upperLetter"/>
      <w:start w:val="2"/>
    </w:lvl>
  </w:abstractNum>
  <w:abstractNum w:abstractNumId="608">
    <w:nsid w:val="18C6B4F2"/>
    <w:multiLevelType w:val="hybridMultilevel"/>
    <w:lvl w:ilvl="0">
      <w:lvlJc w:val="left"/>
      <w:lvlText w:val="(%1)"/>
      <w:numFmt w:val="lowerRoman"/>
      <w:start w:val="3"/>
    </w:lvl>
  </w:abstractNum>
  <w:abstractNum w:abstractNumId="609">
    <w:nsid w:val="40BAD55"/>
    <w:multiLevelType w:val="hybridMultilevel"/>
    <w:lvl w:ilvl="0">
      <w:lvlJc w:val="left"/>
      <w:lvlText w:val="(%1)"/>
      <w:numFmt w:val="lowerRoman"/>
      <w:start w:val="3"/>
    </w:lvl>
  </w:abstractNum>
  <w:abstractNum w:abstractNumId="610">
    <w:nsid w:val="E5B2573"/>
    <w:multiLevelType w:val="hybridMultilevel"/>
    <w:lvl w:ilvl="0">
      <w:lvlJc w:val="left"/>
      <w:lvlText w:val="%1."/>
      <w:numFmt w:val="decimal"/>
      <w:start w:val="1"/>
    </w:lvl>
  </w:abstractNum>
  <w:abstractNum w:abstractNumId="611">
    <w:nsid w:val="5D175EF2"/>
    <w:multiLevelType w:val="hybridMultilevel"/>
    <w:lvl w:ilvl="0">
      <w:lvlJc w:val="left"/>
      <w:lvlText w:val="(%1)"/>
      <w:numFmt w:val="upperLetter"/>
      <w:start w:val="1"/>
    </w:lvl>
  </w:abstractNum>
  <w:abstractNum w:abstractNumId="612">
    <w:nsid w:val="4ED5A137"/>
    <w:multiLevelType w:val="hybridMultilevel"/>
    <w:lvl w:ilvl="0">
      <w:lvlJc w:val="left"/>
      <w:lvlText w:val="(%1)"/>
      <w:numFmt w:val="upperLetter"/>
      <w:start w:val="2"/>
    </w:lvl>
  </w:abstractNum>
  <w:abstractNum w:abstractNumId="613">
    <w:nsid w:val="1B1BCCF5"/>
    <w:multiLevelType w:val="hybridMultilevel"/>
    <w:lvl w:ilvl="0">
      <w:lvlJc w:val="left"/>
      <w:lvlText w:val="(%1)"/>
      <w:numFmt w:val="upperLetter"/>
      <w:start w:val="3"/>
    </w:lvl>
  </w:abstractNum>
  <w:abstractNum w:abstractNumId="614">
    <w:nsid w:val="56CDFABB"/>
    <w:multiLevelType w:val="hybridMultilevel"/>
    <w:lvl w:ilvl="0">
      <w:lvlJc w:val="left"/>
      <w:lvlText w:val="(%1)"/>
      <w:numFmt w:val="upperLetter"/>
      <w:start w:val="4"/>
    </w:lvl>
  </w:abstractNum>
  <w:abstractNum w:abstractNumId="615">
    <w:nsid w:val="78466DAF"/>
    <w:multiLevelType w:val="hybridMultilevel"/>
    <w:lvl w:ilvl="0">
      <w:lvlJc w:val="left"/>
      <w:lvlText w:val="(%1)"/>
      <w:numFmt w:val="upperLetter"/>
      <w:start w:val="5"/>
    </w:lvl>
  </w:abstractNum>
  <w:abstractNum w:abstractNumId="616">
    <w:nsid w:val="64E5E036"/>
    <w:multiLevelType w:val="hybridMultilevel"/>
    <w:lvl w:ilvl="0">
      <w:lvlJc w:val="left"/>
      <w:lvlText w:val="1"/>
      <w:numFmt w:val="bullet"/>
      <w:start w:val="1"/>
    </w:lvl>
  </w:abstractNum>
  <w:abstractNum w:abstractNumId="617">
    <w:nsid w:val="5C5B6C3A"/>
    <w:multiLevelType w:val="hybridMultilevel"/>
    <w:lvl w:ilvl="0">
      <w:lvlJc w:val="left"/>
      <w:lvlText w:val="(%1)"/>
      <w:numFmt w:val="upperLetter"/>
      <w:start w:val="1"/>
    </w:lvl>
  </w:abstractNum>
  <w:abstractNum w:abstractNumId="618">
    <w:nsid w:val="5D094B84"/>
    <w:multiLevelType w:val="hybridMultilevel"/>
    <w:lvl w:ilvl="0">
      <w:lvlJc w:val="left"/>
      <w:lvlText w:val="(%1)"/>
      <w:numFmt w:val="upperLetter"/>
      <w:start w:val="2"/>
    </w:lvl>
  </w:abstractNum>
  <w:abstractNum w:abstractNumId="619">
    <w:nsid w:val="272A9914"/>
    <w:multiLevelType w:val="hybridMultilevel"/>
    <w:lvl w:ilvl="0">
      <w:lvlJc w:val="left"/>
      <w:lvlText w:val="(%1)"/>
      <w:numFmt w:val="upperLetter"/>
      <w:start w:val="3"/>
    </w:lvl>
  </w:abstractNum>
  <w:abstractNum w:abstractNumId="620">
    <w:nsid w:val="52A4773B"/>
    <w:multiLevelType w:val="hybridMultilevel"/>
    <w:lvl w:ilvl="0">
      <w:lvlJc w:val="left"/>
      <w:lvlText w:val="(%1)"/>
      <w:numFmt w:val="upperLetter"/>
      <w:start w:val="4"/>
    </w:lvl>
  </w:abstractNum>
  <w:abstractNum w:abstractNumId="621">
    <w:nsid w:val="13BAE843"/>
    <w:multiLevelType w:val="hybridMultilevel"/>
    <w:lvl w:ilvl="0">
      <w:lvlJc w:val="left"/>
      <w:lvlText w:val="(%1)"/>
      <w:numFmt w:val="upperLetter"/>
      <w:start w:val="5"/>
    </w:lvl>
  </w:abstractNum>
  <w:abstractNum w:abstractNumId="622">
    <w:nsid w:val="B895EBF"/>
    <w:multiLevelType w:val="hybridMultilevel"/>
    <w:lvl w:ilvl="0">
      <w:lvlJc w:val="left"/>
      <w:lvlText w:val="1"/>
      <w:numFmt w:val="bullet"/>
      <w:start w:val="1"/>
    </w:lvl>
  </w:abstractNum>
  <w:abstractNum w:abstractNumId="623">
    <w:nsid w:val="646A232A"/>
    <w:multiLevelType w:val="hybridMultilevel"/>
    <w:lvl w:ilvl="0">
      <w:lvlJc w:val="left"/>
      <w:lvlText w:val="1"/>
      <w:numFmt w:val="bullet"/>
      <w:start w:val="1"/>
    </w:lvl>
  </w:abstractNum>
  <w:abstractNum w:abstractNumId="624">
    <w:nsid w:val="6E022D01"/>
    <w:multiLevelType w:val="hybridMultilevel"/>
    <w:lvl w:ilvl="0">
      <w:lvlJc w:val="left"/>
      <w:lvlText w:val="2"/>
      <w:numFmt w:val="bullet"/>
      <w:start w:val="1"/>
    </w:lvl>
  </w:abstractNum>
  <w:abstractNum w:abstractNumId="625">
    <w:nsid w:val="294E0FD0"/>
    <w:multiLevelType w:val="hybridMultilevel"/>
    <w:lvl w:ilvl="0">
      <w:lvlJc w:val="left"/>
      <w:lvlText w:val="3"/>
      <w:numFmt w:val="bullet"/>
      <w:start w:val="1"/>
    </w:lvl>
  </w:abstractNum>
  <w:abstractNum w:abstractNumId="626">
    <w:nsid w:val="30D85A55"/>
    <w:multiLevelType w:val="hybridMultilevel"/>
    <w:lvl w:ilvl="0">
      <w:lvlJc w:val="left"/>
      <w:lvlText w:val="(%1)"/>
      <w:numFmt w:val="upperLetter"/>
      <w:start w:val="4"/>
    </w:lvl>
  </w:abstractNum>
  <w:abstractNum w:abstractNumId="627">
    <w:nsid w:val="6F0463F1"/>
    <w:multiLevelType w:val="hybridMultilevel"/>
    <w:lvl w:ilvl="0">
      <w:lvlJc w:val="left"/>
      <w:lvlText w:val="4"/>
      <w:numFmt w:val="bullet"/>
      <w:start w:val="1"/>
    </w:lvl>
  </w:abstractNum>
  <w:abstractNum w:abstractNumId="628">
    <w:nsid w:val="1226623C"/>
    <w:multiLevelType w:val="hybridMultilevel"/>
    <w:lvl w:ilvl="0">
      <w:lvlJc w:val="left"/>
      <w:lvlText w:val="5"/>
      <w:numFmt w:val="bullet"/>
      <w:start w:val="1"/>
    </w:lvl>
  </w:abstractNum>
  <w:abstractNum w:abstractNumId="629">
    <w:nsid w:val="6D651B8D"/>
    <w:multiLevelType w:val="hybridMultilevel"/>
    <w:lvl w:ilvl="0">
      <w:lvlJc w:val="left"/>
      <w:lvlText w:val="6"/>
      <w:numFmt w:val="bullet"/>
      <w:start w:val="1"/>
    </w:lvl>
  </w:abstractNum>
  <w:abstractNum w:abstractNumId="630">
    <w:nsid w:val="31ED2BAF"/>
    <w:multiLevelType w:val="hybridMultilevel"/>
    <w:lvl w:ilvl="0">
      <w:lvlJc w:val="left"/>
      <w:lvlText w:val="7"/>
      <w:numFmt w:val="bullet"/>
      <w:start w:val="1"/>
    </w:lvl>
  </w:abstractNum>
  <w:abstractNum w:abstractNumId="631">
    <w:nsid w:val="77633E5E"/>
    <w:multiLevelType w:val="hybridMultilevel"/>
    <w:lvl w:ilvl="0">
      <w:lvlJc w:val="left"/>
      <w:lvlText w:val="8"/>
      <w:numFmt w:val="bullet"/>
      <w:start w:val="1"/>
    </w:lvl>
  </w:abstractNum>
  <w:abstractNum w:abstractNumId="632">
    <w:nsid w:val="7DA042A3"/>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2019-12-28T23:00:22Z</dcterms:created>
  <dcterms:modified xsi:type="dcterms:W3CDTF">2019-12-28T23:00:22Z</dcterms:modified>
</cp:coreProperties>
</file>