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165735</wp:posOffset>
            </wp:positionV>
            <wp:extent cx="6978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208915</wp:posOffset>
            </wp:positionV>
            <wp:extent cx="6978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65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2759710</wp:posOffset>
            </wp:positionH>
            <wp:positionV relativeFrom="paragraph">
              <wp:posOffset>226695</wp:posOffset>
            </wp:positionV>
            <wp:extent cx="147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2759710</wp:posOffset>
            </wp:positionH>
            <wp:positionV relativeFrom="paragraph">
              <wp:posOffset>245745</wp:posOffset>
            </wp:positionV>
            <wp:extent cx="147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2759710</wp:posOffset>
            </wp:positionH>
            <wp:positionV relativeFrom="paragraph">
              <wp:posOffset>233045</wp:posOffset>
            </wp:positionV>
            <wp:extent cx="147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2759710</wp:posOffset>
            </wp:positionH>
            <wp:positionV relativeFrom="paragraph">
              <wp:posOffset>234950</wp:posOffset>
            </wp:positionV>
            <wp:extent cx="147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0" w:lineRule="exact"/>
        <w:rPr>
          <w:sz w:val="24"/>
          <w:szCs w:val="24"/>
          <w:color w:val="auto"/>
        </w:rPr>
      </w:pPr>
    </w:p>
    <w:p>
      <w:pPr>
        <w:sectPr>
          <w:pgSz w:w="11900" w:h="16838" w:orient="portrait"/>
          <w:cols w:equalWidth="0" w:num="3">
            <w:col w:w="4500" w:space="720"/>
            <w:col w:w="2860" w:space="720"/>
            <w:col w:w="2200"/>
          </w:cols>
          <w:pgMar w:left="440" w:top="368" w:right="459" w:bottom="1440" w:gutter="0" w:footer="0" w:header="0"/>
          <w:type w:val="continuous"/>
        </w:sectPr>
      </w:pPr>
    </w:p>
    <w:p>
      <w:pPr>
        <w:spacing w:after="0" w:line="12"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2" w:lineRule="exact"/>
        <w:rPr>
          <w:sz w:val="24"/>
          <w:szCs w:val="24"/>
          <w:color w:val="auto"/>
        </w:rPr>
      </w:pPr>
    </w:p>
    <w:p>
      <w:pPr>
        <w:sectPr>
          <w:pgSz w:w="11900" w:h="16838" w:orient="portrait"/>
          <w:cols w:equalWidth="0" w:num="3">
            <w:col w:w="4480" w:space="720"/>
            <w:col w:w="2760" w:space="720"/>
            <w:col w:w="2320"/>
          </w:cols>
          <w:pgMar w:left="440" w:top="368"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667-1500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2759710</wp:posOffset>
            </wp:positionH>
            <wp:positionV relativeFrom="paragraph">
              <wp:posOffset>227330</wp:posOffset>
            </wp:positionV>
            <wp:extent cx="147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p>
      <w:pPr>
        <w:spacing w:after="0" w:line="200" w:lineRule="exact"/>
        <w:rPr>
          <w:sz w:val="24"/>
          <w:szCs w:val="24"/>
          <w:color w:val="auto"/>
        </w:rPr>
      </w:pPr>
    </w:p>
    <w:p>
      <w:pPr>
        <w:spacing w:after="0" w:line="372" w:lineRule="exact"/>
        <w:rPr>
          <w:sz w:val="24"/>
          <w:szCs w:val="24"/>
          <w:color w:val="auto"/>
        </w:rPr>
      </w:pPr>
    </w:p>
    <w:p>
      <w:pPr>
        <w:ind w:right="480"/>
        <w:spacing w:after="0" w:line="27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1"/>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29" w:lineRule="exact"/>
        <w:rPr>
          <w:rFonts w:ascii="MS PGothic" w:cs="MS PGothic" w:eastAsia="MS PGothic" w:hAnsi="MS PGothic"/>
          <w:sz w:val="18"/>
          <w:szCs w:val="18"/>
          <w:color w:val="auto"/>
        </w:rPr>
      </w:pPr>
    </w:p>
    <w:p>
      <w:pPr>
        <w:ind w:left="440" w:hanging="431"/>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9" w:lineRule="exact"/>
        <w:rPr>
          <w:rFonts w:ascii="MS PGothic" w:cs="MS PGothic" w:eastAsia="MS PGothic" w:hAnsi="MS PGothic"/>
          <w:sz w:val="18"/>
          <w:szCs w:val="18"/>
          <w:color w:val="auto"/>
        </w:rPr>
      </w:pPr>
    </w:p>
    <w:p>
      <w:pPr>
        <w:ind w:left="440" w:hanging="431"/>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9" w:lineRule="exact"/>
        <w:rPr>
          <w:rFonts w:ascii="MS PGothic" w:cs="MS PGothic" w:eastAsia="MS PGothic" w:hAnsi="MS PGothic"/>
          <w:sz w:val="18"/>
          <w:szCs w:val="18"/>
          <w:color w:val="auto"/>
        </w:rPr>
      </w:pPr>
    </w:p>
    <w:p>
      <w:pPr>
        <w:ind w:left="440" w:hanging="431"/>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4"/>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7"/>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00"/>
        <w:spacing w:after="0" w:line="27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0" w:lineRule="exact"/>
        <w:rPr>
          <w:sz w:val="24"/>
          <w:szCs w:val="24"/>
          <w:color w:val="auto"/>
        </w:rPr>
      </w:pPr>
    </w:p>
    <w:p>
      <w:pPr>
        <w:ind w:right="3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978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176530</wp:posOffset>
            </wp:positionV>
            <wp:extent cx="6978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 Entry Into a Material Definitive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See Item 2.03 below.</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0" w:lineRule="exact"/>
        <w:rPr>
          <w:sz w:val="20"/>
          <w:szCs w:val="20"/>
          <w:color w:val="auto"/>
        </w:rPr>
      </w:pPr>
    </w:p>
    <w:p>
      <w:pPr>
        <w:jc w:val="both"/>
        <w:ind w:right="400"/>
        <w:spacing w:after="0" w:line="287" w:lineRule="auto"/>
        <w:rPr>
          <w:sz w:val="20"/>
          <w:szCs w:val="20"/>
          <w:color w:val="auto"/>
        </w:rPr>
      </w:pPr>
      <w:r>
        <w:rPr>
          <w:rFonts w:ascii="Arial" w:cs="Arial" w:eastAsia="Arial" w:hAnsi="Arial"/>
          <w:sz w:val="16"/>
          <w:szCs w:val="16"/>
          <w:color w:val="auto"/>
        </w:rPr>
        <w:t>On April 7, 2021, General Motors Company (“GM”) entered into a Fourth Amended and Restated 3-Year Revolving Credit Agreement and a Third Amended and Restated 364-Day Revolving Credit Agreement, each with JPMorgan Chase Bank, N.A., as administrative agent, Citibank, N.A., as syndication agent, and the other lenders named therein (collectively, the “Facilities”). The Facilities are unsecured and consist of a three-year,</w:t>
      </w:r>
    </w:p>
    <w:p>
      <w:pPr>
        <w:spacing w:after="0" w:line="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$4.3 billion facility (the “3-Year Facility”) and a 364-day, $2.0 billion facility (the “364-Day Facility”). The 3-Year Facility matures on April 7, 2024 and the 364-Day Facility matures on April 6,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Facilities are available to GM as well as certain of its wholly owned subsidiaries. However, GM has allocated the 364-Day Facility for exclusive use by General Motors Financial Company, Inc. The 3-Year Facility allows for borrowing in U.S. Dollars and other currencies. The 364-Day Facility allows for borrowing in U.S. Dollars only.</w:t>
      </w:r>
    </w:p>
    <w:p>
      <w:pPr>
        <w:spacing w:after="0" w:line="18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GM has guaranteed the obligations of subsidiary borrowers under the Facilities. Consistent with the terms of GM’s current revolving credit facilities, if GM fails to maintain an investment grade corporate rating from two or more of the following credit rating agencies: Fitch Ratings, Moody’s Investor Service and Standard &amp; Poor’s, GM will be required to cause certain of its domestic subsidiaries to guarantee its obligations under the terms of the Facilities.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Interest rates on obligations under the Facilities are based on prevailing annual interest rates for Eurodollar loans or an alternative base rate, both subject to an applicable margin. This applicable margin will be based upon the credit rating assigned to the Facilities or to senior, unsecured long-term indebtedness of GM.</w:t>
      </w:r>
    </w:p>
    <w:p>
      <w:pPr>
        <w:spacing w:after="0" w:line="18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Facilities contain representations, warranties and covenants that are typical for these types of facilities. These covenants include restrictions on mergers or sales of assets and secured debt borrowings, subject to exceptions and limitations. The Facilities also require that GM maintain at least $4.0 billion in global liquidity and at least $2.0 billion in U.S. liquidity.</w:t>
      </w:r>
    </w:p>
    <w:p>
      <w:pPr>
        <w:spacing w:after="0" w:line="182"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On April 7, 2021, GM also entered into Amendment No. 1 (the “Amendment”) to its Third Amended and Restated 5-Year Revolving Credit Agreement, dated as of April 18, 2018 with JPMorgan Chase Bank, N.A., as administrative agent, Citibank, N.A., as syndication agent, and the other lenders named therein (the “5-Year Facility”). The 5-Year Facility is unsecured and provided available borrowing capacity of $10.5 billion prior to the effectiveness of the Amendment. The Amendment increases the total borrowing capacity of the 5-Year Facility to $11.2 billion.</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Amendment, among other things, the termination date for a $9.9 billion portion of the 5-Year Facility was extended by three years, now set to mature on April 18, 2026 (the termination date of April 18, 2023 for the remaining portion of the 5-Year Facility remains unchanged). The other material terms and conditions set forth in the Third Amended and Restated 5-Year Revolving Credit Agreement remain unchanged. For a description of the Third Amended and Restated 5-Year Revolving Credit Agreement, see GM’s Current Report on Form 8-K filed with the U.S. Securities and Exchange Commission on April 20, 2018.</w:t>
      </w:r>
    </w:p>
    <w:p>
      <w:pPr>
        <w:spacing w:after="0" w:line="18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Some of the lenders under the Facilities and the Amendment,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8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foregoing description does not constitute a complete summary of the Facilities or the Amendment and is qualified by reference in its entirety to the full text of the Facilities and the Amendment filed herewith.</w:t>
      </w:r>
    </w:p>
    <w:p>
      <w:pPr>
        <w:sectPr>
          <w:pgSz w:w="11900" w:h="16838" w:orient="portrait"/>
          <w:cols w:equalWidth="0" w:num="1">
            <w:col w:w="11000"/>
          </w:cols>
          <w:pgMar w:left="440" w:top="296"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251"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800" w:hanging="780"/>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7"/>
            <w:szCs w:val="17"/>
            <w:u w:val="single" w:color="auto"/>
            <w:color w:val="0000EE"/>
          </w:rPr>
          <w:t>Fourth Amended and Restated 3-Year Revolving Credit Agreement among General Motors Company, General Motors Financial Company,</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Inc., General Motors do Brasil Ltda., the subsidiary borrowers from time to time parties thereto, the several lenders from time to time parties</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thereto, JPMorgan Chase Bank, N.A., as administrative agent, and Citibank, N.A., as syndication agent</w:t>
        </w:r>
      </w:hyperlink>
    </w:p>
    <w:p>
      <w:pPr>
        <w:spacing w:after="0" w:line="58" w:lineRule="exact"/>
        <w:rPr>
          <w:rFonts w:ascii="Arial" w:cs="Arial" w:eastAsia="Arial" w:hAnsi="Arial"/>
          <w:sz w:val="17"/>
          <w:szCs w:val="17"/>
          <w:u w:val="single" w:color="auto"/>
          <w:color w:val="0000EE"/>
        </w:rPr>
      </w:pPr>
    </w:p>
    <w:p>
      <w:pPr>
        <w:jc w:val="both"/>
        <w:ind w:left="800" w:right="20" w:hanging="780"/>
        <w:spacing w:after="0" w:line="263"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241">
        <w:r>
          <w:rPr>
            <w:rFonts w:ascii="Arial" w:cs="Arial" w:eastAsia="Arial" w:hAnsi="Arial"/>
            <w:sz w:val="18"/>
            <w:szCs w:val="18"/>
            <w:u w:val="single" w:color="auto"/>
            <w:color w:val="0000EE"/>
          </w:rPr>
          <w:t>Third Amended and Restated 364-Day Revolving Credit Agreement among General Motors Company, General Motors Financial Company,</w:t>
        </w:r>
      </w:hyperlink>
      <w:r>
        <w:rPr>
          <w:rFonts w:ascii="Arial" w:cs="Arial" w:eastAsia="Arial" w:hAnsi="Arial"/>
          <w:sz w:val="18"/>
          <w:szCs w:val="18"/>
          <w:u w:val="single" w:color="auto"/>
          <w:color w:val="0000EE"/>
        </w:rPr>
        <w:t xml:space="preserve"> </w:t>
      </w:r>
      <w:hyperlink w:anchor="page241">
        <w:r>
          <w:rPr>
            <w:rFonts w:ascii="Arial" w:cs="Arial" w:eastAsia="Arial" w:hAnsi="Arial"/>
            <w:sz w:val="18"/>
            <w:szCs w:val="18"/>
            <w:u w:val="single" w:color="auto"/>
            <w:color w:val="0000EE"/>
          </w:rPr>
          <w:t>Inc., the subsidiary borrowers from time to time parties thereto, the several lenders from time to time parties thereto, JPMorgan Chase Bank,</w:t>
        </w:r>
      </w:hyperlink>
      <w:r>
        <w:rPr>
          <w:rFonts w:ascii="Arial" w:cs="Arial" w:eastAsia="Arial" w:hAnsi="Arial"/>
          <w:sz w:val="18"/>
          <w:szCs w:val="18"/>
          <w:u w:val="single" w:color="auto"/>
          <w:color w:val="0000EE"/>
        </w:rPr>
        <w:t xml:space="preserve"> </w:t>
      </w:r>
      <w:hyperlink w:anchor="page241">
        <w:r>
          <w:rPr>
            <w:rFonts w:ascii="Arial" w:cs="Arial" w:eastAsia="Arial" w:hAnsi="Arial"/>
            <w:sz w:val="18"/>
            <w:szCs w:val="18"/>
            <w:u w:val="single" w:color="auto"/>
            <w:color w:val="0000EE"/>
          </w:rPr>
          <w:t>N.A., as administrative agent, and Citibank, N.A., as syndication agent</w:t>
        </w:r>
      </w:hyperlink>
    </w:p>
    <w:p>
      <w:pPr>
        <w:spacing w:after="0" w:line="74" w:lineRule="exact"/>
        <w:rPr>
          <w:rFonts w:ascii="Arial" w:cs="Arial" w:eastAsia="Arial" w:hAnsi="Arial"/>
          <w:sz w:val="18"/>
          <w:szCs w:val="18"/>
          <w:u w:val="single" w:color="auto"/>
          <w:color w:val="0000EE"/>
        </w:rPr>
      </w:pPr>
    </w:p>
    <w:p>
      <w:pPr>
        <w:jc w:val="both"/>
        <w:ind w:left="800" w:right="60" w:hanging="780"/>
        <w:spacing w:after="0" w:line="25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427">
        <w:r>
          <w:rPr>
            <w:rFonts w:ascii="Arial" w:cs="Arial" w:eastAsia="Arial" w:hAnsi="Arial"/>
            <w:sz w:val="18"/>
            <w:szCs w:val="18"/>
            <w:u w:val="single" w:color="auto"/>
            <w:color w:val="0000EE"/>
          </w:rPr>
          <w:t>Amendment No. 1 to Third Amended and Restated 5-Year Revolving Credit Agreement, dated as of April 18, 2018, among General Motors</w:t>
        </w:r>
      </w:hyperlink>
      <w:r>
        <w:rPr>
          <w:rFonts w:ascii="Arial" w:cs="Arial" w:eastAsia="Arial" w:hAnsi="Arial"/>
          <w:sz w:val="18"/>
          <w:szCs w:val="18"/>
          <w:u w:val="single" w:color="auto"/>
          <w:color w:val="0000EE"/>
        </w:rPr>
        <w:t xml:space="preserve"> </w:t>
      </w:r>
      <w:hyperlink w:anchor="page427">
        <w:r>
          <w:rPr>
            <w:rFonts w:ascii="Arial" w:cs="Arial" w:eastAsia="Arial" w:hAnsi="Arial"/>
            <w:sz w:val="18"/>
            <w:szCs w:val="18"/>
            <w:u w:val="single" w:color="auto"/>
            <w:color w:val="0000EE"/>
          </w:rPr>
          <w:t>Company, General Motors Financial Company, Inc., GM Global Treasury Centre, General Motors do Brasil Ltda., the subsidiary borrowers</w:t>
        </w:r>
      </w:hyperlink>
      <w:r>
        <w:rPr>
          <w:rFonts w:ascii="Arial" w:cs="Arial" w:eastAsia="Arial" w:hAnsi="Arial"/>
          <w:sz w:val="18"/>
          <w:szCs w:val="18"/>
          <w:u w:val="single" w:color="auto"/>
          <w:color w:val="0000EE"/>
        </w:rPr>
        <w:t xml:space="preserve"> </w:t>
      </w:r>
      <w:hyperlink w:anchor="page427">
        <w:r>
          <w:rPr>
            <w:rFonts w:ascii="Arial" w:cs="Arial" w:eastAsia="Arial" w:hAnsi="Arial"/>
            <w:sz w:val="18"/>
            <w:szCs w:val="18"/>
            <w:u w:val="single" w:color="auto"/>
            <w:color w:val="0000EE"/>
          </w:rPr>
          <w:t>from time to time parties thereto, the several lenders from time to time party thereto, JPMorgan Chase Bank, N.A., as administrative agent,</w:t>
        </w:r>
      </w:hyperlink>
      <w:r>
        <w:rPr>
          <w:rFonts w:ascii="Arial" w:cs="Arial" w:eastAsia="Arial" w:hAnsi="Arial"/>
          <w:sz w:val="18"/>
          <w:szCs w:val="18"/>
          <w:u w:val="single" w:color="auto"/>
          <w:color w:val="0000EE"/>
        </w:rPr>
        <w:t xml:space="preserve"> </w:t>
      </w:r>
      <w:hyperlink w:anchor="page427">
        <w:r>
          <w:rPr>
            <w:rFonts w:ascii="Arial" w:cs="Arial" w:eastAsia="Arial" w:hAnsi="Arial"/>
            <w:sz w:val="18"/>
            <w:szCs w:val="18"/>
            <w:u w:val="single" w:color="auto"/>
            <w:color w:val="0000EE"/>
          </w:rPr>
          <w:t>and Citibank, N.A., as syndication agent</w:t>
        </w:r>
      </w:hyperlink>
    </w:p>
    <w:p>
      <w:pPr>
        <w:spacing w:after="0" w:line="80" w:lineRule="exact"/>
        <w:rPr>
          <w:rFonts w:ascii="Arial" w:cs="Arial" w:eastAsia="Arial" w:hAnsi="Arial"/>
          <w:sz w:val="18"/>
          <w:szCs w:val="18"/>
          <w:u w:val="single" w:color="auto"/>
          <w:color w:val="0000EE"/>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51" w:lineRule="exact"/>
        <w:rPr>
          <w:rFonts w:ascii="Arial" w:cs="Arial" w:eastAsia="Arial" w:hAnsi="Arial"/>
          <w:sz w:val="18"/>
          <w:szCs w:val="18"/>
          <w:u w:val="single" w:color="auto"/>
          <w:color w:val="0000EE"/>
        </w:rPr>
      </w:pPr>
    </w:p>
    <w:p>
      <w:pPr>
        <w:ind w:left="440" w:right="320" w:hanging="431"/>
        <w:spacing w:after="0" w:line="276"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0900"/>
          </w:cols>
          <w:pgMar w:left="440" w:top="296"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8"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431"/>
        </w:trPr>
        <w:tc>
          <w:tcPr>
            <w:tcW w:w="3520" w:type="dxa"/>
            <w:vAlign w:val="bottom"/>
            <w:vMerge w:val="restart"/>
          </w:tcPr>
          <w:p>
            <w:pPr>
              <w:spacing w:after="0"/>
              <w:rPr>
                <w:sz w:val="20"/>
                <w:szCs w:val="20"/>
                <w:color w:val="auto"/>
              </w:rPr>
            </w:pPr>
            <w:r>
              <w:rPr>
                <w:rFonts w:ascii="Arial" w:cs="Arial" w:eastAsia="Arial" w:hAnsi="Arial"/>
                <w:sz w:val="18"/>
                <w:szCs w:val="18"/>
                <w:color w:val="auto"/>
              </w:rPr>
              <w:t>Date: April 7, 2021</w:t>
            </w:r>
          </w:p>
        </w:tc>
        <w:tc>
          <w:tcPr>
            <w:tcW w:w="7480" w:type="dxa"/>
            <w:vAlign w:val="bottom"/>
            <w:gridSpan w:val="2"/>
          </w:tcPr>
          <w:p>
            <w:pPr>
              <w:ind w:left="2100"/>
              <w:spacing w:after="0"/>
              <w:rPr>
                <w:sz w:val="20"/>
                <w:szCs w:val="20"/>
                <w:color w:val="auto"/>
              </w:rPr>
            </w:pPr>
            <w:r>
              <w:rPr>
                <w:rFonts w:ascii="Arial" w:cs="Arial" w:eastAsia="Arial" w:hAnsi="Arial"/>
                <w:sz w:val="18"/>
                <w:szCs w:val="18"/>
                <w:color w:val="auto"/>
              </w:rPr>
              <w:t>By:  /s/ Ann Cathcart Chaplin</w:t>
            </w:r>
          </w:p>
        </w:tc>
        <w:tc>
          <w:tcPr>
            <w:tcW w:w="0" w:type="dxa"/>
            <w:vAlign w:val="bottom"/>
          </w:tcPr>
          <w:p>
            <w:pPr>
              <w:spacing w:after="0"/>
              <w:rPr>
                <w:sz w:val="1"/>
                <w:szCs w:val="1"/>
                <w:color w:val="auto"/>
              </w:rPr>
            </w:pPr>
          </w:p>
        </w:tc>
      </w:tr>
      <w:tr>
        <w:trPr>
          <w:trHeight w:val="208"/>
        </w:trPr>
        <w:tc>
          <w:tcPr>
            <w:tcW w:w="352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 Cathcart Chaplin</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Corporate Secretary and Deputy General Counsel</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0000"/>
        <w:spacing w:after="0"/>
        <w:rPr>
          <w:sz w:val="20"/>
          <w:szCs w:val="20"/>
          <w:color w:val="auto"/>
        </w:rPr>
      </w:pPr>
      <w:r>
        <w:rPr>
          <w:rFonts w:ascii="Arial" w:cs="Arial" w:eastAsia="Arial" w:hAnsi="Arial"/>
          <w:sz w:val="18"/>
          <w:szCs w:val="18"/>
          <w:b w:val="1"/>
          <w:bCs w:val="1"/>
          <w:color w:val="auto"/>
        </w:rPr>
        <w:t>EXHIBIT 10.1</w:t>
      </w:r>
    </w:p>
    <w:p>
      <w:pPr>
        <w:spacing w:after="0" w:line="224" w:lineRule="exact"/>
        <w:rPr>
          <w:sz w:val="20"/>
          <w:szCs w:val="20"/>
          <w:color w:val="auto"/>
        </w:rPr>
      </w:pPr>
    </w:p>
    <w:p>
      <w:pPr>
        <w:ind w:left="120" w:right="600"/>
        <w:spacing w:after="0" w:line="265"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FOURTH AMENDED AND RESTATED 3-YEAR REVOLVING CREDIT AGREEMENT</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Among</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GENERAL MOTORS FINANCIAL COMPANY, INC.,</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SEVERAL LENDERS FROM TIME TO TIME PARTIES HERETO,</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20" w:type="dxa"/>
            <w:vAlign w:val="bottom"/>
            <w:gridSpan w:val="2"/>
          </w:tcPr>
          <w:p>
            <w:pPr>
              <w:ind w:left="1260"/>
              <w:spacing w:after="0"/>
              <w:rPr>
                <w:sz w:val="20"/>
                <w:szCs w:val="20"/>
                <w:color w:val="auto"/>
              </w:rPr>
            </w:pPr>
            <w:r>
              <w:rPr>
                <w:rFonts w:ascii="Arial" w:cs="Arial" w:eastAsia="Arial" w:hAnsi="Arial"/>
                <w:sz w:val="18"/>
                <w:szCs w:val="18"/>
                <w:color w:val="auto"/>
              </w:rPr>
              <w:t>Dated as of April 7, 2021</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43"/>
        </w:trPr>
        <w:tc>
          <w:tcPr>
            <w:tcW w:w="1920" w:type="dxa"/>
            <w:vAlign w:val="bottom"/>
          </w:tcPr>
          <w:p>
            <w:pPr>
              <w:spacing w:after="0"/>
              <w:rPr>
                <w:sz w:val="24"/>
                <w:szCs w:val="24"/>
                <w:color w:val="auto"/>
              </w:rPr>
            </w:pPr>
          </w:p>
        </w:tc>
        <w:tc>
          <w:tcPr>
            <w:tcW w:w="3320" w:type="dxa"/>
            <w:vAlign w:val="bottom"/>
            <w:gridSpan w:val="2"/>
          </w:tcPr>
          <w:p>
            <w:pPr>
              <w:jc w:val="center"/>
              <w:spacing w:after="0"/>
              <w:rPr>
                <w:sz w:val="20"/>
                <w:szCs w:val="20"/>
                <w:color w:val="auto"/>
              </w:rPr>
            </w:pPr>
            <w:r>
              <w:rPr>
                <w:rFonts w:ascii="Arial" w:cs="Arial" w:eastAsia="Arial" w:hAnsi="Arial"/>
                <w:sz w:val="18"/>
                <w:szCs w:val="18"/>
                <w:color w:val="auto"/>
                <w:w w:val="96"/>
              </w:rPr>
              <w:t>JPMORGAN CHASE BANK, N.A.,</w:t>
            </w: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5"/>
        </w:trPr>
        <w:tc>
          <w:tcPr>
            <w:tcW w:w="1920" w:type="dxa"/>
            <w:vAlign w:val="bottom"/>
          </w:tcPr>
          <w:p>
            <w:pPr>
              <w:spacing w:after="0"/>
              <w:rPr>
                <w:sz w:val="18"/>
                <w:szCs w:val="18"/>
                <w:color w:val="auto"/>
              </w:rPr>
            </w:pPr>
          </w:p>
        </w:tc>
        <w:tc>
          <w:tcPr>
            <w:tcW w:w="33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as Administrative Agent, Global Coordinator,</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gridSpan w:val="3"/>
          </w:tcPr>
          <w:p>
            <w:pPr>
              <w:jc w:val="center"/>
              <w:ind w:right="250"/>
              <w:spacing w:after="0"/>
              <w:rPr>
                <w:sz w:val="20"/>
                <w:szCs w:val="20"/>
                <w:color w:val="auto"/>
              </w:rPr>
            </w:pPr>
            <w:r>
              <w:rPr>
                <w:rFonts w:ascii="Arial" w:cs="Arial" w:eastAsia="Arial" w:hAnsi="Arial"/>
                <w:sz w:val="18"/>
                <w:szCs w:val="18"/>
                <w:color w:val="auto"/>
              </w:rPr>
              <w:t>CITIBANK, N.A.,</w:t>
            </w:r>
          </w:p>
        </w:tc>
      </w:tr>
      <w:tr>
        <w:trPr>
          <w:trHeight w:val="243"/>
        </w:trPr>
        <w:tc>
          <w:tcPr>
            <w:tcW w:w="1920" w:type="dxa"/>
            <w:vAlign w:val="bottom"/>
          </w:tcPr>
          <w:p>
            <w:pPr>
              <w:spacing w:after="0"/>
              <w:rPr>
                <w:sz w:val="21"/>
                <w:szCs w:val="21"/>
                <w:color w:val="auto"/>
              </w:rPr>
            </w:pPr>
          </w:p>
        </w:tc>
        <w:tc>
          <w:tcPr>
            <w:tcW w:w="33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Joint Lead Arranger and Joint Bookrunner</w:t>
            </w:r>
          </w:p>
        </w:tc>
        <w:tc>
          <w:tcPr>
            <w:tcW w:w="1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20" w:type="dxa"/>
            <w:vAlign w:val="bottom"/>
            <w:gridSpan w:val="3"/>
          </w:tcPr>
          <w:p>
            <w:pPr>
              <w:jc w:val="center"/>
              <w:ind w:right="250"/>
              <w:spacing w:after="0"/>
              <w:rPr>
                <w:sz w:val="20"/>
                <w:szCs w:val="20"/>
                <w:color w:val="auto"/>
              </w:rPr>
            </w:pPr>
            <w:r>
              <w:rPr>
                <w:rFonts w:ascii="Arial" w:cs="Arial" w:eastAsia="Arial" w:hAnsi="Arial"/>
                <w:sz w:val="18"/>
                <w:szCs w:val="18"/>
                <w:i w:val="1"/>
                <w:iCs w:val="1"/>
                <w:color w:val="auto"/>
                <w:w w:val="89"/>
              </w:rPr>
              <w:t>as Syndication Agent</w:t>
            </w:r>
          </w:p>
        </w:tc>
      </w:tr>
      <w:tr>
        <w:trPr>
          <w:trHeight w:val="309"/>
        </w:trPr>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gridSpan w:val="3"/>
          </w:tcPr>
          <w:p>
            <w:pPr>
              <w:jc w:val="center"/>
              <w:ind w:right="250"/>
              <w:spacing w:after="0"/>
              <w:rPr>
                <w:sz w:val="20"/>
                <w:szCs w:val="20"/>
                <w:color w:val="auto"/>
              </w:rPr>
            </w:pPr>
            <w:r>
              <w:rPr>
                <w:rFonts w:ascii="Arial" w:cs="Arial" w:eastAsia="Arial" w:hAnsi="Arial"/>
                <w:sz w:val="18"/>
                <w:szCs w:val="18"/>
                <w:color w:val="auto"/>
                <w:w w:val="97"/>
              </w:rPr>
              <w:t>CITIGROUP GLOBAL MARKETS INC.,</w:t>
            </w:r>
          </w:p>
        </w:tc>
      </w:tr>
      <w:tr>
        <w:trPr>
          <w:trHeight w:val="215"/>
        </w:trPr>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40" w:type="dxa"/>
            <w:vAlign w:val="bottom"/>
            <w:gridSpan w:val="4"/>
          </w:tcPr>
          <w:p>
            <w:pPr>
              <w:jc w:val="center"/>
              <w:ind w:left="190"/>
              <w:spacing w:after="0"/>
              <w:rPr>
                <w:sz w:val="20"/>
                <w:szCs w:val="20"/>
                <w:color w:val="auto"/>
              </w:rPr>
            </w:pPr>
            <w:r>
              <w:rPr>
                <w:rFonts w:ascii="Arial" w:cs="Arial" w:eastAsia="Arial" w:hAnsi="Arial"/>
                <w:sz w:val="18"/>
                <w:szCs w:val="18"/>
                <w:i w:val="1"/>
                <w:iCs w:val="1"/>
                <w:color w:val="auto"/>
                <w:w w:val="92"/>
              </w:rPr>
              <w:t>as Global Coordinator, Joint Lead Arranger and</w:t>
            </w:r>
          </w:p>
        </w:tc>
      </w:tr>
      <w:tr>
        <w:trPr>
          <w:trHeight w:val="230"/>
        </w:trPr>
        <w:tc>
          <w:tcPr>
            <w:tcW w:w="1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gridSpan w:val="2"/>
          </w:tcPr>
          <w:p>
            <w:pPr>
              <w:jc w:val="center"/>
              <w:ind w:left="810"/>
              <w:spacing w:after="0"/>
              <w:rPr>
                <w:sz w:val="20"/>
                <w:szCs w:val="20"/>
                <w:color w:val="auto"/>
              </w:rPr>
            </w:pPr>
            <w:r>
              <w:rPr>
                <w:rFonts w:ascii="Arial" w:cs="Arial" w:eastAsia="Arial" w:hAnsi="Arial"/>
                <w:sz w:val="18"/>
                <w:szCs w:val="18"/>
                <w:i w:val="1"/>
                <w:iCs w:val="1"/>
                <w:color w:val="auto"/>
                <w:w w:val="94"/>
              </w:rPr>
              <w:t>Joint Bookrunner</w:t>
            </w:r>
          </w:p>
        </w:tc>
        <w:tc>
          <w:tcPr>
            <w:tcW w:w="1240" w:type="dxa"/>
            <w:vAlign w:val="bottom"/>
          </w:tcPr>
          <w:p>
            <w:pPr>
              <w:spacing w:after="0"/>
              <w:rPr>
                <w:sz w:val="19"/>
                <w:szCs w:val="19"/>
                <w:color w:val="auto"/>
              </w:rPr>
            </w:pPr>
          </w:p>
        </w:tc>
      </w:tr>
      <w:tr>
        <w:trPr>
          <w:trHeight w:val="242"/>
        </w:trPr>
        <w:tc>
          <w:tcPr>
            <w:tcW w:w="3340" w:type="dxa"/>
            <w:vAlign w:val="bottom"/>
            <w:tcBorders>
              <w:bottom w:val="single" w:sz="8" w:color="auto"/>
            </w:tcBorders>
            <w:gridSpan w:val="2"/>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spacing w:after="0"/>
              <w:rPr>
                <w:sz w:val="21"/>
                <w:szCs w:val="21"/>
                <w:color w:val="auto"/>
              </w:rPr>
            </w:pPr>
          </w:p>
        </w:tc>
        <w:tc>
          <w:tcPr>
            <w:tcW w:w="3420" w:type="dxa"/>
            <w:vAlign w:val="bottom"/>
            <w:tcBorders>
              <w:bottom w:val="single" w:sz="8" w:color="auto"/>
            </w:tcBorders>
            <w:gridSpan w:val="3"/>
          </w:tcPr>
          <w:p>
            <w:pPr>
              <w:spacing w:after="0"/>
              <w:rPr>
                <w:sz w:val="21"/>
                <w:szCs w:val="21"/>
                <w:color w:val="auto"/>
              </w:rPr>
            </w:pPr>
          </w:p>
        </w:tc>
      </w:tr>
      <w:tr>
        <w:trPr>
          <w:trHeight w:val="289"/>
        </w:trPr>
        <w:tc>
          <w:tcPr>
            <w:tcW w:w="3340" w:type="dxa"/>
            <w:vAlign w:val="bottom"/>
            <w:gridSpan w:val="2"/>
          </w:tcPr>
          <w:p>
            <w:pPr>
              <w:jc w:val="center"/>
              <w:ind w:left="1750"/>
              <w:spacing w:after="0"/>
              <w:rPr>
                <w:sz w:val="20"/>
                <w:szCs w:val="20"/>
                <w:color w:val="auto"/>
              </w:rPr>
            </w:pPr>
            <w:r>
              <w:rPr>
                <w:rFonts w:ascii="Arial" w:cs="Arial" w:eastAsia="Arial" w:hAnsi="Arial"/>
                <w:sz w:val="18"/>
                <w:szCs w:val="18"/>
                <w:color w:val="auto"/>
                <w:w w:val="99"/>
              </w:rPr>
              <w:t>INDUSTRIAL AND</w:t>
            </w:r>
          </w:p>
        </w:tc>
        <w:tc>
          <w:tcPr>
            <w:tcW w:w="1900" w:type="dxa"/>
            <w:vAlign w:val="bottom"/>
          </w:tcPr>
          <w:p>
            <w:pPr>
              <w:spacing w:after="0"/>
              <w:rPr>
                <w:sz w:val="24"/>
                <w:szCs w:val="24"/>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7"/>
              </w:rPr>
              <w:t>LLOYDS BANK PLC</w:t>
            </w:r>
            <w:r>
              <w:rPr>
                <w:rFonts w:ascii="Arial" w:cs="Arial" w:eastAsia="Arial" w:hAnsi="Arial"/>
                <w:sz w:val="15"/>
                <w:szCs w:val="15"/>
                <w:color w:val="auto"/>
                <w:w w:val="97"/>
              </w:rPr>
              <w:t>1,2</w:t>
            </w:r>
          </w:p>
        </w:tc>
        <w:tc>
          <w:tcPr>
            <w:tcW w:w="3420" w:type="dxa"/>
            <w:vAlign w:val="bottom"/>
            <w:gridSpan w:val="3"/>
          </w:tcPr>
          <w:p>
            <w:pPr>
              <w:jc w:val="center"/>
              <w:ind w:left="270"/>
              <w:spacing w:after="0"/>
              <w:rPr>
                <w:sz w:val="20"/>
                <w:szCs w:val="20"/>
                <w:color w:val="auto"/>
              </w:rPr>
            </w:pPr>
            <w:r>
              <w:rPr>
                <w:rFonts w:ascii="Arial" w:cs="Arial" w:eastAsia="Arial" w:hAnsi="Arial"/>
                <w:sz w:val="18"/>
                <w:szCs w:val="18"/>
                <w:color w:val="auto"/>
                <w:w w:val="97"/>
              </w:rPr>
              <w:t>THE TORONTO DOMINION</w:t>
            </w:r>
          </w:p>
        </w:tc>
      </w:tr>
      <w:tr>
        <w:trPr>
          <w:trHeight w:val="215"/>
        </w:trPr>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9"/>
              </w:rPr>
              <w:t>COMMERCIAL BANK OF</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60" w:type="dxa"/>
            <w:vAlign w:val="bottom"/>
            <w:gridSpan w:val="2"/>
          </w:tcPr>
          <w:p>
            <w:pPr>
              <w:jc w:val="center"/>
              <w:ind w:right="490"/>
              <w:spacing w:after="0"/>
              <w:rPr>
                <w:sz w:val="20"/>
                <w:szCs w:val="20"/>
                <w:color w:val="auto"/>
              </w:rPr>
            </w:pPr>
            <w:r>
              <w:rPr>
                <w:rFonts w:ascii="Arial" w:cs="Arial" w:eastAsia="Arial" w:hAnsi="Arial"/>
                <w:sz w:val="18"/>
                <w:szCs w:val="18"/>
                <w:color w:val="auto"/>
                <w:w w:val="99"/>
              </w:rPr>
              <w:t>BANK, NEW YORK</w:t>
            </w:r>
          </w:p>
        </w:tc>
      </w:tr>
      <w:tr>
        <w:trPr>
          <w:trHeight w:val="215"/>
        </w:trPr>
        <w:tc>
          <w:tcPr>
            <w:tcW w:w="5240" w:type="dxa"/>
            <w:vAlign w:val="bottom"/>
            <w:gridSpan w:val="3"/>
          </w:tcPr>
          <w:p>
            <w:pPr>
              <w:jc w:val="center"/>
              <w:spacing w:after="0"/>
              <w:rPr>
                <w:sz w:val="20"/>
                <w:szCs w:val="20"/>
                <w:color w:val="auto"/>
              </w:rPr>
            </w:pPr>
            <w:r>
              <w:rPr>
                <w:rFonts w:ascii="Arial" w:cs="Arial" w:eastAsia="Arial" w:hAnsi="Arial"/>
                <w:sz w:val="18"/>
                <w:szCs w:val="18"/>
                <w:color w:val="auto"/>
              </w:rPr>
              <w:t>CHINA LIMITED NEW YORK</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60" w:type="dxa"/>
            <w:vAlign w:val="bottom"/>
            <w:gridSpan w:val="2"/>
          </w:tcPr>
          <w:p>
            <w:pPr>
              <w:jc w:val="center"/>
              <w:ind w:right="51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r>
      <w:tr>
        <w:trPr>
          <w:trHeight w:val="230"/>
        </w:trPr>
        <w:tc>
          <w:tcPr>
            <w:tcW w:w="1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9"/>
        </w:trPr>
        <w:tc>
          <w:tcPr>
            <w:tcW w:w="52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as Asian Pacific Regional</w:t>
            </w:r>
          </w:p>
        </w:tc>
        <w:tc>
          <w:tcPr>
            <w:tcW w:w="234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as European Regional</w:t>
            </w:r>
          </w:p>
        </w:tc>
        <w:tc>
          <w:tcPr>
            <w:tcW w:w="3420" w:type="dxa"/>
            <w:vAlign w:val="bottom"/>
            <w:gridSpan w:val="3"/>
          </w:tcPr>
          <w:p>
            <w:pPr>
              <w:jc w:val="center"/>
              <w:ind w:left="270"/>
              <w:spacing w:after="0"/>
              <w:rPr>
                <w:sz w:val="20"/>
                <w:szCs w:val="20"/>
                <w:color w:val="auto"/>
              </w:rPr>
            </w:pPr>
            <w:r>
              <w:rPr>
                <w:rFonts w:ascii="Arial" w:cs="Arial" w:eastAsia="Arial" w:hAnsi="Arial"/>
                <w:sz w:val="18"/>
                <w:szCs w:val="18"/>
                <w:i w:val="1"/>
                <w:iCs w:val="1"/>
                <w:color w:val="auto"/>
                <w:w w:val="91"/>
              </w:rPr>
              <w:t>as North American Regional Coordinator</w:t>
            </w:r>
          </w:p>
        </w:tc>
      </w:tr>
      <w:tr>
        <w:trPr>
          <w:trHeight w:val="230"/>
        </w:trPr>
        <w:tc>
          <w:tcPr>
            <w:tcW w:w="1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i w:val="1"/>
                <w:iCs w:val="1"/>
                <w:color w:val="auto"/>
                <w:w w:val="95"/>
              </w:rPr>
              <w:t>Coordinator</w:t>
            </w:r>
          </w:p>
        </w:tc>
        <w:tc>
          <w:tcPr>
            <w:tcW w:w="1900" w:type="dxa"/>
            <w:vAlign w:val="bottom"/>
          </w:tcPr>
          <w:p>
            <w:pPr>
              <w:spacing w:after="0"/>
              <w:rPr>
                <w:sz w:val="19"/>
                <w:szCs w:val="19"/>
                <w:color w:val="auto"/>
              </w:rPr>
            </w:pPr>
          </w:p>
        </w:tc>
        <w:tc>
          <w:tcPr>
            <w:tcW w:w="1720" w:type="dxa"/>
            <w:vAlign w:val="bottom"/>
          </w:tcPr>
          <w:p>
            <w:pPr>
              <w:jc w:val="center"/>
              <w:ind w:left="570"/>
              <w:spacing w:after="0"/>
              <w:rPr>
                <w:sz w:val="20"/>
                <w:szCs w:val="20"/>
                <w:color w:val="auto"/>
              </w:rPr>
            </w:pPr>
            <w:r>
              <w:rPr>
                <w:rFonts w:ascii="Arial" w:cs="Arial" w:eastAsia="Arial" w:hAnsi="Arial"/>
                <w:sz w:val="18"/>
                <w:szCs w:val="18"/>
                <w:i w:val="1"/>
                <w:iCs w:val="1"/>
                <w:color w:val="auto"/>
                <w:w w:val="95"/>
              </w:rPr>
              <w:t>Coordinator</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9"/>
        </w:trPr>
        <w:tc>
          <w:tcPr>
            <w:tcW w:w="1920" w:type="dxa"/>
            <w:vAlign w:val="bottom"/>
          </w:tcPr>
          <w:p>
            <w:pPr>
              <w:jc w:val="center"/>
              <w:ind w:left="770"/>
              <w:spacing w:after="0"/>
              <w:rPr>
                <w:sz w:val="20"/>
                <w:szCs w:val="20"/>
                <w:color w:val="auto"/>
              </w:rPr>
            </w:pPr>
            <w:r>
              <w:rPr>
                <w:rFonts w:ascii="Arial" w:cs="Arial" w:eastAsia="Arial" w:hAnsi="Arial"/>
                <w:sz w:val="18"/>
                <w:szCs w:val="18"/>
                <w:color w:val="auto"/>
                <w:w w:val="97"/>
              </w:rPr>
              <w:t>BARCLAYS</w:t>
            </w:r>
          </w:p>
        </w:tc>
        <w:tc>
          <w:tcPr>
            <w:tcW w:w="1420" w:type="dxa"/>
            <w:vAlign w:val="bottom"/>
          </w:tcPr>
          <w:p>
            <w:pPr>
              <w:spacing w:after="0"/>
              <w:rPr>
                <w:sz w:val="24"/>
                <w:szCs w:val="24"/>
                <w:color w:val="auto"/>
              </w:rPr>
            </w:pPr>
          </w:p>
        </w:tc>
        <w:tc>
          <w:tcPr>
            <w:tcW w:w="1900" w:type="dxa"/>
            <w:vAlign w:val="bottom"/>
          </w:tcPr>
          <w:p>
            <w:pPr>
              <w:jc w:val="center"/>
              <w:ind w:right="470"/>
              <w:spacing w:after="0"/>
              <w:rPr>
                <w:sz w:val="20"/>
                <w:szCs w:val="20"/>
                <w:color w:val="auto"/>
              </w:rPr>
            </w:pPr>
            <w:r>
              <w:rPr>
                <w:rFonts w:ascii="Arial" w:cs="Arial" w:eastAsia="Arial" w:hAnsi="Arial"/>
                <w:sz w:val="18"/>
                <w:szCs w:val="18"/>
                <w:color w:val="auto"/>
                <w:w w:val="99"/>
              </w:rPr>
              <w:t>BANCO BILBAO</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21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COMMERZBANK</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CREDIT</w:t>
            </w:r>
          </w:p>
        </w:tc>
      </w:tr>
      <w:tr>
        <w:trPr>
          <w:trHeight w:val="215"/>
        </w:trPr>
        <w:tc>
          <w:tcPr>
            <w:tcW w:w="1920" w:type="dxa"/>
            <w:vAlign w:val="bottom"/>
          </w:tcPr>
          <w:p>
            <w:pPr>
              <w:jc w:val="center"/>
              <w:ind w:left="750"/>
              <w:spacing w:after="0"/>
              <w:rPr>
                <w:sz w:val="20"/>
                <w:szCs w:val="20"/>
                <w:color w:val="auto"/>
              </w:rPr>
            </w:pPr>
            <w:r>
              <w:rPr>
                <w:rFonts w:ascii="Arial" w:cs="Arial" w:eastAsia="Arial" w:hAnsi="Arial"/>
                <w:sz w:val="18"/>
                <w:szCs w:val="18"/>
                <w:color w:val="auto"/>
                <w:w w:val="98"/>
              </w:rPr>
              <w:t>BANK PLC</w:t>
            </w:r>
            <w:r>
              <w:rPr>
                <w:rFonts w:ascii="Arial" w:cs="Arial" w:eastAsia="Arial" w:hAnsi="Arial"/>
                <w:sz w:val="15"/>
                <w:szCs w:val="15"/>
                <w:color w:val="auto"/>
                <w:w w:val="98"/>
              </w:rPr>
              <w:t>1,2</w:t>
            </w:r>
          </w:p>
        </w:tc>
        <w:tc>
          <w:tcPr>
            <w:tcW w:w="3320" w:type="dxa"/>
            <w:vAlign w:val="bottom"/>
            <w:gridSpan w:val="2"/>
          </w:tcPr>
          <w:p>
            <w:pPr>
              <w:jc w:val="center"/>
              <w:ind w:left="770"/>
              <w:spacing w:after="0"/>
              <w:rPr>
                <w:sz w:val="20"/>
                <w:szCs w:val="20"/>
                <w:color w:val="auto"/>
              </w:rPr>
            </w:pPr>
            <w:r>
              <w:rPr>
                <w:rFonts w:ascii="Arial" w:cs="Arial" w:eastAsia="Arial" w:hAnsi="Arial"/>
                <w:sz w:val="18"/>
                <w:szCs w:val="18"/>
                <w:color w:val="auto"/>
                <w:w w:val="98"/>
              </w:rPr>
              <w:t>VIZCAYA ARGENTARIA,</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gridSpan w:val="2"/>
          </w:tcPr>
          <w:p>
            <w:pPr>
              <w:jc w:val="center"/>
              <w:ind w:left="90"/>
              <w:spacing w:after="0"/>
              <w:rPr>
                <w:sz w:val="20"/>
                <w:szCs w:val="20"/>
                <w:color w:val="auto"/>
              </w:rPr>
            </w:pPr>
            <w:r>
              <w:rPr>
                <w:rFonts w:ascii="Arial" w:cs="Arial" w:eastAsia="Arial" w:hAnsi="Arial"/>
                <w:sz w:val="18"/>
                <w:szCs w:val="18"/>
                <w:color w:val="auto"/>
                <w:w w:val="98"/>
              </w:rPr>
              <w:t>AG, NEW YORK</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AGRICOLE</w:t>
            </w:r>
          </w:p>
        </w:tc>
      </w:tr>
      <w:tr>
        <w:trPr>
          <w:trHeight w:val="215"/>
        </w:trPr>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Pr>
          <w:p>
            <w:pPr>
              <w:jc w:val="center"/>
              <w:ind w:right="450"/>
              <w:spacing w:after="0"/>
              <w:rPr>
                <w:sz w:val="20"/>
                <w:szCs w:val="20"/>
                <w:color w:val="auto"/>
              </w:rPr>
            </w:pPr>
            <w:r>
              <w:rPr>
                <w:rFonts w:ascii="Arial" w:cs="Arial" w:eastAsia="Arial" w:hAnsi="Arial"/>
                <w:sz w:val="18"/>
                <w:szCs w:val="18"/>
                <w:color w:val="auto"/>
                <w:w w:val="96"/>
              </w:rPr>
              <w:t>S.A. NEW YORK</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CORPORATE</w:t>
            </w:r>
          </w:p>
        </w:tc>
      </w:tr>
      <w:tr>
        <w:trPr>
          <w:trHeight w:val="215"/>
        </w:trPr>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Pr>
          <w:p>
            <w:pPr>
              <w:jc w:val="center"/>
              <w:ind w:right="47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AND</w:t>
            </w:r>
          </w:p>
        </w:tc>
      </w:tr>
      <w:tr>
        <w:trPr>
          <w:trHeight w:val="215"/>
        </w:trPr>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INVESTMENT</w:t>
            </w:r>
          </w:p>
        </w:tc>
      </w:tr>
      <w:tr>
        <w:trPr>
          <w:trHeight w:val="230"/>
        </w:trPr>
        <w:tc>
          <w:tcPr>
            <w:tcW w:w="1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 xml:space="preserve">BANK </w:t>
            </w:r>
            <w:r>
              <w:rPr>
                <w:rFonts w:ascii="Arial" w:cs="Arial" w:eastAsia="Arial" w:hAnsi="Arial"/>
                <w:sz w:val="15"/>
                <w:szCs w:val="15"/>
                <w:color w:val="auto"/>
                <w:w w:val="98"/>
              </w:rPr>
              <w:t>1,2</w:t>
            </w:r>
          </w:p>
        </w:tc>
      </w:tr>
      <w:tr>
        <w:trPr>
          <w:trHeight w:val="309"/>
        </w:trPr>
        <w:tc>
          <w:tcPr>
            <w:tcW w:w="1920" w:type="dxa"/>
            <w:vAlign w:val="bottom"/>
          </w:tcPr>
          <w:p>
            <w:pPr>
              <w:jc w:val="center"/>
              <w:ind w:left="770"/>
              <w:spacing w:after="0"/>
              <w:rPr>
                <w:sz w:val="20"/>
                <w:szCs w:val="20"/>
                <w:color w:val="auto"/>
              </w:rPr>
            </w:pPr>
            <w:r>
              <w:rPr>
                <w:rFonts w:ascii="Arial" w:cs="Arial" w:eastAsia="Arial" w:hAnsi="Arial"/>
                <w:sz w:val="18"/>
                <w:szCs w:val="18"/>
                <w:color w:val="auto"/>
                <w:w w:val="94"/>
              </w:rPr>
              <w:t>DEUTSCHE</w:t>
            </w:r>
          </w:p>
        </w:tc>
        <w:tc>
          <w:tcPr>
            <w:tcW w:w="1420" w:type="dxa"/>
            <w:vAlign w:val="bottom"/>
          </w:tcPr>
          <w:p>
            <w:pPr>
              <w:spacing w:after="0"/>
              <w:rPr>
                <w:sz w:val="24"/>
                <w:szCs w:val="24"/>
                <w:color w:val="auto"/>
              </w:rPr>
            </w:pPr>
          </w:p>
        </w:tc>
        <w:tc>
          <w:tcPr>
            <w:tcW w:w="1900" w:type="dxa"/>
            <w:vAlign w:val="bottom"/>
          </w:tcPr>
          <w:p>
            <w:pPr>
              <w:jc w:val="center"/>
              <w:ind w:right="450"/>
              <w:spacing w:after="0"/>
              <w:rPr>
                <w:sz w:val="20"/>
                <w:szCs w:val="20"/>
                <w:color w:val="auto"/>
              </w:rPr>
            </w:pPr>
            <w:r>
              <w:rPr>
                <w:rFonts w:ascii="Arial" w:cs="Arial" w:eastAsia="Arial" w:hAnsi="Arial"/>
                <w:sz w:val="18"/>
                <w:szCs w:val="18"/>
                <w:color w:val="auto"/>
              </w:rPr>
              <w:t>GOLDMAN</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4"/>
              </w:rPr>
              <w:t>INTESA SANPAOLO S.P.A.—</w:t>
            </w:r>
          </w:p>
        </w:tc>
        <w:tc>
          <w:tcPr>
            <w:tcW w:w="2180" w:type="dxa"/>
            <w:vAlign w:val="bottom"/>
            <w:gridSpan w:val="2"/>
          </w:tcPr>
          <w:p>
            <w:pPr>
              <w:jc w:val="center"/>
              <w:ind w:left="110"/>
              <w:spacing w:after="0"/>
              <w:rPr>
                <w:sz w:val="20"/>
                <w:szCs w:val="20"/>
                <w:color w:val="auto"/>
              </w:rPr>
            </w:pPr>
            <w:r>
              <w:rPr>
                <w:rFonts w:ascii="Arial" w:cs="Arial" w:eastAsia="Arial" w:hAnsi="Arial"/>
                <w:sz w:val="18"/>
                <w:szCs w:val="18"/>
                <w:color w:val="auto"/>
                <w:w w:val="98"/>
              </w:rPr>
              <w:t>BANK OF</w:t>
            </w:r>
          </w:p>
        </w:tc>
        <w:tc>
          <w:tcPr>
            <w:tcW w:w="1240" w:type="dxa"/>
            <w:vAlign w:val="bottom"/>
          </w:tcPr>
          <w:p>
            <w:pPr>
              <w:jc w:val="center"/>
              <w:spacing w:after="0"/>
              <w:rPr>
                <w:sz w:val="20"/>
                <w:szCs w:val="20"/>
                <w:color w:val="auto"/>
              </w:rPr>
            </w:pPr>
            <w:r>
              <w:rPr>
                <w:rFonts w:ascii="Arial" w:cs="Arial" w:eastAsia="Arial" w:hAnsi="Arial"/>
                <w:sz w:val="18"/>
                <w:szCs w:val="18"/>
                <w:color w:val="auto"/>
              </w:rPr>
              <w:t>MIZUHO</w:t>
            </w:r>
          </w:p>
        </w:tc>
      </w:tr>
      <w:tr>
        <w:trPr>
          <w:trHeight w:val="215"/>
        </w:trPr>
        <w:tc>
          <w:tcPr>
            <w:tcW w:w="1920" w:type="dxa"/>
            <w:vAlign w:val="bottom"/>
          </w:tcPr>
          <w:p>
            <w:pPr>
              <w:jc w:val="center"/>
              <w:ind w:left="750"/>
              <w:spacing w:after="0"/>
              <w:rPr>
                <w:sz w:val="20"/>
                <w:szCs w:val="20"/>
                <w:color w:val="auto"/>
              </w:rPr>
            </w:pPr>
            <w:r>
              <w:rPr>
                <w:rFonts w:ascii="Arial" w:cs="Arial" w:eastAsia="Arial" w:hAnsi="Arial"/>
                <w:sz w:val="18"/>
                <w:szCs w:val="18"/>
                <w:color w:val="auto"/>
              </w:rPr>
              <w:t>BANK</w:t>
            </w:r>
          </w:p>
        </w:tc>
        <w:tc>
          <w:tcPr>
            <w:tcW w:w="1420" w:type="dxa"/>
            <w:vAlign w:val="bottom"/>
          </w:tcPr>
          <w:p>
            <w:pPr>
              <w:spacing w:after="0"/>
              <w:rPr>
                <w:sz w:val="18"/>
                <w:szCs w:val="18"/>
                <w:color w:val="auto"/>
              </w:rPr>
            </w:pPr>
          </w:p>
        </w:tc>
        <w:tc>
          <w:tcPr>
            <w:tcW w:w="1900" w:type="dxa"/>
            <w:vAlign w:val="bottom"/>
          </w:tcPr>
          <w:p>
            <w:pPr>
              <w:jc w:val="center"/>
              <w:ind w:right="470"/>
              <w:spacing w:after="0"/>
              <w:rPr>
                <w:sz w:val="20"/>
                <w:szCs w:val="20"/>
                <w:color w:val="auto"/>
              </w:rPr>
            </w:pPr>
            <w:r>
              <w:rPr>
                <w:rFonts w:ascii="Arial" w:cs="Arial" w:eastAsia="Arial" w:hAnsi="Arial"/>
                <w:sz w:val="18"/>
                <w:szCs w:val="18"/>
                <w:color w:val="auto"/>
                <w:w w:val="98"/>
              </w:rPr>
              <w:t>SACHS BANK</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7"/>
              </w:rPr>
              <w:t>NEW YORK BRANCH</w:t>
            </w:r>
            <w:r>
              <w:rPr>
                <w:rFonts w:ascii="Arial" w:cs="Arial" w:eastAsia="Arial" w:hAnsi="Arial"/>
                <w:sz w:val="15"/>
                <w:szCs w:val="15"/>
                <w:color w:val="auto"/>
                <w:w w:val="97"/>
              </w:rPr>
              <w:t>1,2</w:t>
            </w:r>
          </w:p>
        </w:tc>
        <w:tc>
          <w:tcPr>
            <w:tcW w:w="2180" w:type="dxa"/>
            <w:vAlign w:val="bottom"/>
            <w:gridSpan w:val="2"/>
          </w:tcPr>
          <w:p>
            <w:pPr>
              <w:jc w:val="center"/>
              <w:ind w:left="110"/>
              <w:spacing w:after="0"/>
              <w:rPr>
                <w:sz w:val="20"/>
                <w:szCs w:val="20"/>
                <w:color w:val="auto"/>
              </w:rPr>
            </w:pPr>
            <w:r>
              <w:rPr>
                <w:rFonts w:ascii="Arial" w:cs="Arial" w:eastAsia="Arial" w:hAnsi="Arial"/>
                <w:sz w:val="18"/>
                <w:szCs w:val="18"/>
                <w:color w:val="auto"/>
                <w:w w:val="98"/>
              </w:rPr>
              <w:t>AMERICA, N.A.</w:t>
            </w:r>
            <w:r>
              <w:rPr>
                <w:rFonts w:ascii="Arial" w:cs="Arial" w:eastAsia="Arial" w:hAnsi="Arial"/>
                <w:sz w:val="15"/>
                <w:szCs w:val="15"/>
                <w:color w:val="auto"/>
                <w:w w:val="98"/>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BANK, LTD.</w:t>
            </w:r>
            <w:r>
              <w:rPr>
                <w:rFonts w:ascii="Arial" w:cs="Arial" w:eastAsia="Arial" w:hAnsi="Arial"/>
                <w:sz w:val="15"/>
                <w:szCs w:val="15"/>
                <w:color w:val="auto"/>
                <w:w w:val="97"/>
              </w:rPr>
              <w:t>1,2</w:t>
            </w:r>
          </w:p>
        </w:tc>
      </w:tr>
      <w:tr>
        <w:trPr>
          <w:trHeight w:val="215"/>
        </w:trPr>
        <w:tc>
          <w:tcPr>
            <w:tcW w:w="1920" w:type="dxa"/>
            <w:vAlign w:val="bottom"/>
          </w:tcPr>
          <w:p>
            <w:pPr>
              <w:jc w:val="center"/>
              <w:ind w:left="770"/>
              <w:spacing w:after="0"/>
              <w:rPr>
                <w:sz w:val="20"/>
                <w:szCs w:val="20"/>
                <w:color w:val="auto"/>
              </w:rPr>
            </w:pPr>
            <w:r>
              <w:rPr>
                <w:rFonts w:ascii="Arial" w:cs="Arial" w:eastAsia="Arial" w:hAnsi="Arial"/>
                <w:sz w:val="18"/>
                <w:szCs w:val="18"/>
                <w:color w:val="auto"/>
                <w:w w:val="94"/>
              </w:rPr>
              <w:t>SECURITIES</w:t>
            </w:r>
          </w:p>
        </w:tc>
        <w:tc>
          <w:tcPr>
            <w:tcW w:w="1420" w:type="dxa"/>
            <w:vAlign w:val="bottom"/>
          </w:tcPr>
          <w:p>
            <w:pPr>
              <w:spacing w:after="0"/>
              <w:rPr>
                <w:sz w:val="18"/>
                <w:szCs w:val="18"/>
                <w:color w:val="auto"/>
              </w:rPr>
            </w:pPr>
          </w:p>
        </w:tc>
        <w:tc>
          <w:tcPr>
            <w:tcW w:w="1900" w:type="dxa"/>
            <w:vAlign w:val="bottom"/>
          </w:tcPr>
          <w:p>
            <w:pPr>
              <w:jc w:val="center"/>
              <w:ind w:right="450"/>
              <w:spacing w:after="0"/>
              <w:rPr>
                <w:sz w:val="20"/>
                <w:szCs w:val="20"/>
                <w:color w:val="auto"/>
              </w:rPr>
            </w:pPr>
            <w:r>
              <w:rPr>
                <w:rFonts w:ascii="Arial" w:cs="Arial" w:eastAsia="Arial" w:hAnsi="Arial"/>
                <w:sz w:val="18"/>
                <w:szCs w:val="18"/>
                <w:color w:val="auto"/>
                <w:w w:val="96"/>
              </w:rPr>
              <w:t>USA</w:t>
            </w:r>
            <w:r>
              <w:rPr>
                <w:rFonts w:ascii="Arial" w:cs="Arial" w:eastAsia="Arial" w:hAnsi="Arial"/>
                <w:sz w:val="15"/>
                <w:szCs w:val="15"/>
                <w:color w:val="auto"/>
                <w:w w:val="96"/>
              </w:rPr>
              <w:t>1,2</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gridSpan w:val="2"/>
          </w:tcPr>
          <w:p>
            <w:pPr>
              <w:jc w:val="center"/>
              <w:ind w:left="90"/>
              <w:spacing w:after="0"/>
              <w:rPr>
                <w:sz w:val="20"/>
                <w:szCs w:val="20"/>
                <w:color w:val="auto"/>
              </w:rPr>
            </w:pPr>
            <w:r>
              <w:rPr>
                <w:rFonts w:ascii="Arial" w:cs="Arial" w:eastAsia="Arial" w:hAnsi="Arial"/>
                <w:sz w:val="18"/>
                <w:szCs w:val="18"/>
                <w:i w:val="1"/>
                <w:iCs w:val="1"/>
                <w:color w:val="auto"/>
                <w:w w:val="90"/>
              </w:rPr>
              <w:t>as Co-Syndication</w:t>
            </w:r>
          </w:p>
        </w:tc>
        <w:tc>
          <w:tcPr>
            <w:tcW w:w="1240" w:type="dxa"/>
            <w:vAlign w:val="bottom"/>
          </w:tcPr>
          <w:p>
            <w:pPr>
              <w:spacing w:after="0"/>
              <w:rPr>
                <w:sz w:val="18"/>
                <w:szCs w:val="18"/>
                <w:color w:val="auto"/>
              </w:rPr>
            </w:pPr>
          </w:p>
        </w:tc>
      </w:tr>
      <w:tr>
        <w:trPr>
          <w:trHeight w:val="230"/>
        </w:trPr>
        <w:tc>
          <w:tcPr>
            <w:tcW w:w="1920" w:type="dxa"/>
            <w:vAlign w:val="bottom"/>
          </w:tcPr>
          <w:p>
            <w:pPr>
              <w:jc w:val="center"/>
              <w:ind w:left="77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ind w:right="670"/>
              <w:spacing w:after="0"/>
              <w:rPr>
                <w:sz w:val="20"/>
                <w:szCs w:val="20"/>
                <w:color w:val="auto"/>
              </w:rPr>
            </w:pPr>
            <w:r>
              <w:rPr>
                <w:rFonts w:ascii="Arial" w:cs="Arial" w:eastAsia="Arial" w:hAnsi="Arial"/>
                <w:sz w:val="18"/>
                <w:szCs w:val="18"/>
                <w:i w:val="1"/>
                <w:iCs w:val="1"/>
                <w:color w:val="auto"/>
                <w:w w:val="89"/>
              </w:rPr>
              <w:t>Agent</w:t>
            </w:r>
          </w:p>
        </w:tc>
        <w:tc>
          <w:tcPr>
            <w:tcW w:w="1240" w:type="dxa"/>
            <w:vAlign w:val="bottom"/>
          </w:tcPr>
          <w:p>
            <w:pPr>
              <w:spacing w:after="0"/>
              <w:rPr>
                <w:sz w:val="19"/>
                <w:szCs w:val="19"/>
                <w:color w:val="auto"/>
              </w:rPr>
            </w:pPr>
          </w:p>
        </w:tc>
      </w:tr>
      <w:tr>
        <w:trPr>
          <w:trHeight w:val="336"/>
        </w:trPr>
        <w:tc>
          <w:tcPr>
            <w:tcW w:w="1920" w:type="dxa"/>
            <w:vAlign w:val="bottom"/>
          </w:tcPr>
          <w:p>
            <w:pPr>
              <w:jc w:val="center"/>
              <w:ind w:right="170"/>
              <w:spacing w:after="0"/>
              <w:rPr>
                <w:sz w:val="20"/>
                <w:szCs w:val="20"/>
                <w:color w:val="auto"/>
              </w:rPr>
            </w:pPr>
            <w:r>
              <w:rPr>
                <w:rFonts w:ascii="Arial" w:cs="Arial" w:eastAsia="Arial" w:hAnsi="Arial"/>
                <w:sz w:val="18"/>
                <w:szCs w:val="18"/>
                <w:color w:val="auto"/>
                <w:w w:val="96"/>
              </w:rPr>
              <w:t>MORGAN</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94"/>
              </w:rPr>
              <w:t>RBC</w:t>
            </w:r>
          </w:p>
        </w:tc>
        <w:tc>
          <w:tcPr>
            <w:tcW w:w="1900" w:type="dxa"/>
            <w:vAlign w:val="bottom"/>
          </w:tcPr>
          <w:p>
            <w:pPr>
              <w:jc w:val="center"/>
              <w:ind w:right="470"/>
              <w:spacing w:after="0"/>
              <w:rPr>
                <w:sz w:val="20"/>
                <w:szCs w:val="20"/>
                <w:color w:val="auto"/>
              </w:rPr>
            </w:pPr>
            <w:r>
              <w:rPr>
                <w:rFonts w:ascii="Arial" w:cs="Arial" w:eastAsia="Arial" w:hAnsi="Arial"/>
                <w:sz w:val="18"/>
                <w:szCs w:val="18"/>
                <w:color w:val="auto"/>
                <w:w w:val="96"/>
              </w:rPr>
              <w:t>THE ROYAL</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6"/>
              </w:rPr>
              <w:t>SANTANDER,</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6"/>
              </w:rPr>
              <w:t>SUMITOMO</w:t>
            </w:r>
          </w:p>
        </w:tc>
        <w:tc>
          <w:tcPr>
            <w:tcW w:w="1220" w:type="dxa"/>
            <w:vAlign w:val="bottom"/>
          </w:tcPr>
          <w:p>
            <w:pPr>
              <w:ind w:left="400"/>
              <w:spacing w:after="0"/>
              <w:rPr>
                <w:sz w:val="20"/>
                <w:szCs w:val="20"/>
                <w:color w:val="auto"/>
              </w:rPr>
            </w:pPr>
            <w:r>
              <w:rPr>
                <w:rFonts w:ascii="Arial" w:cs="Arial" w:eastAsia="Arial" w:hAnsi="Arial"/>
                <w:sz w:val="18"/>
                <w:szCs w:val="18"/>
                <w:color w:val="auto"/>
              </w:rPr>
              <w:t>SOCIÉTÉ</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99"/>
              </w:rPr>
              <w:t>THE BANK</w:t>
            </w:r>
          </w:p>
        </w:tc>
      </w:tr>
      <w:tr>
        <w:trPr>
          <w:trHeight w:val="215"/>
        </w:trPr>
        <w:tc>
          <w:tcPr>
            <w:tcW w:w="1920" w:type="dxa"/>
            <w:vAlign w:val="bottom"/>
          </w:tcPr>
          <w:p>
            <w:pPr>
              <w:jc w:val="center"/>
              <w:ind w:right="170"/>
              <w:spacing w:after="0"/>
              <w:rPr>
                <w:sz w:val="20"/>
                <w:szCs w:val="20"/>
                <w:color w:val="auto"/>
              </w:rPr>
            </w:pPr>
            <w:r>
              <w:rPr>
                <w:rFonts w:ascii="Arial" w:cs="Arial" w:eastAsia="Arial" w:hAnsi="Arial"/>
                <w:sz w:val="18"/>
                <w:szCs w:val="18"/>
                <w:color w:val="auto"/>
                <w:w w:val="96"/>
              </w:rPr>
              <w:t>STANLEY SENIOR</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8"/>
              </w:rPr>
              <w:t>CAPITAL</w:t>
            </w:r>
          </w:p>
        </w:tc>
        <w:tc>
          <w:tcPr>
            <w:tcW w:w="1900" w:type="dxa"/>
            <w:vAlign w:val="bottom"/>
          </w:tcPr>
          <w:p>
            <w:pPr>
              <w:jc w:val="center"/>
              <w:ind w:right="470"/>
              <w:spacing w:after="0"/>
              <w:rPr>
                <w:sz w:val="20"/>
                <w:szCs w:val="20"/>
                <w:color w:val="auto"/>
              </w:rPr>
            </w:pPr>
            <w:r>
              <w:rPr>
                <w:rFonts w:ascii="Arial" w:cs="Arial" w:eastAsia="Arial" w:hAnsi="Arial"/>
                <w:sz w:val="18"/>
                <w:szCs w:val="18"/>
                <w:color w:val="auto"/>
                <w:w w:val="98"/>
              </w:rPr>
              <w:t>BANK OF</w:t>
            </w: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9"/>
              </w:rPr>
              <w:t>BANK, N.A.</w:t>
            </w:r>
            <w:r>
              <w:rPr>
                <w:rFonts w:ascii="Arial" w:cs="Arial" w:eastAsia="Arial" w:hAnsi="Arial"/>
                <w:sz w:val="15"/>
                <w:szCs w:val="15"/>
                <w:color w:val="auto"/>
                <w:w w:val="99"/>
              </w:rPr>
              <w:t>1</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rPr>
              <w:t>MITSUI BANKING</w:t>
            </w: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GÉNÉRALE</w:t>
            </w:r>
            <w:r>
              <w:rPr>
                <w:rFonts w:ascii="Arial" w:cs="Arial" w:eastAsia="Arial" w:hAnsi="Arial"/>
                <w:sz w:val="15"/>
                <w:szCs w:val="15"/>
                <w:color w:val="auto"/>
              </w:rPr>
              <w:t>1,2</w:t>
            </w:r>
            <w:r>
              <w:rPr>
                <w:rFonts w:ascii="Arial" w:cs="Arial" w:eastAsia="Arial" w:hAnsi="Arial"/>
                <w:sz w:val="18"/>
                <w:szCs w:val="18"/>
                <w:color w:val="auto"/>
              </w:rPr>
              <w:t xml:space="preserve">   OF NOVA</w:t>
            </w:r>
          </w:p>
        </w:tc>
      </w:tr>
      <w:tr>
        <w:trPr>
          <w:trHeight w:val="215"/>
        </w:trPr>
        <w:tc>
          <w:tcPr>
            <w:tcW w:w="1920" w:type="dxa"/>
            <w:vAlign w:val="bottom"/>
          </w:tcPr>
          <w:p>
            <w:pPr>
              <w:jc w:val="center"/>
              <w:ind w:right="170"/>
              <w:spacing w:after="0"/>
              <w:rPr>
                <w:sz w:val="20"/>
                <w:szCs w:val="20"/>
                <w:color w:val="auto"/>
              </w:rPr>
            </w:pPr>
            <w:r>
              <w:rPr>
                <w:rFonts w:ascii="Arial" w:cs="Arial" w:eastAsia="Arial" w:hAnsi="Arial"/>
                <w:sz w:val="18"/>
                <w:szCs w:val="18"/>
                <w:color w:val="auto"/>
                <w:w w:val="98"/>
              </w:rPr>
              <w:t>FUNDING, INC.</w:t>
            </w:r>
            <w:r>
              <w:rPr>
                <w:rFonts w:ascii="Arial" w:cs="Arial" w:eastAsia="Arial" w:hAnsi="Arial"/>
                <w:sz w:val="15"/>
                <w:szCs w:val="15"/>
                <w:color w:val="auto"/>
                <w:w w:val="98"/>
              </w:rPr>
              <w:t>1,2</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1900" w:type="dxa"/>
            <w:vAlign w:val="bottom"/>
          </w:tcPr>
          <w:p>
            <w:pPr>
              <w:jc w:val="center"/>
              <w:ind w:right="470"/>
              <w:spacing w:after="0"/>
              <w:rPr>
                <w:sz w:val="20"/>
                <w:szCs w:val="20"/>
                <w:color w:val="auto"/>
              </w:rPr>
            </w:pPr>
            <w:r>
              <w:rPr>
                <w:rFonts w:ascii="Arial" w:cs="Arial" w:eastAsia="Arial" w:hAnsi="Arial"/>
                <w:sz w:val="18"/>
                <w:szCs w:val="18"/>
                <w:color w:val="auto"/>
                <w:w w:val="95"/>
              </w:rPr>
              <w:t>SCOTLAND</w:t>
            </w:r>
          </w:p>
        </w:tc>
        <w:tc>
          <w:tcPr>
            <w:tcW w:w="17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CORPORATION</w:t>
            </w:r>
            <w:r>
              <w:rPr>
                <w:rFonts w:ascii="Arial" w:cs="Arial" w:eastAsia="Arial" w:hAnsi="Arial"/>
                <w:sz w:val="15"/>
                <w:szCs w:val="15"/>
                <w:color w:val="auto"/>
                <w:w w:val="92"/>
              </w:rPr>
              <w:t>1,2</w:t>
            </w:r>
          </w:p>
        </w:tc>
        <w:tc>
          <w:tcPr>
            <w:tcW w:w="122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r>
      <w:tr>
        <w:trPr>
          <w:trHeight w:val="215"/>
        </w:trPr>
        <w:tc>
          <w:tcPr>
            <w:tcW w:w="3340" w:type="dxa"/>
            <w:vAlign w:val="bottom"/>
            <w:gridSpan w:val="2"/>
          </w:tcPr>
          <w:p>
            <w:pPr>
              <w:jc w:val="center"/>
              <w:ind w:left="1510"/>
              <w:spacing w:after="0"/>
              <w:rPr>
                <w:sz w:val="20"/>
                <w:szCs w:val="20"/>
                <w:color w:val="auto"/>
              </w:rPr>
            </w:pPr>
            <w:r>
              <w:rPr>
                <w:rFonts w:ascii="Arial" w:cs="Arial" w:eastAsia="Arial" w:hAnsi="Arial"/>
                <w:sz w:val="18"/>
                <w:szCs w:val="18"/>
                <w:color w:val="auto"/>
                <w:w w:val="97"/>
              </w:rPr>
              <w:t>ROYAL BANK OF</w:t>
            </w:r>
          </w:p>
        </w:tc>
        <w:tc>
          <w:tcPr>
            <w:tcW w:w="1900" w:type="dxa"/>
            <w:vAlign w:val="bottom"/>
          </w:tcPr>
          <w:p>
            <w:pPr>
              <w:jc w:val="center"/>
              <w:ind w:right="49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1920" w:type="dxa"/>
            <w:vAlign w:val="bottom"/>
          </w:tcPr>
          <w:p>
            <w:pPr>
              <w:spacing w:after="0"/>
              <w:rPr>
                <w:sz w:val="19"/>
                <w:szCs w:val="19"/>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1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and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w:t>
      </w:r>
    </w:p>
    <w:p>
      <w:pPr>
        <w:sectPr>
          <w:pgSz w:w="11900" w:h="16838" w:orient="portrait"/>
          <w:cols w:equalWidth="0" w:num="1">
            <w:col w:w="11120"/>
          </w:cols>
          <w:pgMar w:left="320" w:top="122"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4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376"/>
        </w:trPr>
        <w:tc>
          <w:tcPr>
            <w:tcW w:w="10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w:t>
            </w:r>
          </w:p>
        </w:tc>
        <w:tc>
          <w:tcPr>
            <w:tcW w:w="7400" w:type="dxa"/>
            <w:vAlign w:val="bottom"/>
          </w:tcPr>
          <w:p>
            <w:pPr>
              <w:ind w:left="42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9"/>
        </w:trPr>
        <w:tc>
          <w:tcPr>
            <w:tcW w:w="1020" w:type="dxa"/>
            <w:vAlign w:val="bottom"/>
          </w:tcPr>
          <w:p>
            <w:pPr>
              <w:ind w:left="360"/>
              <w:spacing w:after="0"/>
              <w:rPr>
                <w:sz w:val="20"/>
                <w:szCs w:val="20"/>
                <w:color w:val="auto"/>
              </w:rPr>
            </w:pPr>
            <w:r>
              <w:rPr>
                <w:rFonts w:ascii="Arial" w:cs="Arial" w:eastAsia="Arial" w:hAnsi="Arial"/>
                <w:sz w:val="18"/>
                <w:szCs w:val="18"/>
                <w:color w:val="auto"/>
              </w:rPr>
              <w:t>1.1</w:t>
            </w:r>
          </w:p>
        </w:tc>
        <w:tc>
          <w:tcPr>
            <w:tcW w:w="740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1.2</w:t>
            </w:r>
          </w:p>
        </w:tc>
        <w:tc>
          <w:tcPr>
            <w:tcW w:w="7400" w:type="dxa"/>
            <w:vAlign w:val="bottom"/>
          </w:tcPr>
          <w:p>
            <w:pPr>
              <w:ind w:left="60"/>
              <w:spacing w:after="0"/>
              <w:rPr>
                <w:sz w:val="20"/>
                <w:szCs w:val="20"/>
                <w:color w:val="auto"/>
              </w:rPr>
            </w:pPr>
            <w:r>
              <w:rPr>
                <w:rFonts w:ascii="Arial" w:cs="Arial" w:eastAsia="Arial" w:hAnsi="Arial"/>
                <w:sz w:val="18"/>
                <w:szCs w:val="18"/>
                <w:color w:val="auto"/>
              </w:rPr>
              <w:t>Other Definitional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1.3</w:t>
            </w:r>
          </w:p>
        </w:tc>
        <w:tc>
          <w:tcPr>
            <w:tcW w:w="7400" w:type="dxa"/>
            <w:vAlign w:val="bottom"/>
          </w:tcPr>
          <w:p>
            <w:pPr>
              <w:ind w:left="60"/>
              <w:spacing w:after="0"/>
              <w:rPr>
                <w:sz w:val="20"/>
                <w:szCs w:val="20"/>
                <w:color w:val="auto"/>
              </w:rPr>
            </w:pPr>
            <w:r>
              <w:rPr>
                <w:rFonts w:ascii="Arial" w:cs="Arial" w:eastAsia="Arial" w:hAnsi="Arial"/>
                <w:sz w:val="18"/>
                <w:szCs w:val="18"/>
                <w:color w:val="auto"/>
              </w:rPr>
              <w:t>Conversion of Foreign Currencies</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1.4</w:t>
            </w:r>
          </w:p>
        </w:tc>
        <w:tc>
          <w:tcPr>
            <w:tcW w:w="7400" w:type="dxa"/>
            <w:vAlign w:val="bottom"/>
          </w:tcPr>
          <w:p>
            <w:pPr>
              <w:ind w:left="60"/>
              <w:spacing w:after="0"/>
              <w:rPr>
                <w:sz w:val="20"/>
                <w:szCs w:val="20"/>
                <w:color w:val="auto"/>
              </w:rPr>
            </w:pPr>
            <w:r>
              <w:rPr>
                <w:rFonts w:ascii="Arial" w:cs="Arial" w:eastAsia="Arial" w:hAnsi="Arial"/>
                <w:sz w:val="18"/>
                <w:szCs w:val="18"/>
                <w:color w:val="auto"/>
              </w:rPr>
              <w:t>Other Interpretive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1.5</w:t>
            </w:r>
          </w:p>
        </w:tc>
        <w:tc>
          <w:tcPr>
            <w:tcW w:w="7400" w:type="dxa"/>
            <w:vAlign w:val="bottom"/>
          </w:tcPr>
          <w:p>
            <w:pPr>
              <w:ind w:left="60"/>
              <w:spacing w:after="0"/>
              <w:rPr>
                <w:sz w:val="20"/>
                <w:szCs w:val="20"/>
                <w:color w:val="auto"/>
              </w:rPr>
            </w:pPr>
            <w:r>
              <w:rPr>
                <w:rFonts w:ascii="Arial" w:cs="Arial" w:eastAsia="Arial" w:hAnsi="Arial"/>
                <w:sz w:val="18"/>
                <w:szCs w:val="18"/>
                <w:color w:val="auto"/>
              </w:rPr>
              <w:t>Interest Rates; LIBOR Notification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1.6</w:t>
            </w:r>
          </w:p>
        </w:tc>
        <w:tc>
          <w:tcPr>
            <w:tcW w:w="7400" w:type="dxa"/>
            <w:vAlign w:val="bottom"/>
          </w:tcPr>
          <w:p>
            <w:pPr>
              <w:ind w:left="60"/>
              <w:spacing w:after="0"/>
              <w:rPr>
                <w:sz w:val="20"/>
                <w:szCs w:val="20"/>
                <w:color w:val="auto"/>
              </w:rPr>
            </w:pPr>
            <w:r>
              <w:rPr>
                <w:rFonts w:ascii="Arial" w:cs="Arial" w:eastAsia="Arial" w:hAnsi="Arial"/>
                <w:sz w:val="18"/>
                <w:szCs w:val="18"/>
                <w:color w:val="auto"/>
              </w:rPr>
              <w:t>Divisions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w w:val="99"/>
              </w:rPr>
              <w:t>SECTION 2.</w:t>
            </w:r>
          </w:p>
        </w:tc>
        <w:tc>
          <w:tcPr>
            <w:tcW w:w="7400" w:type="dxa"/>
            <w:vAlign w:val="bottom"/>
          </w:tcPr>
          <w:p>
            <w:pPr>
              <w:ind w:left="420"/>
              <w:spacing w:after="0"/>
              <w:rPr>
                <w:sz w:val="20"/>
                <w:szCs w:val="20"/>
                <w:color w:val="auto"/>
              </w:rPr>
            </w:pPr>
            <w:r>
              <w:rPr>
                <w:rFonts w:ascii="Arial" w:cs="Arial" w:eastAsia="Arial" w:hAnsi="Arial"/>
                <w:sz w:val="18"/>
                <w:szCs w:val="18"/>
                <w:color w:val="auto"/>
              </w:rPr>
              <w:t>AMOUNT AND TERMS OF COMMITMENTS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9"/>
        </w:trPr>
        <w:tc>
          <w:tcPr>
            <w:tcW w:w="1020" w:type="dxa"/>
            <w:vAlign w:val="bottom"/>
          </w:tcPr>
          <w:p>
            <w:pPr>
              <w:ind w:left="360"/>
              <w:spacing w:after="0"/>
              <w:rPr>
                <w:sz w:val="20"/>
                <w:szCs w:val="20"/>
                <w:color w:val="auto"/>
              </w:rPr>
            </w:pPr>
            <w:r>
              <w:rPr>
                <w:rFonts w:ascii="Arial" w:cs="Arial" w:eastAsia="Arial" w:hAnsi="Arial"/>
                <w:sz w:val="18"/>
                <w:szCs w:val="18"/>
                <w:color w:val="auto"/>
              </w:rPr>
              <w:t>2.1</w:t>
            </w:r>
          </w:p>
        </w:tc>
        <w:tc>
          <w:tcPr>
            <w:tcW w:w="7400" w:type="dxa"/>
            <w:vAlign w:val="bottom"/>
          </w:tcPr>
          <w:p>
            <w:pPr>
              <w:ind w:left="60"/>
              <w:spacing w:after="0"/>
              <w:rPr>
                <w:sz w:val="20"/>
                <w:szCs w:val="20"/>
                <w:color w:val="auto"/>
              </w:rPr>
            </w:pPr>
            <w:r>
              <w:rPr>
                <w:rFonts w:ascii="Arial" w:cs="Arial" w:eastAsia="Arial" w:hAnsi="Arial"/>
                <w:sz w:val="18"/>
                <w:szCs w:val="18"/>
                <w:color w:val="auto"/>
              </w:rPr>
              <w:t>Domestic Commitments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2.2</w:t>
            </w:r>
          </w:p>
        </w:tc>
        <w:tc>
          <w:tcPr>
            <w:tcW w:w="7400" w:type="dxa"/>
            <w:vAlign w:val="bottom"/>
          </w:tcPr>
          <w:p>
            <w:pPr>
              <w:ind w:left="60"/>
              <w:spacing w:after="0"/>
              <w:rPr>
                <w:sz w:val="20"/>
                <w:szCs w:val="20"/>
                <w:color w:val="auto"/>
              </w:rPr>
            </w:pPr>
            <w:r>
              <w:rPr>
                <w:rFonts w:ascii="Arial" w:cs="Arial" w:eastAsia="Arial" w:hAnsi="Arial"/>
                <w:sz w:val="18"/>
                <w:szCs w:val="18"/>
                <w:color w:val="auto"/>
              </w:rPr>
              <w:t>Procedure for Domestic Loan Borrowing</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2.3</w:t>
            </w:r>
          </w:p>
        </w:tc>
        <w:tc>
          <w:tcPr>
            <w:tcW w:w="7400" w:type="dxa"/>
            <w:vAlign w:val="bottom"/>
          </w:tcPr>
          <w:p>
            <w:pPr>
              <w:ind w:left="60"/>
              <w:spacing w:after="0"/>
              <w:rPr>
                <w:sz w:val="20"/>
                <w:szCs w:val="20"/>
                <w:color w:val="auto"/>
              </w:rPr>
            </w:pPr>
            <w:r>
              <w:rPr>
                <w:rFonts w:ascii="Arial" w:cs="Arial" w:eastAsia="Arial" w:hAnsi="Arial"/>
                <w:sz w:val="18"/>
                <w:szCs w:val="18"/>
                <w:color w:val="auto"/>
              </w:rPr>
              <w:t>Multicurrency Commitments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7400" w:type="dxa"/>
            <w:vAlign w:val="bottom"/>
          </w:tcPr>
          <w:p>
            <w:pPr>
              <w:ind w:left="60"/>
              <w:spacing w:after="0"/>
              <w:rPr>
                <w:sz w:val="20"/>
                <w:szCs w:val="20"/>
                <w:color w:val="auto"/>
              </w:rPr>
            </w:pPr>
            <w:r>
              <w:rPr>
                <w:rFonts w:ascii="Arial" w:cs="Arial" w:eastAsia="Arial" w:hAnsi="Arial"/>
                <w:sz w:val="18"/>
                <w:szCs w:val="18"/>
                <w:color w:val="auto"/>
              </w:rPr>
              <w:t>Procedure for Multicurrency Loan Borrowing</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2.5</w:t>
            </w:r>
          </w:p>
        </w:tc>
        <w:tc>
          <w:tcPr>
            <w:tcW w:w="74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2.6</w:t>
            </w:r>
          </w:p>
        </w:tc>
        <w:tc>
          <w:tcPr>
            <w:tcW w:w="74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2.7</w:t>
            </w:r>
          </w:p>
        </w:tc>
        <w:tc>
          <w:tcPr>
            <w:tcW w:w="7400" w:type="dxa"/>
            <w:vAlign w:val="bottom"/>
          </w:tcPr>
          <w:p>
            <w:pPr>
              <w:ind w:left="60"/>
              <w:spacing w:after="0"/>
              <w:rPr>
                <w:sz w:val="20"/>
                <w:szCs w:val="20"/>
                <w:color w:val="auto"/>
              </w:rPr>
            </w:pPr>
            <w:r>
              <w:rPr>
                <w:rFonts w:ascii="Arial" w:cs="Arial" w:eastAsia="Arial" w:hAnsi="Arial"/>
                <w:sz w:val="18"/>
                <w:szCs w:val="18"/>
                <w:color w:val="auto"/>
              </w:rPr>
              <w:t>L/C Tranche Commitments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2.8</w:t>
            </w:r>
          </w:p>
        </w:tc>
        <w:tc>
          <w:tcPr>
            <w:tcW w:w="7400" w:type="dxa"/>
            <w:vAlign w:val="bottom"/>
          </w:tcPr>
          <w:p>
            <w:pPr>
              <w:ind w:left="60"/>
              <w:spacing w:after="0"/>
              <w:rPr>
                <w:sz w:val="20"/>
                <w:szCs w:val="20"/>
                <w:color w:val="auto"/>
              </w:rPr>
            </w:pPr>
            <w:r>
              <w:rPr>
                <w:rFonts w:ascii="Arial" w:cs="Arial" w:eastAsia="Arial" w:hAnsi="Arial"/>
                <w:sz w:val="18"/>
                <w:szCs w:val="18"/>
                <w:color w:val="auto"/>
              </w:rPr>
              <w:t>Procedure for L/C Tranche Loan Borrowing</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2.9</w:t>
            </w:r>
          </w:p>
        </w:tc>
        <w:tc>
          <w:tcPr>
            <w:tcW w:w="7400" w:type="dxa"/>
            <w:vAlign w:val="bottom"/>
          </w:tcPr>
          <w:p>
            <w:pPr>
              <w:ind w:left="60"/>
              <w:spacing w:after="0"/>
              <w:rPr>
                <w:sz w:val="20"/>
                <w:szCs w:val="20"/>
                <w:color w:val="auto"/>
              </w:rPr>
            </w:pPr>
            <w:r>
              <w:rPr>
                <w:rFonts w:ascii="Arial" w:cs="Arial" w:eastAsia="Arial" w:hAnsi="Arial"/>
                <w:sz w:val="18"/>
                <w:szCs w:val="18"/>
                <w:color w:val="auto"/>
              </w:rPr>
              <w:t>Competitive Bid Procedure</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2.10</w:t>
            </w:r>
          </w:p>
        </w:tc>
        <w:tc>
          <w:tcPr>
            <w:tcW w:w="7400" w:type="dxa"/>
            <w:vAlign w:val="bottom"/>
          </w:tcPr>
          <w:p>
            <w:pPr>
              <w:ind w:left="60"/>
              <w:spacing w:after="0"/>
              <w:rPr>
                <w:sz w:val="20"/>
                <w:szCs w:val="20"/>
                <w:color w:val="auto"/>
              </w:rPr>
            </w:pPr>
            <w:r>
              <w:rPr>
                <w:rFonts w:ascii="Arial" w:cs="Arial" w:eastAsia="Arial" w:hAnsi="Arial"/>
                <w:sz w:val="18"/>
                <w:szCs w:val="18"/>
                <w:color w:val="auto"/>
              </w:rPr>
              <w:t>Facility Fees, etc.</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2.11</w:t>
            </w:r>
          </w:p>
        </w:tc>
        <w:tc>
          <w:tcPr>
            <w:tcW w:w="7400" w:type="dxa"/>
            <w:vAlign w:val="bottom"/>
          </w:tcPr>
          <w:p>
            <w:pPr>
              <w:ind w:left="60"/>
              <w:spacing w:after="0"/>
              <w:rPr>
                <w:sz w:val="20"/>
                <w:szCs w:val="20"/>
                <w:color w:val="auto"/>
              </w:rPr>
            </w:pPr>
            <w:r>
              <w:rPr>
                <w:rFonts w:ascii="Arial" w:cs="Arial" w:eastAsia="Arial" w:hAnsi="Arial"/>
                <w:sz w:val="18"/>
                <w:szCs w:val="18"/>
                <w:color w:val="auto"/>
              </w:rPr>
              <w:t>Termination, Reduction and Reallocation of Commitments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2.12</w:t>
            </w:r>
          </w:p>
        </w:tc>
        <w:tc>
          <w:tcPr>
            <w:tcW w:w="7400" w:type="dxa"/>
            <w:vAlign w:val="bottom"/>
          </w:tcPr>
          <w:p>
            <w:pPr>
              <w:ind w:left="60"/>
              <w:spacing w:after="0"/>
              <w:rPr>
                <w:sz w:val="20"/>
                <w:szCs w:val="20"/>
                <w:color w:val="auto"/>
              </w:rPr>
            </w:pPr>
            <w:r>
              <w:rPr>
                <w:rFonts w:ascii="Arial" w:cs="Arial" w:eastAsia="Arial" w:hAnsi="Arial"/>
                <w:sz w:val="18"/>
                <w:szCs w:val="18"/>
                <w:color w:val="auto"/>
              </w:rPr>
              <w:t>Optional Prepayments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2.13</w:t>
            </w:r>
          </w:p>
        </w:tc>
        <w:tc>
          <w:tcPr>
            <w:tcW w:w="7400" w:type="dxa"/>
            <w:vAlign w:val="bottom"/>
          </w:tcPr>
          <w:p>
            <w:pPr>
              <w:ind w:left="60"/>
              <w:spacing w:after="0"/>
              <w:rPr>
                <w:sz w:val="20"/>
                <w:szCs w:val="20"/>
                <w:color w:val="auto"/>
              </w:rPr>
            </w:pPr>
            <w:r>
              <w:rPr>
                <w:rFonts w:ascii="Arial" w:cs="Arial" w:eastAsia="Arial" w:hAnsi="Arial"/>
                <w:sz w:val="18"/>
                <w:szCs w:val="18"/>
                <w:color w:val="auto"/>
              </w:rPr>
              <w:t>Mandatory Prepayments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2.14</w:t>
            </w:r>
          </w:p>
        </w:tc>
        <w:tc>
          <w:tcPr>
            <w:tcW w:w="7400" w:type="dxa"/>
            <w:vAlign w:val="bottom"/>
          </w:tcPr>
          <w:p>
            <w:pPr>
              <w:ind w:left="60"/>
              <w:spacing w:after="0"/>
              <w:rPr>
                <w:sz w:val="20"/>
                <w:szCs w:val="20"/>
                <w:color w:val="auto"/>
              </w:rPr>
            </w:pPr>
            <w:r>
              <w:rPr>
                <w:rFonts w:ascii="Arial" w:cs="Arial" w:eastAsia="Arial" w:hAnsi="Arial"/>
                <w:sz w:val="18"/>
                <w:szCs w:val="18"/>
                <w:color w:val="auto"/>
              </w:rPr>
              <w:t>Conversion and Continuation Options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2.15</w:t>
            </w:r>
          </w:p>
        </w:tc>
        <w:tc>
          <w:tcPr>
            <w:tcW w:w="7400" w:type="dxa"/>
            <w:vAlign w:val="bottom"/>
          </w:tcPr>
          <w:p>
            <w:pPr>
              <w:ind w:left="60"/>
              <w:spacing w:after="0"/>
              <w:rPr>
                <w:sz w:val="20"/>
                <w:szCs w:val="20"/>
                <w:color w:val="auto"/>
              </w:rPr>
            </w:pPr>
            <w:r>
              <w:rPr>
                <w:rFonts w:ascii="Arial" w:cs="Arial" w:eastAsia="Arial" w:hAnsi="Arial"/>
                <w:sz w:val="18"/>
                <w:szCs w:val="18"/>
                <w:color w:val="auto"/>
              </w:rPr>
              <w:t>Limitations on Eurocurrency Tranches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2.16</w:t>
            </w:r>
          </w:p>
        </w:tc>
        <w:tc>
          <w:tcPr>
            <w:tcW w:w="7400" w:type="dxa"/>
            <w:vAlign w:val="bottom"/>
          </w:tcPr>
          <w:p>
            <w:pPr>
              <w:ind w:left="60"/>
              <w:spacing w:after="0"/>
              <w:rPr>
                <w:sz w:val="20"/>
                <w:szCs w:val="20"/>
                <w:color w:val="auto"/>
              </w:rPr>
            </w:pPr>
            <w:r>
              <w:rPr>
                <w:rFonts w:ascii="Arial" w:cs="Arial" w:eastAsia="Arial" w:hAnsi="Arial"/>
                <w:sz w:val="18"/>
                <w:szCs w:val="18"/>
                <w:color w:val="auto"/>
              </w:rPr>
              <w:t>Interest Rates and Payment Dates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2.17</w:t>
            </w:r>
          </w:p>
        </w:tc>
        <w:tc>
          <w:tcPr>
            <w:tcW w:w="7400" w:type="dxa"/>
            <w:vAlign w:val="bottom"/>
          </w:tcPr>
          <w:p>
            <w:pPr>
              <w:ind w:left="60"/>
              <w:spacing w:after="0"/>
              <w:rPr>
                <w:sz w:val="20"/>
                <w:szCs w:val="20"/>
                <w:color w:val="auto"/>
              </w:rPr>
            </w:pPr>
            <w:r>
              <w:rPr>
                <w:rFonts w:ascii="Arial" w:cs="Arial" w:eastAsia="Arial" w:hAnsi="Arial"/>
                <w:sz w:val="18"/>
                <w:szCs w:val="18"/>
                <w:color w:val="auto"/>
              </w:rPr>
              <w:t>Computation of Interest and Fees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2.18</w:t>
            </w:r>
          </w:p>
        </w:tc>
        <w:tc>
          <w:tcPr>
            <w:tcW w:w="7400" w:type="dxa"/>
            <w:vAlign w:val="bottom"/>
          </w:tcPr>
          <w:p>
            <w:pPr>
              <w:ind w:left="60"/>
              <w:spacing w:after="0"/>
              <w:rPr>
                <w:sz w:val="20"/>
                <w:szCs w:val="20"/>
                <w:color w:val="auto"/>
              </w:rPr>
            </w:pPr>
            <w:r>
              <w:rPr>
                <w:rFonts w:ascii="Arial" w:cs="Arial" w:eastAsia="Arial" w:hAnsi="Arial"/>
                <w:sz w:val="18"/>
                <w:szCs w:val="18"/>
                <w:color w:val="auto"/>
              </w:rPr>
              <w:t>Inability to Determine Interest Rate; Illegality</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2.19</w:t>
            </w:r>
          </w:p>
        </w:tc>
        <w:tc>
          <w:tcPr>
            <w:tcW w:w="7400" w:type="dxa"/>
            <w:vAlign w:val="bottom"/>
          </w:tcPr>
          <w:p>
            <w:pPr>
              <w:ind w:left="60"/>
              <w:spacing w:after="0"/>
              <w:rPr>
                <w:sz w:val="20"/>
                <w:szCs w:val="20"/>
                <w:color w:val="auto"/>
              </w:rPr>
            </w:pPr>
            <w:r>
              <w:rPr>
                <w:rFonts w:ascii="Arial" w:cs="Arial" w:eastAsia="Arial" w:hAnsi="Arial"/>
                <w:sz w:val="18"/>
                <w:szCs w:val="18"/>
                <w:color w:val="auto"/>
              </w:rPr>
              <w:t>Pro Rata Treatment and Payments; Evidence of Debt</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2.20</w:t>
            </w:r>
          </w:p>
        </w:tc>
        <w:tc>
          <w:tcPr>
            <w:tcW w:w="7400" w:type="dxa"/>
            <w:vAlign w:val="bottom"/>
          </w:tcPr>
          <w:p>
            <w:pPr>
              <w:ind w:left="60"/>
              <w:spacing w:after="0"/>
              <w:rPr>
                <w:sz w:val="20"/>
                <w:szCs w:val="20"/>
                <w:color w:val="auto"/>
              </w:rPr>
            </w:pPr>
            <w:r>
              <w:rPr>
                <w:rFonts w:ascii="Arial" w:cs="Arial" w:eastAsia="Arial" w:hAnsi="Arial"/>
                <w:sz w:val="18"/>
                <w:szCs w:val="18"/>
                <w:color w:val="auto"/>
              </w:rPr>
              <w:t>Requirements of Law</w:t>
            </w:r>
          </w:p>
        </w:tc>
        <w:tc>
          <w:tcPr>
            <w:tcW w:w="2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2.21</w:t>
            </w:r>
          </w:p>
        </w:tc>
        <w:tc>
          <w:tcPr>
            <w:tcW w:w="7400" w:type="dxa"/>
            <w:vAlign w:val="bottom"/>
          </w:tcPr>
          <w:p>
            <w:pPr>
              <w:ind w:left="6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1020" w:type="dxa"/>
            <w:vAlign w:val="bottom"/>
          </w:tcPr>
          <w:p>
            <w:pPr>
              <w:ind w:left="360"/>
              <w:spacing w:after="0"/>
              <w:rPr>
                <w:sz w:val="20"/>
                <w:szCs w:val="20"/>
                <w:color w:val="auto"/>
              </w:rPr>
            </w:pPr>
            <w:r>
              <w:rPr>
                <w:rFonts w:ascii="Arial" w:cs="Arial" w:eastAsia="Arial" w:hAnsi="Arial"/>
                <w:sz w:val="18"/>
                <w:szCs w:val="18"/>
                <w:color w:val="auto"/>
              </w:rPr>
              <w:t>2.22</w:t>
            </w:r>
          </w:p>
        </w:tc>
        <w:tc>
          <w:tcPr>
            <w:tcW w:w="7400" w:type="dxa"/>
            <w:vAlign w:val="bottom"/>
          </w:tcPr>
          <w:p>
            <w:pPr>
              <w:ind w:left="60"/>
              <w:spacing w:after="0"/>
              <w:rPr>
                <w:sz w:val="20"/>
                <w:szCs w:val="20"/>
                <w:color w:val="auto"/>
              </w:rPr>
            </w:pPr>
            <w:r>
              <w:rPr>
                <w:rFonts w:ascii="Arial" w:cs="Arial" w:eastAsia="Arial" w:hAnsi="Arial"/>
                <w:sz w:val="18"/>
                <w:szCs w:val="18"/>
                <w:color w:val="auto"/>
              </w:rPr>
              <w:t>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2.23</w:t>
            </w:r>
          </w:p>
        </w:tc>
        <w:tc>
          <w:tcPr>
            <w:tcW w:w="7400" w:type="dxa"/>
            <w:vAlign w:val="bottom"/>
          </w:tcPr>
          <w:p>
            <w:pPr>
              <w:ind w:left="60"/>
              <w:spacing w:after="0"/>
              <w:rPr>
                <w:sz w:val="20"/>
                <w:szCs w:val="20"/>
                <w:color w:val="auto"/>
              </w:rPr>
            </w:pPr>
            <w:r>
              <w:rPr>
                <w:rFonts w:ascii="Arial" w:cs="Arial" w:eastAsia="Arial" w:hAnsi="Arial"/>
                <w:sz w:val="18"/>
                <w:szCs w:val="18"/>
                <w:color w:val="auto"/>
              </w:rPr>
              <w:t>Change of Applicable Lending Office</w:t>
            </w:r>
          </w:p>
        </w:tc>
        <w:tc>
          <w:tcPr>
            <w:tcW w:w="252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58"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75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518"/>
        </w:trPr>
        <w:tc>
          <w:tcPr>
            <w:tcW w:w="1140" w:type="dxa"/>
            <w:vAlign w:val="bottom"/>
          </w:tcPr>
          <w:p>
            <w:pPr>
              <w:ind w:left="480"/>
              <w:spacing w:after="0"/>
              <w:rPr>
                <w:sz w:val="20"/>
                <w:szCs w:val="20"/>
                <w:color w:val="auto"/>
              </w:rPr>
            </w:pPr>
            <w:r>
              <w:rPr>
                <w:rFonts w:ascii="Arial" w:cs="Arial" w:eastAsia="Arial" w:hAnsi="Arial"/>
                <w:sz w:val="18"/>
                <w:szCs w:val="18"/>
                <w:color w:val="auto"/>
              </w:rPr>
              <w:t>2.24</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Replacement/Termination of Lenders</w:t>
            </w:r>
          </w:p>
        </w:tc>
        <w:tc>
          <w:tcPr>
            <w:tcW w:w="2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2.25</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Defaulting Lender</w:t>
            </w:r>
          </w:p>
        </w:tc>
        <w:tc>
          <w:tcPr>
            <w:tcW w:w="2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2.26</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Reallocation of Payments for the Account of Defaulting Lenders</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2.27</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New Local Facilities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2.28</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Incremental Commitments/Facilities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2.29</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Termination Date Extension</w:t>
            </w:r>
          </w:p>
        </w:tc>
        <w:tc>
          <w:tcPr>
            <w:tcW w:w="22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140" w:type="dxa"/>
            <w:vAlign w:val="bottom"/>
          </w:tcPr>
          <w:p>
            <w:pPr>
              <w:ind w:left="480"/>
              <w:spacing w:after="0"/>
              <w:rPr>
                <w:sz w:val="20"/>
                <w:szCs w:val="20"/>
                <w:color w:val="auto"/>
              </w:rPr>
            </w:pPr>
            <w:r>
              <w:rPr>
                <w:rFonts w:ascii="Arial" w:cs="Arial" w:eastAsia="Arial" w:hAnsi="Arial"/>
                <w:sz w:val="18"/>
                <w:szCs w:val="18"/>
                <w:color w:val="auto"/>
              </w:rPr>
              <w:t>2.30</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Ancillary Facilities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3"/>
        </w:trPr>
        <w:tc>
          <w:tcPr>
            <w:tcW w:w="1140" w:type="dxa"/>
            <w:vAlign w:val="bottom"/>
          </w:tcPr>
          <w:p>
            <w:pPr>
              <w:ind w:left="120"/>
              <w:spacing w:after="0"/>
              <w:rPr>
                <w:sz w:val="20"/>
                <w:szCs w:val="20"/>
                <w:color w:val="auto"/>
              </w:rPr>
            </w:pPr>
            <w:r>
              <w:rPr>
                <w:rFonts w:ascii="Arial" w:cs="Arial" w:eastAsia="Arial" w:hAnsi="Arial"/>
                <w:sz w:val="18"/>
                <w:szCs w:val="18"/>
                <w:color w:val="auto"/>
                <w:w w:val="99"/>
              </w:rPr>
              <w:t>SECTION 3.</w:t>
            </w:r>
          </w:p>
        </w:tc>
        <w:tc>
          <w:tcPr>
            <w:tcW w:w="220" w:type="dxa"/>
            <w:vAlign w:val="bottom"/>
          </w:tcPr>
          <w:p>
            <w:pPr>
              <w:spacing w:after="0"/>
              <w:rPr>
                <w:sz w:val="24"/>
                <w:szCs w:val="24"/>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LETTERS OF CREDIT</w:t>
            </w:r>
          </w:p>
        </w:tc>
        <w:tc>
          <w:tcPr>
            <w:tcW w:w="2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9"/>
        </w:trPr>
        <w:tc>
          <w:tcPr>
            <w:tcW w:w="1140" w:type="dxa"/>
            <w:vAlign w:val="bottom"/>
          </w:tcPr>
          <w:p>
            <w:pPr>
              <w:ind w:left="480"/>
              <w:spacing w:after="0"/>
              <w:rPr>
                <w:sz w:val="20"/>
                <w:szCs w:val="20"/>
                <w:color w:val="auto"/>
              </w:rPr>
            </w:pPr>
            <w:r>
              <w:rPr>
                <w:rFonts w:ascii="Arial" w:cs="Arial" w:eastAsia="Arial" w:hAnsi="Arial"/>
                <w:sz w:val="18"/>
                <w:szCs w:val="18"/>
                <w:color w:val="auto"/>
              </w:rPr>
              <w:t>3.1</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L/C Commitment</w:t>
            </w:r>
          </w:p>
        </w:tc>
        <w:tc>
          <w:tcPr>
            <w:tcW w:w="2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3.2</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Procedure for Issuance of Letters of Credit</w:t>
            </w:r>
          </w:p>
        </w:tc>
        <w:tc>
          <w:tcPr>
            <w:tcW w:w="2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3.3</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Fees and Other Charges</w:t>
            </w:r>
          </w:p>
        </w:tc>
        <w:tc>
          <w:tcPr>
            <w:tcW w:w="2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3.4</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L/C Participations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3.5</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Reimbursement Obligation of the Company and the Applicable Account Party</w:t>
            </w:r>
          </w:p>
        </w:tc>
        <w:tc>
          <w:tcPr>
            <w:tcW w:w="2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3.6</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Obligations Absolute</w:t>
            </w:r>
          </w:p>
        </w:tc>
        <w:tc>
          <w:tcPr>
            <w:tcW w:w="2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3.7</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Letter of Credit Payments</w:t>
            </w:r>
          </w:p>
        </w:tc>
        <w:tc>
          <w:tcPr>
            <w:tcW w:w="2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3.8</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Applications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3.9</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Collateralization</w:t>
            </w:r>
          </w:p>
        </w:tc>
        <w:tc>
          <w:tcPr>
            <w:tcW w:w="2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3.10</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New Issuing Lenders; L/C Commitments</w:t>
            </w:r>
          </w:p>
        </w:tc>
        <w:tc>
          <w:tcPr>
            <w:tcW w:w="2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3.11</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Existing Letters of Credit and Designated Letters of Credit</w:t>
            </w:r>
          </w:p>
        </w:tc>
        <w:tc>
          <w:tcPr>
            <w:tcW w:w="2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140" w:type="dxa"/>
            <w:vAlign w:val="bottom"/>
          </w:tcPr>
          <w:p>
            <w:pPr>
              <w:ind w:left="480"/>
              <w:spacing w:after="0"/>
              <w:rPr>
                <w:sz w:val="20"/>
                <w:szCs w:val="20"/>
                <w:color w:val="auto"/>
              </w:rPr>
            </w:pPr>
            <w:r>
              <w:rPr>
                <w:rFonts w:ascii="Arial" w:cs="Arial" w:eastAsia="Arial" w:hAnsi="Arial"/>
                <w:sz w:val="18"/>
                <w:szCs w:val="18"/>
                <w:color w:val="auto"/>
              </w:rPr>
              <w:t>3.12</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Conflicts</w:t>
            </w:r>
          </w:p>
        </w:tc>
        <w:tc>
          <w:tcPr>
            <w:tcW w:w="22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3"/>
        </w:trPr>
        <w:tc>
          <w:tcPr>
            <w:tcW w:w="1140" w:type="dxa"/>
            <w:vAlign w:val="bottom"/>
          </w:tcPr>
          <w:p>
            <w:pPr>
              <w:ind w:left="120"/>
              <w:spacing w:after="0"/>
              <w:rPr>
                <w:sz w:val="20"/>
                <w:szCs w:val="20"/>
                <w:color w:val="auto"/>
              </w:rPr>
            </w:pPr>
            <w:r>
              <w:rPr>
                <w:rFonts w:ascii="Arial" w:cs="Arial" w:eastAsia="Arial" w:hAnsi="Arial"/>
                <w:sz w:val="18"/>
                <w:szCs w:val="18"/>
                <w:color w:val="auto"/>
                <w:w w:val="99"/>
              </w:rPr>
              <w:t>SECTION 4.</w:t>
            </w:r>
          </w:p>
        </w:tc>
        <w:tc>
          <w:tcPr>
            <w:tcW w:w="220" w:type="dxa"/>
            <w:vAlign w:val="bottom"/>
          </w:tcPr>
          <w:p>
            <w:pPr>
              <w:spacing w:after="0"/>
              <w:rPr>
                <w:sz w:val="24"/>
                <w:szCs w:val="24"/>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REPRESENTATIONS AND WARRANTIES</w:t>
            </w:r>
          </w:p>
        </w:tc>
        <w:tc>
          <w:tcPr>
            <w:tcW w:w="2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09"/>
        </w:trPr>
        <w:tc>
          <w:tcPr>
            <w:tcW w:w="1140" w:type="dxa"/>
            <w:vAlign w:val="bottom"/>
          </w:tcPr>
          <w:p>
            <w:pPr>
              <w:ind w:left="480"/>
              <w:spacing w:after="0"/>
              <w:rPr>
                <w:sz w:val="20"/>
                <w:szCs w:val="20"/>
                <w:color w:val="auto"/>
              </w:rPr>
            </w:pPr>
            <w:r>
              <w:rPr>
                <w:rFonts w:ascii="Arial" w:cs="Arial" w:eastAsia="Arial" w:hAnsi="Arial"/>
                <w:sz w:val="18"/>
                <w:szCs w:val="18"/>
                <w:color w:val="auto"/>
              </w:rPr>
              <w:t>4.1</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Financial Condition</w:t>
            </w:r>
          </w:p>
        </w:tc>
        <w:tc>
          <w:tcPr>
            <w:tcW w:w="2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4.2</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No Change</w:t>
            </w:r>
          </w:p>
        </w:tc>
        <w:tc>
          <w:tcPr>
            <w:tcW w:w="2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4.3</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Existence</w:t>
            </w:r>
          </w:p>
        </w:tc>
        <w:tc>
          <w:tcPr>
            <w:tcW w:w="2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4.4</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Power; Authorization; Enforceable Obligations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4.5</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No Legal Bar</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4.6</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Litigation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4.7</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No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4.8</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Ownership of Property</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4.9</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Intellectual Property</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4.10</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Federal Regulations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4.11</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ERISA</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4.12</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Investment Company Act</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1140" w:type="dxa"/>
            <w:vAlign w:val="bottom"/>
          </w:tcPr>
          <w:p>
            <w:pPr>
              <w:ind w:left="480"/>
              <w:spacing w:after="0"/>
              <w:rPr>
                <w:sz w:val="20"/>
                <w:szCs w:val="20"/>
                <w:color w:val="auto"/>
              </w:rPr>
            </w:pPr>
            <w:r>
              <w:rPr>
                <w:rFonts w:ascii="Arial" w:cs="Arial" w:eastAsia="Arial" w:hAnsi="Arial"/>
                <w:sz w:val="18"/>
                <w:szCs w:val="18"/>
                <w:color w:val="auto"/>
              </w:rPr>
              <w:t>4.13</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Ownership of the Subsidiary Borrowers</w:t>
            </w:r>
          </w:p>
        </w:tc>
        <w:tc>
          <w:tcPr>
            <w:tcW w:w="22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140" w:type="dxa"/>
            <w:vAlign w:val="bottom"/>
          </w:tcPr>
          <w:p>
            <w:pPr>
              <w:ind w:left="480"/>
              <w:spacing w:after="0"/>
              <w:rPr>
                <w:sz w:val="20"/>
                <w:szCs w:val="20"/>
                <w:color w:val="auto"/>
              </w:rPr>
            </w:pPr>
            <w:r>
              <w:rPr>
                <w:rFonts w:ascii="Arial" w:cs="Arial" w:eastAsia="Arial" w:hAnsi="Arial"/>
                <w:sz w:val="18"/>
                <w:szCs w:val="18"/>
                <w:color w:val="auto"/>
              </w:rPr>
              <w:t>4.14</w:t>
            </w:r>
          </w:p>
        </w:tc>
        <w:tc>
          <w:tcPr>
            <w:tcW w:w="7720" w:type="dxa"/>
            <w:vAlign w:val="bottom"/>
            <w:gridSpan w:val="2"/>
          </w:tcPr>
          <w:p>
            <w:pPr>
              <w:ind w:left="60"/>
              <w:spacing w:after="0"/>
              <w:rPr>
                <w:sz w:val="20"/>
                <w:szCs w:val="20"/>
                <w:color w:val="auto"/>
              </w:rPr>
            </w:pPr>
            <w:r>
              <w:rPr>
                <w:rFonts w:ascii="Arial" w:cs="Arial" w:eastAsia="Arial" w:hAnsi="Arial"/>
                <w:sz w:val="18"/>
                <w:szCs w:val="18"/>
                <w:color w:val="auto"/>
              </w:rPr>
              <w:t>Use of Proceeds</w:t>
            </w:r>
          </w:p>
        </w:tc>
        <w:tc>
          <w:tcPr>
            <w:tcW w:w="22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44"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532"/>
        </w:trPr>
        <w:tc>
          <w:tcPr>
            <w:tcW w:w="1100" w:type="dxa"/>
            <w:vAlign w:val="bottom"/>
          </w:tcPr>
          <w:p>
            <w:pPr>
              <w:ind w:left="480"/>
              <w:spacing w:after="0"/>
              <w:rPr>
                <w:sz w:val="20"/>
                <w:szCs w:val="20"/>
                <w:color w:val="auto"/>
              </w:rPr>
            </w:pPr>
            <w:r>
              <w:rPr>
                <w:rFonts w:ascii="Arial" w:cs="Arial" w:eastAsia="Arial" w:hAnsi="Arial"/>
                <w:sz w:val="18"/>
                <w:szCs w:val="18"/>
                <w:color w:val="auto"/>
              </w:rPr>
              <w:t>4.15</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Anti-Corruption Laws and Sanctions</w:t>
            </w: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3"/>
        </w:trPr>
        <w:tc>
          <w:tcPr>
            <w:tcW w:w="1100" w:type="dxa"/>
            <w:vAlign w:val="bottom"/>
          </w:tcPr>
          <w:p>
            <w:pPr>
              <w:ind w:left="120"/>
              <w:spacing w:after="0"/>
              <w:rPr>
                <w:sz w:val="20"/>
                <w:szCs w:val="20"/>
                <w:color w:val="auto"/>
              </w:rPr>
            </w:pPr>
            <w:r>
              <w:rPr>
                <w:rFonts w:ascii="Arial" w:cs="Arial" w:eastAsia="Arial" w:hAnsi="Arial"/>
                <w:sz w:val="18"/>
                <w:szCs w:val="18"/>
                <w:color w:val="auto"/>
                <w:w w:val="95"/>
              </w:rPr>
              <w:t>SECTION 5.</w:t>
            </w:r>
          </w:p>
        </w:tc>
        <w:tc>
          <w:tcPr>
            <w:tcW w:w="26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CONDITIONS PRECEDENT</w:t>
            </w: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9"/>
        </w:trPr>
        <w:tc>
          <w:tcPr>
            <w:tcW w:w="1100" w:type="dxa"/>
            <w:vAlign w:val="bottom"/>
          </w:tcPr>
          <w:p>
            <w:pPr>
              <w:ind w:left="480"/>
              <w:spacing w:after="0"/>
              <w:rPr>
                <w:sz w:val="20"/>
                <w:szCs w:val="20"/>
                <w:color w:val="auto"/>
              </w:rPr>
            </w:pPr>
            <w:r>
              <w:rPr>
                <w:rFonts w:ascii="Arial" w:cs="Arial" w:eastAsia="Arial" w:hAnsi="Arial"/>
                <w:sz w:val="18"/>
                <w:szCs w:val="18"/>
                <w:color w:val="auto"/>
              </w:rPr>
              <w:t>5.1</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Conditions to Closing Date</w:t>
            </w: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100" w:type="dxa"/>
            <w:vAlign w:val="bottom"/>
          </w:tcPr>
          <w:p>
            <w:pPr>
              <w:ind w:left="480"/>
              <w:spacing w:after="0"/>
              <w:rPr>
                <w:sz w:val="20"/>
                <w:szCs w:val="20"/>
                <w:color w:val="auto"/>
              </w:rPr>
            </w:pPr>
            <w:r>
              <w:rPr>
                <w:rFonts w:ascii="Arial" w:cs="Arial" w:eastAsia="Arial" w:hAnsi="Arial"/>
                <w:sz w:val="18"/>
                <w:szCs w:val="18"/>
                <w:color w:val="auto"/>
              </w:rPr>
              <w:t>5.2</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Conditions to Each Extension of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3"/>
        </w:trPr>
        <w:tc>
          <w:tcPr>
            <w:tcW w:w="1100" w:type="dxa"/>
            <w:vAlign w:val="bottom"/>
          </w:tcPr>
          <w:p>
            <w:pPr>
              <w:ind w:left="120"/>
              <w:spacing w:after="0"/>
              <w:rPr>
                <w:sz w:val="20"/>
                <w:szCs w:val="20"/>
                <w:color w:val="auto"/>
              </w:rPr>
            </w:pPr>
            <w:r>
              <w:rPr>
                <w:rFonts w:ascii="Arial" w:cs="Arial" w:eastAsia="Arial" w:hAnsi="Arial"/>
                <w:sz w:val="18"/>
                <w:szCs w:val="18"/>
                <w:color w:val="auto"/>
                <w:w w:val="95"/>
              </w:rPr>
              <w:t>SECTION 6.</w:t>
            </w:r>
          </w:p>
        </w:tc>
        <w:tc>
          <w:tcPr>
            <w:tcW w:w="26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AFFIRMATIVE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9"/>
        </w:trPr>
        <w:tc>
          <w:tcPr>
            <w:tcW w:w="1100" w:type="dxa"/>
            <w:vAlign w:val="bottom"/>
          </w:tcPr>
          <w:p>
            <w:pPr>
              <w:ind w:left="480"/>
              <w:spacing w:after="0"/>
              <w:rPr>
                <w:sz w:val="20"/>
                <w:szCs w:val="20"/>
                <w:color w:val="auto"/>
              </w:rPr>
            </w:pPr>
            <w:r>
              <w:rPr>
                <w:rFonts w:ascii="Arial" w:cs="Arial" w:eastAsia="Arial" w:hAnsi="Arial"/>
                <w:sz w:val="18"/>
                <w:szCs w:val="18"/>
                <w:color w:val="auto"/>
              </w:rPr>
              <w:t>6.1</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6.2</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Compliance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6.3</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Maintenance of Business; Existence</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6.4</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Maintenance of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6.5</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6.6</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Reinstated Guarantors, etc.</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6.7</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Books and Records</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100" w:type="dxa"/>
            <w:vAlign w:val="bottom"/>
          </w:tcPr>
          <w:p>
            <w:pPr>
              <w:ind w:left="480"/>
              <w:spacing w:after="0"/>
              <w:rPr>
                <w:sz w:val="20"/>
                <w:szCs w:val="20"/>
                <w:color w:val="auto"/>
              </w:rPr>
            </w:pPr>
            <w:r>
              <w:rPr>
                <w:rFonts w:ascii="Arial" w:cs="Arial" w:eastAsia="Arial" w:hAnsi="Arial"/>
                <w:sz w:val="18"/>
                <w:szCs w:val="18"/>
                <w:color w:val="auto"/>
              </w:rPr>
              <w:t>6.8</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Ratings</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3"/>
        </w:trPr>
        <w:tc>
          <w:tcPr>
            <w:tcW w:w="1100" w:type="dxa"/>
            <w:vAlign w:val="bottom"/>
          </w:tcPr>
          <w:p>
            <w:pPr>
              <w:ind w:left="120"/>
              <w:spacing w:after="0"/>
              <w:rPr>
                <w:sz w:val="20"/>
                <w:szCs w:val="20"/>
                <w:color w:val="auto"/>
              </w:rPr>
            </w:pPr>
            <w:r>
              <w:rPr>
                <w:rFonts w:ascii="Arial" w:cs="Arial" w:eastAsia="Arial" w:hAnsi="Arial"/>
                <w:sz w:val="18"/>
                <w:szCs w:val="18"/>
                <w:color w:val="auto"/>
                <w:w w:val="95"/>
              </w:rPr>
              <w:t>SECTION 7.</w:t>
            </w:r>
          </w:p>
        </w:tc>
        <w:tc>
          <w:tcPr>
            <w:tcW w:w="26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NEGATIVE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9"/>
        </w:trPr>
        <w:tc>
          <w:tcPr>
            <w:tcW w:w="1100" w:type="dxa"/>
            <w:vAlign w:val="bottom"/>
          </w:tcPr>
          <w:p>
            <w:pPr>
              <w:ind w:left="480"/>
              <w:spacing w:after="0"/>
              <w:rPr>
                <w:sz w:val="20"/>
                <w:szCs w:val="20"/>
                <w:color w:val="auto"/>
              </w:rPr>
            </w:pPr>
            <w:r>
              <w:rPr>
                <w:rFonts w:ascii="Arial" w:cs="Arial" w:eastAsia="Arial" w:hAnsi="Arial"/>
                <w:sz w:val="18"/>
                <w:szCs w:val="18"/>
                <w:color w:val="auto"/>
              </w:rPr>
              <w:t>7.1</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Minimum Liquidity</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7.2</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7.3</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Asset Sale Restrictions</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7.4</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Fundamental Changes</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100" w:type="dxa"/>
            <w:vAlign w:val="bottom"/>
          </w:tcPr>
          <w:p>
            <w:pPr>
              <w:ind w:left="480"/>
              <w:spacing w:after="0"/>
              <w:rPr>
                <w:sz w:val="20"/>
                <w:szCs w:val="20"/>
                <w:color w:val="auto"/>
              </w:rPr>
            </w:pPr>
            <w:r>
              <w:rPr>
                <w:rFonts w:ascii="Arial" w:cs="Arial" w:eastAsia="Arial" w:hAnsi="Arial"/>
                <w:sz w:val="18"/>
                <w:szCs w:val="18"/>
                <w:color w:val="auto"/>
              </w:rPr>
              <w:t>7.5</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Anti-Corruption Laws and Sanctions</w:t>
            </w:r>
          </w:p>
        </w:tc>
        <w:tc>
          <w:tcPr>
            <w:tcW w:w="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3"/>
        </w:trPr>
        <w:tc>
          <w:tcPr>
            <w:tcW w:w="1100" w:type="dxa"/>
            <w:vAlign w:val="bottom"/>
          </w:tcPr>
          <w:p>
            <w:pPr>
              <w:ind w:left="120"/>
              <w:spacing w:after="0"/>
              <w:rPr>
                <w:sz w:val="20"/>
                <w:szCs w:val="20"/>
                <w:color w:val="auto"/>
              </w:rPr>
            </w:pPr>
            <w:r>
              <w:rPr>
                <w:rFonts w:ascii="Arial" w:cs="Arial" w:eastAsia="Arial" w:hAnsi="Arial"/>
                <w:sz w:val="18"/>
                <w:szCs w:val="18"/>
                <w:color w:val="auto"/>
                <w:w w:val="95"/>
              </w:rPr>
              <w:t>SECTION 8.</w:t>
            </w:r>
          </w:p>
        </w:tc>
        <w:tc>
          <w:tcPr>
            <w:tcW w:w="26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3"/>
        </w:trPr>
        <w:tc>
          <w:tcPr>
            <w:tcW w:w="1100" w:type="dxa"/>
            <w:vAlign w:val="bottom"/>
          </w:tcPr>
          <w:p>
            <w:pPr>
              <w:ind w:left="120"/>
              <w:spacing w:after="0"/>
              <w:rPr>
                <w:sz w:val="20"/>
                <w:szCs w:val="20"/>
                <w:color w:val="auto"/>
              </w:rPr>
            </w:pPr>
            <w:r>
              <w:rPr>
                <w:rFonts w:ascii="Arial" w:cs="Arial" w:eastAsia="Arial" w:hAnsi="Arial"/>
                <w:sz w:val="18"/>
                <w:szCs w:val="18"/>
                <w:color w:val="auto"/>
                <w:w w:val="95"/>
              </w:rPr>
              <w:t>SECTION 9.</w:t>
            </w:r>
          </w:p>
        </w:tc>
        <w:tc>
          <w:tcPr>
            <w:tcW w:w="26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THE AGENTS</w:t>
            </w:r>
          </w:p>
        </w:tc>
        <w:tc>
          <w:tcPr>
            <w:tcW w:w="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9"/>
        </w:trPr>
        <w:tc>
          <w:tcPr>
            <w:tcW w:w="1100" w:type="dxa"/>
            <w:vAlign w:val="bottom"/>
          </w:tcPr>
          <w:p>
            <w:pPr>
              <w:ind w:left="480"/>
              <w:spacing w:after="0"/>
              <w:rPr>
                <w:sz w:val="20"/>
                <w:szCs w:val="20"/>
                <w:color w:val="auto"/>
              </w:rPr>
            </w:pPr>
            <w:r>
              <w:rPr>
                <w:rFonts w:ascii="Arial" w:cs="Arial" w:eastAsia="Arial" w:hAnsi="Arial"/>
                <w:sz w:val="18"/>
                <w:szCs w:val="18"/>
                <w:color w:val="auto"/>
              </w:rPr>
              <w:t>9.1</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Appointment</w:t>
            </w:r>
          </w:p>
        </w:tc>
        <w:tc>
          <w:tcPr>
            <w:tcW w:w="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9.2</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Delegation of Duties</w:t>
            </w:r>
          </w:p>
        </w:tc>
        <w:tc>
          <w:tcPr>
            <w:tcW w:w="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9.3</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Exculpatory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9.4</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Reliance by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9.5</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Notice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9.6</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Non-Reliance on Agents and Other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9.7</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9.8</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Agent in Its Individual Capacity</w:t>
            </w: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9.9</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Successor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9.10</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9.11</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w w:val="91"/>
              </w:rPr>
              <w:t>Bookrunners, Lead Arrangers, Global and Regional Coordinators, Documentation Agents, Syndication Agent and Co-Syndication Agent</w:t>
            </w: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5"/>
        </w:trPr>
        <w:tc>
          <w:tcPr>
            <w:tcW w:w="1100" w:type="dxa"/>
            <w:vAlign w:val="bottom"/>
          </w:tcPr>
          <w:p>
            <w:pPr>
              <w:ind w:left="480"/>
              <w:spacing w:after="0"/>
              <w:rPr>
                <w:sz w:val="20"/>
                <w:szCs w:val="20"/>
                <w:color w:val="auto"/>
              </w:rPr>
            </w:pPr>
            <w:r>
              <w:rPr>
                <w:rFonts w:ascii="Arial" w:cs="Arial" w:eastAsia="Arial" w:hAnsi="Arial"/>
                <w:sz w:val="18"/>
                <w:szCs w:val="18"/>
                <w:color w:val="auto"/>
              </w:rPr>
              <w:t>9.12</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Certain ERISA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100" w:type="dxa"/>
            <w:vAlign w:val="bottom"/>
          </w:tcPr>
          <w:p>
            <w:pPr>
              <w:ind w:left="480"/>
              <w:spacing w:after="0"/>
              <w:rPr>
                <w:sz w:val="20"/>
                <w:szCs w:val="20"/>
                <w:color w:val="auto"/>
              </w:rPr>
            </w:pPr>
            <w:r>
              <w:rPr>
                <w:rFonts w:ascii="Arial" w:cs="Arial" w:eastAsia="Arial" w:hAnsi="Arial"/>
                <w:sz w:val="18"/>
                <w:szCs w:val="18"/>
                <w:color w:val="auto"/>
              </w:rPr>
              <w:t>9.13</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Acknowledgements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320" w:top="444"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760" w:type="dxa"/>
            <w:vAlign w:val="bottom"/>
            <w:gridSpan w:val="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2300" w:type="dxa"/>
            <w:vAlign w:val="bottom"/>
          </w:tcPr>
          <w:p>
            <w:pPr>
              <w:spacing w:after="0"/>
              <w:rPr>
                <w:sz w:val="17"/>
                <w:szCs w:val="17"/>
                <w:color w:val="auto"/>
              </w:rPr>
            </w:pPr>
          </w:p>
        </w:tc>
      </w:tr>
      <w:tr>
        <w:trPr>
          <w:trHeight w:val="532"/>
        </w:trPr>
        <w:tc>
          <w:tcPr>
            <w:tcW w:w="1200" w:type="dxa"/>
            <w:vAlign w:val="bottom"/>
            <w:tcBorders>
              <w:top w:val="single" w:sz="8" w:color="0000EE"/>
            </w:tcBorders>
          </w:tcPr>
          <w:p>
            <w:pPr>
              <w:ind w:left="120"/>
              <w:spacing w:after="0"/>
              <w:rPr>
                <w:sz w:val="20"/>
                <w:szCs w:val="20"/>
                <w:color w:val="auto"/>
              </w:rPr>
            </w:pPr>
            <w:r>
              <w:rPr>
                <w:rFonts w:ascii="Arial" w:cs="Arial" w:eastAsia="Arial" w:hAnsi="Arial"/>
                <w:sz w:val="18"/>
                <w:szCs w:val="18"/>
                <w:color w:val="auto"/>
                <w:w w:val="96"/>
              </w:rPr>
              <w:t>SECTION 10.</w:t>
            </w:r>
          </w:p>
        </w:tc>
        <w:tc>
          <w:tcPr>
            <w:tcW w:w="160" w:type="dxa"/>
            <w:vAlign w:val="bottom"/>
            <w:tcBorders>
              <w:top w:val="single" w:sz="8" w:color="0000EE"/>
            </w:tcBorders>
          </w:tcPr>
          <w:p>
            <w:pPr>
              <w:spacing w:after="0"/>
              <w:rPr>
                <w:sz w:val="24"/>
                <w:szCs w:val="24"/>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MISCELLANEOUS</w:t>
            </w:r>
          </w:p>
        </w:tc>
        <w:tc>
          <w:tcPr>
            <w:tcW w:w="2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9"/>
        </w:trPr>
        <w:tc>
          <w:tcPr>
            <w:tcW w:w="1200" w:type="dxa"/>
            <w:vAlign w:val="bottom"/>
          </w:tcPr>
          <w:p>
            <w:pPr>
              <w:ind w:left="480"/>
              <w:spacing w:after="0"/>
              <w:rPr>
                <w:sz w:val="20"/>
                <w:szCs w:val="20"/>
                <w:color w:val="auto"/>
              </w:rPr>
            </w:pPr>
            <w:r>
              <w:rPr>
                <w:rFonts w:ascii="Arial" w:cs="Arial" w:eastAsia="Arial" w:hAnsi="Arial"/>
                <w:sz w:val="18"/>
                <w:szCs w:val="18"/>
                <w:color w:val="auto"/>
              </w:rPr>
              <w:t>10.1</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Amendments and Waivers</w:t>
            </w:r>
          </w:p>
        </w:tc>
        <w:tc>
          <w:tcPr>
            <w:tcW w:w="2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10.2</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10.3</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No Waiver; Cumulative Remedies</w:t>
            </w:r>
          </w:p>
        </w:tc>
        <w:tc>
          <w:tcPr>
            <w:tcW w:w="2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10.4</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2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10.5</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Payment of Expenses; Limitation of Liability; Indemnity</w:t>
            </w:r>
          </w:p>
        </w:tc>
        <w:tc>
          <w:tcPr>
            <w:tcW w:w="2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10.6</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Successors and Assigns; Participations and Assignments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10.7</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Adjustments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10.8</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Counterparts; Electronic Execution</w:t>
            </w:r>
          </w:p>
        </w:tc>
        <w:tc>
          <w:tcPr>
            <w:tcW w:w="2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10.9</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10.10</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Integration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10.11</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GOVERNING LAW</w:t>
            </w:r>
          </w:p>
        </w:tc>
        <w:tc>
          <w:tcPr>
            <w:tcW w:w="2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10.12</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Submission to Jurisdiction; Waivers</w:t>
            </w:r>
          </w:p>
        </w:tc>
        <w:tc>
          <w:tcPr>
            <w:tcW w:w="2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10.13</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Judgment</w:t>
            </w:r>
          </w:p>
        </w:tc>
        <w:tc>
          <w:tcPr>
            <w:tcW w:w="2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10.14</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Acknowledgments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10.15</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Releases of Guarantees</w:t>
            </w:r>
          </w:p>
        </w:tc>
        <w:tc>
          <w:tcPr>
            <w:tcW w:w="23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10.16</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Confidentiality</w:t>
            </w:r>
          </w:p>
        </w:tc>
        <w:tc>
          <w:tcPr>
            <w:tcW w:w="23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10.17</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WAIVERS OF JURY TRIAL</w:t>
            </w:r>
          </w:p>
        </w:tc>
        <w:tc>
          <w:tcPr>
            <w:tcW w:w="2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10.18</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USA Patriot Act</w:t>
            </w:r>
          </w:p>
        </w:tc>
        <w:tc>
          <w:tcPr>
            <w:tcW w:w="2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10.19</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No Novation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5"/>
        </w:trPr>
        <w:tc>
          <w:tcPr>
            <w:tcW w:w="1200" w:type="dxa"/>
            <w:vAlign w:val="bottom"/>
          </w:tcPr>
          <w:p>
            <w:pPr>
              <w:ind w:left="480"/>
              <w:spacing w:after="0"/>
              <w:rPr>
                <w:sz w:val="20"/>
                <w:szCs w:val="20"/>
                <w:color w:val="auto"/>
              </w:rPr>
            </w:pPr>
            <w:r>
              <w:rPr>
                <w:rFonts w:ascii="Arial" w:cs="Arial" w:eastAsia="Arial" w:hAnsi="Arial"/>
                <w:sz w:val="18"/>
                <w:szCs w:val="18"/>
                <w:color w:val="auto"/>
              </w:rPr>
              <w:t>10.20</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200" w:type="dxa"/>
            <w:vAlign w:val="bottom"/>
          </w:tcPr>
          <w:p>
            <w:pPr>
              <w:ind w:left="480"/>
              <w:spacing w:after="0"/>
              <w:rPr>
                <w:sz w:val="20"/>
                <w:szCs w:val="20"/>
                <w:color w:val="auto"/>
              </w:rPr>
            </w:pPr>
            <w:r>
              <w:rPr>
                <w:rFonts w:ascii="Arial" w:cs="Arial" w:eastAsia="Arial" w:hAnsi="Arial"/>
                <w:sz w:val="18"/>
                <w:szCs w:val="18"/>
                <w:color w:val="auto"/>
              </w:rPr>
              <w:t>10.21</w:t>
            </w:r>
          </w:p>
        </w:tc>
        <w:tc>
          <w:tcPr>
            <w:tcW w:w="7560" w:type="dxa"/>
            <w:vAlign w:val="bottom"/>
            <w:gridSpan w:val="2"/>
          </w:tcPr>
          <w:p>
            <w:pPr>
              <w:ind w:left="60"/>
              <w:spacing w:after="0"/>
              <w:rPr>
                <w:sz w:val="20"/>
                <w:szCs w:val="20"/>
                <w:color w:val="auto"/>
              </w:rPr>
            </w:pPr>
            <w:r>
              <w:rPr>
                <w:rFonts w:ascii="Arial" w:cs="Arial" w:eastAsia="Arial" w:hAnsi="Arial"/>
                <w:sz w:val="18"/>
                <w:szCs w:val="18"/>
                <w:color w:val="auto"/>
              </w:rPr>
              <w:t>Acknowledgement Regarding Any Supported QFCs</w:t>
            </w:r>
          </w:p>
        </w:tc>
        <w:tc>
          <w:tcPr>
            <w:tcW w:w="230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60"/>
          </w:cols>
          <w:pgMar w:left="320" w:top="444"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SCHEDULES:</w:t>
      </w:r>
    </w:p>
    <w:p>
      <w:pPr>
        <w:spacing w:after="0" w:line="251"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1.1A</w:t>
      </w:r>
      <w:r>
        <w:rPr>
          <w:sz w:val="20"/>
          <w:szCs w:val="20"/>
          <w:color w:val="auto"/>
        </w:rPr>
        <w:tab/>
      </w:r>
      <w:r>
        <w:rPr>
          <w:rFonts w:ascii="Arial" w:cs="Arial" w:eastAsia="Arial" w:hAnsi="Arial"/>
          <w:sz w:val="16"/>
          <w:szCs w:val="16"/>
          <w:color w:val="auto"/>
        </w:rPr>
        <w:t>Commitments; Scheme Reference Number and Jurisdiction of Tax Residence</w:t>
      </w:r>
    </w:p>
    <w:p>
      <w:pPr>
        <w:spacing w:after="0" w:line="23"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1.1B</w:t>
      </w:r>
      <w:r>
        <w:rPr>
          <w:sz w:val="20"/>
          <w:szCs w:val="20"/>
          <w:color w:val="auto"/>
        </w:rPr>
        <w:tab/>
      </w:r>
      <w:r>
        <w:rPr>
          <w:rFonts w:ascii="Arial" w:cs="Arial" w:eastAsia="Arial" w:hAnsi="Arial"/>
          <w:sz w:val="16"/>
          <w:szCs w:val="16"/>
          <w:color w:val="auto"/>
        </w:rPr>
        <w:t>Initial Excluded Subsidiaries</w:t>
      </w:r>
    </w:p>
    <w:p>
      <w:pPr>
        <w:spacing w:after="0" w:line="9"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1.1C</w:t>
      </w:r>
      <w:r>
        <w:rPr>
          <w:sz w:val="20"/>
          <w:szCs w:val="20"/>
          <w:color w:val="auto"/>
        </w:rPr>
        <w:tab/>
      </w:r>
      <w:r>
        <w:rPr>
          <w:rFonts w:ascii="Arial" w:cs="Arial" w:eastAsia="Arial" w:hAnsi="Arial"/>
          <w:sz w:val="17"/>
          <w:szCs w:val="17"/>
          <w:color w:val="auto"/>
        </w:rPr>
        <w:t>Applicable Pricing Grid</w:t>
      </w:r>
    </w:p>
    <w:p>
      <w:pPr>
        <w:spacing w:after="0" w:line="9"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1.1D</w:t>
      </w:r>
      <w:r>
        <w:rPr>
          <w:sz w:val="20"/>
          <w:szCs w:val="20"/>
          <w:color w:val="auto"/>
        </w:rPr>
        <w:tab/>
      </w:r>
      <w:r>
        <w:rPr>
          <w:rFonts w:ascii="Arial" w:cs="Arial" w:eastAsia="Arial" w:hAnsi="Arial"/>
          <w:sz w:val="16"/>
          <w:szCs w:val="16"/>
          <w:color w:val="auto"/>
        </w:rPr>
        <w:t>Existing Liens</w:t>
      </w:r>
    </w:p>
    <w:p>
      <w:pPr>
        <w:spacing w:after="0" w:line="9"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1.1E</w:t>
      </w:r>
      <w:r>
        <w:rPr>
          <w:sz w:val="20"/>
          <w:szCs w:val="20"/>
          <w:color w:val="auto"/>
        </w:rPr>
        <w:tab/>
      </w:r>
      <w:r>
        <w:rPr>
          <w:rFonts w:ascii="Arial" w:cs="Arial" w:eastAsia="Arial" w:hAnsi="Arial"/>
          <w:sz w:val="16"/>
          <w:szCs w:val="16"/>
          <w:color w:val="auto"/>
        </w:rPr>
        <w:t>Excluded Subsidiary Businesses</w:t>
      </w:r>
    </w:p>
    <w:p>
      <w:pPr>
        <w:spacing w:after="0" w:line="9"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Litigation</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EXHIBITS:</w:t>
      </w:r>
    </w:p>
    <w:p>
      <w:pPr>
        <w:spacing w:after="0" w:line="251" w:lineRule="exact"/>
        <w:rPr>
          <w:sz w:val="20"/>
          <w:szCs w:val="20"/>
          <w:color w:val="auto"/>
        </w:rPr>
      </w:pPr>
    </w:p>
    <w:p>
      <w:pPr>
        <w:ind w:left="1020" w:hanging="891"/>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left="1020" w:hanging="89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ind w:left="1020" w:hanging="891"/>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ind w:left="1020" w:hanging="891"/>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ind w:left="1020" w:hanging="891"/>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Incremental Loan Activation Notice</w:t>
      </w:r>
    </w:p>
    <w:p>
      <w:pPr>
        <w:spacing w:after="0" w:line="9" w:lineRule="exact"/>
        <w:rPr>
          <w:sz w:val="20"/>
          <w:szCs w:val="20"/>
          <w:color w:val="auto"/>
        </w:rPr>
      </w:pPr>
    </w:p>
    <w:p>
      <w:pPr>
        <w:ind w:left="1020" w:hanging="891"/>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left="1020" w:hanging="891"/>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1020" w:hanging="891"/>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Borrower Joinder Agreement</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I-1</w:t>
            </w:r>
          </w:p>
        </w:tc>
        <w:tc>
          <w:tcPr>
            <w:tcW w:w="5660" w:type="dxa"/>
            <w:vAlign w:val="bottom"/>
          </w:tcPr>
          <w:p>
            <w:pPr>
              <w:ind w:left="340"/>
              <w:spacing w:after="0"/>
              <w:rPr>
                <w:sz w:val="20"/>
                <w:szCs w:val="20"/>
                <w:color w:val="auto"/>
              </w:rPr>
            </w:pPr>
            <w:r>
              <w:rPr>
                <w:rFonts w:ascii="Arial" w:cs="Arial" w:eastAsia="Arial" w:hAnsi="Arial"/>
                <w:sz w:val="18"/>
                <w:szCs w:val="18"/>
                <w:color w:val="auto"/>
                <w:w w:val="96"/>
              </w:rPr>
              <w:t>Form of Exemption Certificate for Non-Partnership Non-U.S. Lenders</w:t>
            </w: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I-2</w:t>
            </w:r>
          </w:p>
        </w:tc>
        <w:tc>
          <w:tcPr>
            <w:tcW w:w="5660" w:type="dxa"/>
            <w:vAlign w:val="bottom"/>
          </w:tcPr>
          <w:p>
            <w:pPr>
              <w:ind w:left="340"/>
              <w:spacing w:after="0"/>
              <w:rPr>
                <w:sz w:val="20"/>
                <w:szCs w:val="20"/>
                <w:color w:val="auto"/>
              </w:rPr>
            </w:pPr>
            <w:r>
              <w:rPr>
                <w:rFonts w:ascii="Arial" w:cs="Arial" w:eastAsia="Arial" w:hAnsi="Arial"/>
                <w:sz w:val="18"/>
                <w:szCs w:val="18"/>
                <w:color w:val="auto"/>
              </w:rPr>
              <w:t>Form of Exemption Certificate for Partnership Non-U.S. Lenders</w:t>
            </w: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I-3</w:t>
            </w:r>
          </w:p>
        </w:tc>
        <w:tc>
          <w:tcPr>
            <w:tcW w:w="5660" w:type="dxa"/>
            <w:vAlign w:val="bottom"/>
          </w:tcPr>
          <w:p>
            <w:pPr>
              <w:ind w:left="340"/>
              <w:spacing w:after="0"/>
              <w:rPr>
                <w:sz w:val="20"/>
                <w:szCs w:val="20"/>
                <w:color w:val="auto"/>
              </w:rPr>
            </w:pPr>
            <w:r>
              <w:rPr>
                <w:rFonts w:ascii="Arial" w:cs="Arial" w:eastAsia="Arial" w:hAnsi="Arial"/>
                <w:sz w:val="18"/>
                <w:szCs w:val="18"/>
                <w:color w:val="auto"/>
                <w:w w:val="91"/>
              </w:rPr>
              <w:t>Form of Exemption Certificate for Non-Partnership Non-U.S. Participants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I-4</w:t>
            </w:r>
          </w:p>
        </w:tc>
        <w:tc>
          <w:tcPr>
            <w:tcW w:w="5660" w:type="dxa"/>
            <w:vAlign w:val="bottom"/>
          </w:tcPr>
          <w:p>
            <w:pPr>
              <w:ind w:left="340"/>
              <w:spacing w:after="0"/>
              <w:rPr>
                <w:sz w:val="20"/>
                <w:szCs w:val="20"/>
                <w:color w:val="auto"/>
              </w:rPr>
            </w:pPr>
            <w:r>
              <w:rPr>
                <w:rFonts w:ascii="Arial" w:cs="Arial" w:eastAsia="Arial" w:hAnsi="Arial"/>
                <w:sz w:val="18"/>
                <w:szCs w:val="18"/>
                <w:color w:val="auto"/>
                <w:w w:val="98"/>
              </w:rPr>
              <w:t>Form of Exemption Certificate for Partnership Non-U.S. Participants</w:t>
            </w:r>
          </w:p>
        </w:tc>
      </w:tr>
    </w:tbl>
    <w:p>
      <w:pPr>
        <w:ind w:left="1020" w:hanging="891"/>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1020" w:hanging="891"/>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1020" w:hanging="891"/>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Borrowing Request</w:t>
      </w:r>
    </w:p>
    <w:p>
      <w:pPr>
        <w:spacing w:after="0" w:line="9" w:lineRule="exact"/>
        <w:rPr>
          <w:sz w:val="20"/>
          <w:szCs w:val="20"/>
          <w:color w:val="auto"/>
        </w:rPr>
      </w:pPr>
    </w:p>
    <w:p>
      <w:pPr>
        <w:ind w:left="1020" w:hanging="891"/>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of Company Consent</w:t>
      </w:r>
    </w:p>
    <w:p>
      <w:pPr>
        <w:spacing w:after="0" w:line="9" w:lineRule="exact"/>
        <w:rPr>
          <w:sz w:val="20"/>
          <w:szCs w:val="20"/>
          <w:color w:val="auto"/>
        </w:rPr>
      </w:pPr>
    </w:p>
    <w:p>
      <w:pPr>
        <w:ind w:left="1020" w:hanging="89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of Letter of Credit Acknowledgment</w:t>
      </w:r>
    </w:p>
    <w:p>
      <w:pPr>
        <w:spacing w:after="0" w:line="14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39"/>
          </w:cols>
          <w:pgMar w:left="320" w:top="458"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FOURTH AMENDED AND RESTATED THREE YEAR REVOLVING CREDIT AGREEMENT, dated as of April 7, 2021 (this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u w:val="single" w:color="auto"/>
          <w:color w:val="auto"/>
        </w:rPr>
        <w:t>GMF</w:t>
      </w:r>
      <w:r>
        <w:rPr>
          <w:rFonts w:ascii="Arial" w:cs="Arial" w:eastAsia="Arial" w:hAnsi="Arial"/>
          <w:sz w:val="17"/>
          <w:szCs w:val="17"/>
          <w:color w:val="auto"/>
        </w:rPr>
        <w:t>”), the other Subsidiary Borrowers (as defined herein) from time to time parties hereto, the several banks and other financial</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(and any of its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branches and affiliates acting on its behalf in such capacity),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and BANK OF AMERICA, N.A., as co-syndication agent (in such</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capacity, the “</w:t>
      </w:r>
      <w:r>
        <w:rPr>
          <w:rFonts w:ascii="Arial" w:cs="Arial" w:eastAsia="Arial" w:hAnsi="Arial"/>
          <w:sz w:val="18"/>
          <w:szCs w:val="18"/>
          <w:u w:val="single" w:color="auto"/>
          <w:color w:val="auto"/>
        </w:rPr>
        <w:t>Co-Syndication Agent</w:t>
      </w:r>
      <w:r>
        <w:rPr>
          <w:rFonts w:ascii="Arial" w:cs="Arial" w:eastAsia="Arial" w:hAnsi="Arial"/>
          <w:sz w:val="18"/>
          <w:szCs w:val="18"/>
          <w:color w:val="auto"/>
        </w:rPr>
        <w:t>”).</w:t>
      </w:r>
    </w:p>
    <w:p>
      <w:pPr>
        <w:spacing w:after="0" w:line="210" w:lineRule="exact"/>
        <w:rPr>
          <w:sz w:val="20"/>
          <w:szCs w:val="20"/>
          <w:color w:val="auto"/>
        </w:rPr>
      </w:pPr>
    </w:p>
    <w:p>
      <w:pPr>
        <w:ind w:left="120" w:firstLine="989"/>
        <w:spacing w:after="0" w:line="256" w:lineRule="auto"/>
        <w:rPr>
          <w:sz w:val="20"/>
          <w:szCs w:val="20"/>
          <w:color w:val="auto"/>
        </w:rPr>
      </w:pPr>
      <w:r>
        <w:rPr>
          <w:rFonts w:ascii="Arial" w:cs="Arial" w:eastAsia="Arial" w:hAnsi="Arial"/>
          <w:sz w:val="18"/>
          <w:szCs w:val="18"/>
          <w:color w:val="auto"/>
        </w:rPr>
        <w:t>WHEREAS, the Company entered into that certain Third Amended and Restated Three Year Revolving Credit Agreement, dated as of April 18, 2018 (as amended by that certain Amendment No. 1, dated as of April 24, 2020, the “</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with GMF, GM Europe Treasury Company AB, General Motors do Brasil Ltda., a Brazilian limited liability company (“</w:t>
      </w:r>
      <w:r>
        <w:rPr>
          <w:rFonts w:ascii="Arial" w:cs="Arial" w:eastAsia="Arial" w:hAnsi="Arial"/>
          <w:sz w:val="18"/>
          <w:szCs w:val="18"/>
          <w:u w:val="single" w:color="auto"/>
          <w:color w:val="auto"/>
        </w:rPr>
        <w:t>GMB</w:t>
      </w:r>
      <w:r>
        <w:rPr>
          <w:rFonts w:ascii="Arial" w:cs="Arial" w:eastAsia="Arial" w:hAnsi="Arial"/>
          <w:sz w:val="18"/>
          <w:szCs w:val="18"/>
          <w:color w:val="auto"/>
        </w:rPr>
        <w:t>”),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9" w:lineRule="exact"/>
        <w:rPr>
          <w:sz w:val="20"/>
          <w:szCs w:val="20"/>
          <w:color w:val="auto"/>
        </w:rPr>
      </w:pPr>
    </w:p>
    <w:p>
      <w:pPr>
        <w:ind w:left="120" w:right="40" w:firstLine="989"/>
        <w:spacing w:after="0" w:line="306" w:lineRule="auto"/>
        <w:rPr>
          <w:sz w:val="20"/>
          <w:szCs w:val="20"/>
          <w:color w:val="auto"/>
        </w:rPr>
      </w:pPr>
      <w:r>
        <w:rPr>
          <w:rFonts w:ascii="Arial" w:cs="Arial" w:eastAsia="Arial" w:hAnsi="Arial"/>
          <w:sz w:val="17"/>
          <w:szCs w:val="17"/>
          <w:color w:val="auto"/>
        </w:rPr>
        <w:t>WHEREAS, the parties have agreed to amend and restate the Existing Three Year Credit Agreement as provided in this Agreement, which Agreement shall become effective upon the satisfaction (or waiver pursuant to Section 10.1) of the conditions set forth in Section 5.1;</w:t>
      </w:r>
    </w:p>
    <w:p>
      <w:pPr>
        <w:spacing w:after="0" w:line="148" w:lineRule="exact"/>
        <w:rPr>
          <w:sz w:val="20"/>
          <w:szCs w:val="20"/>
          <w:color w:val="auto"/>
        </w:rPr>
      </w:pPr>
    </w:p>
    <w:p>
      <w:pPr>
        <w:ind w:left="120" w:right="160" w:firstLine="989"/>
        <w:spacing w:after="0" w:line="263"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that on the Closing Date (as defined below), the Existing Three Year Credit Agreement shall be amended and restated in its entirety as follows:</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1. DEFINITIONS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terms listed in this Section 1.1 shall have the respective meanings set forth in this</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1.1.</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10-K</w:t>
      </w:r>
      <w:r>
        <w:rPr>
          <w:rFonts w:ascii="Arial" w:cs="Arial" w:eastAsia="Arial" w:hAnsi="Arial"/>
          <w:sz w:val="18"/>
          <w:szCs w:val="18"/>
          <w:color w:val="auto"/>
        </w:rPr>
        <w:t>” has the meaning assigned to such term in Section 4.1.</w:t>
      </w:r>
    </w:p>
    <w:p>
      <w:pPr>
        <w:spacing w:after="0" w:line="224" w:lineRule="exact"/>
        <w:rPr>
          <w:sz w:val="20"/>
          <w:szCs w:val="20"/>
          <w:color w:val="auto"/>
        </w:rPr>
      </w:pPr>
    </w:p>
    <w:p>
      <w:pPr>
        <w:ind w:left="120" w:right="20" w:firstLine="9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Revolving Credit Agreement</w:t>
      </w:r>
      <w:r>
        <w:rPr>
          <w:rFonts w:ascii="Arial" w:cs="Arial" w:eastAsia="Arial" w:hAnsi="Arial"/>
          <w:sz w:val="17"/>
          <w:szCs w:val="17"/>
          <w:color w:val="auto"/>
        </w:rPr>
        <w:t>” means (i) that certain Third Amended and Restated Five Year Revolving Credit Agreement, dated as of April 18, 2018, among the Company, GMF, GMB, certain other subsidiaries of the Company from time to time party thereto as borrowers, the lenders from time to time party thereto and JPMorgan Chase Bank, N.A. as administrative agent, as amended by Amendment No. 1 to 5-Year Revolving Credit Agreement, dated as of the date hereof and as the same may be further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8"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7" w:lineRule="exact"/>
        <w:rPr>
          <w:sz w:val="20"/>
          <w:szCs w:val="20"/>
          <w:color w:val="auto"/>
        </w:rPr>
      </w:pPr>
    </w:p>
    <w:p>
      <w:pPr>
        <w:jc w:val="both"/>
        <w:ind w:left="120" w:right="20" w:firstLine="98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47" w:lineRule="exact"/>
        <w:rPr>
          <w:sz w:val="20"/>
          <w:szCs w:val="20"/>
          <w:color w:val="auto"/>
        </w:rPr>
      </w:pPr>
    </w:p>
    <w:p>
      <w:pPr>
        <w:ind w:left="120" w:right="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Extensions of Credit</w:t>
      </w:r>
      <w:r>
        <w:rPr>
          <w:rFonts w:ascii="Arial" w:cs="Arial" w:eastAsia="Arial" w:hAnsi="Arial"/>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7" w:lineRule="exact"/>
        <w:rPr>
          <w:sz w:val="20"/>
          <w:szCs w:val="20"/>
          <w:color w:val="auto"/>
        </w:rPr>
      </w:pPr>
    </w:p>
    <w:p>
      <w:pPr>
        <w:ind w:left="120" w:firstLine="989"/>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1.00% and (c) the Eurocurrency Rate, calculated as of such date (or if such day is not a Business Day, the immediately preceding Business Day) in respect of a proposed Eurocurrency Loan denominated in Dollars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purpose of this definition, the Eurocurrency Rate for any day shall be based on the LIBO Screen Rate (or if the LIBO Screen Rate is not available for such one month Interest Period, the Interpolated Rate) at approximately 11:00 a.m. London time on such day.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4" w:lineRule="exact"/>
        <w:rPr>
          <w:sz w:val="20"/>
          <w:szCs w:val="20"/>
          <w:color w:val="auto"/>
        </w:rPr>
      </w:pPr>
    </w:p>
    <w:p>
      <w:pPr>
        <w:ind w:left="120"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 Rate</w:t>
      </w:r>
      <w:r>
        <w:rPr>
          <w:rFonts w:ascii="Arial" w:cs="Arial" w:eastAsia="Arial" w:hAnsi="Arial"/>
          <w:sz w:val="18"/>
          <w:szCs w:val="18"/>
          <w:color w:val="auto"/>
        </w:rPr>
        <w:t>” means, with respect to any Eurocurrency Borrowing denominated in Euros for any Interest Period, an interest rate per annum equal to (a) the EURIBOR Rate for such Interest Period multiplied by (b) the Statutory Reserve Rate.</w:t>
      </w:r>
    </w:p>
    <w:p>
      <w:pPr>
        <w:spacing w:after="0" w:line="170" w:lineRule="exact"/>
        <w:rPr>
          <w:sz w:val="20"/>
          <w:szCs w:val="20"/>
          <w:color w:val="auto"/>
        </w:rPr>
      </w:pPr>
    </w:p>
    <w:p>
      <w:pPr>
        <w:ind w:left="120" w:right="30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TIBOR Rate</w:t>
      </w:r>
      <w:r>
        <w:rPr>
          <w:rFonts w:ascii="Arial" w:cs="Arial" w:eastAsia="Arial" w:hAnsi="Arial"/>
          <w:sz w:val="17"/>
          <w:szCs w:val="17"/>
          <w:color w:val="auto"/>
        </w:rPr>
        <w:t>” means, with respect to any Eurocurrency Borrowing denominated in Japanese Yen for any Interest Period, an interest rate per annum equal to (a) the TIBOR Rate for such Interest Period multiplied by (b) the Statutory Reserve Rate.</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2.18(a)(iii).</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8"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Borrower</w:t>
      </w:r>
      <w:r>
        <w:rPr>
          <w:rFonts w:ascii="Arial" w:cs="Arial" w:eastAsia="Arial" w:hAnsi="Arial"/>
          <w:sz w:val="18"/>
          <w:szCs w:val="18"/>
          <w:color w:val="auto"/>
        </w:rPr>
        <w:t>” has the meaning assigned to such term in Section 2.30(a).</w:t>
      </w:r>
    </w:p>
    <w:p>
      <w:pPr>
        <w:spacing w:after="0" w:line="224" w:lineRule="exact"/>
        <w:rPr>
          <w:sz w:val="20"/>
          <w:szCs w:val="20"/>
          <w:color w:val="auto"/>
        </w:rPr>
      </w:pPr>
    </w:p>
    <w:p>
      <w:pPr>
        <w:jc w:val="both"/>
        <w:ind w:left="120" w:right="5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Commencement Date</w:t>
      </w:r>
      <w:r>
        <w:rPr>
          <w:rFonts w:ascii="Arial" w:cs="Arial" w:eastAsia="Arial" w:hAnsi="Arial"/>
          <w:sz w:val="18"/>
          <w:szCs w:val="18"/>
          <w:color w:val="auto"/>
        </w:rPr>
        <w:t>” means, in relation to an Ancillary Facility, the date on which such Ancillary Facility is first made available, which date shall be a Business Day within the Commitment Period for the applicable Ancillary Lender in respect of the Multicurrency Facility.</w:t>
      </w:r>
    </w:p>
    <w:p>
      <w:pPr>
        <w:spacing w:after="0" w:line="182" w:lineRule="exact"/>
        <w:rPr>
          <w:sz w:val="20"/>
          <w:szCs w:val="20"/>
          <w:color w:val="auto"/>
        </w:rPr>
      </w:pPr>
    </w:p>
    <w:p>
      <w:pPr>
        <w:ind w:left="120" w:right="120" w:firstLine="98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Commitment</w:t>
      </w:r>
      <w:r>
        <w:rPr>
          <w:rFonts w:ascii="Arial" w:cs="Arial" w:eastAsia="Arial" w:hAnsi="Arial"/>
          <w:sz w:val="16"/>
          <w:szCs w:val="16"/>
          <w:color w:val="auto"/>
        </w:rPr>
        <w:t xml:space="preserve">” means, with respect to any Ancillary Lender and Ancillary Facility, the maximum Dollar Equivalent of the amount that such Ancillary Lender has agreed to make available from time to time prior to the Termination Date under such Ancillary Facility pursuant to Section 2.30 (to the extent such amount is not cancelled or reduced under this Agreement or the Ancillary Facility Documents relating to that Ancillary Facility and, in each case, such Dollar Equivalent amount to be determined as of the applicable Ancillary Commencement Date, without giving effect to any currency fluctuations after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(a) the aggregate Ancillary Commitments of such Ancillary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Multicurrency Extensions of Credit of such Ancillary Lender exceed (b) the Multicurrency Commitment of such Ancillary Lender (determined without giving effect to any reduction of such Commitment pursuant to Section 2.30).</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it in Section 10.8.</w:t>
      </w:r>
    </w:p>
    <w:p>
      <w:pPr>
        <w:spacing w:after="0" w:line="224" w:lineRule="exact"/>
        <w:rPr>
          <w:sz w:val="20"/>
          <w:szCs w:val="20"/>
          <w:color w:val="auto"/>
        </w:rPr>
      </w:pPr>
    </w:p>
    <w:p>
      <w:pPr>
        <w:ind w:left="120" w:right="8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Facility</w:t>
      </w:r>
      <w:r>
        <w:rPr>
          <w:rFonts w:ascii="Arial" w:cs="Arial" w:eastAsia="Arial" w:hAnsi="Arial"/>
          <w:sz w:val="17"/>
          <w:szCs w:val="17"/>
          <w:color w:val="auto"/>
        </w:rPr>
        <w:t>” means (a) any overdraft, automated payment, check drawing and/or other current account facility, (b) any credit order or short term loan facility, (c) any foreign exchange or foreign currency facility, (d) any documentary or stand-by letter of credit facility, suretyship, guarantee and/or bonding facility or any other instrument to provide a contingent liability, (e) any derivatives or hedging facility and/or (f) any other facility or financial accommodation that may be entered into by any Ancillary Borrower in connection with the business of the Company and/or any of its Subsidiaries, in each case made available by an Ancillary Lender in accordance with Section 2.30.</w:t>
      </w:r>
    </w:p>
    <w:p>
      <w:pPr>
        <w:spacing w:after="0" w:line="173" w:lineRule="exact"/>
        <w:rPr>
          <w:sz w:val="20"/>
          <w:szCs w:val="20"/>
          <w:color w:val="auto"/>
        </w:rPr>
      </w:pPr>
    </w:p>
    <w:p>
      <w:pPr>
        <w:ind w:left="120" w:right="6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 Document</w:t>
      </w:r>
      <w:r>
        <w:rPr>
          <w:rFonts w:ascii="Arial" w:cs="Arial" w:eastAsia="Arial" w:hAnsi="Arial"/>
          <w:sz w:val="18"/>
          <w:szCs w:val="18"/>
          <w:color w:val="auto"/>
        </w:rPr>
        <w:t>” means, with respect to any Ancillary Facility, each document or instrument between any Ancillary Borrower and the applicable Ancillary Lender thereunder governing such Ancillary Facility.</w:t>
      </w:r>
    </w:p>
    <w:p>
      <w:pPr>
        <w:spacing w:after="0" w:line="170" w:lineRule="exact"/>
        <w:rPr>
          <w:sz w:val="20"/>
          <w:szCs w:val="20"/>
          <w:color w:val="auto"/>
        </w:rPr>
      </w:pPr>
    </w:p>
    <w:p>
      <w:pPr>
        <w:ind w:left="120" w:firstLine="98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Facility Outstandings</w:t>
      </w:r>
      <w:r>
        <w:rPr>
          <w:rFonts w:ascii="Arial" w:cs="Arial" w:eastAsia="Arial" w:hAnsi="Arial"/>
          <w:sz w:val="17"/>
          <w:szCs w:val="17"/>
          <w:color w:val="auto"/>
        </w:rPr>
        <w:t>” means, at any time, with respect to any Ancillary Lender and any Ancillary Facility then in effect, the Dollar Equivalent of the sum of the following amounts outstanding under such Ancillary Facility: (a) the principal amount under each overdraft facility and on-demand short term loan facility (net of any credit balance on any account of any Ancillary Borrower under any Ancillary Facility with the relevant Ancillary Lender to the extent that such credit balance is freely available to be set-off by such Ancillary Lender against liabilities owing by such Ancillary Borrower under such Ancillary Facility); (b) the face amount of each guarantee, bond and letter of credit under such Ancillary Facility (net of any cash collateral and otherwise as the maximum liability thereunder is reduced in accordance with its terms and by calls thereon which have been satisfied, and excluding any liability in respect of amounts of interest, fees and similar charges); and (c) the amount fairly representing the aggregate exposure (excluding interest, fees and similar charges) of such Ancillary Lender under each other type of accommodation provided under such Ancillary Facility, in each case as determined by such Ancillary Lender, acting reasonably in accordance with its normal banking practice and in accordance with the relevant Ancillary Facility Document.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8"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3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Lender</w:t>
      </w:r>
      <w:r>
        <w:rPr>
          <w:rFonts w:ascii="Arial" w:cs="Arial" w:eastAsia="Arial" w:hAnsi="Arial"/>
          <w:sz w:val="18"/>
          <w:szCs w:val="18"/>
          <w:color w:val="auto"/>
        </w:rPr>
        <w:t>” means, with respect to any Ancillary Facility, the Lender (or an affiliate of such Lender) that has made (in its sole discretion) such Ancillary Facility available under Section 2.30.</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224" w:lineRule="exact"/>
        <w:rPr>
          <w:sz w:val="20"/>
          <w:szCs w:val="20"/>
          <w:color w:val="auto"/>
        </w:rPr>
      </w:pPr>
    </w:p>
    <w:p>
      <w:pPr>
        <w:ind w:left="120" w:right="26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denominated in the applicable Currency, ABR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9" w:lineRule="exact"/>
        <w:rPr>
          <w:sz w:val="20"/>
          <w:szCs w:val="20"/>
          <w:color w:val="auto"/>
        </w:rPr>
      </w:pPr>
    </w:p>
    <w:p>
      <w:pPr>
        <w:ind w:left="12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for any day, with respect to any ABR Loan or Eurocurrency Loan, as the case may be, the applicable rate per annum set forth under the relevant column heading in the Applicable Pricing Grid, based upon the Applicable Rating in effect on such day.</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in the case of any Loan or Facility Fee, the table set forth on Schedule 1.1C.</w:t>
      </w:r>
    </w:p>
    <w:p>
      <w:pPr>
        <w:spacing w:after="0" w:line="224" w:lineRule="exact"/>
        <w:rPr>
          <w:sz w:val="20"/>
          <w:szCs w:val="20"/>
          <w:color w:val="auto"/>
        </w:rPr>
      </w:pPr>
    </w:p>
    <w:p>
      <w:pPr>
        <w:ind w:left="120" w:right="10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Rating</w:t>
      </w:r>
      <w:r>
        <w:rPr>
          <w:rFonts w:ascii="Arial" w:cs="Arial" w:eastAsia="Arial" w:hAnsi="Arial"/>
          <w:sz w:val="17"/>
          <w:szCs w:val="17"/>
          <w:color w:val="auto"/>
        </w:rPr>
        <w:t xml:space="preserve">” means the Index Debt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the Company has obtained or maintained a Facility Rating from at least two of Moody’s, S&amp;P or Fitch, the “Applicable Rating” shall be the Facility Rating in effect at any time of determination.</w:t>
      </w:r>
    </w:p>
    <w:p>
      <w:pPr>
        <w:spacing w:after="0" w:line="148" w:lineRule="exact"/>
        <w:rPr>
          <w:sz w:val="20"/>
          <w:szCs w:val="20"/>
          <w:color w:val="auto"/>
        </w:rPr>
      </w:pPr>
    </w:p>
    <w:p>
      <w:pPr>
        <w:ind w:left="120" w:right="3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4" w:lineRule="exact"/>
        <w:rPr>
          <w:sz w:val="20"/>
          <w:szCs w:val="20"/>
          <w:color w:val="auto"/>
        </w:rPr>
      </w:pPr>
    </w:p>
    <w:p>
      <w:pPr>
        <w:ind w:lef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4"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Commitment</w:t>
      </w:r>
      <w:r>
        <w:rPr>
          <w:rFonts w:ascii="Arial" w:cs="Arial" w:eastAsia="Arial" w:hAnsi="Arial"/>
          <w:sz w:val="18"/>
          <w:szCs w:val="18"/>
          <w:color w:val="auto"/>
        </w:rPr>
        <w:t xml:space="preserve">” means, on any date of determination with respect to any Lender, (a) such Lender’s Multicurrency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Multicurrency Extensions of Credit on such date.</w:t>
      </w:r>
    </w:p>
    <w:p>
      <w:pPr>
        <w:spacing w:after="0" w:line="170"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2.18.</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8"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left="120" w:right="80" w:firstLine="9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ind w:left="12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79" w:lineRule="exact"/>
        <w:rPr>
          <w:sz w:val="20"/>
          <w:szCs w:val="20"/>
          <w:color w:val="auto"/>
        </w:rPr>
      </w:pPr>
    </w:p>
    <w:p>
      <w:pPr>
        <w:ind w:left="120" w:right="10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the Relevant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clause (b) or clause (c) of Section 2.18.</w:t>
      </w:r>
    </w:p>
    <w:p>
      <w:pPr>
        <w:spacing w:after="0" w:line="187" w:lineRule="exact"/>
        <w:rPr>
          <w:sz w:val="20"/>
          <w:szCs w:val="20"/>
          <w:color w:val="auto"/>
        </w:rPr>
      </w:pPr>
    </w:p>
    <w:p>
      <w:pPr>
        <w:ind w:left="120" w:right="1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Loan denominated in an Optional Currency, “Benchmark Replacement” shall mean the alternative set forth in (3) below:</w:t>
      </w:r>
    </w:p>
    <w:p>
      <w:pPr>
        <w:spacing w:after="0" w:line="74" w:lineRule="exact"/>
        <w:rPr>
          <w:sz w:val="20"/>
          <w:szCs w:val="20"/>
          <w:color w:val="auto"/>
        </w:rPr>
      </w:pPr>
    </w:p>
    <w:p>
      <w:pPr>
        <w:ind w:left="1380" w:hanging="262"/>
        <w:spacing w:after="0"/>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case of any Loan denominated in Dollars, the sum of: (a) Term SOFR and (b) the related Benchmark Replacement Adjustment,</w:t>
      </w:r>
    </w:p>
    <w:p>
      <w:pPr>
        <w:spacing w:after="0" w:line="246" w:lineRule="exact"/>
        <w:rPr>
          <w:rFonts w:ascii="Arial" w:cs="Arial" w:eastAsia="Arial" w:hAnsi="Arial"/>
          <w:sz w:val="16"/>
          <w:szCs w:val="16"/>
          <w:color w:val="auto"/>
        </w:rPr>
      </w:pPr>
    </w:p>
    <w:p>
      <w:pPr>
        <w:ind w:left="1380" w:hanging="262"/>
        <w:spacing w:after="0"/>
        <w:tabs>
          <w:tab w:leader="none" w:pos="1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case of any Loan denominated in Dollars, the sum of: (a) Daily Simple SOFR and (b) the related Benchmark Replacement</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Adjustment,</w:t>
      </w:r>
    </w:p>
    <w:p>
      <w:pPr>
        <w:spacing w:after="0" w:line="210" w:lineRule="exact"/>
        <w:rPr>
          <w:sz w:val="20"/>
          <w:szCs w:val="20"/>
          <w:color w:val="auto"/>
        </w:rPr>
      </w:pPr>
    </w:p>
    <w:p>
      <w:pPr>
        <w:ind w:left="120" w:firstLine="998"/>
        <w:spacing w:after="0" w:line="275" w:lineRule="auto"/>
        <w:tabs>
          <w:tab w:leader="none" w:pos="13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8"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73" w:lineRule="auto"/>
        <w:rPr>
          <w:sz w:val="20"/>
          <w:szCs w:val="20"/>
          <w:color w:val="auto"/>
        </w:rPr>
      </w:pP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solely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(A) of this definition (subject to the first proviso above).</w:t>
      </w:r>
    </w:p>
    <w:p>
      <w:pPr>
        <w:spacing w:after="0" w:line="174" w:lineRule="exact"/>
        <w:rPr>
          <w:sz w:val="20"/>
          <w:szCs w:val="20"/>
          <w:color w:val="auto"/>
        </w:rPr>
      </w:pPr>
    </w:p>
    <w:p>
      <w:pPr>
        <w:ind w:left="120" w:right="660" w:firstLine="989"/>
        <w:spacing w:after="0" w:line="276"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left="120" w:right="58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6" w:lineRule="exact"/>
        <w:rPr>
          <w:sz w:val="20"/>
          <w:szCs w:val="20"/>
          <w:color w:val="auto"/>
        </w:rPr>
      </w:pPr>
    </w:p>
    <w:p>
      <w:pPr>
        <w:ind w:left="120" w:right="120" w:firstLine="998"/>
        <w:spacing w:after="0" w:line="276" w:lineRule="auto"/>
        <w:tabs>
          <w:tab w:leader="none" w:pos="13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63" w:lineRule="exact"/>
        <w:rPr>
          <w:sz w:val="20"/>
          <w:szCs w:val="20"/>
          <w:color w:val="auto"/>
        </w:rPr>
      </w:pPr>
    </w:p>
    <w:p>
      <w:pPr>
        <w:jc w:val="both"/>
        <w:ind w:left="120" w:right="60" w:firstLine="998"/>
        <w:spacing w:after="0" w:line="258" w:lineRule="auto"/>
        <w:tabs>
          <w:tab w:leader="none" w:pos="13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7" w:lineRule="exact"/>
        <w:rPr>
          <w:rFonts w:ascii="Arial" w:cs="Arial" w:eastAsia="Arial" w:hAnsi="Arial"/>
          <w:sz w:val="18"/>
          <w:szCs w:val="18"/>
          <w:color w:val="auto"/>
        </w:rPr>
      </w:pPr>
    </w:p>
    <w:p>
      <w:pPr>
        <w:jc w:val="both"/>
        <w:ind w:left="120" w:right="200" w:firstLine="998"/>
        <w:spacing w:after="0" w:line="263" w:lineRule="auto"/>
        <w:tabs>
          <w:tab w:leader="none" w:pos="13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2" w:lineRule="exact"/>
        <w:rPr>
          <w:sz w:val="20"/>
          <w:szCs w:val="20"/>
          <w:color w:val="auto"/>
        </w:rPr>
      </w:pPr>
    </w:p>
    <w:p>
      <w:pPr>
        <w:ind w:left="120" w:right="40" w:firstLine="998"/>
        <w:spacing w:after="0" w:line="291" w:lineRule="auto"/>
        <w:tabs>
          <w:tab w:leader="none" w:pos="13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62" w:lineRule="exact"/>
        <w:rPr>
          <w:sz w:val="20"/>
          <w:szCs w:val="20"/>
          <w:color w:val="auto"/>
        </w:rPr>
      </w:pPr>
    </w:p>
    <w:p>
      <w:pPr>
        <w:ind w:left="120" w:right="320" w:firstLine="989"/>
        <w:spacing w:after="0" w:line="30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48" w:lineRule="exact"/>
        <w:rPr>
          <w:sz w:val="20"/>
          <w:szCs w:val="20"/>
          <w:color w:val="auto"/>
        </w:rPr>
      </w:pPr>
    </w:p>
    <w:p>
      <w:pPr>
        <w:ind w:left="120" w:right="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8"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9" w:lineRule="exact"/>
        <w:rPr>
          <w:sz w:val="20"/>
          <w:szCs w:val="20"/>
          <w:color w:val="auto"/>
        </w:rPr>
      </w:pPr>
    </w:p>
    <w:p>
      <w:pPr>
        <w:ind w:left="120" w:right="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63" w:lineRule="exact"/>
        <w:rPr>
          <w:sz w:val="20"/>
          <w:szCs w:val="20"/>
          <w:color w:val="auto"/>
        </w:rPr>
      </w:pPr>
    </w:p>
    <w:p>
      <w:pPr>
        <w:ind w:left="120" w:right="180" w:firstLine="998"/>
        <w:spacing w:after="0" w:line="311" w:lineRule="auto"/>
        <w:tabs>
          <w:tab w:leader="none" w:pos="136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46" w:lineRule="exact"/>
        <w:rPr>
          <w:rFonts w:ascii="Arial" w:cs="Arial" w:eastAsia="Arial" w:hAnsi="Arial"/>
          <w:sz w:val="16"/>
          <w:szCs w:val="16"/>
          <w:color w:val="auto"/>
        </w:rPr>
      </w:pPr>
    </w:p>
    <w:p>
      <w:pPr>
        <w:ind w:left="120" w:right="740" w:firstLine="998"/>
        <w:spacing w:after="0" w:line="276" w:lineRule="auto"/>
        <w:tabs>
          <w:tab w:leader="none" w:pos="13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70" w:lineRule="exact"/>
        <w:rPr>
          <w:rFonts w:ascii="Arial" w:cs="Arial" w:eastAsia="Arial" w:hAnsi="Arial"/>
          <w:sz w:val="18"/>
          <w:szCs w:val="18"/>
          <w:color w:val="auto"/>
        </w:rPr>
      </w:pPr>
    </w:p>
    <w:p>
      <w:pPr>
        <w:ind w:left="120" w:right="340" w:firstLine="998"/>
        <w:spacing w:after="0" w:line="276" w:lineRule="auto"/>
        <w:tabs>
          <w:tab w:leader="none" w:pos="13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2.18(c); or</w:t>
      </w:r>
    </w:p>
    <w:p>
      <w:pPr>
        <w:spacing w:after="0" w:line="170" w:lineRule="exact"/>
        <w:rPr>
          <w:rFonts w:ascii="Arial" w:cs="Arial" w:eastAsia="Arial" w:hAnsi="Arial"/>
          <w:sz w:val="18"/>
          <w:szCs w:val="18"/>
          <w:color w:val="auto"/>
        </w:rPr>
      </w:pPr>
    </w:p>
    <w:p>
      <w:pPr>
        <w:ind w:left="120" w:right="140" w:firstLine="998"/>
        <w:spacing w:after="0" w:line="258" w:lineRule="auto"/>
        <w:tabs>
          <w:tab w:leader="none" w:pos="13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120" w:firstLine="989"/>
        <w:spacing w:after="0" w:line="256"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9" w:lineRule="exact"/>
        <w:rPr>
          <w:sz w:val="20"/>
          <w:szCs w:val="20"/>
          <w:color w:val="auto"/>
        </w:rPr>
      </w:pPr>
    </w:p>
    <w:p>
      <w:pPr>
        <w:ind w:left="120"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63" w:lineRule="exact"/>
        <w:rPr>
          <w:sz w:val="20"/>
          <w:szCs w:val="20"/>
          <w:color w:val="auto"/>
        </w:rPr>
      </w:pPr>
    </w:p>
    <w:p>
      <w:pPr>
        <w:ind w:left="120" w:right="40" w:firstLine="998"/>
        <w:spacing w:after="0" w:line="258" w:lineRule="auto"/>
        <w:tabs>
          <w:tab w:leader="none" w:pos="13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8"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71" w:lineRule="auto"/>
        <w:tabs>
          <w:tab w:leader="none" w:pos="13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8" w:lineRule="exact"/>
        <w:rPr>
          <w:rFonts w:ascii="Arial" w:cs="Arial" w:eastAsia="Arial" w:hAnsi="Arial"/>
          <w:sz w:val="17"/>
          <w:szCs w:val="17"/>
          <w:color w:val="auto"/>
        </w:rPr>
      </w:pPr>
    </w:p>
    <w:p>
      <w:pPr>
        <w:ind w:left="120" w:firstLine="998"/>
        <w:spacing w:after="0" w:line="263" w:lineRule="auto"/>
        <w:tabs>
          <w:tab w:leader="none" w:pos="13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2" w:lineRule="exact"/>
        <w:rPr>
          <w:sz w:val="20"/>
          <w:szCs w:val="20"/>
          <w:color w:val="auto"/>
        </w:rPr>
      </w:pPr>
    </w:p>
    <w:p>
      <w:pPr>
        <w:ind w:left="120" w:right="180" w:firstLine="989"/>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2" w:lineRule="exact"/>
        <w:rPr>
          <w:sz w:val="20"/>
          <w:szCs w:val="20"/>
          <w:color w:val="auto"/>
        </w:rPr>
      </w:pPr>
    </w:p>
    <w:p>
      <w:pPr>
        <w:ind w:left="120" w:right="6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§1010.230.</w:t>
      </w:r>
    </w:p>
    <w:p>
      <w:pPr>
        <w:spacing w:after="0" w:line="224" w:lineRule="exact"/>
        <w:rPr>
          <w:sz w:val="20"/>
          <w:szCs w:val="20"/>
          <w:color w:val="auto"/>
        </w:rPr>
      </w:pPr>
    </w:p>
    <w:p>
      <w:pPr>
        <w:ind w:left="120" w:right="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such party.</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4" w:lineRule="exact"/>
        <w:rPr>
          <w:sz w:val="20"/>
          <w:szCs w:val="20"/>
          <w:color w:val="auto"/>
        </w:rPr>
      </w:pPr>
    </w:p>
    <w:p>
      <w:pPr>
        <w:ind w:left="120" w:right="12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GMF or any other Subsidiary Borrower designated from time to time by the Company until (in the case of any Subsidiary Borrower) such time as such Subsidiary Borrower is removed as a party hereto pursuant to Section 10.1(d).</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4" w:lineRule="exact"/>
        <w:rPr>
          <w:sz w:val="20"/>
          <w:szCs w:val="20"/>
          <w:color w:val="auto"/>
        </w:rPr>
      </w:pPr>
    </w:p>
    <w:p>
      <w:pPr>
        <w:ind w:left="120" w:right="2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8"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Domestic Loan, L/C Tranche Loan or Multicurrency Loan, in substantially the form of Exhibit L.</w:t>
      </w:r>
    </w:p>
    <w:p>
      <w:pPr>
        <w:spacing w:after="0" w:line="170" w:lineRule="exact"/>
        <w:rPr>
          <w:sz w:val="20"/>
          <w:szCs w:val="20"/>
          <w:color w:val="auto"/>
        </w:rPr>
      </w:pPr>
    </w:p>
    <w:p>
      <w:pPr>
        <w:ind w:left="120" w:right="8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a Eurocurrency Loan or Ancillary Facility, the term “Business Day” shall also exclude any day on which banks are not open for dealings in Dollar deposits or deposits in any Optional Currency (or in the case of any Ancillary Facility, any other applicable currency), as applicable, in the London interbank market, (b) an extension of credit denominated in Euros (including under any Ancillary Facility),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79" w:lineRule="exact"/>
        <w:rPr>
          <w:sz w:val="20"/>
          <w:szCs w:val="20"/>
          <w:color w:val="auto"/>
        </w:rPr>
      </w:pPr>
    </w:p>
    <w:p>
      <w:pPr>
        <w:ind w:left="12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2" w:lineRule="exact"/>
        <w:rPr>
          <w:sz w:val="20"/>
          <w:szCs w:val="20"/>
          <w:color w:val="auto"/>
        </w:rPr>
      </w:pPr>
    </w:p>
    <w:p>
      <w:pPr>
        <w:ind w:left="120" w:right="1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2" w:lineRule="exact"/>
        <w:rPr>
          <w:sz w:val="20"/>
          <w:szCs w:val="20"/>
          <w:color w:val="auto"/>
        </w:rPr>
      </w:pPr>
    </w:p>
    <w:p>
      <w:pPr>
        <w:ind w:left="120" w:right="20" w:firstLine="98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2.20,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2.21(a).</w:t>
      </w:r>
    </w:p>
    <w:p>
      <w:pPr>
        <w:spacing w:after="0" w:line="224" w:lineRule="exact"/>
        <w:rPr>
          <w:sz w:val="20"/>
          <w:szCs w:val="20"/>
          <w:color w:val="auto"/>
        </w:rPr>
      </w:pPr>
    </w:p>
    <w:p>
      <w:pPr>
        <w:ind w:left="120" w:right="60" w:firstLine="98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8"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April 7,</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4" w:lineRule="exact"/>
        <w:rPr>
          <w:sz w:val="20"/>
          <w:szCs w:val="20"/>
          <w:color w:val="auto"/>
        </w:rPr>
      </w:pPr>
    </w:p>
    <w:p>
      <w:pPr>
        <w:ind w:left="120" w:right="24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Collateralized</w:t>
      </w:r>
      <w:r>
        <w:rPr>
          <w:rFonts w:ascii="Arial" w:cs="Arial" w:eastAsia="Arial" w:hAnsi="Arial"/>
          <w:sz w:val="17"/>
          <w:szCs w:val="17"/>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66" w:lineRule="exact"/>
        <w:rPr>
          <w:sz w:val="20"/>
          <w:szCs w:val="20"/>
          <w:color w:val="auto"/>
        </w:rPr>
      </w:pPr>
    </w:p>
    <w:p>
      <w:pPr>
        <w:jc w:val="both"/>
        <w:ind w:left="120"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2.28(a).</w:t>
      </w:r>
    </w:p>
    <w:p>
      <w:pPr>
        <w:spacing w:after="0" w:line="224" w:lineRule="exact"/>
        <w:rPr>
          <w:sz w:val="20"/>
          <w:szCs w:val="20"/>
          <w:color w:val="auto"/>
        </w:rPr>
      </w:pPr>
    </w:p>
    <w:p>
      <w:pPr>
        <w:ind w:left="120" w:right="3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70" w:lineRule="exact"/>
        <w:rPr>
          <w:sz w:val="20"/>
          <w:szCs w:val="20"/>
          <w:color w:val="auto"/>
        </w:rPr>
      </w:pPr>
    </w:p>
    <w:p>
      <w:pPr>
        <w:jc w:val="both"/>
        <w:ind w:lef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82" w:lineRule="exact"/>
        <w:rPr>
          <w:sz w:val="20"/>
          <w:szCs w:val="20"/>
          <w:color w:val="auto"/>
        </w:rPr>
      </w:pPr>
    </w:p>
    <w:p>
      <w:pPr>
        <w:ind w:left="120" w:right="2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2.9.</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2.9, substantially in the form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 D.</w:t>
      </w:r>
    </w:p>
    <w:p>
      <w:pPr>
        <w:spacing w:after="0" w:line="210" w:lineRule="exact"/>
        <w:rPr>
          <w:sz w:val="20"/>
          <w:szCs w:val="20"/>
          <w:color w:val="auto"/>
        </w:rPr>
      </w:pPr>
    </w:p>
    <w:p>
      <w:pPr>
        <w:ind w:lef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8"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2.9, substantially in the form of Exhibit B.</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2.9.</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4" w:lineRule="exact"/>
        <w:rPr>
          <w:sz w:val="20"/>
          <w:szCs w:val="20"/>
          <w:color w:val="auto"/>
        </w:rPr>
      </w:pPr>
    </w:p>
    <w:p>
      <w:pPr>
        <w:ind w:left="120" w:right="80" w:firstLine="98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xml:space="preserve">” means, as of any date of determination, the sum of (a) the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total available commitments (after giving effect to any applicable borrowing base limitations) under other then-effective committed credit facilities of the Company or any Domestic Subsidiary (including any Ancillary Commitments, which may at such time be reallocated to provide availability to the Company or any Domestic Subsidiary, but excluding any warehouse facility of GMF)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67" w:lineRule="exact"/>
        <w:rPr>
          <w:sz w:val="20"/>
          <w:szCs w:val="20"/>
          <w:color w:val="auto"/>
        </w:rPr>
      </w:pPr>
    </w:p>
    <w:p>
      <w:pPr>
        <w:ind w:left="120" w:right="20" w:firstLine="9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Global Liquidity</w:t>
      </w:r>
      <w:r>
        <w:rPr>
          <w:rFonts w:ascii="Arial" w:cs="Arial" w:eastAsia="Arial" w:hAnsi="Arial"/>
          <w:sz w:val="18"/>
          <w:szCs w:val="18"/>
          <w:color w:val="auto"/>
        </w:rPr>
        <w:t xml:space="preserve">” means as of any date of determination, the sum of (a) the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5-Year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available to the Company or any of its Subsidiaries, if applicable, but excluding any warehouse facility of GMF)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91" w:lineRule="exact"/>
        <w:rPr>
          <w:sz w:val="20"/>
          <w:szCs w:val="20"/>
          <w:color w:val="auto"/>
        </w:rPr>
      </w:pPr>
    </w:p>
    <w:p>
      <w:pPr>
        <w:jc w:val="both"/>
        <w:ind w:left="120" w:right="20" w:firstLine="98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47" w:lineRule="exact"/>
        <w:rPr>
          <w:sz w:val="20"/>
          <w:szCs w:val="20"/>
          <w:color w:val="auto"/>
        </w:rPr>
      </w:pPr>
    </w:p>
    <w:p>
      <w:pPr>
        <w:jc w:val="both"/>
        <w:ind w:left="120" w:right="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ind w:left="120" w:firstLine="9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90" w:lineRule="exact"/>
        <w:rPr>
          <w:sz w:val="20"/>
          <w:szCs w:val="20"/>
          <w:color w:val="auto"/>
        </w:rPr>
      </w:pPr>
    </w:p>
    <w:p>
      <w:pPr>
        <w:ind w:left="120" w:right="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8"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52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6" w:lineRule="exact"/>
        <w:rPr>
          <w:sz w:val="20"/>
          <w:szCs w:val="20"/>
          <w:color w:val="auto"/>
        </w:rPr>
      </w:pPr>
    </w:p>
    <w:p>
      <w:pPr>
        <w:ind w:left="1200" w:hanging="210"/>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6" w:lineRule="exact"/>
        <w:rPr>
          <w:rFonts w:ascii="Arial" w:cs="Arial" w:eastAsia="Arial" w:hAnsi="Arial"/>
          <w:sz w:val="18"/>
          <w:szCs w:val="18"/>
          <w:color w:val="auto"/>
        </w:rPr>
      </w:pPr>
    </w:p>
    <w:p>
      <w:pPr>
        <w:ind w:left="1260" w:hanging="27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6" w:lineRule="exact"/>
        <w:rPr>
          <w:rFonts w:ascii="Arial" w:cs="Arial" w:eastAsia="Arial" w:hAnsi="Arial"/>
          <w:sz w:val="18"/>
          <w:szCs w:val="18"/>
          <w:color w:val="auto"/>
        </w:rPr>
      </w:pPr>
    </w:p>
    <w:p>
      <w:pPr>
        <w:ind w:left="1300" w:hanging="31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it in Section 10.21.</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224" w:lineRule="exact"/>
        <w:rPr>
          <w:sz w:val="20"/>
          <w:szCs w:val="20"/>
          <w:color w:val="auto"/>
        </w:rPr>
      </w:pPr>
    </w:p>
    <w:p>
      <w:pPr>
        <w:ind w:left="120" w:right="60" w:firstLine="98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4" w:lineRule="exact"/>
        <w:rPr>
          <w:sz w:val="20"/>
          <w:szCs w:val="20"/>
          <w:color w:val="auto"/>
        </w:rPr>
      </w:pPr>
    </w:p>
    <w:p>
      <w:pPr>
        <w:ind w:left="120" w:right="4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2" w:lineRule="exact"/>
        <w:rPr>
          <w:sz w:val="20"/>
          <w:szCs w:val="20"/>
          <w:color w:val="auto"/>
        </w:rPr>
      </w:pPr>
    </w:p>
    <w:p>
      <w:pPr>
        <w:ind w:left="120" w:right="2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applicable.</w:t>
      </w:r>
    </w:p>
    <w:p>
      <w:pPr>
        <w:spacing w:after="0" w:line="210" w:lineRule="exact"/>
        <w:rPr>
          <w:sz w:val="20"/>
          <w:szCs w:val="20"/>
          <w:color w:val="auto"/>
        </w:rPr>
      </w:pPr>
    </w:p>
    <w:p>
      <w:pPr>
        <w:ind w:left="120" w:firstLine="98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Letters of Credit</w:t>
      </w:r>
      <w:r>
        <w:rPr>
          <w:rFonts w:ascii="Arial" w:cs="Arial" w:eastAsia="Arial" w:hAnsi="Arial"/>
          <w:sz w:val="18"/>
          <w:szCs w:val="18"/>
          <w:color w:val="auto"/>
        </w:rPr>
        <w:t>” has the meaning assigned to such term in Section 3.11(b).</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320" w:top="458"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Date</w:t>
      </w:r>
      <w:r>
        <w:rPr>
          <w:rFonts w:ascii="Arial" w:cs="Arial" w:eastAsia="Arial" w:hAnsi="Arial"/>
          <w:sz w:val="18"/>
          <w:szCs w:val="18"/>
          <w:color w:val="auto"/>
        </w:rPr>
        <w:t>” has the meaning assigned to such term in Section 3.11(b).</w:t>
      </w:r>
    </w:p>
    <w:p>
      <w:pPr>
        <w:spacing w:after="0" w:line="224" w:lineRule="exact"/>
        <w:rPr>
          <w:sz w:val="20"/>
          <w:szCs w:val="20"/>
          <w:color w:val="auto"/>
        </w:rPr>
      </w:pPr>
    </w:p>
    <w:p>
      <w:pPr>
        <w:jc w:val="both"/>
        <w:ind w:left="120" w:right="14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w:t>
      </w:r>
    </w:p>
    <w:p>
      <w:pPr>
        <w:spacing w:after="0" w:line="34" w:lineRule="exact"/>
        <w:rPr>
          <w:sz w:val="20"/>
          <w:szCs w:val="20"/>
          <w:color w:val="auto"/>
        </w:rPr>
      </w:pPr>
    </w:p>
    <w:p>
      <w:pPr>
        <w:ind w:left="120" w:right="20" w:firstLine="9"/>
        <w:spacing w:after="0" w:line="268" w:lineRule="auto"/>
        <w:tabs>
          <w:tab w:leader="none" w:pos="374"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4"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Commitment</w:t>
      </w:r>
      <w:r>
        <w:rPr>
          <w:rFonts w:ascii="Arial" w:cs="Arial" w:eastAsia="Arial" w:hAnsi="Arial"/>
          <w:sz w:val="18"/>
          <w:szCs w:val="18"/>
          <w:color w:val="auto"/>
        </w:rPr>
        <w:t>” means as to any Lender, the obligation of such Lender, if any, to make Domestic Loans in an aggregate principal amount not to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224" w:lineRule="exact"/>
        <w:rPr>
          <w:sz w:val="20"/>
          <w:szCs w:val="20"/>
          <w:color w:val="auto"/>
        </w:rPr>
      </w:pPr>
    </w:p>
    <w:p>
      <w:pPr>
        <w:ind w:left="120" w:right="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aggregate principal amount of all Domestic Loans held by such Lender then outstanding.</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224" w:lineRule="exact"/>
        <w:rPr>
          <w:sz w:val="20"/>
          <w:szCs w:val="20"/>
          <w:color w:val="auto"/>
        </w:rPr>
      </w:pPr>
    </w:p>
    <w:p>
      <w:pPr>
        <w:ind w:left="120" w:right="2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Lender</w:t>
      </w:r>
      <w:r>
        <w:rPr>
          <w:rFonts w:ascii="Arial" w:cs="Arial" w:eastAsia="Arial" w:hAnsi="Arial"/>
          <w:sz w:val="18"/>
          <w:szCs w:val="18"/>
          <w:color w:val="auto"/>
        </w:rPr>
        <w:t>” means each Lender that has a Domestic Commitment or that holds Domestic Loans or other Loans made under the Domestic Facility.</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8"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89" w:lineRule="exact"/>
        <w:rPr>
          <w:sz w:val="20"/>
          <w:szCs w:val="20"/>
          <w:color w:val="auto"/>
        </w:rPr>
      </w:pPr>
    </w:p>
    <w:p>
      <w:pPr>
        <w:jc w:val="both"/>
        <w:ind w:left="120" w:right="42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with respect to any Currency, the occurrence of:</w:t>
      </w:r>
    </w:p>
    <w:p>
      <w:pPr>
        <w:spacing w:after="0" w:line="130" w:lineRule="exact"/>
        <w:rPr>
          <w:sz w:val="20"/>
          <w:szCs w:val="20"/>
          <w:color w:val="auto"/>
        </w:rPr>
      </w:pPr>
    </w:p>
    <w:p>
      <w:pPr>
        <w:ind w:left="1100" w:right="40" w:hanging="540"/>
        <w:spacing w:after="0" w:line="258"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Borrower to the Administrative Agent to notify) each of the other parties hereto that syndicated credit facilities denominated in the applicable Currency being executed at such time, or that include language similar to that contained in Section 2.18 are being executed or amended, as applicable, to incorporate or adopt a new benchmark interest rate to replace the Relevant Rate, and</w:t>
      </w:r>
    </w:p>
    <w:p>
      <w:pPr>
        <w:spacing w:after="0" w:line="93" w:lineRule="exact"/>
        <w:rPr>
          <w:rFonts w:ascii="Arial" w:cs="Arial" w:eastAsia="Arial" w:hAnsi="Arial"/>
          <w:sz w:val="18"/>
          <w:szCs w:val="18"/>
          <w:color w:val="auto"/>
        </w:rPr>
      </w:pPr>
    </w:p>
    <w:p>
      <w:pPr>
        <w:ind w:left="1100" w:right="260" w:hanging="540"/>
        <w:spacing w:after="0" w:line="341"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joint election by the Administrative Agent and the Borrower to declare that an Early Opt-in Election for such Currency has occurred and the provision, as applicable, by the Administrative Agent of written notice of such election to the Borrower and the Lenders.</w:t>
      </w:r>
    </w:p>
    <w:p>
      <w:pPr>
        <w:spacing w:after="0" w:line="124" w:lineRule="exact"/>
        <w:rPr>
          <w:sz w:val="20"/>
          <w:szCs w:val="20"/>
          <w:color w:val="auto"/>
        </w:rPr>
      </w:pPr>
    </w:p>
    <w:p>
      <w:pPr>
        <w:ind w:left="120"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4"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20"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symbol or process attached to a contract or other record and adopted by a Person with the intent to sign, authenticate or accept such contract or record.</w:t>
      </w:r>
    </w:p>
    <w:p>
      <w:pPr>
        <w:spacing w:after="0" w:line="170" w:lineRule="exact"/>
        <w:rPr>
          <w:sz w:val="20"/>
          <w:szCs w:val="20"/>
          <w:color w:val="auto"/>
        </w:rPr>
      </w:pPr>
    </w:p>
    <w:p>
      <w:pPr>
        <w:ind w:left="120"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8"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2" w:lineRule="exact"/>
        <w:rPr>
          <w:sz w:val="20"/>
          <w:szCs w:val="20"/>
          <w:color w:val="auto"/>
        </w:rPr>
      </w:pPr>
    </w:p>
    <w:p>
      <w:pPr>
        <w:ind w:left="120" w:firstLine="989"/>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8" w:lineRule="exact"/>
        <w:rPr>
          <w:sz w:val="20"/>
          <w:szCs w:val="20"/>
          <w:color w:val="auto"/>
        </w:rPr>
      </w:pPr>
    </w:p>
    <w:p>
      <w:pPr>
        <w:ind w:left="120" w:right="280" w:firstLine="9"/>
        <w:spacing w:after="0" w:line="254"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90" w:lineRule="exact"/>
        <w:rPr>
          <w:sz w:val="20"/>
          <w:szCs w:val="20"/>
          <w:color w:val="auto"/>
        </w:rPr>
      </w:pPr>
    </w:p>
    <w:p>
      <w:pPr>
        <w:ind w:left="120" w:right="6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2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 Interpolated Rate</w:t>
      </w:r>
      <w:r>
        <w:rPr>
          <w:rFonts w:ascii="Arial" w:cs="Arial" w:eastAsia="Arial" w:hAnsi="Arial"/>
          <w:sz w:val="17"/>
          <w:szCs w:val="17"/>
          <w:color w:val="auto"/>
        </w:rPr>
        <w:t>” 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zero, such rate shall be deemed to be zero for the purposes of this Agreement.</w:t>
      </w:r>
    </w:p>
    <w:p>
      <w:pPr>
        <w:spacing w:after="0" w:line="179"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Rate</w:t>
      </w:r>
      <w:r>
        <w:rPr>
          <w:rFonts w:ascii="Arial" w:cs="Arial" w:eastAsia="Arial" w:hAnsi="Arial"/>
          <w:sz w:val="18"/>
          <w:szCs w:val="18"/>
          <w:color w:val="auto"/>
        </w:rPr>
        <w:t xml:space="preserve">” means, with respect to any Eurocurrency Borrowing denominated in Euros and for any Interest Period, the EURIBOR Screen Rate at approximately 11:00 a.m., Brussels time, two TARGET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EURIBOR Screen Rate shall not be available at such time for such Interest Period (an “</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with respect to Euros then the EURIBOR Rate shall be the EURIBOR Interpolated Rate.</w:t>
      </w:r>
    </w:p>
    <w:p>
      <w:pPr>
        <w:spacing w:after="0" w:line="187" w:lineRule="exact"/>
        <w:rPr>
          <w:sz w:val="20"/>
          <w:szCs w:val="20"/>
          <w:color w:val="auto"/>
        </w:rPr>
      </w:pPr>
    </w:p>
    <w:p>
      <w:pPr>
        <w:ind w:left="120" w:right="24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 Screen Rate</w:t>
      </w:r>
      <w:r>
        <w:rPr>
          <w:rFonts w:ascii="Arial" w:cs="Arial" w:eastAsia="Arial" w:hAnsi="Arial"/>
          <w:sz w:val="17"/>
          <w:szCs w:val="17"/>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8"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4" w:lineRule="exact"/>
        <w:rPr>
          <w:sz w:val="20"/>
          <w:szCs w:val="20"/>
          <w:color w:val="auto"/>
        </w:rPr>
      </w:pPr>
    </w:p>
    <w:p>
      <w:pPr>
        <w:ind w:left="120"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Eurocurrency Rate, the Adjusted EURIBOR Rate or the Adjusted TIBOR Rate (or, in the case of a Competitive Loan, the Eurocurrency Base Rate or the EURIBOR Rate or the TIBOR Rate).</w:t>
      </w:r>
    </w:p>
    <w:p>
      <w:pPr>
        <w:spacing w:after="0" w:line="182" w:lineRule="exact"/>
        <w:rPr>
          <w:sz w:val="20"/>
          <w:szCs w:val="20"/>
          <w:color w:val="auto"/>
        </w:rPr>
      </w:pPr>
    </w:p>
    <w:p>
      <w:pPr>
        <w:ind w:left="120"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Base Rate</w:t>
      </w:r>
      <w:r>
        <w:rPr>
          <w:rFonts w:ascii="Arial" w:cs="Arial" w:eastAsia="Arial" w:hAnsi="Arial"/>
          <w:sz w:val="18"/>
          <w:szCs w:val="18"/>
          <w:color w:val="auto"/>
        </w:rPr>
        <w:t>” means, with respect to any Eurocurrency Borrowing denominated in any Currency and for any Interest Period, the LIBO Screen Rate at approximately 11:00 a.m., London time, two Business Days prior to the commencement of such Interest Period; provided that if the LIBO Screen Rate shall not be available at such time for such Interest Period (an “</w:t>
      </w:r>
      <w:r>
        <w:rPr>
          <w:rFonts w:ascii="Arial" w:cs="Arial" w:eastAsia="Arial" w:hAnsi="Arial"/>
          <w:sz w:val="18"/>
          <w:szCs w:val="18"/>
          <w:u w:val="single" w:color="auto"/>
          <w:color w:val="auto"/>
        </w:rPr>
        <w:t>Impacted LIBO Rate Interest Period</w:t>
      </w:r>
      <w:r>
        <w:rPr>
          <w:rFonts w:ascii="Arial" w:cs="Arial" w:eastAsia="Arial" w:hAnsi="Arial"/>
          <w:sz w:val="18"/>
          <w:szCs w:val="18"/>
          <w:color w:val="auto"/>
        </w:rPr>
        <w:t>”) with respect to such Currency then the Eurocurrency Base Rate shall be the LIBO Interpolated Rate.</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4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4" w:lineRule="exact"/>
        <w:rPr>
          <w:sz w:val="20"/>
          <w:szCs w:val="20"/>
          <w:color w:val="auto"/>
        </w:rPr>
      </w:pPr>
    </w:p>
    <w:p>
      <w:pPr>
        <w:ind w:left="120" w:right="38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(rounded upward, if necessary, to the nearest 1/16th of 1%) equal to (a) the Eurocurrency Base Rate for such Interest Period multiplied by (b) the Statutory Reserve Rate.</w:t>
      </w:r>
    </w:p>
    <w:p>
      <w:pPr>
        <w:spacing w:after="0" w:line="182" w:lineRule="exact"/>
        <w:rPr>
          <w:sz w:val="20"/>
          <w:szCs w:val="20"/>
          <w:color w:val="auto"/>
        </w:rPr>
      </w:pPr>
    </w:p>
    <w:p>
      <w:pPr>
        <w:ind w:left="120" w:right="40" w:firstLine="98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Tranche</w:t>
      </w:r>
      <w:r>
        <w:rPr>
          <w:rFonts w:ascii="Arial" w:cs="Arial" w:eastAsia="Arial" w:hAnsi="Arial"/>
          <w:sz w:val="16"/>
          <w:szCs w:val="16"/>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54" w:lineRule="exact"/>
        <w:rPr>
          <w:sz w:val="20"/>
          <w:szCs w:val="20"/>
          <w:color w:val="auto"/>
        </w:rPr>
      </w:pPr>
    </w:p>
    <w:p>
      <w:pPr>
        <w:ind w:left="120" w:right="3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4" w:lineRule="exact"/>
        <w:rPr>
          <w:sz w:val="20"/>
          <w:szCs w:val="20"/>
          <w:color w:val="auto"/>
        </w:rPr>
      </w:pPr>
    </w:p>
    <w:p>
      <w:pPr>
        <w:ind w:left="120" w:firstLine="98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8"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 GM Holdings, (b) each of the Initial Excluded Subsidiaries, (c) each Subsidiary of the Company that</w:t>
      </w:r>
    </w:p>
    <w:p>
      <w:pPr>
        <w:spacing w:after="0" w:line="46" w:lineRule="exact"/>
        <w:rPr>
          <w:sz w:val="20"/>
          <w:szCs w:val="20"/>
          <w:color w:val="auto"/>
        </w:rPr>
      </w:pPr>
    </w:p>
    <w:p>
      <w:pPr>
        <w:ind w:left="120" w:right="20" w:firstLine="9"/>
        <w:spacing w:after="0" w:line="281" w:lineRule="auto"/>
        <w:tabs>
          <w:tab w:leader="none" w:pos="334"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ind w:left="120" w:firstLine="9"/>
        <w:spacing w:after="0" w:line="272" w:lineRule="auto"/>
        <w:tabs>
          <w:tab w:leader="none" w:pos="374"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each Foreign Subsidiary, (e) each Unconsolidated Subsidiary, (f) each Finance Subsidiary of the Company, (g) each Subsidiary that is a dealership and (h) each Subsidiary acquired or formed after the Closing Date primarily to operate an Excluded Subsidiary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assigned to such term in Section 3.11.</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Three Year Credit Agreement.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Required Lenders</w:t>
      </w:r>
      <w:r>
        <w:rPr>
          <w:rFonts w:ascii="Arial" w:cs="Arial" w:eastAsia="Arial" w:hAnsi="Arial"/>
          <w:sz w:val="17"/>
          <w:szCs w:val="17"/>
          <w:color w:val="auto"/>
        </w:rPr>
        <w:t>” means the “Required Lenders” under and as defined in the Existing Three Year Credit Agreement.</w:t>
      </w:r>
    </w:p>
    <w:p>
      <w:pPr>
        <w:spacing w:after="0" w:line="23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has the meaning assigned to such term in the recitals hereto.</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2.29(a).</w:t>
      </w:r>
    </w:p>
    <w:p>
      <w:pPr>
        <w:spacing w:after="0" w:line="224" w:lineRule="exact"/>
        <w:rPr>
          <w:sz w:val="20"/>
          <w:szCs w:val="20"/>
          <w:color w:val="auto"/>
        </w:rPr>
      </w:pPr>
    </w:p>
    <w:p>
      <w:pPr>
        <w:ind w:left="120" w:right="4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 as to any Domestic Lender, such Lender’s Domestic Extensions of Credit, (b) as to any L/C Tranche Lender, such Lender’s L/C Tranche Extensions of Credit and (c)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87"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Domestic Facility, (b) the L/C Tranche Facility, (c) the Multicurrency Facility, (d) any New Local Facility and (e) any Incremental Facility.</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8"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for any day relating to each of the Domestic Facility, the Multicurrency Facility and the L/C Tranche Facility, with respect to the Facility Fees payable hereunder, the applicable rate per annum set forth under the column heading “Facility Fee Rate” in the Applicable Pricing Grid, based upon the Applicable Rating in effect on such day.</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Facilities provided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hereunder.</w:t>
      </w:r>
    </w:p>
    <w:p>
      <w:pPr>
        <w:spacing w:after="0" w:line="210" w:lineRule="exact"/>
        <w:rPr>
          <w:sz w:val="20"/>
          <w:szCs w:val="20"/>
          <w:color w:val="auto"/>
        </w:rPr>
      </w:pPr>
    </w:p>
    <w:p>
      <w:pPr>
        <w:ind w:left="120" w:right="16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has the meaning assigned to such term in Section 1.5.</w:t>
      </w:r>
    </w:p>
    <w:p>
      <w:pPr>
        <w:spacing w:after="0" w:line="224" w:lineRule="exact"/>
        <w:rPr>
          <w:sz w:val="20"/>
          <w:szCs w:val="20"/>
          <w:color w:val="auto"/>
        </w:rPr>
      </w:pPr>
    </w:p>
    <w:p>
      <w:pPr>
        <w:ind w:left="120" w:right="18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federal funds effective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Federal Funds Effective Rate shall be less than zero, such rate shall be deemed to be zero for purposes of this Agreement.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Bank of New York’s Website</w:t>
      </w:r>
      <w:r>
        <w:rPr>
          <w:rFonts w:ascii="Arial" w:cs="Arial" w:eastAsia="Arial" w:hAnsi="Arial"/>
          <w:sz w:val="18"/>
          <w:szCs w:val="18"/>
          <w:color w:val="auto"/>
        </w:rPr>
        <w:t>” means the website of the NYFRB at http://www.newyorkfed.org, or any successor source.</w:t>
      </w:r>
    </w:p>
    <w:p>
      <w:pPr>
        <w:spacing w:after="0" w:line="224" w:lineRule="exact"/>
        <w:rPr>
          <w:sz w:val="20"/>
          <w:szCs w:val="20"/>
          <w:color w:val="auto"/>
        </w:rPr>
      </w:pPr>
    </w:p>
    <w:p>
      <w:pPr>
        <w:ind w:left="120"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jc w:val="both"/>
        <w:ind w:left="120" w:right="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87" w:lineRule="exact"/>
        <w:rPr>
          <w:sz w:val="20"/>
          <w:szCs w:val="20"/>
          <w:color w:val="auto"/>
        </w:rPr>
      </w:pPr>
    </w:p>
    <w:p>
      <w:pPr>
        <w:ind w:left="120" w:right="2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Subsidiary</w:t>
      </w:r>
      <w:r>
        <w:rPr>
          <w:rFonts w:ascii="Arial" w:cs="Arial" w:eastAsia="Arial" w:hAnsi="Arial"/>
          <w:sz w:val="17"/>
          <w:szCs w:val="17"/>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GMGTC shall not be considered a Finance Subsidiary.</w:t>
      </w:r>
    </w:p>
    <w:p>
      <w:pPr>
        <w:spacing w:after="0" w:line="172" w:lineRule="exact"/>
        <w:rPr>
          <w:sz w:val="20"/>
          <w:szCs w:val="20"/>
          <w:color w:val="auto"/>
        </w:rPr>
      </w:pPr>
    </w:p>
    <w:p>
      <w:pPr>
        <w:ind w:left="120" w:right="1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8"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left="120" w:right="60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Eurocurrency Base Rate or EURIBOR Rate, as applicable.</w:t>
      </w:r>
    </w:p>
    <w:p>
      <w:pPr>
        <w:spacing w:after="0" w:line="124" w:lineRule="exact"/>
        <w:rPr>
          <w:sz w:val="20"/>
          <w:szCs w:val="20"/>
          <w:color w:val="auto"/>
        </w:rPr>
      </w:pPr>
    </w:p>
    <w:p>
      <w:pPr>
        <w:jc w:val="both"/>
        <w:ind w:lef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4" w:lineRule="exact"/>
        <w:rPr>
          <w:sz w:val="20"/>
          <w:szCs w:val="20"/>
          <w:color w:val="auto"/>
        </w:rPr>
      </w:pPr>
    </w:p>
    <w:p>
      <w:pPr>
        <w:jc w:val="both"/>
        <w:ind w:left="120" w:right="18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2" w:lineRule="exact"/>
        <w:rPr>
          <w:sz w:val="20"/>
          <w:szCs w:val="20"/>
          <w:color w:val="auto"/>
        </w:rPr>
      </w:pPr>
    </w:p>
    <w:p>
      <w:pPr>
        <w:ind w:left="120" w:right="2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GMGTC</w:t>
      </w:r>
      <w:r>
        <w:rPr>
          <w:rFonts w:ascii="Arial" w:cs="Arial" w:eastAsia="Arial" w:hAnsi="Arial"/>
          <w:sz w:val="17"/>
          <w:szCs w:val="17"/>
          <w:color w:val="auto"/>
        </w:rPr>
        <w:t>” means GM Global Treasury Centre Limited, a private limited company incorporated under the laws of England and Wales.</w:t>
      </w:r>
    </w:p>
    <w:p>
      <w:pPr>
        <w:spacing w:after="0" w:line="236" w:lineRule="exact"/>
        <w:rPr>
          <w:sz w:val="20"/>
          <w:szCs w:val="20"/>
          <w:color w:val="auto"/>
        </w:rPr>
      </w:pPr>
    </w:p>
    <w:p>
      <w:pPr>
        <w:ind w:left="120" w:right="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82" w:lineRule="exact"/>
        <w:rPr>
          <w:sz w:val="20"/>
          <w:szCs w:val="20"/>
          <w:color w:val="auto"/>
        </w:rPr>
      </w:pPr>
    </w:p>
    <w:p>
      <w:pPr>
        <w:ind w:left="120" w:righ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Fourth Amended and Restated Guarantee Agreement to be executed and delivered by the Company, substantially in the form of Exhibit A.</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8"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4" w:lineRule="exact"/>
        <w:rPr>
          <w:sz w:val="20"/>
          <w:szCs w:val="20"/>
          <w:color w:val="auto"/>
        </w:rPr>
      </w:pPr>
    </w:p>
    <w:p>
      <w:pPr>
        <w:ind w:left="120" w:right="40" w:firstLine="9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Reinstatement Date</w:t>
      </w:r>
      <w:r>
        <w:rPr>
          <w:rFonts w:ascii="Arial" w:cs="Arial" w:eastAsia="Arial" w:hAnsi="Arial"/>
          <w:sz w:val="18"/>
          <w:szCs w:val="18"/>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91" w:lineRule="exact"/>
        <w:rPr>
          <w:sz w:val="20"/>
          <w:szCs w:val="20"/>
          <w:color w:val="auto"/>
        </w:rPr>
      </w:pPr>
    </w:p>
    <w:p>
      <w:pPr>
        <w:ind w:left="120" w:right="100" w:firstLine="98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66" w:lineRule="exact"/>
        <w:rPr>
          <w:sz w:val="20"/>
          <w:szCs w:val="20"/>
          <w:color w:val="auto"/>
        </w:rPr>
      </w:pPr>
    </w:p>
    <w:p>
      <w:pPr>
        <w:jc w:val="both"/>
        <w:ind w:left="120" w:right="2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the Company (with respect to the Obligations and Ancillary Facility Outstandings of any Subsidiary Borrower or Ancillary Borrower, as applicable) and, during any Reinstated Guarantee Period, the Subsidiary Guarantors. For the avoidance of doubt, GM Holdings does not and shall not constitute a Guarantor.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8"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0" w:firstLine="98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has the meaning assigned to such term in the definition of “EURIBOR Rate.”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LIBO Rate Interest Period</w:t>
      </w:r>
      <w:r>
        <w:rPr>
          <w:rFonts w:ascii="Arial" w:cs="Arial" w:eastAsia="Arial" w:hAnsi="Arial"/>
          <w:sz w:val="18"/>
          <w:szCs w:val="18"/>
          <w:color w:val="auto"/>
        </w:rPr>
        <w:t>” has the meaning assigned to such term in the definition of “Eurocurrency Base Rate.”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TIBOR Rate Interest Period</w:t>
      </w:r>
      <w:r>
        <w:rPr>
          <w:rFonts w:ascii="Arial" w:cs="Arial" w:eastAsia="Arial" w:hAnsi="Arial"/>
          <w:sz w:val="18"/>
          <w:szCs w:val="18"/>
          <w:color w:val="auto"/>
        </w:rPr>
        <w:t>” has the meaning assigned to such term in the definition of “TIBOR Rate.”</w:t>
      </w:r>
    </w:p>
    <w:p>
      <w:pPr>
        <w:spacing w:after="0" w:line="224" w:lineRule="exact"/>
        <w:rPr>
          <w:sz w:val="20"/>
          <w:szCs w:val="20"/>
          <w:color w:val="auto"/>
        </w:rPr>
      </w:pPr>
    </w:p>
    <w:p>
      <w:pPr>
        <w:ind w:left="120" w:right="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7" w:lineRule="exact"/>
        <w:rPr>
          <w:sz w:val="20"/>
          <w:szCs w:val="20"/>
          <w:color w:val="auto"/>
        </w:rPr>
      </w:pPr>
    </w:p>
    <w:p>
      <w:pPr>
        <w:ind w:left="120" w:righ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70"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70" w:lineRule="exact"/>
        <w:rPr>
          <w:sz w:val="20"/>
          <w:szCs w:val="20"/>
          <w:color w:val="auto"/>
        </w:rPr>
      </w:pPr>
    </w:p>
    <w:p>
      <w:pPr>
        <w:ind w:left="120" w:right="260" w:firstLine="98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Lender</w:t>
      </w:r>
      <w:r>
        <w:rPr>
          <w:rFonts w:ascii="Arial" w:cs="Arial" w:eastAsia="Arial" w:hAnsi="Arial"/>
          <w:sz w:val="16"/>
          <w:szCs w:val="16"/>
          <w:color w:val="auto"/>
        </w:rPr>
        <w:t>” means (a) any Lender designated by the Company (in the case of a Commitment Increase with respect to the L/C Tranche Facility, with the consent of each Material Issuing Lender (unless such Lender is (A) an L/C Tranche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8"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E.</w:t>
      </w:r>
    </w:p>
    <w:p>
      <w:pPr>
        <w:spacing w:after="0" w:line="224" w:lineRule="exact"/>
        <w:rPr>
          <w:sz w:val="20"/>
          <w:szCs w:val="20"/>
          <w:color w:val="auto"/>
        </w:rPr>
      </w:pPr>
    </w:p>
    <w:p>
      <w:pPr>
        <w:ind w:left="120" w:right="2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2.28(b).</w:t>
      </w:r>
    </w:p>
    <w:p>
      <w:pPr>
        <w:spacing w:after="0" w:line="224" w:lineRule="exact"/>
        <w:rPr>
          <w:sz w:val="20"/>
          <w:szCs w:val="20"/>
          <w:color w:val="auto"/>
        </w:rPr>
      </w:pPr>
    </w:p>
    <w:p>
      <w:pPr>
        <w:ind w:left="120" w:right="20" w:firstLine="9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4" w:lineRule="exact"/>
        <w:rPr>
          <w:sz w:val="20"/>
          <w:szCs w:val="20"/>
          <w:color w:val="auto"/>
        </w:rPr>
      </w:pPr>
    </w:p>
    <w:p>
      <w:pPr>
        <w:ind w:left="120" w:right="3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left="120" w:right="2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79" w:lineRule="exact"/>
        <w:rPr>
          <w:sz w:val="20"/>
          <w:szCs w:val="20"/>
          <w:color w:val="auto"/>
        </w:rPr>
      </w:pPr>
    </w:p>
    <w:p>
      <w:pPr>
        <w:ind w:left="120" w:firstLine="9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Participant</w:t>
      </w:r>
      <w:r>
        <w:rPr>
          <w:rFonts w:ascii="Arial" w:cs="Arial" w:eastAsia="Arial" w:hAnsi="Arial"/>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8"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4" w:lineRule="exact"/>
        <w:rPr>
          <w:sz w:val="20"/>
          <w:szCs w:val="20"/>
          <w:color w:val="auto"/>
        </w:rPr>
      </w:pPr>
    </w:p>
    <w:p>
      <w:pPr>
        <w:ind w:left="120" w:right="20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left="120" w:right="8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applicable Borrower to convert or continue a Borrowing in accordance with Section 2.14, which shall be in a form approved by the Administrative Agent.</w:t>
      </w:r>
    </w:p>
    <w:p>
      <w:pPr>
        <w:spacing w:after="0" w:line="170" w:lineRule="exact"/>
        <w:rPr>
          <w:sz w:val="20"/>
          <w:szCs w:val="20"/>
          <w:color w:val="auto"/>
        </w:rPr>
      </w:pPr>
    </w:p>
    <w:p>
      <w:pPr>
        <w:ind w:left="12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73" w:lineRule="exact"/>
        <w:rPr>
          <w:sz w:val="20"/>
          <w:szCs w:val="20"/>
          <w:color w:val="auto"/>
        </w:rPr>
      </w:pPr>
    </w:p>
    <w:p>
      <w:pPr>
        <w:ind w:left="120" w:firstLine="98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three or six (or, if agreed to by all Lenders under the relevant Facility, twelve) months (or additionally, (x) in the case of any Interest Period ending on or prior to December 31, 2021, two months and (y)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three or six (or, if agreed to by all Lenders under the relevant Facility, twelve) months (or additionally, (x) in the case of any Interest Period ending on or prior to December 31, 2021, two months and (y)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63" w:lineRule="exact"/>
        <w:rPr>
          <w:sz w:val="20"/>
          <w:szCs w:val="20"/>
          <w:color w:val="auto"/>
        </w:rPr>
      </w:pPr>
    </w:p>
    <w:p>
      <w:pPr>
        <w:ind w:left="1120" w:right="120" w:firstLine="398"/>
        <w:spacing w:after="0" w:line="311" w:lineRule="auto"/>
        <w:tabs>
          <w:tab w:leader="none" w:pos="18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38" w:lineRule="exact"/>
        <w:rPr>
          <w:rFonts w:ascii="Arial" w:cs="Arial" w:eastAsia="Arial" w:hAnsi="Arial"/>
          <w:sz w:val="16"/>
          <w:szCs w:val="16"/>
          <w:color w:val="auto"/>
        </w:rPr>
      </w:pPr>
    </w:p>
    <w:p>
      <w:pPr>
        <w:ind w:left="1120" w:right="340" w:firstLine="398"/>
        <w:spacing w:after="0" w:line="276" w:lineRule="auto"/>
        <w:tabs>
          <w:tab w:leader="none" w:pos="18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62" w:lineRule="exact"/>
        <w:rPr>
          <w:rFonts w:ascii="Arial" w:cs="Arial" w:eastAsia="Arial" w:hAnsi="Arial"/>
          <w:sz w:val="18"/>
          <w:szCs w:val="18"/>
          <w:color w:val="auto"/>
        </w:rPr>
      </w:pPr>
    </w:p>
    <w:p>
      <w:pPr>
        <w:jc w:val="both"/>
        <w:ind w:left="1120" w:firstLine="398"/>
        <w:spacing w:after="0" w:line="263" w:lineRule="auto"/>
        <w:tabs>
          <w:tab w:leader="none" w:pos="18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8"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4" w:lineRule="exact"/>
        <w:rPr>
          <w:sz w:val="20"/>
          <w:szCs w:val="20"/>
          <w:color w:val="auto"/>
        </w:rPr>
      </w:pPr>
    </w:p>
    <w:p>
      <w:pPr>
        <w:ind w:left="120"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2" w:lineRule="exact"/>
        <w:rPr>
          <w:sz w:val="20"/>
          <w:szCs w:val="20"/>
          <w:color w:val="auto"/>
        </w:rPr>
      </w:pPr>
    </w:p>
    <w:p>
      <w:pPr>
        <w:ind w:left="120" w:right="2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70" w:lineRule="exact"/>
        <w:rPr>
          <w:sz w:val="20"/>
          <w:szCs w:val="20"/>
          <w:color w:val="auto"/>
        </w:rPr>
      </w:pPr>
    </w:p>
    <w:p>
      <w:pPr>
        <w:ind w:left="120" w:right="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Issuing Commitment.</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4" w:lineRule="exact"/>
        <w:rPr>
          <w:sz w:val="20"/>
          <w:szCs w:val="20"/>
          <w:color w:val="auto"/>
        </w:rPr>
      </w:pPr>
    </w:p>
    <w:p>
      <w:pPr>
        <w:ind w:left="120" w:right="1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 Letter</w:t>
      </w:r>
      <w:r>
        <w:rPr>
          <w:rFonts w:ascii="Arial" w:cs="Arial" w:eastAsia="Arial" w:hAnsi="Arial"/>
          <w:sz w:val="18"/>
          <w:szCs w:val="18"/>
          <w:color w:val="auto"/>
        </w:rPr>
        <w:t>” means that certain Third Amended and Restated L/C Fee Letter, dated as of the date hereof, among the Company, each L/C Tranche Lender and each Issuing Lender.</w:t>
      </w:r>
    </w:p>
    <w:p>
      <w:pPr>
        <w:spacing w:after="0" w:line="170" w:lineRule="exact"/>
        <w:rPr>
          <w:sz w:val="20"/>
          <w:szCs w:val="20"/>
          <w:color w:val="auto"/>
        </w:rPr>
      </w:pPr>
    </w:p>
    <w:p>
      <w:pPr>
        <w:ind w:left="12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Issuing Commitment</w:t>
      </w:r>
      <w:r>
        <w:rPr>
          <w:rFonts w:ascii="Arial" w:cs="Arial" w:eastAsia="Arial" w:hAnsi="Arial"/>
          <w:sz w:val="18"/>
          <w:szCs w:val="18"/>
          <w:color w:val="auto"/>
        </w:rPr>
        <w:t>”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 name on Schedule 1.1A or in the Assignment and Assumption pursuant to which such Lender becomes a party thereto, in each case, as the same may be changed from time to time pursuant to the terms hereof, including Section 3.10.</w:t>
      </w:r>
    </w:p>
    <w:p>
      <w:pPr>
        <w:spacing w:after="0" w:line="189" w:lineRule="exact"/>
        <w:rPr>
          <w:sz w:val="20"/>
          <w:szCs w:val="20"/>
          <w:color w:val="auto"/>
        </w:rPr>
      </w:pPr>
    </w:p>
    <w:p>
      <w:pPr>
        <w:ind w:left="120" w:right="2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at any time, the Dollar Equivalent of the aggregate Outstanding Amount of all Letters of Credit, after giving effect to Section 3.9.</w:t>
      </w:r>
    </w:p>
    <w:p>
      <w:pPr>
        <w:spacing w:after="0" w:line="170" w:lineRule="exact"/>
        <w:rPr>
          <w:sz w:val="20"/>
          <w:szCs w:val="20"/>
          <w:color w:val="auto"/>
        </w:rPr>
      </w:pPr>
    </w:p>
    <w:p>
      <w:pPr>
        <w:ind w:left="120" w:right="5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L/C Tranche Lenders (other than the Issuing Lender with respect to such Letter of Credit).</w:t>
      </w:r>
    </w:p>
    <w:p>
      <w:pPr>
        <w:spacing w:after="0" w:line="170" w:lineRule="exact"/>
        <w:rPr>
          <w:sz w:val="20"/>
          <w:szCs w:val="20"/>
          <w:color w:val="auto"/>
        </w:rPr>
      </w:pPr>
    </w:p>
    <w:p>
      <w:pPr>
        <w:ind w:left="120" w:right="8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Tranche Commitment</w:t>
      </w:r>
      <w:r>
        <w:rPr>
          <w:rFonts w:ascii="Arial" w:cs="Arial" w:eastAsia="Arial" w:hAnsi="Arial"/>
          <w:sz w:val="17"/>
          <w:szCs w:val="17"/>
          <w:color w:val="auto"/>
        </w:rPr>
        <w:t>”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Schedule 1.1A or in the Assignment and Assumption pursuant to which such Lender became a party hereto, as the same may be changed from time to time pursuant to the terms hereof.</w:t>
      </w:r>
    </w:p>
    <w:p>
      <w:pPr>
        <w:spacing w:after="0" w:line="172" w:lineRule="exact"/>
        <w:rPr>
          <w:sz w:val="20"/>
          <w:szCs w:val="20"/>
          <w:color w:val="auto"/>
        </w:rPr>
      </w:pPr>
    </w:p>
    <w:p>
      <w:pPr>
        <w:ind w:left="120" w:right="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Extensions of Credit</w:t>
      </w:r>
      <w:r>
        <w:rPr>
          <w:rFonts w:ascii="Arial" w:cs="Arial" w:eastAsia="Arial" w:hAnsi="Arial"/>
          <w:sz w:val="18"/>
          <w:szCs w:val="18"/>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8"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Facility</w:t>
      </w:r>
      <w:r>
        <w:rPr>
          <w:rFonts w:ascii="Arial" w:cs="Arial" w:eastAsia="Arial" w:hAnsi="Arial"/>
          <w:sz w:val="18"/>
          <w:szCs w:val="18"/>
          <w:color w:val="auto"/>
        </w:rPr>
        <w:t>” means the L/C Tranche Commitments and the extensions of credit made thereunder.</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Lender</w:t>
      </w:r>
      <w:r>
        <w:rPr>
          <w:rFonts w:ascii="Arial" w:cs="Arial" w:eastAsia="Arial" w:hAnsi="Arial"/>
          <w:sz w:val="18"/>
          <w:szCs w:val="18"/>
          <w:color w:val="auto"/>
        </w:rPr>
        <w:t>” means each Lender that has a L/C Tranche Commitment or that holds L/C Tranche Loans.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Loans</w:t>
      </w:r>
      <w:r>
        <w:rPr>
          <w:rFonts w:ascii="Arial" w:cs="Arial" w:eastAsia="Arial" w:hAnsi="Arial"/>
          <w:sz w:val="18"/>
          <w:szCs w:val="18"/>
          <w:color w:val="auto"/>
        </w:rPr>
        <w:t>” has the meaning assigned to such term in Section 2.7(a).</w:t>
      </w:r>
    </w:p>
    <w:p>
      <w:pPr>
        <w:spacing w:after="0" w:line="224" w:lineRule="exact"/>
        <w:rPr>
          <w:sz w:val="20"/>
          <w:szCs w:val="20"/>
          <w:color w:val="auto"/>
        </w:rPr>
      </w:pPr>
    </w:p>
    <w:p>
      <w:pPr>
        <w:ind w:left="120" w:right="16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Percentage</w:t>
      </w:r>
      <w:r>
        <w:rPr>
          <w:rFonts w:ascii="Arial" w:cs="Arial" w:eastAsia="Arial" w:hAnsi="Arial"/>
          <w:sz w:val="18"/>
          <w:szCs w:val="18"/>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89" w:lineRule="exact"/>
        <w:rPr>
          <w:sz w:val="20"/>
          <w:szCs w:val="20"/>
          <w:color w:val="auto"/>
        </w:rPr>
      </w:pPr>
    </w:p>
    <w:p>
      <w:pPr>
        <w:ind w:left="120" w:right="20" w:firstLine="9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9" w:lineRule="exact"/>
        <w:rPr>
          <w:sz w:val="20"/>
          <w:szCs w:val="20"/>
          <w:color w:val="auto"/>
        </w:rPr>
      </w:pPr>
    </w:p>
    <w:p>
      <w:pPr>
        <w:ind w:lef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 and shall include, individually and in the aggregate, the Domestic Lenders, the L/C Tranche Lenders, the Issuing Lenders and the Multicurrency Lenders. To the extent any Incremental Facility or New Local Facility is established, “Lenders” shall, to the extent appropriate, include any Lender under such Facilities.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224" w:lineRule="exact"/>
        <w:rPr>
          <w:sz w:val="20"/>
          <w:szCs w:val="20"/>
          <w:color w:val="auto"/>
        </w:rPr>
      </w:pPr>
    </w:p>
    <w:p>
      <w:pPr>
        <w:ind w:left="120" w:right="40" w:firstLine="98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Acknowledgment</w:t>
      </w:r>
      <w:r>
        <w:rPr>
          <w:rFonts w:ascii="Arial" w:cs="Arial" w:eastAsia="Arial" w:hAnsi="Arial"/>
          <w:sz w:val="16"/>
          <w:szCs w:val="16"/>
          <w:color w:val="auto"/>
        </w:rPr>
        <w:t xml:space="preserve">” means an acknowledgment signed by any Applicable Lending Office of an Issuing Lender that issues a Letter of Credit, the Applicable Account Party and the Company pursuant to the terms of Section 3.10(b), substantially in the form of Exhibit N 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only one such acknowledgment shall be required to be executed as between any Applicable Lending Office of an Issuing Lender, the Company and any Applicable Account Party (and shall be delivered in connection with the first issuance of a Letter of Credit by such Applicable Lending Office for the benefit of such Applicable Account Party), unless and until such Applicable Lending Office shall reasonably request an additional acknowledgment be executed to reflect changes to the terms of any Letter of Credit to the extent permitted pursuant to Section 3.12(a)(ii).</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interparty claims), demands, damages or liabilities of any kind.</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8"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Interpolated Rate</w:t>
      </w:r>
      <w:r>
        <w:rPr>
          <w:rFonts w:ascii="Arial" w:cs="Arial" w:eastAsia="Arial" w:hAnsi="Arial"/>
          <w:sz w:val="18"/>
          <w:szCs w:val="18"/>
          <w:color w:val="auto"/>
        </w:rPr>
        <w:t>” means, at any time, with respect to any Eurocurrency Borrowing denominated in Dollars or, prior to the first Benchmark Replacement Date with respect to such Currency, Euros and Japanese Yen and for any Interest Period, the rate per annum (rounded to the same number of decimal places as the Eurocurrency Base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LIBO Rate Interest Period; and (b) the LIBO Screen Rate for the shortest period (for which the LIBO Screen Rate is available for the applicable Currency) that exceeds the Impacted LIBO Rate Interest Period, in each case, at such time; provided that if any LIBO Interpolated Rate shall be less than 0.0%, such rate shall be deemed to be 0.0% for the purposes of this Agreement.</w:t>
      </w:r>
    </w:p>
    <w:p>
      <w:pPr>
        <w:spacing w:after="0" w:line="194" w:lineRule="exact"/>
        <w:rPr>
          <w:sz w:val="20"/>
          <w:szCs w:val="20"/>
          <w:color w:val="auto"/>
        </w:rPr>
      </w:pPr>
    </w:p>
    <w:p>
      <w:pPr>
        <w:ind w:left="120" w:right="8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Screen Rate</w:t>
      </w:r>
      <w:r>
        <w:rPr>
          <w:rFonts w:ascii="Arial" w:cs="Arial" w:eastAsia="Arial" w:hAnsi="Arial"/>
          <w:sz w:val="17"/>
          <w:szCs w:val="17"/>
          <w:color w:val="auto"/>
        </w:rPr>
        <w:t>” means, for any day and time, with respect to any Eurocurrency Borrowing denominated in any Currency (other than Euros) and for any Interest Period, the London interbank offered rate as administered by ICE Benchmark Administration (or any other Person that takes over the administration of such rate) for such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be zero for the purposes of this Agreement.</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assigned to such term in Section 1.5.</w:t>
      </w:r>
    </w:p>
    <w:p>
      <w:pPr>
        <w:spacing w:after="0" w:line="224" w:lineRule="exact"/>
        <w:rPr>
          <w:sz w:val="20"/>
          <w:szCs w:val="20"/>
          <w:color w:val="auto"/>
        </w:rPr>
      </w:pPr>
    </w:p>
    <w:p>
      <w:pPr>
        <w:ind w:left="120" w:right="4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left="120" w:right="7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L/C Fee Letter, the Guarantee, the Notes, each Borrower Joinder Agreement, each Guarantee Joinder and any amendment, waiver, supplement or other modification to any of the foregoing.</w:t>
      </w:r>
    </w:p>
    <w:p>
      <w:pPr>
        <w:spacing w:after="0" w:line="170" w:lineRule="exact"/>
        <w:rPr>
          <w:sz w:val="20"/>
          <w:szCs w:val="20"/>
          <w:color w:val="auto"/>
        </w:rPr>
      </w:pPr>
    </w:p>
    <w:p>
      <w:pPr>
        <w:jc w:val="both"/>
        <w:ind w:left="120" w:right="10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left="120" w:right="1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Domestic Loans, L/C Tranche Loans, Multicurrency Loans and Competitive Loans. To the extent any Incremental Facility or New Local Facility is established, “Loans” shall, to the extent appropriate, include Loans made under such Facilities.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2.27(a).</w:t>
      </w:r>
    </w:p>
    <w:p>
      <w:pPr>
        <w:spacing w:after="0" w:line="224" w:lineRule="exact"/>
        <w:rPr>
          <w:sz w:val="20"/>
          <w:szCs w:val="20"/>
          <w:color w:val="auto"/>
        </w:rPr>
      </w:pPr>
    </w:p>
    <w:p>
      <w:pPr>
        <w:jc w:val="both"/>
        <w:ind w:left="120" w:right="2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(i) New York City time in the case of a Loan or other disbursement denominated in Dollars and (ii) London time in the case of a Loan or other disbursement denominated in an Optional Currency (or any such other local time as otherwise notified to or communicated by the Administrative Agent).</w:t>
      </w:r>
    </w:p>
    <w:p>
      <w:pPr>
        <w:spacing w:after="0" w:line="182" w:lineRule="exact"/>
        <w:rPr>
          <w:sz w:val="20"/>
          <w:szCs w:val="20"/>
          <w:color w:val="auto"/>
        </w:rPr>
      </w:pPr>
    </w:p>
    <w:p>
      <w:pPr>
        <w:ind w:left="120"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8"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6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w:t>
      </w:r>
      <w:r>
        <w:rPr>
          <w:rFonts w:ascii="Arial" w:cs="Arial" w:eastAsia="Arial" w:hAnsi="Arial"/>
          <w:sz w:val="17"/>
          <w:szCs w:val="17"/>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48" w:lineRule="exact"/>
        <w:rPr>
          <w:sz w:val="20"/>
          <w:szCs w:val="20"/>
          <w:color w:val="auto"/>
        </w:rPr>
      </w:pPr>
    </w:p>
    <w:p>
      <w:pPr>
        <w:ind w:left="120" w:right="2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79" w:lineRule="exact"/>
        <w:rPr>
          <w:sz w:val="20"/>
          <w:szCs w:val="20"/>
          <w:color w:val="auto"/>
        </w:rPr>
      </w:pPr>
    </w:p>
    <w:p>
      <w:pPr>
        <w:jc w:val="both"/>
        <w:ind w:left="120" w:right="2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2" w:lineRule="exact"/>
        <w:rPr>
          <w:sz w:val="20"/>
          <w:szCs w:val="20"/>
          <w:color w:val="auto"/>
        </w:rPr>
      </w:pPr>
    </w:p>
    <w:p>
      <w:pPr>
        <w:jc w:val="both"/>
        <w:ind w:left="120" w:right="4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Issuing Commitment of $200 million or more.</w:t>
      </w:r>
    </w:p>
    <w:p>
      <w:pPr>
        <w:spacing w:after="0" w:line="224" w:lineRule="exact"/>
        <w:rPr>
          <w:sz w:val="20"/>
          <w:szCs w:val="20"/>
          <w:color w:val="auto"/>
        </w:rPr>
      </w:pPr>
    </w:p>
    <w:p>
      <w:pPr>
        <w:ind w:left="120" w:right="16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2020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4" w:lineRule="exact"/>
        <w:rPr>
          <w:sz w:val="20"/>
          <w:szCs w:val="20"/>
          <w:color w:val="auto"/>
        </w:rPr>
      </w:pPr>
    </w:p>
    <w:p>
      <w:pPr>
        <w:ind w:left="120" w:firstLine="9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 (including, with respect to any Lender that has utilized its Multicurrency Commitment to provide any Ancillary Facility, other than for purposes of determining the Required Lenders, the Majority Facility Lenders or Sections 9.7 or 10.6, (x) as reduced by such Ancillary Commitment of such Lender then in effect and (y) as increased by any such Ancillary Commitment to the extent such Ancillary Commitment is reduced or cancelled).</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8"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224"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224" w:lineRule="exact"/>
        <w:rPr>
          <w:sz w:val="20"/>
          <w:szCs w:val="20"/>
          <w:color w:val="auto"/>
        </w:rPr>
      </w:pPr>
    </w:p>
    <w:p>
      <w:pPr>
        <w:ind w:left="120" w:firstLine="9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Percentage</w:t>
      </w:r>
      <w:r>
        <w:rPr>
          <w:rFonts w:ascii="Arial" w:cs="Arial" w:eastAsia="Arial" w:hAnsi="Arial"/>
          <w:sz w:val="18"/>
          <w:szCs w:val="18"/>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89" w:lineRule="exact"/>
        <w:rPr>
          <w:sz w:val="20"/>
          <w:szCs w:val="20"/>
          <w:color w:val="auto"/>
        </w:rPr>
      </w:pPr>
    </w:p>
    <w:p>
      <w:pPr>
        <w:ind w:left="120" w:right="8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2" w:lineRule="exact"/>
        <w:rPr>
          <w:sz w:val="20"/>
          <w:szCs w:val="20"/>
          <w:color w:val="auto"/>
        </w:rPr>
      </w:pPr>
    </w:p>
    <w:p>
      <w:pPr>
        <w:jc w:val="both"/>
        <w:ind w:left="120"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2.27(a).</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2.27(a).</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2.21(a).</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2.29(b).</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2.21(d).</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8"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left="120" w:right="100" w:firstLine="98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4"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means, (i) with respect to Loans made under each Facility (other than the Domestic Facility), at any time, Euro, Japanese Yen and such other currencies which are freely convertible into Dollars and are freely traded and available in the London interbank eurocurrency market with the consent of the Administrative Agent and the Lenders under the applicable Facility and (ii) with respect to Letters of Credit issued under the L/C Tranche Facility, the currencies specified in the L/C Fee Letter.</w:t>
      </w:r>
    </w:p>
    <w:p>
      <w:pPr>
        <w:spacing w:after="0" w:line="187" w:lineRule="exact"/>
        <w:rPr>
          <w:sz w:val="20"/>
          <w:szCs w:val="20"/>
          <w:color w:val="auto"/>
        </w:rPr>
      </w:pPr>
    </w:p>
    <w:p>
      <w:pPr>
        <w:ind w:left="120" w:firstLine="98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Optional Currency Equivalent</w:t>
      </w:r>
      <w:r>
        <w:rPr>
          <w:rFonts w:ascii="Arial" w:cs="Arial" w:eastAsia="Arial" w:hAnsi="Arial"/>
          <w:sz w:val="16"/>
          <w:szCs w:val="16"/>
          <w:color w:val="auto"/>
        </w:rPr>
        <w:t>” means, for any amount of any Optional Currency, at the time of determination thereof, (a) if such amount is expressed in such Optional Currency, such amount and (b) if such amount is expressed in Dollars, the equivalent of such amount in such Optional Currency determined by using the rate of exchange for the purchase of such Optional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Optional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4" w:lineRule="exact"/>
        <w:rPr>
          <w:sz w:val="20"/>
          <w:szCs w:val="20"/>
          <w:color w:val="auto"/>
        </w:rPr>
      </w:pPr>
    </w:p>
    <w:p>
      <w:pPr>
        <w:ind w:left="120" w:right="20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indebtedness for borrowed money, the aggregate outstanding principal amount thereof,</w:t>
      </w:r>
    </w:p>
    <w:p>
      <w:pPr>
        <w:spacing w:after="0" w:line="46" w:lineRule="exact"/>
        <w:rPr>
          <w:sz w:val="20"/>
          <w:szCs w:val="20"/>
          <w:color w:val="auto"/>
        </w:rPr>
      </w:pPr>
    </w:p>
    <w:p>
      <w:pPr>
        <w:ind w:left="120" w:right="140" w:firstLine="9"/>
        <w:spacing w:after="0" w:line="276" w:lineRule="auto"/>
        <w:tabs>
          <w:tab w:leader="none" w:pos="374"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73" w:lineRule="exact"/>
        <w:rPr>
          <w:sz w:val="20"/>
          <w:szCs w:val="20"/>
          <w:color w:val="auto"/>
        </w:rPr>
      </w:pPr>
    </w:p>
    <w:p>
      <w:pPr>
        <w:ind w:left="120" w:right="260"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xml:space="preserve">” means, for any day, the rate comprised of both overnight federal funds and overnight eurocurrency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Overnight Bank Funding Rate shall be less than zero, such rate shall be deemed to be zero for purposes of this Agreement.</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4" w:lineRule="exact"/>
        <w:rPr>
          <w:sz w:val="20"/>
          <w:szCs w:val="20"/>
          <w:color w:val="auto"/>
        </w:rPr>
      </w:pPr>
    </w:p>
    <w:p>
      <w:pPr>
        <w:ind w:left="120" w:righ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it in Section 9.13(c).</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it in Section 9.13(c).</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4" w:lineRule="exact"/>
        <w:rPr>
          <w:sz w:val="20"/>
          <w:szCs w:val="20"/>
          <w:color w:val="auto"/>
        </w:rPr>
      </w:pPr>
    </w:p>
    <w:p>
      <w:pPr>
        <w:ind w:left="120" w:right="1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6" w:lineRule="exact"/>
        <w:rPr>
          <w:sz w:val="20"/>
          <w:szCs w:val="20"/>
          <w:color w:val="auto"/>
        </w:rPr>
      </w:pPr>
    </w:p>
    <w:p>
      <w:pPr>
        <w:ind w:left="1120" w:firstLine="398"/>
        <w:spacing w:after="0" w:line="301" w:lineRule="auto"/>
        <w:tabs>
          <w:tab w:leader="none" w:pos="17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46" w:lineRule="exact"/>
        <w:rPr>
          <w:rFonts w:ascii="Arial" w:cs="Arial" w:eastAsia="Arial" w:hAnsi="Arial"/>
          <w:sz w:val="16"/>
          <w:szCs w:val="16"/>
          <w:color w:val="auto"/>
        </w:rPr>
      </w:pPr>
    </w:p>
    <w:p>
      <w:pPr>
        <w:ind w:left="1120" w:right="100" w:firstLine="398"/>
        <w:spacing w:after="0" w:line="285" w:lineRule="auto"/>
        <w:tabs>
          <w:tab w:leader="none" w:pos="1774"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8"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760" w:hanging="242"/>
        <w:spacing w:after="0"/>
        <w:tabs>
          <w:tab w:leader="none" w:pos="1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6" w:lineRule="exact"/>
        <w:rPr>
          <w:rFonts w:ascii="Arial" w:cs="Arial" w:eastAsia="Arial" w:hAnsi="Arial"/>
          <w:sz w:val="18"/>
          <w:szCs w:val="18"/>
          <w:color w:val="auto"/>
        </w:rPr>
      </w:pPr>
    </w:p>
    <w:p>
      <w:pPr>
        <w:jc w:val="both"/>
        <w:ind w:left="1120" w:right="140" w:firstLine="398"/>
        <w:spacing w:after="0" w:line="263" w:lineRule="auto"/>
        <w:tabs>
          <w:tab w:leader="none" w:pos="17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left="1120" w:firstLine="398"/>
        <w:spacing w:after="0" w:line="275" w:lineRule="auto"/>
        <w:tabs>
          <w:tab w:leader="none" w:pos="1764"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65" w:lineRule="exact"/>
        <w:rPr>
          <w:rFonts w:ascii="Arial" w:cs="Arial" w:eastAsia="Arial" w:hAnsi="Arial"/>
          <w:sz w:val="17"/>
          <w:szCs w:val="17"/>
          <w:color w:val="auto"/>
        </w:rPr>
      </w:pPr>
    </w:p>
    <w:p>
      <w:pPr>
        <w:ind w:left="1120" w:right="620" w:firstLine="398"/>
        <w:spacing w:after="0" w:line="341" w:lineRule="auto"/>
        <w:tabs>
          <w:tab w:leader="none" w:pos="17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5" w:lineRule="exact"/>
        <w:rPr>
          <w:rFonts w:ascii="Arial" w:cs="Arial" w:eastAsia="Arial" w:hAnsi="Arial"/>
          <w:sz w:val="16"/>
          <w:szCs w:val="16"/>
          <w:color w:val="auto"/>
        </w:rPr>
      </w:pPr>
    </w:p>
    <w:p>
      <w:pPr>
        <w:ind w:left="1120" w:firstLine="398"/>
        <w:spacing w:after="0" w:line="255" w:lineRule="auto"/>
        <w:tabs>
          <w:tab w:leader="none" w:pos="17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1" w:lineRule="exact"/>
        <w:rPr>
          <w:rFonts w:ascii="Arial" w:cs="Arial" w:eastAsia="Arial" w:hAnsi="Arial"/>
          <w:sz w:val="18"/>
          <w:szCs w:val="18"/>
          <w:color w:val="auto"/>
        </w:rPr>
      </w:pPr>
    </w:p>
    <w:p>
      <w:pPr>
        <w:ind w:left="1120" w:right="40" w:firstLine="398"/>
        <w:spacing w:after="0" w:line="263" w:lineRule="auto"/>
        <w:tabs>
          <w:tab w:leader="none" w:pos="17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3" w:lineRule="exact"/>
        <w:rPr>
          <w:rFonts w:ascii="Arial" w:cs="Arial" w:eastAsia="Arial" w:hAnsi="Arial"/>
          <w:sz w:val="18"/>
          <w:szCs w:val="18"/>
          <w:color w:val="auto"/>
        </w:rPr>
      </w:pPr>
    </w:p>
    <w:p>
      <w:pPr>
        <w:ind w:left="1120" w:right="300" w:firstLine="398"/>
        <w:spacing w:after="0" w:line="271" w:lineRule="auto"/>
        <w:tabs>
          <w:tab w:leader="none" w:pos="1734"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8"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right="160" w:firstLine="398"/>
        <w:spacing w:after="0" w:line="285" w:lineRule="auto"/>
        <w:tabs>
          <w:tab w:leader="none" w:pos="17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57" w:lineRule="exact"/>
        <w:rPr>
          <w:rFonts w:ascii="Arial" w:cs="Arial" w:eastAsia="Arial" w:hAnsi="Arial"/>
          <w:sz w:val="17"/>
          <w:szCs w:val="17"/>
          <w:color w:val="auto"/>
        </w:rPr>
      </w:pPr>
    </w:p>
    <w:p>
      <w:pPr>
        <w:jc w:val="both"/>
        <w:ind w:left="1120" w:right="20" w:firstLine="398"/>
        <w:spacing w:after="0" w:line="258" w:lineRule="auto"/>
        <w:tabs>
          <w:tab w:leader="none" w:pos="17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79" w:lineRule="exact"/>
        <w:rPr>
          <w:rFonts w:ascii="Arial" w:cs="Arial" w:eastAsia="Arial" w:hAnsi="Arial"/>
          <w:sz w:val="18"/>
          <w:szCs w:val="18"/>
          <w:color w:val="auto"/>
        </w:rPr>
      </w:pPr>
    </w:p>
    <w:p>
      <w:pPr>
        <w:ind w:left="1120" w:right="100" w:firstLine="398"/>
        <w:spacing w:after="0" w:line="301" w:lineRule="auto"/>
        <w:tabs>
          <w:tab w:leader="none" w:pos="1734"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acquisition;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the Company or any Principal Domestic Subsidiary;</w:t>
      </w:r>
    </w:p>
    <w:p>
      <w:pPr>
        <w:spacing w:after="0" w:line="46" w:lineRule="exact"/>
        <w:rPr>
          <w:rFonts w:ascii="Arial" w:cs="Arial" w:eastAsia="Arial" w:hAnsi="Arial"/>
          <w:sz w:val="16"/>
          <w:szCs w:val="16"/>
          <w:color w:val="auto"/>
        </w:rPr>
      </w:pPr>
    </w:p>
    <w:p>
      <w:pPr>
        <w:ind w:left="1120" w:firstLine="398"/>
        <w:spacing w:after="0" w:line="263" w:lineRule="auto"/>
        <w:tabs>
          <w:tab w:leader="none" w:pos="182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73" w:lineRule="exact"/>
        <w:rPr>
          <w:rFonts w:ascii="Arial" w:cs="Arial" w:eastAsia="Arial" w:hAnsi="Arial"/>
          <w:sz w:val="18"/>
          <w:szCs w:val="18"/>
          <w:color w:val="auto"/>
        </w:rPr>
      </w:pPr>
    </w:p>
    <w:p>
      <w:pPr>
        <w:ind w:left="1120" w:right="140" w:firstLine="398"/>
        <w:spacing w:after="0" w:line="276" w:lineRule="auto"/>
        <w:tabs>
          <w:tab w:leader="none" w:pos="17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1780" w:hanging="262"/>
        <w:spacing w:after="0"/>
        <w:tabs>
          <w:tab w:leader="none" w:pos="1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6" w:lineRule="exact"/>
        <w:rPr>
          <w:rFonts w:ascii="Arial" w:cs="Arial" w:eastAsia="Arial" w:hAnsi="Arial"/>
          <w:sz w:val="18"/>
          <w:szCs w:val="18"/>
          <w:color w:val="auto"/>
        </w:rPr>
      </w:pPr>
    </w:p>
    <w:p>
      <w:pPr>
        <w:ind w:left="1780" w:hanging="262"/>
        <w:spacing w:after="0"/>
        <w:tabs>
          <w:tab w:leader="none" w:pos="1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6" w:lineRule="exact"/>
        <w:rPr>
          <w:rFonts w:ascii="Arial" w:cs="Arial" w:eastAsia="Arial" w:hAnsi="Arial"/>
          <w:sz w:val="18"/>
          <w:szCs w:val="18"/>
          <w:color w:val="auto"/>
        </w:rPr>
      </w:pPr>
    </w:p>
    <w:p>
      <w:pPr>
        <w:ind w:left="1120" w:right="120" w:firstLine="398"/>
        <w:spacing w:after="0" w:line="284" w:lineRule="auto"/>
        <w:tabs>
          <w:tab w:leader="none" w:pos="1774" w:val="left"/>
        </w:tabs>
        <w:numPr>
          <w:ilvl w:val="1"/>
          <w:numId w:val="34"/>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w:t>
      </w:r>
    </w:p>
    <w:p>
      <w:pPr>
        <w:spacing w:after="0" w:line="1" w:lineRule="exact"/>
        <w:rPr>
          <w:rFonts w:ascii="Arial" w:cs="Arial" w:eastAsia="Arial" w:hAnsi="Arial"/>
          <w:sz w:val="16"/>
          <w:szCs w:val="16"/>
          <w:color w:val="auto"/>
        </w:rPr>
      </w:pPr>
    </w:p>
    <w:p>
      <w:pPr>
        <w:ind w:left="1520" w:hanging="402"/>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rental deposits, (ix) judicial appeals and (x) service contracts;</w:t>
      </w:r>
    </w:p>
    <w:p>
      <w:pPr>
        <w:spacing w:after="0" w:line="101" w:lineRule="exact"/>
        <w:rPr>
          <w:rFonts w:ascii="Arial" w:cs="Arial" w:eastAsia="Arial" w:hAnsi="Arial"/>
          <w:sz w:val="18"/>
          <w:szCs w:val="18"/>
          <w:color w:val="auto"/>
        </w:rPr>
      </w:pPr>
    </w:p>
    <w:p>
      <w:pPr>
        <w:ind w:left="1740" w:hanging="222"/>
        <w:spacing w:after="0"/>
        <w:tabs>
          <w:tab w:leader="none" w:pos="17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owing to the Company or any Principal Domestic Subsidiary;</w:t>
      </w:r>
    </w:p>
    <w:p>
      <w:pPr>
        <w:spacing w:after="0" w:line="139" w:lineRule="exact"/>
        <w:rPr>
          <w:rFonts w:ascii="Arial" w:cs="Arial" w:eastAsia="Arial" w:hAnsi="Arial"/>
          <w:sz w:val="16"/>
          <w:szCs w:val="16"/>
          <w:color w:val="auto"/>
        </w:rPr>
      </w:pPr>
    </w:p>
    <w:p>
      <w:pPr>
        <w:ind w:left="1120" w:right="20" w:firstLine="398"/>
        <w:spacing w:after="0" w:line="263" w:lineRule="auto"/>
        <w:tabs>
          <w:tab w:leader="none" w:pos="17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right="220" w:firstLine="398"/>
        <w:spacing w:after="0" w:line="301" w:lineRule="auto"/>
        <w:tabs>
          <w:tab w:leader="none" w:pos="1734"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46" w:lineRule="exact"/>
        <w:rPr>
          <w:rFonts w:ascii="Arial" w:cs="Arial" w:eastAsia="Arial" w:hAnsi="Arial"/>
          <w:sz w:val="16"/>
          <w:szCs w:val="16"/>
          <w:color w:val="auto"/>
        </w:rPr>
      </w:pPr>
    </w:p>
    <w:p>
      <w:pPr>
        <w:ind w:left="1780" w:hanging="262"/>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6" w:lineRule="exact"/>
        <w:rPr>
          <w:rFonts w:ascii="Arial" w:cs="Arial" w:eastAsia="Arial" w:hAnsi="Arial"/>
          <w:sz w:val="18"/>
          <w:szCs w:val="18"/>
          <w:color w:val="auto"/>
        </w:rPr>
      </w:pPr>
    </w:p>
    <w:p>
      <w:pPr>
        <w:ind w:left="1120" w:right="180" w:firstLine="398"/>
        <w:spacing w:after="0" w:line="263" w:lineRule="auto"/>
        <w:tabs>
          <w:tab w:leader="none" w:pos="17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1120" w:right="20" w:firstLine="398"/>
        <w:spacing w:after="0" w:line="306" w:lineRule="auto"/>
        <w:tabs>
          <w:tab w:leader="none" w:pos="1814"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40" w:lineRule="exact"/>
        <w:rPr>
          <w:rFonts w:ascii="Arial" w:cs="Arial" w:eastAsia="Arial" w:hAnsi="Arial"/>
          <w:sz w:val="17"/>
          <w:szCs w:val="17"/>
          <w:color w:val="auto"/>
        </w:rPr>
      </w:pPr>
    </w:p>
    <w:p>
      <w:pPr>
        <w:ind w:left="1120" w:right="120" w:firstLine="398"/>
        <w:spacing w:after="0" w:line="276" w:lineRule="auto"/>
        <w:tabs>
          <w:tab w:leader="none" w:pos="17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1120" w:right="460" w:firstLine="398"/>
        <w:spacing w:after="0" w:line="276" w:lineRule="auto"/>
        <w:tabs>
          <w:tab w:leader="none" w:pos="17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1120" w:firstLine="398"/>
        <w:spacing w:after="0" w:line="258" w:lineRule="auto"/>
        <w:tabs>
          <w:tab w:leader="none" w:pos="17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7" w:lineRule="exact"/>
        <w:rPr>
          <w:sz w:val="20"/>
          <w:szCs w:val="20"/>
          <w:color w:val="auto"/>
        </w:rPr>
      </w:pPr>
    </w:p>
    <w:p>
      <w:pPr>
        <w:ind w:left="120" w:right="8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left="120" w:right="1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at a particular time, an employee pension benefit plan covered by Title IV of ERISA or Section 412 of the Code or</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303 of ERISA, but excluding any Multiemployer Plan, (a) which is sponsored, established, contributed to or maintained by the Company or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ERISA Affiliate, (b) for which the Company or any ERISA Affiliate could have any liability, whether actual or contingent (whether pursuant to</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4062 or Section 4069 of ERISA be deemed to be) an “employer” as defined in Section 3(5) of ERISA.</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xml:space="preserve">” means of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 time.</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8"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120" w:right="180" w:firstLine="98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Post-Petition Interest</w:t>
      </w:r>
      <w:r>
        <w:rPr>
          <w:rFonts w:ascii="Arial" w:cs="Arial" w:eastAsia="Arial" w:hAnsi="Arial"/>
          <w:sz w:val="16"/>
          <w:szCs w:val="16"/>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47" w:lineRule="exact"/>
        <w:rPr>
          <w:sz w:val="20"/>
          <w:szCs w:val="20"/>
          <w:color w:val="auto"/>
        </w:rPr>
      </w:pPr>
    </w:p>
    <w:p>
      <w:pPr>
        <w:ind w:left="12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73" w:lineRule="exact"/>
        <w:rPr>
          <w:sz w:val="20"/>
          <w:szCs w:val="20"/>
          <w:color w:val="auto"/>
        </w:rPr>
      </w:pPr>
    </w:p>
    <w:p>
      <w:pPr>
        <w:ind w:left="120"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58" w:lineRule="exact"/>
        <w:rPr>
          <w:sz w:val="20"/>
          <w:szCs w:val="20"/>
          <w:color w:val="auto"/>
        </w:rPr>
      </w:pPr>
    </w:p>
    <w:p>
      <w:pPr>
        <w:ind w:left="120" w:right="100"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2020 10-K), (B) at least 80% or more of the Capital Stock or Voting Stock of such Domestic Subsidiary is owned, directly or indirectly, by the Company and (C) none of the Capital Stock of such Domestic Subsidiary is publicly held.</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5390(c)(8)(D).</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it in Section 10.21.</w:t>
      </w:r>
    </w:p>
    <w:p>
      <w:pPr>
        <w:spacing w:after="0" w:line="224" w:lineRule="exact"/>
        <w:rPr>
          <w:sz w:val="20"/>
          <w:szCs w:val="20"/>
          <w:color w:val="auto"/>
        </w:rPr>
      </w:pPr>
    </w:p>
    <w:p>
      <w:pPr>
        <w:ind w:left="120" w:right="1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left="120" w:right="12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8"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(1) if such Benchmark is Eurocurrency Base Rate,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11:00 a.m. (London time) on the day that is two London banking days preceding the date of such setting, (2) if such Benchmark is EURIBOR Rate,</w:t>
      </w:r>
    </w:p>
    <w:p>
      <w:pPr>
        <w:spacing w:after="0" w:line="3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11:00 a.m. Brussels time two TARGET Days preceding the date of such setting, (3) if such Benchmark is TIBOR Rate, 11:00 a.m. Japan time two Business Days preceding the date of such setting, and (4) if such Benchmark is none of the Eurocurrency Base Rate, the EURIBOR Rate or the TIBOR Rate, the time determined by the Administrative Agent in its reasonable discretion.</w:t>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224" w:lineRule="exact"/>
        <w:rPr>
          <w:sz w:val="20"/>
          <w:szCs w:val="20"/>
          <w:color w:val="auto"/>
        </w:rPr>
      </w:pPr>
    </w:p>
    <w:p>
      <w:pPr>
        <w:ind w:left="120" w:right="4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70" w:lineRule="exact"/>
        <w:rPr>
          <w:sz w:val="20"/>
          <w:szCs w:val="20"/>
          <w:color w:val="auto"/>
        </w:rPr>
      </w:pPr>
    </w:p>
    <w:p>
      <w:pPr>
        <w:ind w:left="120" w:right="1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left="120" w:right="2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ind w:left="120" w:firstLine="98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Japanese Yen, the Bank of Japan, or a committee officially endorsed or convened by the Bank of Japan or, in each case, any successor thereto and (iv) with respect to a Benchmark Replacement in respect of Loans denominated in any other Optional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8"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means (i) with respect to any Eurocurrency Borrowing denominated in Dollars, the Eurocurrency Base Rate, (ii) with respect to any Eurocurrency Borrowing denominated in Euros, the EURIBOR Rate, as applicable and (iii) with respect to any Eurocurrency Borrowing denominated in Japanese Yen, the TIBOR Rate, as applicable.</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Screen Rate</w:t>
      </w:r>
      <w:r>
        <w:rPr>
          <w:rFonts w:ascii="Arial" w:cs="Arial" w:eastAsia="Arial" w:hAnsi="Arial"/>
          <w:sz w:val="17"/>
          <w:szCs w:val="17"/>
          <w:color w:val="auto"/>
        </w:rPr>
        <w:t>” means (i) with respect to any Eurocurrency Borrowing denominated in Dollars, the Eurocurrency Base Rate,</w:t>
      </w:r>
    </w:p>
    <w:p>
      <w:pPr>
        <w:spacing w:after="0" w:line="34" w:lineRule="exact"/>
        <w:rPr>
          <w:sz w:val="20"/>
          <w:szCs w:val="20"/>
          <w:color w:val="auto"/>
        </w:rPr>
      </w:pPr>
    </w:p>
    <w:p>
      <w:pPr>
        <w:ind w:left="120" w:right="80" w:firstLine="9"/>
        <w:spacing w:after="0" w:line="259" w:lineRule="auto"/>
        <w:tabs>
          <w:tab w:leader="none" w:pos="38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any Eurocurrency Borrowing denominated in Euros, the EURIBOR Screen Rate or (iii) with respect to any Eurocurrency Borrowing denominated in Japanese Yen, the TIBOR Screen Rate, as applicable.</w:t>
      </w:r>
    </w:p>
    <w:p>
      <w:pPr>
        <w:spacing w:after="0" w:line="185" w:lineRule="exact"/>
        <w:rPr>
          <w:sz w:val="20"/>
          <w:szCs w:val="20"/>
          <w:color w:val="auto"/>
        </w:rPr>
      </w:pPr>
    </w:p>
    <w:p>
      <w:pPr>
        <w:ind w:left="120" w:right="8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 plus the aggregate Ancillary Facility Outstandings).</w:t>
      </w:r>
    </w:p>
    <w:p>
      <w:pPr>
        <w:spacing w:after="0" w:line="182" w:lineRule="exact"/>
        <w:rPr>
          <w:sz w:val="20"/>
          <w:szCs w:val="20"/>
          <w:color w:val="auto"/>
        </w:rPr>
      </w:pPr>
    </w:p>
    <w:p>
      <w:pPr>
        <w:jc w:val="both"/>
        <w:ind w:lef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6" w:lineRule="exact"/>
        <w:rPr>
          <w:sz w:val="20"/>
          <w:szCs w:val="20"/>
          <w:color w:val="auto"/>
        </w:rPr>
      </w:pPr>
    </w:p>
    <w:p>
      <w:pPr>
        <w:ind w:left="120"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 and its successors.</w:t>
      </w:r>
    </w:p>
    <w:p>
      <w:pPr>
        <w:spacing w:after="0" w:line="224" w:lineRule="exact"/>
        <w:rPr>
          <w:sz w:val="20"/>
          <w:szCs w:val="20"/>
          <w:color w:val="auto"/>
        </w:rPr>
      </w:pPr>
    </w:p>
    <w:p>
      <w:pPr>
        <w:jc w:val="both"/>
        <w:ind w:lef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4" w:lineRule="exact"/>
        <w:rPr>
          <w:sz w:val="20"/>
          <w:szCs w:val="20"/>
          <w:color w:val="auto"/>
        </w:rPr>
      </w:pPr>
    </w:p>
    <w:p>
      <w:pPr>
        <w:ind w:left="120"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4" w:lineRule="exact"/>
        <w:rPr>
          <w:sz w:val="20"/>
          <w:szCs w:val="20"/>
          <w:color w:val="auto"/>
        </w:rPr>
      </w:pPr>
    </w:p>
    <w:p>
      <w:pPr>
        <w:ind w:left="120" w:right="2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8"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4" w:lineRule="exact"/>
        <w:rPr>
          <w:sz w:val="20"/>
          <w:szCs w:val="20"/>
          <w:color w:val="auto"/>
        </w:rPr>
      </w:pPr>
    </w:p>
    <w:p>
      <w:pPr>
        <w:ind w:left="120" w:right="2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120" w:firstLine="98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Eurocurrency Rate, for eurocurrency funding (currently referred to as “Eurocurrency liabilities” in Regulation D). Such reserve percentage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62" w:lineRule="exact"/>
        <w:rPr>
          <w:sz w:val="20"/>
          <w:szCs w:val="20"/>
          <w:color w:val="auto"/>
        </w:rPr>
      </w:pPr>
    </w:p>
    <w:p>
      <w:pPr>
        <w:ind w:left="120" w:right="12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79" w:lineRule="exact"/>
        <w:rPr>
          <w:sz w:val="20"/>
          <w:szCs w:val="20"/>
          <w:color w:val="auto"/>
        </w:rPr>
      </w:pPr>
    </w:p>
    <w:p>
      <w:pPr>
        <w:ind w:left="120" w:right="2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means GMF and any other Subsidiary that becomes a party hereto pursuant to Section 10.1(d) until such time as such Subsidiary Borrower is removed as a party hereto pursuant to Section 10.1(d).</w:t>
      </w:r>
    </w:p>
    <w:p>
      <w:pPr>
        <w:spacing w:after="0" w:line="170" w:lineRule="exact"/>
        <w:rPr>
          <w:sz w:val="20"/>
          <w:szCs w:val="20"/>
          <w:color w:val="auto"/>
        </w:rPr>
      </w:pPr>
    </w:p>
    <w:p>
      <w:pPr>
        <w:ind w:left="120" w:right="20"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it in Section 10.21.</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20" w:righ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8"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the TARGET2 (or, if such payment system ceases to be operative, such other payment system, if any, determined by the Administrative Agent to be a suitable replacement) is open for the settlement of payments in Euro.</w:t>
      </w:r>
    </w:p>
    <w:p>
      <w:pPr>
        <w:spacing w:after="0" w:line="148" w:lineRule="exact"/>
        <w:rPr>
          <w:sz w:val="20"/>
          <w:szCs w:val="20"/>
          <w:color w:val="auto"/>
        </w:rPr>
      </w:pPr>
    </w:p>
    <w:p>
      <w:pPr>
        <w:ind w:left="120"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82" w:lineRule="exact"/>
        <w:rPr>
          <w:sz w:val="20"/>
          <w:szCs w:val="20"/>
          <w:color w:val="auto"/>
        </w:rPr>
      </w:pPr>
    </w:p>
    <w:p>
      <w:pPr>
        <w:ind w:left="120" w:right="4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initially, the third anniversary of the Closing Date, as such date for such Lender may be extended from time to time pursuant to Section 2.29.</w:t>
      </w:r>
    </w:p>
    <w:p>
      <w:pPr>
        <w:spacing w:after="0" w:line="170" w:lineRule="exact"/>
        <w:rPr>
          <w:sz w:val="20"/>
          <w:szCs w:val="20"/>
          <w:color w:val="auto"/>
        </w:rPr>
      </w:pPr>
    </w:p>
    <w:p>
      <w:pPr>
        <w:ind w:left="120"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left="120"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left="120" w:right="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2.18 that is not Term SOFR.</w:t>
      </w:r>
    </w:p>
    <w:p>
      <w:pPr>
        <w:spacing w:after="0" w:line="187" w:lineRule="exact"/>
        <w:rPr>
          <w:sz w:val="20"/>
          <w:szCs w:val="20"/>
          <w:color w:val="auto"/>
        </w:rPr>
      </w:pPr>
    </w:p>
    <w:p>
      <w:pPr>
        <w:ind w:left="120" w:right="6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TIBOR Interpolated Rate</w:t>
      </w:r>
      <w:r>
        <w:rPr>
          <w:rFonts w:ascii="Arial" w:cs="Arial" w:eastAsia="Arial" w:hAnsi="Arial"/>
          <w:sz w:val="17"/>
          <w:szCs w:val="17"/>
          <w:color w:val="auto"/>
        </w:rPr>
        <w:t>” means, at any time, with respect to any Eurocurrency Borrowing denominated in Japanese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Japanese Yen) that is shorter than the Impacted TIBOR Rate Interest Period; and (b) the TIBOR Screen Rate for the shortest period (for which the TIBOR Screen Rate is available for Japanese Yen) that exceeds the Impacted TIBOR Rate Interest Period, in each case, at such time; provided that, if any TIBOR Interpolated Rate shall be less than 0.0%, such rate shall be deemed to be 0.0% for the purposes of this Agreement.</w:t>
      </w:r>
    </w:p>
    <w:p>
      <w:pPr>
        <w:spacing w:after="0" w:line="179" w:lineRule="exact"/>
        <w:rPr>
          <w:sz w:val="20"/>
          <w:szCs w:val="20"/>
          <w:color w:val="auto"/>
        </w:rPr>
      </w:pPr>
    </w:p>
    <w:p>
      <w:pPr>
        <w:ind w:left="120" w:right="10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TIBOR Rate</w:t>
      </w:r>
      <w:r>
        <w:rPr>
          <w:rFonts w:ascii="Arial" w:cs="Arial" w:eastAsia="Arial" w:hAnsi="Arial"/>
          <w:sz w:val="18"/>
          <w:szCs w:val="18"/>
          <w:color w:val="auto"/>
        </w:rPr>
        <w:t>” means, with respect to any Eurocurrency Borrowing denominated in Japanese Yen and for any Interest Period, the TIBOR Screen Rate at approximately 11:00 a.m., Japan time, two Business Days prior to the commencement of such Interest Period; provided that, if the TIBOR Screen Rate shall not be available at such time for such Interest Period (an “</w:t>
      </w:r>
      <w:r>
        <w:rPr>
          <w:rFonts w:ascii="Arial" w:cs="Arial" w:eastAsia="Arial" w:hAnsi="Arial"/>
          <w:sz w:val="18"/>
          <w:szCs w:val="18"/>
          <w:u w:val="single" w:color="auto"/>
          <w:color w:val="auto"/>
        </w:rPr>
        <w:t>Impacted TIBOR Rate Interest Period</w:t>
      </w:r>
      <w:r>
        <w:rPr>
          <w:rFonts w:ascii="Arial" w:cs="Arial" w:eastAsia="Arial" w:hAnsi="Arial"/>
          <w:sz w:val="18"/>
          <w:szCs w:val="18"/>
          <w:color w:val="auto"/>
        </w:rPr>
        <w:t>”) with respect to Japanese Yen then the TIBOR Rate shall be the TIBOR Interpolated Rate.</w:t>
      </w:r>
    </w:p>
    <w:p>
      <w:pPr>
        <w:spacing w:after="0" w:line="187" w:lineRule="exact"/>
        <w:rPr>
          <w:sz w:val="20"/>
          <w:szCs w:val="20"/>
          <w:color w:val="auto"/>
        </w:rPr>
      </w:pPr>
    </w:p>
    <w:p>
      <w:pPr>
        <w:ind w:left="120" w:right="100" w:firstLine="98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TIBOR Screen Rate</w:t>
      </w:r>
      <w:r>
        <w:rPr>
          <w:rFonts w:ascii="Arial" w:cs="Arial" w:eastAsia="Arial" w:hAnsi="Arial"/>
          <w:sz w:val="16"/>
          <w:szCs w:val="16"/>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0.0%, the TIBOR Screen Rate shall be deemed to be 0.0% for purposes of this Agreement.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left="120" w:right="8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70" w:lineRule="exact"/>
        <w:rPr>
          <w:sz w:val="20"/>
          <w:szCs w:val="20"/>
          <w:color w:val="auto"/>
        </w:rPr>
      </w:pPr>
    </w:p>
    <w:p>
      <w:pPr>
        <w:ind w:left="120" w:right="4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L/C Tranche Commitments</w:t>
      </w:r>
      <w:r>
        <w:rPr>
          <w:rFonts w:ascii="Arial" w:cs="Arial" w:eastAsia="Arial" w:hAnsi="Arial"/>
          <w:sz w:val="18"/>
          <w:szCs w:val="18"/>
          <w:color w:val="auto"/>
        </w:rPr>
        <w:t>” means, at any time, an amount equal to the excess, if any, of (a) the Total L/C Tranche Commitments then in effect, over (b) the Total L/C Tranche Extensions of Credit then outstanding.</w:t>
      </w:r>
    </w:p>
    <w:p>
      <w:pPr>
        <w:spacing w:after="0" w:line="170" w:lineRule="exact"/>
        <w:rPr>
          <w:sz w:val="20"/>
          <w:szCs w:val="20"/>
          <w:color w:val="auto"/>
        </w:rPr>
      </w:pPr>
    </w:p>
    <w:p>
      <w:pPr>
        <w:ind w:left="120" w:right="1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70" w:lineRule="exact"/>
        <w:rPr>
          <w:sz w:val="20"/>
          <w:szCs w:val="20"/>
          <w:color w:val="auto"/>
        </w:rPr>
      </w:pPr>
    </w:p>
    <w:p>
      <w:pPr>
        <w:ind w:left="120" w:right="3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$4,286,305,000.</w:t>
      </w:r>
    </w:p>
    <w:p>
      <w:pPr>
        <w:spacing w:after="0" w:line="170" w:lineRule="exact"/>
        <w:rPr>
          <w:sz w:val="20"/>
          <w:szCs w:val="20"/>
          <w:color w:val="auto"/>
        </w:rPr>
      </w:pPr>
    </w:p>
    <w:p>
      <w:pPr>
        <w:ind w:left="120"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$196,000,000.</w:t>
      </w:r>
    </w:p>
    <w:p>
      <w:pPr>
        <w:spacing w:after="0" w:line="170"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70" w:lineRule="exact"/>
        <w:rPr>
          <w:sz w:val="20"/>
          <w:szCs w:val="20"/>
          <w:color w:val="auto"/>
        </w:rPr>
      </w:pPr>
    </w:p>
    <w:p>
      <w:pPr>
        <w:ind w:left="120"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Commitment</w:t>
      </w:r>
      <w:r>
        <w:rPr>
          <w:rFonts w:ascii="Arial" w:cs="Arial" w:eastAsia="Arial" w:hAnsi="Arial"/>
          <w:sz w:val="18"/>
          <w:szCs w:val="18"/>
          <w:color w:val="auto"/>
        </w:rPr>
        <w:t>” means, at any time, the aggregate amount of the L/C Tranche Commitments then in effect. The original amount of the Total L/C Tranche Commitment is $1,105,000,000.</w:t>
      </w:r>
    </w:p>
    <w:p>
      <w:pPr>
        <w:spacing w:after="0" w:line="170"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Extensions of Credit</w:t>
      </w:r>
      <w:r>
        <w:rPr>
          <w:rFonts w:ascii="Arial" w:cs="Arial" w:eastAsia="Arial" w:hAnsi="Arial"/>
          <w:sz w:val="18"/>
          <w:szCs w:val="18"/>
          <w:color w:val="auto"/>
        </w:rPr>
        <w:t>” means, at any time, the aggregate Outstanding Amount of the L/C Tranche Extensions of Credit of the L/C Tranche Lenders at such time.</w:t>
      </w:r>
    </w:p>
    <w:p>
      <w:pPr>
        <w:spacing w:after="0" w:line="170" w:lineRule="exact"/>
        <w:rPr>
          <w:sz w:val="20"/>
          <w:szCs w:val="20"/>
          <w:color w:val="auto"/>
        </w:rPr>
      </w:pPr>
    </w:p>
    <w:p>
      <w:pPr>
        <w:ind w:left="120" w:right="3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$2,985,305,000.</w:t>
      </w:r>
    </w:p>
    <w:p>
      <w:pPr>
        <w:spacing w:after="0" w:line="170" w:lineRule="exact"/>
        <w:rPr>
          <w:sz w:val="20"/>
          <w:szCs w:val="20"/>
          <w:color w:val="auto"/>
        </w:rPr>
      </w:pPr>
    </w:p>
    <w:p>
      <w:pPr>
        <w:ind w:left="12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4" w:lineRule="exact"/>
        <w:rPr>
          <w:sz w:val="20"/>
          <w:szCs w:val="20"/>
          <w:color w:val="auto"/>
        </w:rPr>
      </w:pPr>
    </w:p>
    <w:p>
      <w:pPr>
        <w:ind w:left="120" w:right="2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a Eurocurrency Loan, an Adjusted EURIBOR Loan or an Adjusted TIBOR Rate Loan and (b) as to any Competitive Loan, its nature as a Eurocurrency Competitive Loan, an Adjusted EURIBOR Competitive Loan, an Adjusted TIBOR Rate Competitive Loan or a Fixed Rate Loan.</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9"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70"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120" w:right="7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Adjustment.</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Kingdom</w:t>
      </w:r>
      <w:r>
        <w:rPr>
          <w:rFonts w:ascii="Arial" w:cs="Arial" w:eastAsia="Arial" w:hAnsi="Arial"/>
          <w:sz w:val="18"/>
          <w:szCs w:val="18"/>
          <w:color w:val="auto"/>
        </w:rPr>
        <w:t>” means the United Kingdom of Great Britain and Northern Ireland.</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4" w:lineRule="exact"/>
        <w:rPr>
          <w:sz w:val="20"/>
          <w:szCs w:val="20"/>
          <w:color w:val="auto"/>
        </w:rPr>
      </w:pPr>
    </w:p>
    <w:p>
      <w:pPr>
        <w:ind w:left="120"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it in Section 10.21.</w:t>
      </w:r>
    </w:p>
    <w:p>
      <w:pPr>
        <w:spacing w:after="0" w:line="224" w:lineRule="exact"/>
        <w:rPr>
          <w:sz w:val="20"/>
          <w:szCs w:val="20"/>
          <w:color w:val="auto"/>
        </w:rPr>
      </w:pPr>
    </w:p>
    <w:p>
      <w:pPr>
        <w:ind w:left="120" w:righ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URDG</w:t>
      </w:r>
      <w:r>
        <w:rPr>
          <w:rFonts w:ascii="Arial" w:cs="Arial" w:eastAsia="Arial" w:hAnsi="Arial"/>
          <w:sz w:val="18"/>
          <w:szCs w:val="18"/>
          <w:color w:val="auto"/>
        </w:rPr>
        <w:t>” means the Uniform Rules for Demand Guarantees, ICC Publication 758, and any subsequent revision thereof adhered to by the Issuing Lenders.</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4" w:lineRule="exact"/>
        <w:rPr>
          <w:sz w:val="20"/>
          <w:szCs w:val="20"/>
          <w:color w:val="auto"/>
        </w:rPr>
      </w:pPr>
    </w:p>
    <w:p>
      <w:pPr>
        <w:ind w:left="120"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left="120" w:right="120" w:firstLine="98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2" w:lineRule="exact"/>
        <w:rPr>
          <w:sz w:val="20"/>
          <w:szCs w:val="20"/>
          <w:color w:val="auto"/>
        </w:rPr>
      </w:pPr>
    </w:p>
    <w:p>
      <w:pPr>
        <w:ind w:left="120" w:right="620" w:firstLine="989"/>
        <w:spacing w:after="0" w:line="34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i) Unless otherwise specified therein, all terms defined in this Agreement shall have the defined meanings when used in the other Loan Documents or any certificate or other document made or delivered pursuant hereto or thereto.</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360" w:hanging="242"/>
        <w:spacing w:after="0"/>
        <w:tabs>
          <w:tab w:leader="none" w:pos="13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45" w:lineRule="exact"/>
        <w:rPr>
          <w:rFonts w:ascii="Arial" w:cs="Arial" w:eastAsia="Arial" w:hAnsi="Arial"/>
          <w:sz w:val="16"/>
          <w:szCs w:val="16"/>
          <w:color w:val="auto"/>
        </w:rPr>
      </w:pPr>
    </w:p>
    <w:p>
      <w:pPr>
        <w:ind w:left="120" w:right="100" w:firstLine="9"/>
        <w:spacing w:after="0" w:line="267" w:lineRule="auto"/>
        <w:tabs>
          <w:tab w:leader="none" w:pos="3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79" w:lineRule="exact"/>
        <w:rPr>
          <w:rFonts w:ascii="Arial" w:cs="Arial" w:eastAsia="Arial" w:hAnsi="Arial"/>
          <w:sz w:val="17"/>
          <w:szCs w:val="17"/>
          <w:color w:val="auto"/>
        </w:rPr>
      </w:pPr>
    </w:p>
    <w:p>
      <w:pPr>
        <w:ind w:left="120" w:firstLine="998"/>
        <w:spacing w:after="0" w:line="263" w:lineRule="auto"/>
        <w:tabs>
          <w:tab w:leader="none" w:pos="136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360" w:hanging="242"/>
        <w:spacing w:after="0"/>
        <w:tabs>
          <w:tab w:leader="none" w:pos="13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4" w:lineRule="exact"/>
        <w:rPr>
          <w:sz w:val="20"/>
          <w:szCs w:val="20"/>
          <w:color w:val="auto"/>
        </w:rPr>
      </w:pPr>
    </w:p>
    <w:p>
      <w:pPr>
        <w:jc w:val="both"/>
        <w:ind w:left="120" w:right="60" w:firstLine="998"/>
        <w:spacing w:after="0" w:line="258"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7" w:lineRule="exact"/>
        <w:rPr>
          <w:rFonts w:ascii="Arial" w:cs="Arial" w:eastAsia="Arial" w:hAnsi="Arial"/>
          <w:sz w:val="18"/>
          <w:szCs w:val="18"/>
          <w:color w:val="auto"/>
        </w:rPr>
      </w:pPr>
    </w:p>
    <w:p>
      <w:pPr>
        <w:ind w:left="120" w:right="100" w:firstLine="998"/>
        <w:spacing w:after="0" w:line="301" w:lineRule="auto"/>
        <w:tabs>
          <w:tab w:leader="none" w:pos="13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54" w:lineRule="exact"/>
        <w:rPr>
          <w:rFonts w:ascii="Arial" w:cs="Arial" w:eastAsia="Arial" w:hAnsi="Arial"/>
          <w:sz w:val="16"/>
          <w:szCs w:val="16"/>
          <w:color w:val="auto"/>
        </w:rPr>
      </w:pPr>
    </w:p>
    <w:p>
      <w:pPr>
        <w:ind w:left="120" w:right="200" w:firstLine="998"/>
        <w:spacing w:after="0" w:line="263"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82" w:lineRule="exact"/>
        <w:rPr>
          <w:sz w:val="20"/>
          <w:szCs w:val="20"/>
          <w:color w:val="auto"/>
        </w:rPr>
      </w:pPr>
    </w:p>
    <w:p>
      <w:pPr>
        <w:ind w:left="120" w:right="160" w:firstLine="989"/>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81"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Interest Rates; LIBOR Notification</w:t>
      </w:r>
      <w:r>
        <w:rPr>
          <w:rFonts w:ascii="Arial" w:cs="Arial" w:eastAsia="Arial" w:hAnsi="Arial"/>
          <w:sz w:val="16"/>
          <w:szCs w:val="16"/>
          <w:color w:val="auto"/>
        </w:rPr>
        <w:t>. The interest rate on a Loan denominated in Dollars or any Optional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is intended to represent the rate at which contributing banks may obtain short-term borrowings from each other in the London interbank market. On March 5, 2021, the U.K.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publicly announced that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or an Early Opt-in Election, Section 2.18(b) and (c) provide the mechanism for determining an alternative rate of interest. The Administrative Agent will promptly notify the Company, pursuant to Section 2.18(e),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LIBOR or other rates in the definition of “Eurocurrency Base Rate” (or “EURIBOR Rate”, or “TIBOR Rate”, as applicable) or with respect to any alternative or successor rate thereto, or replacement rate thereof, (including, without limitation, (i) any such alternative, successor or replacement rate implemented pursuant to Section 2.18(b) or (c), whether upon the occurrence of a Benchmark Transition Event, a Term SOFR Transition Event or an Early Opt-in Election, and (ii) the implementation of any Benchmark Replacement Conforming Changes pursuant to</w:t>
      </w:r>
    </w:p>
    <w:p>
      <w:pPr>
        <w:spacing w:after="0" w:line="1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Section 2.18(d)), including without limitation, whether the composition or characteristics of any such alternative, successor or replacement reference rate will be similar to, or produce the same value or economic equivalence of, the Eurocurrency Rate (or EURIBOR Rate, or TIBOR Rate, as applicable) or have the same volume or liquidity as did LIBOR (or the euro interbank offered rate, as applicable) prior to its discontinuance or unavailability.</w:t>
      </w:r>
    </w:p>
    <w:p>
      <w:pPr>
        <w:spacing w:after="0" w:line="155" w:lineRule="exact"/>
        <w:rPr>
          <w:sz w:val="20"/>
          <w:szCs w:val="20"/>
          <w:color w:val="auto"/>
        </w:rPr>
      </w:pPr>
    </w:p>
    <w:p>
      <w:pPr>
        <w:ind w:left="120" w:right="40" w:firstLine="989"/>
        <w:spacing w:after="0" w:line="256"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2. AMOUNT AND TERMS OF COMMITMENTS</w:t>
      </w:r>
    </w:p>
    <w:p>
      <w:pPr>
        <w:spacing w:after="0" w:line="224" w:lineRule="exact"/>
        <w:rPr>
          <w:sz w:val="20"/>
          <w:szCs w:val="20"/>
          <w:color w:val="auto"/>
        </w:rPr>
      </w:pPr>
    </w:p>
    <w:p>
      <w:pPr>
        <w:ind w:left="120" w:right="60" w:firstLine="989"/>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Domestic Commitments</w:t>
      </w:r>
      <w:r>
        <w:rPr>
          <w:rFonts w:ascii="Arial" w:cs="Arial" w:eastAsia="Arial" w:hAnsi="Arial"/>
          <w:sz w:val="16"/>
          <w:szCs w:val="16"/>
          <w:color w:val="auto"/>
        </w:rPr>
        <w:t>. (a) Subject to the terms and conditions hereof, each Domestic Lender severally agrees to make (or cause its Applicable Lending Office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w:t>
      </w:r>
    </w:p>
    <w:p>
      <w:pPr>
        <w:spacing w:after="0" w:line="1" w:lineRule="exact"/>
        <w:rPr>
          <w:sz w:val="20"/>
          <w:szCs w:val="20"/>
          <w:color w:val="auto"/>
        </w:rPr>
      </w:pPr>
    </w:p>
    <w:p>
      <w:pPr>
        <w:ind w:left="120" w:right="40" w:firstLine="9"/>
        <w:spacing w:after="0" w:line="251"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Lender’s Domestic Extensions of Credit do not exceed the amount of such Lender’s Domestic Commitments, (ii) the Total Domestic Extensions of Credit shall not exceed the Total Domestic Commitments then in effect and (iii)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2.14.</w:t>
      </w:r>
    </w:p>
    <w:p>
      <w:pPr>
        <w:spacing w:after="0" w:line="194" w:lineRule="exact"/>
        <w:rPr>
          <w:rFonts w:ascii="Arial" w:cs="Arial" w:eastAsia="Arial" w:hAnsi="Arial"/>
          <w:sz w:val="18"/>
          <w:szCs w:val="18"/>
          <w:color w:val="auto"/>
        </w:rPr>
      </w:pPr>
    </w:p>
    <w:p>
      <w:pPr>
        <w:ind w:left="120" w:right="260" w:firstLine="998"/>
        <w:spacing w:after="0" w:line="276" w:lineRule="auto"/>
        <w:tabs>
          <w:tab w:leader="none" w:pos="136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0" w:lineRule="exact"/>
        <w:rPr>
          <w:sz w:val="20"/>
          <w:szCs w:val="20"/>
          <w:color w:val="auto"/>
        </w:rPr>
      </w:pPr>
    </w:p>
    <w:p>
      <w:pPr>
        <w:ind w:left="120" w:firstLine="989"/>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Domestic Loan Borrowing</w:t>
      </w:r>
      <w:r>
        <w:rPr>
          <w:rFonts w:ascii="Arial" w:cs="Arial" w:eastAsia="Arial" w:hAnsi="Arial"/>
          <w:sz w:val="16"/>
          <w:szCs w:val="16"/>
          <w:color w:val="auto"/>
        </w:rPr>
        <w:t xml:space="preserve">. The Company and any Domestic Subsidiary Borrower may borrow under the Domestic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Each borrowing under the Domestic Commitments shall be in an amount equal to $25 million (or, if the Total Available Domestic Commitments at such time are less than $25 million, such lesser amount) or a whole multiple of $5 million in excess thereof. Upon receipt of any such notice from the Company or the relevant Domestic Subsidiary Borrower, the Administrative Agent shall promptly notify each Domestic Lender thereof. Each Domestic Lender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8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Multicurrency Commitments</w:t>
      </w:r>
      <w:r>
        <w:rPr>
          <w:rFonts w:ascii="Arial" w:cs="Arial" w:eastAsia="Arial" w:hAnsi="Arial"/>
          <w:sz w:val="16"/>
          <w:szCs w:val="16"/>
          <w:color w:val="auto"/>
        </w:rPr>
        <w:t>. (a) Subject to the terms and conditions hereof, each Multicurrency Lender severally agrees to make (or cause its Applicable Lending Office to make) revolving loans (“</w:t>
      </w:r>
      <w:r>
        <w:rPr>
          <w:rFonts w:ascii="Arial" w:cs="Arial" w:eastAsia="Arial" w:hAnsi="Arial"/>
          <w:sz w:val="16"/>
          <w:szCs w:val="16"/>
          <w:u w:val="single" w:color="auto"/>
          <w:color w:val="auto"/>
        </w:rPr>
        <w:t>Multicurrency Loans</w:t>
      </w:r>
      <w:r>
        <w:rPr>
          <w:rFonts w:ascii="Arial" w:cs="Arial" w:eastAsia="Arial" w:hAnsi="Arial"/>
          <w:sz w:val="16"/>
          <w:szCs w:val="16"/>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Multicurrency Extensions of Credit do not exceed the amount of such Lender’s Multicurrency Commitments, (ii) the Total Multicurrency Extensions of Credit shall not exceed the Total Multicurrency Commitments then in effect and</w:t>
      </w:r>
    </w:p>
    <w:p>
      <w:pPr>
        <w:spacing w:after="0" w:line="3" w:lineRule="exact"/>
        <w:rPr>
          <w:sz w:val="20"/>
          <w:szCs w:val="20"/>
          <w:color w:val="auto"/>
        </w:rPr>
      </w:pPr>
    </w:p>
    <w:p>
      <w:pPr>
        <w:ind w:left="120" w:right="60" w:firstLine="9"/>
        <w:spacing w:after="0" w:line="252" w:lineRule="auto"/>
        <w:tabs>
          <w:tab w:leader="none" w:pos="4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2.14.</w:t>
      </w:r>
    </w:p>
    <w:p>
      <w:pPr>
        <w:spacing w:after="0" w:line="191" w:lineRule="exact"/>
        <w:rPr>
          <w:rFonts w:ascii="Arial" w:cs="Arial" w:eastAsia="Arial" w:hAnsi="Arial"/>
          <w:sz w:val="18"/>
          <w:szCs w:val="18"/>
          <w:color w:val="auto"/>
        </w:rPr>
      </w:pPr>
    </w:p>
    <w:p>
      <w:pPr>
        <w:ind w:left="120" w:right="140" w:firstLine="998"/>
        <w:spacing w:after="0" w:line="276" w:lineRule="auto"/>
        <w:tabs>
          <w:tab w:leader="none" w:pos="136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70" w:lineRule="exact"/>
        <w:rPr>
          <w:rFonts w:ascii="Arial" w:cs="Arial" w:eastAsia="Arial" w:hAnsi="Arial"/>
          <w:sz w:val="18"/>
          <w:szCs w:val="18"/>
          <w:color w:val="auto"/>
        </w:rPr>
      </w:pPr>
    </w:p>
    <w:p>
      <w:pPr>
        <w:ind w:left="120" w:right="140" w:firstLine="998"/>
        <w:spacing w:after="0" w:line="285" w:lineRule="auto"/>
        <w:tabs>
          <w:tab w:leader="none" w:pos="1353" w:val="left"/>
        </w:tabs>
        <w:numPr>
          <w:ilvl w:val="1"/>
          <w:numId w:val="42"/>
        </w:numPr>
        <w:rPr>
          <w:rFonts w:ascii="Arial" w:cs="Arial" w:eastAsia="Arial" w:hAnsi="Arial"/>
          <w:sz w:val="17"/>
          <w:szCs w:val="17"/>
          <w:color w:val="auto"/>
        </w:rPr>
      </w:pPr>
      <w:r>
        <w:rPr>
          <w:rFonts w:ascii="Arial" w:cs="Arial" w:eastAsia="Arial" w:hAnsi="Arial"/>
          <w:sz w:val="17"/>
          <w:szCs w:val="17"/>
          <w:color w:val="auto"/>
        </w:rPr>
        <w:t>Subject to the terms of this Agreement and the relevant Ancillary Facility Document(s), any Lender may make all or part of its Multicurrency Commitment available to any Ancillary Borrower as an Ancillary Facility. For the avoidance of doubt, any reference to a Multicurrency Loan, Multicurrency Competitive Loan, Loan or Letter of Credit shall not include any utilization of any Ancillary Facility.</w:t>
      </w:r>
    </w:p>
    <w:p>
      <w:pPr>
        <w:spacing w:after="0" w:line="166" w:lineRule="exact"/>
        <w:rPr>
          <w:sz w:val="20"/>
          <w:szCs w:val="20"/>
          <w:color w:val="auto"/>
        </w:rPr>
      </w:pPr>
    </w:p>
    <w:p>
      <w:pPr>
        <w:ind w:left="120" w:firstLine="989"/>
        <w:spacing w:after="0" w:line="28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Procedure for Multicurrency Loan Borrowing</w:t>
      </w:r>
      <w:r>
        <w:rPr>
          <w:rFonts w:ascii="Arial" w:cs="Arial" w:eastAsia="Arial" w:hAnsi="Arial"/>
          <w:sz w:val="16"/>
          <w:szCs w:val="16"/>
          <w:color w:val="auto"/>
        </w:rPr>
        <w:t>. The Company and any relevant Subsidiary Borrower may borrow under the Multicurrency Commitments during the applicable Commitment Period on any Business Day, provided, that the Company or the relevant Subsidiary Borrower shall deliver to the Administrative Agent (x) in the case of any Multicurrency Loan denominated in Dollars, a written Borrowing Request (or telephonic notice promptly confirmed in a written Borrowing Request) prior to (a) in the case of Eurocurrency Loans, 1:00 P.M., New York City time, three Business Days prior to the requested Borrowing Date, or (b) 1:00 P.M., New York City time, on the date of the proposed borrowing, in the case of ABR Loans requested by the Company and (y) in the case of any Multicurrency Loan denominated in an Optional Currency, a written Borrowing Request prior to 1:00 P.M., London time, three Business Days prior to the requested Borrowing Date, in each case, specifying (a) the amount, Type and Currency of Multicurrency Loans to be borrowed, (b) the requested Borrowing Date and (c) the respective lengths of the initial Interest Period(s) therefor, if applicable; provided further,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pro rata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 (y) in the</w:t>
      </w: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2.5 [Reserved].</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2.6 [Reserved].</w:t>
      </w:r>
    </w:p>
    <w:p>
      <w:pPr>
        <w:spacing w:after="0" w:line="224" w:lineRule="exact"/>
        <w:rPr>
          <w:sz w:val="20"/>
          <w:szCs w:val="20"/>
          <w:color w:val="auto"/>
        </w:rPr>
      </w:pPr>
    </w:p>
    <w:p>
      <w:pPr>
        <w:ind w:left="120" w:right="80" w:firstLine="989"/>
        <w:spacing w:after="0" w:line="269"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L/C Tranche Commitments</w:t>
      </w:r>
      <w:r>
        <w:rPr>
          <w:rFonts w:ascii="Arial" w:cs="Arial" w:eastAsia="Arial" w:hAnsi="Arial"/>
          <w:sz w:val="17"/>
          <w:szCs w:val="17"/>
          <w:color w:val="auto"/>
        </w:rPr>
        <w:t>. (a) Subject to the terms and conditions hereof, each L/C Tranche Lender severally agrees to make (or cause its Applicable Lending Office to make) revolving loans (“</w:t>
      </w:r>
      <w:r>
        <w:rPr>
          <w:rFonts w:ascii="Arial" w:cs="Arial" w:eastAsia="Arial" w:hAnsi="Arial"/>
          <w:sz w:val="17"/>
          <w:szCs w:val="17"/>
          <w:u w:val="single" w:color="auto"/>
          <w:color w:val="auto"/>
        </w:rPr>
        <w:t>L/C Tranche Loans</w:t>
      </w:r>
      <w:r>
        <w:rPr>
          <w:rFonts w:ascii="Arial" w:cs="Arial" w:eastAsia="Arial" w:hAnsi="Arial"/>
          <w:sz w:val="17"/>
          <w:szCs w:val="17"/>
          <w:color w:val="auto"/>
        </w:rPr>
        <w:t xml:space="preserve">”) in Dollars or any Optional Currency to the Company or any Foreign Subsidiary Borrower from time to time during the Commitment Period of such L/C Tranche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L/C Tranche Extensions of Credit do not exceed the amount of such Lender’s L/C Tranche Commitments and (ii)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Eurocurrency Loans or (if made to the Company and denominated in Dollars) ABR Loans as notified to the Administrative Agent in accordance with Section 2.8 and 2.14.</w:t>
      </w:r>
    </w:p>
    <w:p>
      <w:pPr>
        <w:spacing w:after="0" w:line="183" w:lineRule="exact"/>
        <w:rPr>
          <w:sz w:val="20"/>
          <w:szCs w:val="20"/>
          <w:color w:val="auto"/>
        </w:rPr>
      </w:pPr>
    </w:p>
    <w:p>
      <w:pPr>
        <w:ind w:left="120" w:right="100" w:firstLine="998"/>
        <w:spacing w:after="0" w:line="276" w:lineRule="auto"/>
        <w:tabs>
          <w:tab w:leader="none" w:pos="13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L/C Tranche Loans of a Lender on the Termination Date for such Lender under the L/C Tranche Facility.</w:t>
      </w:r>
    </w:p>
    <w:p>
      <w:pPr>
        <w:spacing w:after="0" w:line="170" w:lineRule="exact"/>
        <w:rPr>
          <w:sz w:val="20"/>
          <w:szCs w:val="20"/>
          <w:color w:val="auto"/>
        </w:rPr>
      </w:pPr>
    </w:p>
    <w:p>
      <w:pPr>
        <w:ind w:left="120" w:right="80" w:firstLine="989"/>
        <w:spacing w:after="0" w:line="290"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Procedure for L/C Tranche Loan Borrowing</w:t>
      </w:r>
      <w:r>
        <w:rPr>
          <w:rFonts w:ascii="Arial" w:cs="Arial" w:eastAsia="Arial" w:hAnsi="Arial"/>
          <w:sz w:val="16"/>
          <w:szCs w:val="16"/>
          <w:color w:val="auto"/>
        </w:rPr>
        <w:t xml:space="preserve">. The Company and any relevant Subsidiary Borrower may borrow under the L/C Tranche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in the case of a deemed request for an ABR Loan</w:t>
      </w:r>
    </w:p>
    <w:p>
      <w:pPr>
        <w:spacing w:after="0" w:line="1" w:lineRule="exact"/>
        <w:rPr>
          <w:sz w:val="20"/>
          <w:szCs w:val="20"/>
          <w:color w:val="auto"/>
        </w:rPr>
      </w:pPr>
    </w:p>
    <w:p>
      <w:pPr>
        <w:ind w:left="120" w:right="60" w:firstLine="9"/>
        <w:spacing w:after="0" w:line="284" w:lineRule="auto"/>
        <w:tabs>
          <w:tab w:leader="none" w:pos="334"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on the Reimbursement Date of a Reimbursement Obligation as contemplated by Section 3.5 and (ii) for payment of fees due pursuant to the L/C Fee Letter as contemplated by Section 3.3, the Company or the relevant Subsidiary Borrower shall deliver to the Administrative Agent (x) in the case of any L/C Tranche Loan denominated in Dollars, a written Borrowing Request (or telephonic notice promptly confirmed in a written Borrowing Request) prior to (a) 1:00 P.M., New York City time, three Business Days prior to the requested Borrowing Date, in the case of Eurocurrency Loans, or (b) 12:00 Noon, New York City time, on the date of the proposed borrowing, in the case of ABR Loans requested by the Company and (y) in the case of any L/C Tranche Loan denominated in an Optional Currency, a written Borrowing Request prior to 12:00 Noon, London time, three Business Days prior to the requested Borrowing Date, in each case, specifying (a) the amount, Type and Currency of L/C Tranche Loans to be borrowed, (b) the requested Borrowing Date and (c) the respective lengths of the initial Interest Period(s) therefor, if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Subsidiary Borrower shall include the written consent of the Company. If no election as to the Type of an L/C Tranche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Except as otherwise contemplated by Sections 3.3 and 3.5, each borrowing under the L/C Tranche Commitments shall be in an amount that is an integral multiple of $10 million of</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8"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 xml:space="preserve">the relevant Currency and no less than an amount which is equal to the Dollar Equivalent of $50 million (or, if the Total Available L/C Tranche Commitments are less than $50 million at such time, such lesser amount). Upon receipt of any such notice from the Company or the relevant Subsidiary Borrower (or, as provided in Sections 3.3 and 3.5, deemed notice), the Administrative Agent shall promptly notify each L/C Tranche Lender holding L/C Tranche Commitments of such notice. Each L/C Tranche Lender holding L/C Tranche Commitments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L/C Tranche Loan denominated in Dollars, 1:00 P.M. (or, in the case of an ABR Loan requested by the Company on the proposed Borrowing Date, 3:00 P.M.), New York City time, on the Borrowing Date requested by the Company or the relevant Subsidiary Borrower and (y) in the case of any L/C Tranche Loan denominated in an Optional Currency, 2:00 P.M., London time, on the Borrowing Date requested by the Company or such Subsidiary Borrower in funds immediately available to the Administrative Agent. Subject to Sections 3.3 and 3.5 (where the proceeds of such borrowing shall be applied to repay fees due pursuant to the L/C Fee Letter or the related Reimbursement Obligation, as applicable),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L/C Tranche Lenders and in like funds as received by the Administrative Agent.</w:t>
      </w:r>
    </w:p>
    <w:p>
      <w:pPr>
        <w:spacing w:after="0" w:line="174" w:lineRule="exact"/>
        <w:rPr>
          <w:sz w:val="20"/>
          <w:szCs w:val="20"/>
          <w:color w:val="auto"/>
        </w:rPr>
      </w:pPr>
    </w:p>
    <w:p>
      <w:pPr>
        <w:ind w:left="120" w:firstLine="989"/>
        <w:spacing w:after="0" w:line="28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the Total Domestic Extensions of Credit shall not exceed the Total Domestic Commitments then in effect and (ii)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w:t>
      </w:r>
    </w:p>
    <w:p>
      <w:pPr>
        <w:spacing w:after="0" w:line="1" w:lineRule="exact"/>
        <w:rPr>
          <w:sz w:val="20"/>
          <w:szCs w:val="20"/>
          <w:color w:val="auto"/>
        </w:rPr>
      </w:pPr>
    </w:p>
    <w:p>
      <w:pPr>
        <w:ind w:left="120" w:right="160" w:firstLine="9"/>
        <w:spacing w:after="0" w:line="253" w:lineRule="auto"/>
        <w:tabs>
          <w:tab w:leader="none" w:pos="3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amount (which shall be a minimum of $50 million) and Type of the requested Competitive Loans, (3) the requested Borrowing Date and (4) the requested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90" w:lineRule="exact"/>
        <w:rPr>
          <w:rFonts w:ascii="Arial" w:cs="Arial" w:eastAsia="Arial" w:hAnsi="Arial"/>
          <w:sz w:val="18"/>
          <w:szCs w:val="18"/>
          <w:color w:val="auto"/>
        </w:rPr>
      </w:pPr>
    </w:p>
    <w:p>
      <w:pPr>
        <w:ind w:left="120" w:right="160" w:firstLine="998"/>
        <w:spacing w:after="0" w:line="270" w:lineRule="auto"/>
        <w:tabs>
          <w:tab w:leader="none" w:pos="1373"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(x) the Total Multicurrency Extensions of Credit shall not exceed the Total Multicurrency Commitments then in effect and (y)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 xml:space="preserve">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58" w:lineRule="exact"/>
        <w:rPr>
          <w:sz w:val="20"/>
          <w:szCs w:val="20"/>
          <w:color w:val="auto"/>
        </w:rPr>
      </w:pPr>
    </w:p>
    <w:p>
      <w:pPr>
        <w:ind w:left="120" w:firstLine="998"/>
        <w:spacing w:after="0" w:line="258" w:lineRule="auto"/>
        <w:tabs>
          <w:tab w:leader="none" w:pos="13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2.9 (but, in any event, no later than (x) 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87" w:lineRule="exact"/>
        <w:rPr>
          <w:rFonts w:ascii="Arial" w:cs="Arial" w:eastAsia="Arial" w:hAnsi="Arial"/>
          <w:sz w:val="18"/>
          <w:szCs w:val="18"/>
          <w:color w:val="auto"/>
        </w:rPr>
      </w:pPr>
    </w:p>
    <w:p>
      <w:pPr>
        <w:ind w:left="120" w:right="100" w:firstLine="998"/>
        <w:spacing w:after="0" w:line="267" w:lineRule="auto"/>
        <w:tabs>
          <w:tab w:leader="none" w:pos="13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83" w:lineRule="exact"/>
        <w:rPr>
          <w:rFonts w:ascii="Arial" w:cs="Arial" w:eastAsia="Arial" w:hAnsi="Arial"/>
          <w:sz w:val="17"/>
          <w:szCs w:val="17"/>
          <w:color w:val="auto"/>
        </w:rPr>
      </w:pPr>
    </w:p>
    <w:p>
      <w:pPr>
        <w:ind w:left="120" w:right="100" w:firstLine="998"/>
        <w:spacing w:after="0" w:line="291" w:lineRule="auto"/>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firstLine="998"/>
        <w:spacing w:after="0" w:line="284" w:lineRule="auto"/>
        <w:tabs>
          <w:tab w:leader="none" w:pos="1353"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390" w:lineRule="exact"/>
        <w:rPr>
          <w:rFonts w:ascii="Arial" w:cs="Arial" w:eastAsia="Arial" w:hAnsi="Arial"/>
          <w:sz w:val="16"/>
          <w:szCs w:val="16"/>
          <w:color w:val="auto"/>
        </w:rPr>
      </w:pPr>
    </w:p>
    <w:p>
      <w:pPr>
        <w:ind w:left="120" w:firstLine="998"/>
        <w:spacing w:after="0" w:line="271" w:lineRule="auto"/>
        <w:tabs>
          <w:tab w:leader="none" w:pos="133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8" w:lineRule="exact"/>
        <w:rPr>
          <w:rFonts w:ascii="Arial" w:cs="Arial" w:eastAsia="Arial" w:hAnsi="Arial"/>
          <w:sz w:val="17"/>
          <w:szCs w:val="17"/>
          <w:color w:val="auto"/>
        </w:rPr>
      </w:pPr>
    </w:p>
    <w:p>
      <w:pPr>
        <w:ind w:left="120" w:right="80" w:firstLine="998"/>
        <w:spacing w:after="0" w:line="263" w:lineRule="auto"/>
        <w:tabs>
          <w:tab w:leader="none" w:pos="13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181" w:lineRule="exact"/>
        <w:rPr>
          <w:rFonts w:ascii="Arial" w:cs="Arial" w:eastAsia="Arial" w:hAnsi="Arial"/>
          <w:sz w:val="18"/>
          <w:szCs w:val="18"/>
          <w:color w:val="auto"/>
        </w:rPr>
      </w:pPr>
    </w:p>
    <w:p>
      <w:pPr>
        <w:ind w:left="120" w:right="120" w:firstLine="998"/>
        <w:spacing w:after="0" w:line="276" w:lineRule="auto"/>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70" w:lineRule="exact"/>
        <w:rPr>
          <w:sz w:val="20"/>
          <w:szCs w:val="20"/>
          <w:color w:val="auto"/>
        </w:rPr>
      </w:pPr>
    </w:p>
    <w:p>
      <w:pPr>
        <w:ind w:left="120" w:right="80" w:firstLine="989"/>
        <w:spacing w:after="0" w:line="25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Multicurrency Lender and L/C Tranche Lender (for the period from and including the Closing Date (or such later date as of which such Lender shall become a Lender under the Domestic Facility, the Multicurrency Facility or the L/C Tranche Facility, as applicable) to the date on which all Extensions of Credit of such Lender under such Facility have been paid in full (or Collateralized) and the Commitments of such Lender under such Facility have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8"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been terminated, computed at the Facility Fee Rate on the average daily amount of the Commitments of such Domestic Lender, Multicurrency Lender or L/C Tranche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(or, with respect to any such Facility Fee paid in respect of the L/C Tranche Facility, the later of (x) the related Fee Payment Date and (y) the date that is ten days after the Administrative Agent has provided the Company an invoice relating to such Fee Payment Period for such fees), commencing on the first such date to occur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such Facility Fee paid in respect of the L/C Tranche Facility for any period shall be paid without duplication of any “Facility Fees” owing under the L/C Fee Letter with respect to such period.</w:t>
      </w:r>
    </w:p>
    <w:p>
      <w:pPr>
        <w:spacing w:after="0" w:line="180" w:lineRule="exact"/>
        <w:rPr>
          <w:sz w:val="20"/>
          <w:szCs w:val="20"/>
          <w:color w:val="auto"/>
        </w:rPr>
      </w:pPr>
    </w:p>
    <w:p>
      <w:pPr>
        <w:ind w:left="120" w:right="440" w:firstLine="998"/>
        <w:spacing w:after="0" w:line="276" w:lineRule="auto"/>
        <w:tabs>
          <w:tab w:leader="none" w:pos="13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70" w:lineRule="exact"/>
        <w:rPr>
          <w:rFonts w:ascii="Arial" w:cs="Arial" w:eastAsia="Arial" w:hAnsi="Arial"/>
          <w:sz w:val="18"/>
          <w:szCs w:val="18"/>
          <w:color w:val="auto"/>
        </w:rPr>
      </w:pPr>
    </w:p>
    <w:p>
      <w:pPr>
        <w:ind w:left="1360" w:hanging="242"/>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ind w:left="120" w:right="360" w:firstLine="998"/>
        <w:spacing w:after="0" w:line="276" w:lineRule="auto"/>
        <w:tabs>
          <w:tab w:leader="none" w:pos="13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February 8, 2021 between the Company and the Administrative Agent.</w:t>
      </w:r>
    </w:p>
    <w:p>
      <w:pPr>
        <w:spacing w:after="0" w:line="170" w:lineRule="exact"/>
        <w:rPr>
          <w:rFonts w:ascii="Arial" w:cs="Arial" w:eastAsia="Arial" w:hAnsi="Arial"/>
          <w:sz w:val="18"/>
          <w:szCs w:val="18"/>
          <w:color w:val="auto"/>
        </w:rPr>
      </w:pPr>
    </w:p>
    <w:p>
      <w:pPr>
        <w:ind w:left="120" w:right="40" w:firstLine="998"/>
        <w:spacing w:after="0" w:line="276"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and timing of payments of fees in respect of any Ancillary Facility will be agreed by the relevant Ancillary Lender and the applicable Foreign Subsidiary under such Ancillary Facility.</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Reduction and Reallocation of Commitments</w:t>
      </w:r>
      <w:r>
        <w:rPr>
          <w:rFonts w:ascii="Arial" w:cs="Arial" w:eastAsia="Arial" w:hAnsi="Arial"/>
          <w:sz w:val="18"/>
          <w:szCs w:val="18"/>
          <w:color w:val="auto"/>
        </w:rPr>
        <w:t>.</w:t>
      </w:r>
    </w:p>
    <w:p>
      <w:pPr>
        <w:spacing w:after="0" w:line="224" w:lineRule="exact"/>
        <w:rPr>
          <w:sz w:val="20"/>
          <w:szCs w:val="20"/>
          <w:color w:val="auto"/>
        </w:rPr>
      </w:pPr>
    </w:p>
    <w:p>
      <w:pPr>
        <w:ind w:left="120" w:right="20" w:firstLine="998"/>
        <w:spacing w:after="0" w:line="267" w:lineRule="auto"/>
        <w:tabs>
          <w:tab w:leader="none" w:pos="13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upon not less than three Business Days’ notice to the Administrative Agent, to terminate the Commitments under any Facility or, from time to time, to reduce the amount of Commitments under any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or reduction of such Commitments shall be permitted if, after giving effect thereto and to any prepayments of the Loans (if applicable) made on the effective date thereof, (w) the Total Domestic Extensions of Credit would exceed the Total Domestic Commitments then in effect, (x) the Domestic Extensions of Credit of any Lender would exceed such Lender’s Domestic Commitment then in effect, (y) the Total L/C Tranche Extensions of Credit would exceed the Total L/C Tranche Commitments then in effect, or (z) the Total Multicurrency Extensions of Credit would exceed the Total Multicurrency Commitments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2.11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67" w:lineRule="auto"/>
        <w:tabs>
          <w:tab w:leader="none" w:pos="1363"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(y) in the case of a reallocation of L/C Tranche Commitments, the Total L/C Tranche Extensions of Credit shall not exceed the Total L/C Tranche Commitments then in effect. Except as provided in Section 2.24, any such reallocation shall be in an amount equal to $25 million or a whole multiple of $1 million in excess thereof. Any such reallocation shall reduce the Multicurrency Commitments or L/C Tranche Commitments, as applicable, of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existing Multicurrency Commitments or L/C Tranche Commitments, as applicable, at such time and increase such Lender’s Domestic Commitment by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reallocation would result in amounts being payable by the Company or any Subsidiary Borrower to any Lender under Section 2.20 or 2.21, such Lender shall use reasonable efforts (subject to Section 2.23)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2.22 as a result of such prepayment.</w:t>
      </w:r>
    </w:p>
    <w:p>
      <w:pPr>
        <w:spacing w:after="0" w:line="179" w:lineRule="exact"/>
        <w:rPr>
          <w:rFonts w:ascii="Arial" w:cs="Arial" w:eastAsia="Arial" w:hAnsi="Arial"/>
          <w:sz w:val="17"/>
          <w:szCs w:val="17"/>
          <w:color w:val="auto"/>
        </w:rPr>
      </w:pPr>
    </w:p>
    <w:p>
      <w:pPr>
        <w:ind w:left="120" w:firstLine="998"/>
        <w:spacing w:after="0" w:line="284" w:lineRule="auto"/>
        <w:tabs>
          <w:tab w:leader="none" w:pos="1353"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or L/C Tranche Facility, as applicable, reallocate a portion of their respective Domestic Commitments or L/C Tranche Commitments, as applicable, to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and any prepayment of the Domestic Loans or L/C Tranche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(i) in the case of a reallocation of Domestic Commitments,</w:t>
      </w:r>
    </w:p>
    <w:p>
      <w:pPr>
        <w:spacing w:after="0" w:line="3" w:lineRule="exact"/>
        <w:rPr>
          <w:rFonts w:ascii="Arial" w:cs="Arial" w:eastAsia="Arial" w:hAnsi="Arial"/>
          <w:sz w:val="16"/>
          <w:szCs w:val="16"/>
          <w:color w:val="auto"/>
        </w:rPr>
      </w:pPr>
    </w:p>
    <w:p>
      <w:pPr>
        <w:ind w:left="120" w:right="20" w:firstLine="9"/>
        <w:spacing w:after="0" w:line="266" w:lineRule="auto"/>
        <w:tabs>
          <w:tab w:leader="none" w:pos="41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Total Domestic Extensions of Credit shall not exceed the Total Domestic Commitments then in effect and (B) the Domestic Extensions of Credit of any Lender shall not exceed the amount of such Lender’s Domestic Commitments then in effect and (ii) in the case of a reallocation of L/C Tranche Commitments, the Total L/C Tranche Extensions of Credit shall not exceed the Total L/C Tranche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or the L/C Tranche Lenders, as applicable, to such reallocation. The relevant Lenders agreeing to reallocate a portion of their Domestic Commitments or L/C Tranche Commitments, as applicable, to the Multicurrency Facility shall have such portion of their Domestic Commitment or L/C Tranche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2.22 as a result of such prepayment(s). Notwithstanding anything in this clause (c) to the contrary, no Domestic Lender or L/C Tranche Lender, as applicable, shall be obligated to reallocate any portion of its Domestic Commitments or L/C Tranche Commitments, as applicable, to the Multicurrency Facility unless such Lender agrees.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83" w:lineRule="auto"/>
        <w:tabs>
          <w:tab w:leader="none" w:pos="1363"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or Multicurrency Facility, as applicable, reallocate a portion of their respective Domestic Commitments or Multicurrency Commitments, as applicable, to the L/C Tranche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and any prepayment of the Domestic Loans or Multicurrency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(x)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and (y)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or the Multicurrency Lenders, as applicable, to such reallocation. The relevant Lenders agreeing to reallocate a portion of their Domestic Commitments or Multicurrency Commitments, as applicable, to the L/C Tranche Facility shall have such portion of their Domestic Commitments or Multicurrency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 Tranche Loans and (iii) the Company and any relevant Subsidiary Borrower shall pay to the relevant Lenders the amounts, if any, payable under Section 2.22 as a result of such prepayment(s). Notwithstanding anything in this clause (d) to the contrary, no Domestic Lender or Multicurrency Lender, as applicable, shall be obligated to reallocate any portion of its Domestic Commitments or Multicurrency Commitments, as applicable, to the L/C Tranche Facility unless such Lender agrees.</w:t>
      </w:r>
    </w:p>
    <w:p>
      <w:pPr>
        <w:spacing w:after="0" w:line="399" w:lineRule="exact"/>
        <w:rPr>
          <w:sz w:val="20"/>
          <w:szCs w:val="20"/>
          <w:color w:val="auto"/>
        </w:rPr>
      </w:pPr>
    </w:p>
    <w:p>
      <w:pPr>
        <w:ind w:left="120" w:firstLine="989"/>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Company and any relevant Subsidiary Borrower may at any time and from time to time prepay the Loans, in whole or in part, without premium or penalty, upon irrevocable notice delivered to the Administrative Agent no later than (x) with respect to Domestic Loans and Domestic Competitive Loans, 1:00 P.M., New York City time, three Business Days prior thereto, in the case of Eurocurrency Loans, and no later than 1:00 P.M., New York City time, on the day of such prepayment, in the case of ABR Loans, and (y) with respect to L/C Tranche Loans, Multicurrency Loans and Multicurrency Competitive Loans, 11 A.M., London time, three Business Days prior thereto, in each case which notice shall specify the applicable Facility, the date and amount of prepayment and whether the prepayment is of Eurocurrency Loans or ABR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if a Eurocurrency Loan is prepaid on any day other than the last day of the Interest Period applicable thereto, the Company or the relevant Subsidiary Borrower shall also pay any amounts owing 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8"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units of the Currency of such Loan and no less than the Dollar Equivalent of $25 million.</w:t>
      </w:r>
    </w:p>
    <w:p>
      <w:pPr>
        <w:spacing w:after="0" w:line="167" w:lineRule="exact"/>
        <w:rPr>
          <w:sz w:val="20"/>
          <w:szCs w:val="20"/>
          <w:color w:val="auto"/>
        </w:rPr>
      </w:pPr>
    </w:p>
    <w:p>
      <w:pPr>
        <w:ind w:left="120" w:right="320" w:firstLine="989"/>
        <w:spacing w:after="0" w:line="293"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Mandatory Prepayments</w:t>
      </w:r>
      <w:r>
        <w:rPr>
          <w:rFonts w:ascii="Arial" w:cs="Arial" w:eastAsia="Arial" w:hAnsi="Arial"/>
          <w:sz w:val="16"/>
          <w:szCs w:val="16"/>
          <w:color w:val="auto"/>
        </w:rPr>
        <w:t xml:space="preserve">. (a) 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Administrative Agent to determine the Total Multicurrency Extensions of Credit as provided in this Section 2.13(a) shall not subject the Administrative Agent to any liability hereunder.</w:t>
      </w:r>
    </w:p>
    <w:p>
      <w:pPr>
        <w:spacing w:after="0" w:line="161" w:lineRule="exact"/>
        <w:rPr>
          <w:sz w:val="20"/>
          <w:szCs w:val="20"/>
          <w:color w:val="auto"/>
        </w:rPr>
      </w:pPr>
    </w:p>
    <w:p>
      <w:pPr>
        <w:ind w:left="120" w:right="100" w:firstLine="998"/>
        <w:spacing w:after="0" w:line="293" w:lineRule="auto"/>
        <w:tabs>
          <w:tab w:leader="none" w:pos="13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Administrative Agent to determine the Total L/C Tranche Extensions of Credit as provided in this Section 2.13(b) shall not subject the Administrative Agent to any liability hereunder.</w:t>
      </w:r>
    </w:p>
    <w:p>
      <w:pPr>
        <w:spacing w:after="0" w:line="161" w:lineRule="exact"/>
        <w:rPr>
          <w:sz w:val="20"/>
          <w:szCs w:val="20"/>
          <w:color w:val="auto"/>
        </w:rPr>
      </w:pPr>
    </w:p>
    <w:p>
      <w:pPr>
        <w:ind w:left="120" w:firstLine="989"/>
        <w:spacing w:after="0" w:line="287"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Eurocurrency Loans that is not made on the last day of an Interest Period with respect thereto shall be subject to Section 2.22.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8"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68" w:lineRule="auto"/>
        <w:tabs>
          <w:tab w:leader="none" w:pos="1363"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79" w:lineRule="exact"/>
        <w:rPr>
          <w:sz w:val="20"/>
          <w:szCs w:val="20"/>
          <w:color w:val="auto"/>
        </w:rPr>
      </w:pPr>
    </w:p>
    <w:p>
      <w:pPr>
        <w:ind w:left="120" w:right="120" w:firstLine="989"/>
        <w:spacing w:after="0" w:line="26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2" w:lineRule="exact"/>
        <w:rPr>
          <w:sz w:val="20"/>
          <w:szCs w:val="20"/>
          <w:color w:val="auto"/>
        </w:rPr>
      </w:pPr>
    </w:p>
    <w:p>
      <w:pPr>
        <w:ind w:left="120" w:right="240" w:firstLine="989"/>
        <w:spacing w:after="0" w:line="285"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Interest Rates and Payment Dates</w:t>
      </w:r>
      <w:r>
        <w:rPr>
          <w:rFonts w:ascii="Arial" w:cs="Arial" w:eastAsia="Arial" w:hAnsi="Arial"/>
          <w:sz w:val="17"/>
          <w:szCs w:val="17"/>
          <w:color w:val="auto"/>
        </w:rPr>
        <w:t xml:space="preserve">. (a) Each Eurocurrency Loan that is an L/C Tranche Loan, a Multicurrency Loan or a Domestic Loan shall bear interest for each day during each Interest Period with respect thereto at a rate per annum equal to the Eurocurrency Rate, the Adjusted EURIBOR Rate or the Adjusted TIBOR Rate, as applicable,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166" w:lineRule="exact"/>
        <w:rPr>
          <w:sz w:val="20"/>
          <w:szCs w:val="20"/>
          <w:color w:val="auto"/>
        </w:rPr>
      </w:pPr>
    </w:p>
    <w:p>
      <w:pPr>
        <w:ind w:left="120" w:right="180" w:firstLine="998"/>
        <w:spacing w:after="0" w:line="341" w:lineRule="auto"/>
        <w:tabs>
          <w:tab w:leader="none" w:pos="13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Each Eurocurrency Competitive Loan shall bear interest at a rate per annum equal to the Eurocurrency Rate, the Adjusted EURIBOR Rate or the Adjusted TIBOR Rate, as applicable, applicable to such Loan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(or minus, as applicable) the Margin applicable to such Loan.</w:t>
      </w:r>
    </w:p>
    <w:p>
      <w:pPr>
        <w:spacing w:after="0" w:line="123" w:lineRule="exact"/>
        <w:rPr>
          <w:rFonts w:ascii="Arial" w:cs="Arial" w:eastAsia="Arial" w:hAnsi="Arial"/>
          <w:sz w:val="16"/>
          <w:szCs w:val="16"/>
          <w:color w:val="auto"/>
        </w:rPr>
      </w:pPr>
    </w:p>
    <w:p>
      <w:pPr>
        <w:ind w:left="1360" w:hanging="242"/>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4" w:lineRule="exact"/>
        <w:rPr>
          <w:rFonts w:ascii="Arial" w:cs="Arial" w:eastAsia="Arial" w:hAnsi="Arial"/>
          <w:sz w:val="18"/>
          <w:szCs w:val="18"/>
          <w:color w:val="auto"/>
        </w:rPr>
      </w:pPr>
    </w:p>
    <w:p>
      <w:pPr>
        <w:ind w:left="1380" w:hanging="262"/>
        <w:spacing w:after="0"/>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23" w:lineRule="exact"/>
        <w:rPr>
          <w:rFonts w:ascii="Arial" w:cs="Arial" w:eastAsia="Arial" w:hAnsi="Arial"/>
          <w:sz w:val="18"/>
          <w:szCs w:val="18"/>
          <w:color w:val="auto"/>
        </w:rPr>
      </w:pPr>
    </w:p>
    <w:p>
      <w:pPr>
        <w:ind w:left="120" w:right="20" w:firstLine="998"/>
        <w:spacing w:after="0" w:line="253"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2.16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or (y) in the case of Reimbursement Obligations, the rate applicable to ABR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(ii) if all or a portion of any interest payable on any Loan or Reimbursement Obligation or any Facility Fee payable hereunder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60" w:firstLine="998"/>
        <w:spacing w:after="0" w:line="276" w:lineRule="auto"/>
        <w:tabs>
          <w:tab w:leader="none" w:pos="13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interest accruing pursuant to Section 2.16(e) shall be payable from time to time on demand.</w:t>
      </w:r>
    </w:p>
    <w:p>
      <w:pPr>
        <w:spacing w:after="0" w:line="170" w:lineRule="exact"/>
        <w:rPr>
          <w:rFonts w:ascii="Arial" w:cs="Arial" w:eastAsia="Arial" w:hAnsi="Arial"/>
          <w:sz w:val="18"/>
          <w:szCs w:val="18"/>
          <w:color w:val="auto"/>
        </w:rPr>
      </w:pPr>
    </w:p>
    <w:p>
      <w:pPr>
        <w:ind w:left="120" w:right="40" w:firstLine="998"/>
        <w:spacing w:after="0" w:line="276" w:lineRule="auto"/>
        <w:tabs>
          <w:tab w:leader="none" w:pos="13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and timing of payments of interest in respect of any Ancillary Facility will be agreed by the relevant Ancillary Lender and the applicable Ancillary Borrower under such Ancillary Facility.</w:t>
      </w:r>
    </w:p>
    <w:p>
      <w:pPr>
        <w:spacing w:after="0" w:line="170" w:lineRule="exact"/>
        <w:rPr>
          <w:rFonts w:ascii="Arial" w:cs="Arial" w:eastAsia="Arial" w:hAnsi="Arial"/>
          <w:sz w:val="18"/>
          <w:szCs w:val="18"/>
          <w:color w:val="auto"/>
        </w:rPr>
      </w:pPr>
    </w:p>
    <w:p>
      <w:pPr>
        <w:ind w:left="1380" w:hanging="262"/>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224" w:lineRule="exact"/>
        <w:rPr>
          <w:sz w:val="20"/>
          <w:szCs w:val="20"/>
          <w:color w:val="auto"/>
        </w:rPr>
      </w:pPr>
    </w:p>
    <w:p>
      <w:pPr>
        <w:ind w:left="120" w:right="140" w:firstLine="989"/>
        <w:spacing w:after="0" w:line="29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(a) Interest and fees payable pursuant hereto shall be calculated on the basis of a 360-day year for the actual days elapsed, except that interest computed by reference to (x) ABR at times when ABR is based on the Prime Rate and (y) the TIBOR Rate shall be computed on the basis of a year of 365 days (or 366 days in a leap year), and shall be payable for the actual number of days elapsed. The Administrative Agent shall as soon as practicable notify the Company or relevant Subsidiary Borrower and the Lenders of each determination of a Eurocurrency Rate. Any change in the interest rate on a Loan resulting from a change in the ABR or the Statutory Reserve Rate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62" w:lineRule="exact"/>
        <w:rPr>
          <w:sz w:val="20"/>
          <w:szCs w:val="20"/>
          <w:color w:val="auto"/>
        </w:rPr>
      </w:pPr>
    </w:p>
    <w:p>
      <w:pPr>
        <w:ind w:left="120" w:firstLine="998"/>
        <w:spacing w:after="0" w:line="278" w:lineRule="auto"/>
        <w:tabs>
          <w:tab w:leader="none" w:pos="1363"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pursuant to any provision of this Agreement or any other Loan Document shall be conclusive and binding on the Company, any Subsidiary Borrower and the Lenders in the absence of manifest error. The Administrative Agent shall, at the request of the Company or any Subsidiary Borrower, deliver to the Company or such Subsidiary Borrower a statement showing the quotations used by the Administrative Agent in determining any interest rate pursuant to Section 2.17(a).</w:t>
      </w:r>
    </w:p>
    <w:p>
      <w:pPr>
        <w:spacing w:after="0" w:line="172" w:lineRule="exact"/>
        <w:rPr>
          <w:sz w:val="20"/>
          <w:szCs w:val="20"/>
          <w:color w:val="auto"/>
        </w:rPr>
      </w:pPr>
    </w:p>
    <w:p>
      <w:pPr>
        <w:ind w:left="120" w:right="260" w:firstLine="989"/>
        <w:spacing w:after="0" w:line="276"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Subject to clauses (b), (c), (d), (e), (f) and (g) of this Section 2.18, if prior to the commencement of any Interest Period for a Eurocurrency Borrowing:</w:t>
      </w:r>
    </w:p>
    <w:p>
      <w:pPr>
        <w:spacing w:after="0" w:line="63" w:lineRule="exact"/>
        <w:rPr>
          <w:sz w:val="20"/>
          <w:szCs w:val="20"/>
          <w:color w:val="auto"/>
        </w:rPr>
      </w:pPr>
    </w:p>
    <w:p>
      <w:pPr>
        <w:ind w:left="120" w:right="80" w:firstLine="998"/>
        <w:spacing w:after="0" w:line="258" w:lineRule="auto"/>
        <w:tabs>
          <w:tab w:leader="none" w:pos="13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Borrower) that adequate and reasonable means do not exist for ascertaining the Eurocurrency Rate, the Eurocurrency Base Rate, the Adjusted EURIBOR Rate, the EURIBOR Rate, the Adjusted TIBOR Rate or the TIBOR Rate, as applicable (including because the LIBO Screen Rate is not available or published on a current basis), for the applicable Currency and such Interest Period;</w:t>
      </w:r>
    </w:p>
    <w:p>
      <w:pPr>
        <w:spacing w:after="0" w:line="187" w:lineRule="exact"/>
        <w:rPr>
          <w:sz w:val="20"/>
          <w:szCs w:val="20"/>
          <w:color w:val="auto"/>
        </w:rPr>
      </w:pPr>
    </w:p>
    <w:p>
      <w:pPr>
        <w:ind w:left="120" w:right="100" w:firstLine="998"/>
        <w:spacing w:after="0" w:line="256" w:lineRule="auto"/>
        <w:tabs>
          <w:tab w:leader="none" w:pos="1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(or, in the case of a Eurocurrency Competitive Loan, the Lender that is required to make such Loan) that the Eurocurrency Rate, the Eurocurrency Base Rate, the Adjusted EURIBOR Rate, the EURIBOR Rate, the Adjusted TIBOR Rate or the TIBOR Rate, as applicable, for the applicable Currency and such Interest Period will not adequately and fairly reflect the cost to such Lenders (or Lender) of making or maintaining their Loans (or its Loan) included in such Borrowing for the applicable Currency and such Interest Period; or</w:t>
      </w:r>
    </w:p>
    <w:p>
      <w:pPr>
        <w:spacing w:after="0" w:line="189" w:lineRule="exact"/>
        <w:rPr>
          <w:sz w:val="20"/>
          <w:szCs w:val="20"/>
          <w:color w:val="auto"/>
        </w:rPr>
      </w:pPr>
    </w:p>
    <w:p>
      <w:pPr>
        <w:jc w:val="both"/>
        <w:ind w:left="120" w:right="220" w:firstLine="998"/>
        <w:spacing w:after="0" w:line="290" w:lineRule="auto"/>
        <w:tabs>
          <w:tab w:leader="none" w:pos="1453"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and binding upon the Borrower) that deposits in the applicable Currency are not generally available in the applicable market (any Optional Currency affected by the circumstances described in clause (i),</w:t>
      </w:r>
    </w:p>
    <w:p>
      <w:pPr>
        <w:ind w:left="400" w:hanging="271"/>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or (iii) is referred to as an “</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8"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then the Administrative Agent shall give notice thereof to the Company and any relevant Subsidiary Borrower and the relevant Lenders by telephone, telecopy or electronic mail as promptly as practicable thereafter and, until the Administrative Agent notifies the Company and the Lenders that the circumstances giving rise to such notice no longer exist, (A) any Interest Election Request that requests the conversion of any Borrowing to, or continuation of any Borrowing as, a Eurocurrency Borrowing shall be ineffective, (B) if any Borrowing Request requests a Eurocurrency Borrowing in Dollars, such Borrowing shall be made as an ABR Borrowing, (C) if any Borrowing Request requests a Eurocurrency Borrowing in an Optional Currency, then such request shall be ineffective and (D) any request by the Borrower for a Eurocurrency Competitive Borrowing shall be ineffective; provided that (x) if the circumstances giving rise to such notice do not affect all the Lenders, then requests by the Borrower for Eurocurrency Competitive Borrowings may be made to Lenders that are not affected thereby and (y) if the circumstances giving rise to such notice affect only one Type of Borrowings, then all other Types of Borrowings shall be permitted. Furthermore, if any Eurocurrency Loan in any Currency is outstanding on the date of the Borrower’s receipt of the notice from the Administrative Agent referred to in this Section 2.18(a) with respect to a Relevant Rate applicable to such Eurocurrency Loan, then until the Administrative Agent notifies the Company and the Lenders that the circumstances giving rise to such notice no longer exist,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Currency (other than Dollars), then such Loan shall, on the last day of the Interest Period applicable to such Loan (or the next succeeding Business Day if such day is not a Business Day), at the Borrower’s election prior to such day: (A) be prepaid by the Borrower on such day or (B) solely for the purpose of calculating the interest rate applicable to such Eurocurrency Loan, such Eurocurrency Loan denominated in any Optional Currency shall be deemed to be a Eurocurrency Loan denominated in Dollars and shall accrue interest at the same interest rate applicable to Eurocurrency Loans denominated in Dollars at such time.</w:t>
      </w:r>
    </w:p>
    <w:p>
      <w:pPr>
        <w:spacing w:after="0" w:line="175" w:lineRule="exact"/>
        <w:rPr>
          <w:sz w:val="20"/>
          <w:szCs w:val="20"/>
          <w:color w:val="auto"/>
        </w:rPr>
      </w:pPr>
    </w:p>
    <w:p>
      <w:pPr>
        <w:ind w:left="120" w:firstLine="998"/>
        <w:spacing w:after="0" w:line="268" w:lineRule="auto"/>
        <w:tabs>
          <w:tab w:leader="none" w:pos="1363"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4" w:lineRule="exact"/>
        <w:rPr>
          <w:rFonts w:ascii="Arial" w:cs="Arial" w:eastAsia="Arial" w:hAnsi="Arial"/>
          <w:sz w:val="17"/>
          <w:szCs w:val="17"/>
          <w:color w:val="auto"/>
        </w:rPr>
      </w:pPr>
    </w:p>
    <w:p>
      <w:pPr>
        <w:ind w:left="120" w:right="120" w:firstLine="998"/>
        <w:spacing w:after="0" w:line="296" w:lineRule="auto"/>
        <w:tabs>
          <w:tab w:leader="none" w:pos="13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and subject to the proviso below in this paragraph, with respect to a Loan denominated in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8"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clause (c) shall not be effective unless the Administrative Agent has delivered to the Lenders and the Company a Term SOFR Notice. For the avoidance of doubt, the Administrative Agent shall not be required to deliver any Term SOFR Notice after the occurrence of a Term SOFR Transition Event, and may do so in its sole discretion.</w:t>
      </w:r>
    </w:p>
    <w:p>
      <w:pPr>
        <w:spacing w:after="0" w:line="182" w:lineRule="exact"/>
        <w:rPr>
          <w:sz w:val="20"/>
          <w:szCs w:val="20"/>
          <w:color w:val="auto"/>
        </w:rPr>
      </w:pPr>
    </w:p>
    <w:p>
      <w:pPr>
        <w:ind w:left="120" w:right="20" w:firstLine="998"/>
        <w:spacing w:after="0" w:line="258" w:lineRule="auto"/>
        <w:tabs>
          <w:tab w:leader="none" w:pos="13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Arial" w:cs="Arial" w:eastAsia="Arial" w:hAnsi="Arial"/>
          <w:sz w:val="18"/>
          <w:szCs w:val="18"/>
          <w:color w:val="auto"/>
        </w:rPr>
      </w:pPr>
    </w:p>
    <w:p>
      <w:pPr>
        <w:ind w:left="120" w:firstLine="998"/>
        <w:spacing w:after="0" w:line="289" w:lineRule="auto"/>
        <w:tabs>
          <w:tab w:leader="none" w:pos="135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Company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67" w:lineRule="exact"/>
        <w:rPr>
          <w:rFonts w:ascii="Arial" w:cs="Arial" w:eastAsia="Arial" w:hAnsi="Arial"/>
          <w:sz w:val="16"/>
          <w:szCs w:val="16"/>
          <w:color w:val="auto"/>
        </w:rPr>
      </w:pPr>
    </w:p>
    <w:p>
      <w:pPr>
        <w:ind w:left="120" w:right="60" w:firstLine="998"/>
        <w:spacing w:after="0" w:line="287" w:lineRule="auto"/>
        <w:tabs>
          <w:tab w:leader="none" w:pos="1333"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Term SOFR, Eurocurrency Base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0" w:lineRule="exact"/>
        <w:rPr>
          <w:rFonts w:ascii="Arial" w:cs="Arial" w:eastAsia="Arial" w:hAnsi="Arial"/>
          <w:sz w:val="16"/>
          <w:szCs w:val="16"/>
          <w:color w:val="auto"/>
        </w:rPr>
      </w:pPr>
    </w:p>
    <w:p>
      <w:pPr>
        <w:ind w:left="120" w:right="80" w:firstLine="998"/>
        <w:spacing w:after="0" w:line="269" w:lineRule="auto"/>
        <w:tabs>
          <w:tab w:leader="none" w:pos="1363"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the Borrower’s receipt of notice of the commencement of a Benchmark Unavailability Period, the Borrower may revoke any request for a Eurocurrency Borrowing of, conversion to or continuation of Eurocurrency Loans to be made, converted or continued during any Benchmark Unavailability Period and, failing that, either (x) the Borrower will be deemed to have converted any request for a Eurocurrency Borrowing denominated in Dollars into a request for a Borrowing of or conversion to ABR Loans or (y) any Eurocurrency Borrowing denominated in an Optional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Currency is outstanding on the date of the Borrower’s receipt of notice of the commencement of a Benchmark Unavailability Period with respect to a Relevant Rate applicable to such Eurocurrency Loan, then until such time as a Benchmark Replacement for such Optional Currency 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8"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implemented pursuant to this Section 2.18,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Currency (other than Dollars), then such Loan shall, on the last day of the Interest Period applicable to such Loan (or the next succeeding Business Day if such day is not a Business Day), at the Borrower’s election prior to such day: (A) be prepaid by the Borrower on such day or (B) solely for the purpose of calculating the interest rate applicable to such Eurocurrency Loan, such Eurocurrency Loan denominated in any Currency other than Dollars shall be deemed to be a Eurocurrency Loan denominated in Dollars and shall accrue interest at the same interest rate applicable to Eurocurrency Loans denominated in Dollars at such time.</w:t>
      </w:r>
    </w:p>
    <w:p>
      <w:pPr>
        <w:spacing w:after="0" w:line="194" w:lineRule="exact"/>
        <w:rPr>
          <w:sz w:val="20"/>
          <w:szCs w:val="20"/>
          <w:color w:val="auto"/>
        </w:rPr>
      </w:pPr>
    </w:p>
    <w:p>
      <w:pPr>
        <w:ind w:left="120" w:firstLine="989"/>
        <w:spacing w:after="0" w:line="296"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Pro Rata Treatment and Payments; Evidence of Debt</w:t>
      </w:r>
      <w:r>
        <w:rPr>
          <w:rFonts w:ascii="Arial" w:cs="Arial" w:eastAsia="Arial" w:hAnsi="Arial"/>
          <w:sz w:val="16"/>
          <w:szCs w:val="16"/>
          <w:color w:val="auto"/>
        </w:rPr>
        <w:t xml:space="preserve">. (a) Each borrowing of Loans under any Facility by the Company or any Subsidiary Borrower from the Lenders under such Facility, each payment by the Company or any Subsidiary Borrower on account of any Facility Fee or any fee payable pursuant to the L/C Fee Letter, and any reduction of the Commitments of the Lenders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Percentages under such Facility, of the relevant Lenders in such Facility except to the extent required or permitted pursuant to Sections 2.9, 2.11, 2.24, 2.25, 2.27, 2.29 and 2.30 and except, in the case of the L/C Tranche Facility, as otherwise provided in the L/C Fee Letter.</w:t>
      </w:r>
    </w:p>
    <w:p>
      <w:pPr>
        <w:spacing w:after="0" w:line="158" w:lineRule="exact"/>
        <w:rPr>
          <w:sz w:val="20"/>
          <w:szCs w:val="20"/>
          <w:color w:val="auto"/>
        </w:rPr>
      </w:pPr>
    </w:p>
    <w:p>
      <w:pPr>
        <w:ind w:left="120" w:right="60" w:firstLine="998"/>
        <w:spacing w:after="0" w:line="287" w:lineRule="auto"/>
        <w:tabs>
          <w:tab w:leader="none" w:pos="13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2.9, 2.11, 2.24,</w:t>
      </w:r>
    </w:p>
    <w:p>
      <w:pPr>
        <w:ind w:left="120" w:right="100"/>
        <w:spacing w:after="0" w:line="259" w:lineRule="auto"/>
        <w:rPr>
          <w:rFonts w:ascii="Arial" w:cs="Arial" w:eastAsia="Arial" w:hAnsi="Arial"/>
          <w:sz w:val="16"/>
          <w:szCs w:val="16"/>
          <w:color w:val="auto"/>
        </w:rPr>
      </w:pPr>
      <w:r>
        <w:rPr>
          <w:rFonts w:ascii="Arial" w:cs="Arial" w:eastAsia="Arial" w:hAnsi="Arial"/>
          <w:sz w:val="18"/>
          <w:szCs w:val="18"/>
          <w:color w:val="auto"/>
        </w:rPr>
        <w:t>2.25, 2.27, 2.29 and 2.30. Except as otherwise provided in Section 8, each such payment shall be paid in the relevant Currency in which such Loan was made.</w:t>
      </w:r>
    </w:p>
    <w:p>
      <w:pPr>
        <w:spacing w:after="0" w:line="185" w:lineRule="exact"/>
        <w:rPr>
          <w:rFonts w:ascii="Arial" w:cs="Arial" w:eastAsia="Arial" w:hAnsi="Arial"/>
          <w:sz w:val="16"/>
          <w:szCs w:val="16"/>
          <w:color w:val="auto"/>
        </w:rPr>
      </w:pPr>
    </w:p>
    <w:p>
      <w:pPr>
        <w:ind w:left="120" w:right="40" w:firstLine="998"/>
        <w:spacing w:after="0" w:line="287" w:lineRule="auto"/>
        <w:tabs>
          <w:tab w:leader="none" w:pos="135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payment of fronting fees owing to any Issuing Lender shall be made as provided in the L/C Fee Letter.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5" w:lineRule="exact"/>
        <w:rPr>
          <w:rFonts w:ascii="Arial" w:cs="Arial" w:eastAsia="Arial" w:hAnsi="Arial"/>
          <w:sz w:val="16"/>
          <w:szCs w:val="16"/>
          <w:color w:val="auto"/>
        </w:rPr>
      </w:pPr>
    </w:p>
    <w:p>
      <w:pPr>
        <w:ind w:left="120" w:right="20" w:firstLine="998"/>
        <w:spacing w:after="0" w:line="256" w:lineRule="auto"/>
        <w:tabs>
          <w:tab w:leader="none" w:pos="13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70" w:lineRule="exact"/>
        <w:rPr>
          <w:sz w:val="20"/>
          <w:szCs w:val="20"/>
          <w:color w:val="auto"/>
        </w:rPr>
      </w:pPr>
    </w:p>
    <w:p>
      <w:pPr>
        <w:ind w:left="120" w:firstLine="998"/>
        <w:spacing w:after="0" w:line="287" w:lineRule="auto"/>
        <w:tabs>
          <w:tab w:leader="none" w:pos="1353"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70" w:lineRule="exact"/>
        <w:rPr>
          <w:rFonts w:ascii="Arial" w:cs="Arial" w:eastAsia="Arial" w:hAnsi="Arial"/>
          <w:sz w:val="16"/>
          <w:szCs w:val="16"/>
          <w:color w:val="auto"/>
        </w:rPr>
      </w:pPr>
    </w:p>
    <w:p>
      <w:pPr>
        <w:ind w:left="120" w:right="120" w:firstLine="998"/>
        <w:spacing w:after="0" w:line="285" w:lineRule="auto"/>
        <w:tabs>
          <w:tab w:leader="none" w:pos="1333" w:val="left"/>
        </w:tabs>
        <w:numPr>
          <w:ilvl w:val="0"/>
          <w:numId w:val="65"/>
        </w:numPr>
        <w:rPr>
          <w:rFonts w:ascii="Arial" w:cs="Arial" w:eastAsia="Arial" w:hAnsi="Arial"/>
          <w:sz w:val="17"/>
          <w:szCs w:val="17"/>
          <w:color w:val="auto"/>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65" w:lineRule="exact"/>
        <w:rPr>
          <w:rFonts w:ascii="Arial" w:cs="Arial" w:eastAsia="Arial" w:hAnsi="Arial"/>
          <w:sz w:val="17"/>
          <w:szCs w:val="17"/>
          <w:color w:val="auto"/>
        </w:rPr>
      </w:pPr>
    </w:p>
    <w:p>
      <w:pPr>
        <w:jc w:val="both"/>
        <w:ind w:left="120" w:right="100" w:firstLine="998"/>
        <w:spacing w:after="0" w:line="258" w:lineRule="auto"/>
        <w:tabs>
          <w:tab w:leader="none" w:pos="13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8"/>
          <w:szCs w:val="18"/>
          <w:u w:val="single" w:color="auto"/>
          <w:color w:val="auto"/>
        </w:rPr>
        <w:t>Note</w:t>
      </w:r>
      <w:r>
        <w:rPr>
          <w:rFonts w:ascii="Arial" w:cs="Arial" w:eastAsia="Arial" w:hAnsi="Arial"/>
          <w:sz w:val="18"/>
          <w:szCs w:val="18"/>
          <w:color w:val="auto"/>
        </w:rPr>
        <w:t>”), with appropriate insertions as to date and principal amount.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Except with respect to Competitive Loans to which this Section 2.20 shall not apply:</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If any Change in Law shall:</w:t>
      </w:r>
    </w:p>
    <w:p>
      <w:pPr>
        <w:spacing w:after="0" w:line="116" w:lineRule="exact"/>
        <w:rPr>
          <w:sz w:val="20"/>
          <w:szCs w:val="20"/>
          <w:color w:val="auto"/>
        </w:rPr>
      </w:pPr>
    </w:p>
    <w:p>
      <w:pPr>
        <w:ind w:left="120" w:right="80" w:firstLine="998"/>
        <w:spacing w:after="0" w:line="263" w:lineRule="auto"/>
        <w:tabs>
          <w:tab w:leader="none" w:pos="13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8"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69" w:lineRule="auto"/>
        <w:tabs>
          <w:tab w:leader="none" w:pos="1393" w:val="left"/>
        </w:tabs>
        <w:numPr>
          <w:ilvl w:val="0"/>
          <w:numId w:val="67"/>
        </w:numPr>
        <w:rPr>
          <w:rFonts w:ascii="Arial" w:cs="Arial" w:eastAsia="Arial" w:hAnsi="Arial"/>
          <w:sz w:val="17"/>
          <w:szCs w:val="17"/>
          <w:color w:val="auto"/>
        </w:rPr>
      </w:pPr>
      <w:r>
        <w:rPr>
          <w:rFonts w:ascii="Arial" w:cs="Arial" w:eastAsia="Arial" w:hAnsi="Arial"/>
          <w:sz w:val="17"/>
          <w:szCs w:val="17"/>
          <w:color w:val="auto"/>
        </w:rPr>
        <w:t>impose on such Lender or any London interbank market any other condition; and the result of any of the foregoing is to increase the cost to the Administrative Agent or such Lender (or its affiliate, as the case may be), by an amount that the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79" w:lineRule="exact"/>
        <w:rPr>
          <w:sz w:val="20"/>
          <w:szCs w:val="20"/>
          <w:color w:val="auto"/>
        </w:rPr>
      </w:pPr>
    </w:p>
    <w:p>
      <w:pPr>
        <w:ind w:left="120" w:right="20" w:firstLine="998"/>
        <w:spacing w:after="0" w:line="253" w:lineRule="auto"/>
        <w:tabs>
          <w:tab w:leader="none" w:pos="13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91" w:lineRule="exact"/>
        <w:rPr>
          <w:rFonts w:ascii="Arial" w:cs="Arial" w:eastAsia="Arial" w:hAnsi="Arial"/>
          <w:sz w:val="18"/>
          <w:szCs w:val="18"/>
          <w:color w:val="auto"/>
        </w:rPr>
      </w:pPr>
    </w:p>
    <w:p>
      <w:pPr>
        <w:ind w:left="120" w:firstLine="998"/>
        <w:spacing w:after="0" w:line="286" w:lineRule="auto"/>
        <w:tabs>
          <w:tab w:leader="none" w:pos="13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firstLine="989"/>
        <w:spacing w:after="0" w:line="283"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w:t>
      </w:r>
    </w:p>
    <w:p>
      <w:pPr>
        <w:spacing w:after="0" w:line="3" w:lineRule="exact"/>
        <w:rPr>
          <w:sz w:val="20"/>
          <w:szCs w:val="20"/>
          <w:color w:val="auto"/>
        </w:rPr>
      </w:pPr>
    </w:p>
    <w:p>
      <w:pPr>
        <w:ind w:left="120" w:firstLine="9"/>
        <w:spacing w:after="0" w:line="266" w:lineRule="auto"/>
        <w:tabs>
          <w:tab w:leader="none" w:pos="3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above and (iii) any Taxes imposed by reason of FATCA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If any Taxes are required to be deducted or withheld from any amounts payable to the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or withholdings and shall pay the full amount deducted or withheld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Loan 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7"/>
          <w:szCs w:val="17"/>
          <w:u w:val="single" w:color="auto"/>
          <w:color w:val="auto"/>
        </w:rPr>
        <w:t>Change in Tax Law</w:t>
      </w:r>
      <w:r>
        <w:rPr>
          <w:rFonts w:ascii="Arial" w:cs="Arial" w:eastAsia="Arial" w:hAnsi="Arial"/>
          <w:sz w:val="17"/>
          <w:szCs w:val="17"/>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(e) of this Section 2.21 except as such failure relates to a Change in Tax Law rendering such Person legally unable to comply.</w:t>
      </w:r>
    </w:p>
    <w:p>
      <w:pPr>
        <w:spacing w:after="0" w:line="181" w:lineRule="exact"/>
        <w:rPr>
          <w:rFonts w:ascii="Arial" w:cs="Arial" w:eastAsia="Arial" w:hAnsi="Arial"/>
          <w:sz w:val="17"/>
          <w:szCs w:val="17"/>
          <w:color w:val="auto"/>
        </w:rPr>
      </w:pPr>
    </w:p>
    <w:p>
      <w:pPr>
        <w:ind w:left="1380" w:hanging="262"/>
        <w:spacing w:after="0"/>
        <w:tabs>
          <w:tab w:leader="none" w:pos="13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addition, each Loan Party shall pay any Other Taxes over to the relevant Governmental Authority in accordance with applicable law.</w:t>
      </w:r>
    </w:p>
    <w:p>
      <w:pPr>
        <w:spacing w:after="0" w:line="246" w:lineRule="exact"/>
        <w:rPr>
          <w:rFonts w:ascii="Arial" w:cs="Arial" w:eastAsia="Arial" w:hAnsi="Arial"/>
          <w:sz w:val="16"/>
          <w:szCs w:val="16"/>
          <w:color w:val="auto"/>
        </w:rPr>
      </w:pPr>
    </w:p>
    <w:p>
      <w:pPr>
        <w:jc w:val="both"/>
        <w:ind w:left="120" w:right="340" w:firstLine="998"/>
        <w:spacing w:after="0" w:line="285" w:lineRule="auto"/>
        <w:tabs>
          <w:tab w:leader="none" w:pos="1353" w:val="left"/>
        </w:tabs>
        <w:numPr>
          <w:ilvl w:val="1"/>
          <w:numId w:val="69"/>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w:t>
      </w:r>
    </w:p>
    <w:p>
      <w:pPr>
        <w:spacing w:after="0" w:line="2" w:lineRule="exact"/>
        <w:rPr>
          <w:rFonts w:ascii="Arial" w:cs="Arial" w:eastAsia="Arial" w:hAnsi="Arial"/>
          <w:sz w:val="16"/>
          <w:szCs w:val="16"/>
          <w:color w:val="auto"/>
        </w:rPr>
      </w:pPr>
    </w:p>
    <w:p>
      <w:pPr>
        <w:ind w:left="120" w:right="40" w:firstLine="9"/>
        <w:spacing w:after="0" w:line="289" w:lineRule="auto"/>
        <w:tabs>
          <w:tab w:leader="none" w:pos="3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8"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83" w:lineRule="auto"/>
        <w:tabs>
          <w:tab w:leader="none" w:pos="13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Lender (or Transferee) (i) that is not a “United States person” as defined in Section 7701(a)(30) of the Code (a “</w:t>
      </w:r>
      <w:r>
        <w:rPr>
          <w:rFonts w:ascii="Arial" w:cs="Arial" w:eastAsia="Arial" w:hAnsi="Arial"/>
          <w:sz w:val="16"/>
          <w:szCs w:val="16"/>
          <w:u w:val="single" w:color="auto"/>
          <w:color w:val="auto"/>
        </w:rPr>
        <w:t>Non-U.S.</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firstLine="998"/>
        <w:spacing w:after="0" w:line="268" w:lineRule="auto"/>
        <w:tabs>
          <w:tab w:leader="none" w:pos="1353"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w:t>
      </w:r>
    </w:p>
    <w:p>
      <w:pPr>
        <w:spacing w:after="0" w:line="184" w:lineRule="exact"/>
        <w:rPr>
          <w:rFonts w:ascii="Arial" w:cs="Arial" w:eastAsia="Arial" w:hAnsi="Arial"/>
          <w:sz w:val="17"/>
          <w:szCs w:val="17"/>
          <w:color w:val="auto"/>
        </w:rPr>
      </w:pPr>
    </w:p>
    <w:p>
      <w:pPr>
        <w:ind w:left="120" w:firstLine="998"/>
        <w:spacing w:after="0" w:line="285" w:lineRule="auto"/>
        <w:tabs>
          <w:tab w:leader="none" w:pos="1333"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73" w:lineRule="exact"/>
        <w:rPr>
          <w:rFonts w:ascii="Arial" w:cs="Arial" w:eastAsia="Arial" w:hAnsi="Arial"/>
          <w:sz w:val="16"/>
          <w:szCs w:val="16"/>
          <w:color w:val="auto"/>
        </w:rPr>
      </w:pPr>
    </w:p>
    <w:p>
      <w:pPr>
        <w:ind w:left="120" w:right="60" w:firstLine="998"/>
        <w:spacing w:after="0" w:line="273" w:lineRule="auto"/>
        <w:tabs>
          <w:tab w:leader="none" w:pos="1363"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74" w:lineRule="exact"/>
        <w:rPr>
          <w:rFonts w:ascii="Arial" w:cs="Arial" w:eastAsia="Arial" w:hAnsi="Arial"/>
          <w:sz w:val="17"/>
          <w:szCs w:val="17"/>
          <w:color w:val="auto"/>
        </w:rPr>
      </w:pPr>
    </w:p>
    <w:p>
      <w:pPr>
        <w:ind w:left="1380" w:hanging="262"/>
        <w:spacing w:after="0"/>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223" w:lineRule="exact"/>
        <w:rPr>
          <w:rFonts w:ascii="Arial" w:cs="Arial" w:eastAsia="Arial" w:hAnsi="Arial"/>
          <w:sz w:val="18"/>
          <w:szCs w:val="18"/>
          <w:color w:val="auto"/>
        </w:rPr>
      </w:pPr>
    </w:p>
    <w:p>
      <w:pPr>
        <w:ind w:left="120" w:right="20" w:firstLine="998"/>
        <w:spacing w:after="0" w:line="276" w:lineRule="auto"/>
        <w:tabs>
          <w:tab w:leader="none" w:pos="13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termination of this Agreement and the payment of the Loans and all other amounts payable hereunder and the other Loan Documents.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8"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firstLine="989"/>
        <w:spacing w:after="0" w:line="284"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78" w:lineRule="exact"/>
        <w:rPr>
          <w:sz w:val="20"/>
          <w:szCs w:val="20"/>
          <w:color w:val="auto"/>
        </w:rPr>
      </w:pPr>
    </w:p>
    <w:p>
      <w:pPr>
        <w:ind w:left="120" w:right="60" w:firstLine="989"/>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2.23 shall affect or postpone any of the obligations of the Company or the rights of any Lender pursuant to Section 2.20 or 2.21(a).</w:t>
      </w:r>
    </w:p>
    <w:p>
      <w:pPr>
        <w:spacing w:after="0" w:line="191" w:lineRule="exact"/>
        <w:rPr>
          <w:sz w:val="20"/>
          <w:szCs w:val="20"/>
          <w:color w:val="auto"/>
        </w:rPr>
      </w:pPr>
    </w:p>
    <w:p>
      <w:pPr>
        <w:ind w:left="120" w:firstLine="989"/>
        <w:spacing w:after="0" w:line="284"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w:t>
      </w:r>
    </w:p>
    <w:p>
      <w:pPr>
        <w:spacing w:after="0" w:line="3" w:lineRule="exact"/>
        <w:rPr>
          <w:sz w:val="20"/>
          <w:szCs w:val="20"/>
          <w:color w:val="auto"/>
        </w:rPr>
      </w:pPr>
    </w:p>
    <w:p>
      <w:pPr>
        <w:ind w:left="120" w:right="100" w:firstLine="9"/>
        <w:spacing w:after="0" w:line="270" w:lineRule="auto"/>
        <w:tabs>
          <w:tab w:leader="none" w:pos="434" w:val="left"/>
        </w:tabs>
        <w:numPr>
          <w:ilvl w:val="0"/>
          <w:numId w:val="73"/>
        </w:numPr>
        <w:rPr>
          <w:rFonts w:ascii="Arial" w:cs="Arial" w:eastAsia="Arial" w:hAnsi="Arial"/>
          <w:sz w:val="17"/>
          <w:szCs w:val="17"/>
          <w:color w:val="auto"/>
        </w:rPr>
      </w:pPr>
      <w:r>
        <w:rPr>
          <w:rFonts w:ascii="Arial" w:cs="Arial" w:eastAsia="Arial" w:hAnsi="Arial"/>
          <w:sz w:val="17"/>
          <w:szCs w:val="17"/>
          <w:color w:val="auto"/>
        </w:rPr>
        <w:t>fails to give its consent to an extension of the Termination Date to which the Majority Facility Lenders under such Facility have consented, (b) in the case of any 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 Domestic Commitment pursuant to Section 2.11(b) (regardless of whether the amount of such Commitment is less than the minimum amount required under such section) and (c) in the case of any Multicurrency Lender or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2.11(b) (regardless of whether the amount of such Commitment is less than the minimum amount required under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7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4" w:lineRule="exact"/>
        <w:rPr>
          <w:sz w:val="20"/>
          <w:szCs w:val="20"/>
          <w:color w:val="auto"/>
        </w:rPr>
      </w:pPr>
    </w:p>
    <w:p>
      <w:pPr>
        <w:ind w:left="120" w:right="720" w:firstLine="989"/>
        <w:spacing w:after="0" w:line="276"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3" w:lineRule="exact"/>
        <w:rPr>
          <w:sz w:val="20"/>
          <w:szCs w:val="20"/>
          <w:color w:val="auto"/>
        </w:rPr>
      </w:pPr>
    </w:p>
    <w:p>
      <w:pPr>
        <w:ind w:left="1360" w:hanging="242"/>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Facility Fees, if any, shall cease to accrue on the unfunded Commitment of such Defaulting Lender pursuant to Section 2.10;</w:t>
      </w:r>
    </w:p>
    <w:p>
      <w:pPr>
        <w:spacing w:after="0" w:line="235" w:lineRule="exact"/>
        <w:rPr>
          <w:rFonts w:ascii="Arial" w:cs="Arial" w:eastAsia="Arial" w:hAnsi="Arial"/>
          <w:sz w:val="17"/>
          <w:szCs w:val="17"/>
          <w:color w:val="auto"/>
        </w:rPr>
      </w:pPr>
    </w:p>
    <w:p>
      <w:pPr>
        <w:ind w:left="120" w:firstLine="998"/>
        <w:spacing w:after="0" w:line="288" w:lineRule="auto"/>
        <w:tabs>
          <w:tab w:leader="none" w:pos="1363"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 if any L/C Obligations exist at the time any L/C Tranche Lender becomes a Defaulting Lender then:</w:t>
      </w:r>
    </w:p>
    <w:p>
      <w:pPr>
        <w:spacing w:after="0" w:line="116" w:lineRule="exact"/>
        <w:rPr>
          <w:sz w:val="20"/>
          <w:szCs w:val="20"/>
          <w:color w:val="auto"/>
        </w:rPr>
      </w:pPr>
    </w:p>
    <w:p>
      <w:pPr>
        <w:ind w:left="120" w:right="20" w:firstLine="998"/>
        <w:spacing w:after="0" w:line="301" w:lineRule="auto"/>
        <w:tabs>
          <w:tab w:leader="none" w:pos="1333"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at such time,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L/C Obligations does not exceed the total of all L/C Tranche Lenders that are not Defaulting Lenders’ L/C Tranche Commitments;</w:t>
      </w:r>
    </w:p>
    <w:p>
      <w:pPr>
        <w:spacing w:after="0" w:line="154" w:lineRule="exact"/>
        <w:rPr>
          <w:sz w:val="20"/>
          <w:szCs w:val="20"/>
          <w:color w:val="auto"/>
        </w:rPr>
      </w:pPr>
    </w:p>
    <w:p>
      <w:pPr>
        <w:ind w:left="120" w:right="40" w:firstLine="998"/>
        <w:spacing w:after="0" w:line="271" w:lineRule="auto"/>
        <w:tabs>
          <w:tab w:leader="none" w:pos="139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if any reallocation described in clause (i) above cannot, or can only partially, be effected, the Company or any applicable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have then occurred and be continuing);</w:t>
      </w:r>
    </w:p>
    <w:p>
      <w:pPr>
        <w:spacing w:after="0" w:line="179" w:lineRule="exact"/>
        <w:rPr>
          <w:sz w:val="20"/>
          <w:szCs w:val="20"/>
          <w:color w:val="auto"/>
        </w:rPr>
      </w:pPr>
    </w:p>
    <w:p>
      <w:pPr>
        <w:ind w:left="120" w:right="160" w:firstLine="998"/>
        <w:spacing w:after="0" w:line="258" w:lineRule="auto"/>
        <w:tabs>
          <w:tab w:leader="none" w:pos="14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87" w:lineRule="exact"/>
        <w:rPr>
          <w:sz w:val="20"/>
          <w:szCs w:val="20"/>
          <w:color w:val="auto"/>
        </w:rPr>
      </w:pPr>
    </w:p>
    <w:p>
      <w:pPr>
        <w:ind w:left="120" w:right="100" w:firstLine="989"/>
        <w:spacing w:after="0" w:line="258" w:lineRule="auto"/>
        <w:rPr>
          <w:sz w:val="20"/>
          <w:szCs w:val="20"/>
          <w:color w:val="auto"/>
        </w:rPr>
      </w:pPr>
      <w:r>
        <w:rPr>
          <w:rFonts w:ascii="Arial" w:cs="Arial" w:eastAsia="Arial" w:hAnsi="Arial"/>
          <w:sz w:val="18"/>
          <w:szCs w:val="18"/>
          <w:color w:val="auto"/>
        </w:rPr>
        <w:t>(IV) if the L/C Obligations of the Defaulting Lenders are reallocated pursuant to clause (i) above, then the fees payable to the non-Defaulting Lenders pursuant to Section 2.10 and Section 3.3, as applicable, shall be adjusted in accordance with such non-Defaulting Lenders’ L/C Tranche Percentages of the L/C Tranche Commitments calculated without regard to such Defaulting Lender’s L/C Tranche Percentage of the L/C Tranche Commitments; and</w:t>
      </w:r>
    </w:p>
    <w:p>
      <w:pPr>
        <w:spacing w:after="0" w:line="187" w:lineRule="exact"/>
        <w:rPr>
          <w:sz w:val="20"/>
          <w:szCs w:val="20"/>
          <w:color w:val="auto"/>
        </w:rPr>
      </w:pPr>
    </w:p>
    <w:p>
      <w:pPr>
        <w:ind w:left="120" w:firstLine="998"/>
        <w:spacing w:after="0" w:line="278" w:lineRule="auto"/>
        <w:tabs>
          <w:tab w:leader="none" w:pos="14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 Lender until and to the extent that such L/C Obligations are so reallocated and/or Collateralized; and</w:t>
      </w:r>
    </w:p>
    <w:p>
      <w:pPr>
        <w:spacing w:after="0" w:line="172" w:lineRule="exact"/>
        <w:rPr>
          <w:sz w:val="20"/>
          <w:szCs w:val="20"/>
          <w:color w:val="auto"/>
        </w:rPr>
      </w:pPr>
    </w:p>
    <w:p>
      <w:pPr>
        <w:jc w:val="both"/>
        <w:ind w:left="120" w:right="140" w:firstLine="998"/>
        <w:spacing w:after="0" w:line="296" w:lineRule="auto"/>
        <w:tabs>
          <w:tab w:leader="none" w:pos="1363"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Issuing Lender shall be required to issue, renew, amend or increase any Letter of Credit, unless it is reasonably satisfied that the related exposure and such Defaulting Lender’s then outstanding L/C Obligations will be 100% covered by the L/C Tranche Commitments of the L/C Tranche Lenders that are not Defaulting Lenders and/or Collateralized by the Company or any applicable Subsidiary Borrower in accordance with this Section 2.25 and participating interests in any newly issued or increased Letter of Credit shall be allocated among the L/C Tranche Lenders that are not Defaulting Lenders in a manner consistent with this Section 2.25 (and such Defaulting Lender shall not participate therein).</w:t>
      </w:r>
    </w:p>
    <w:p>
      <w:pPr>
        <w:spacing w:after="0" w:line="158" w:lineRule="exact"/>
        <w:rPr>
          <w:sz w:val="20"/>
          <w:szCs w:val="20"/>
          <w:color w:val="auto"/>
        </w:rPr>
      </w:pPr>
    </w:p>
    <w:p>
      <w:pPr>
        <w:ind w:left="120" w:right="20" w:firstLine="989"/>
        <w:spacing w:after="0" w:line="255" w:lineRule="auto"/>
        <w:rPr>
          <w:sz w:val="20"/>
          <w:szCs w:val="20"/>
          <w:color w:val="auto"/>
        </w:rPr>
      </w:pPr>
      <w:r>
        <w:rPr>
          <w:rFonts w:ascii="Arial" w:cs="Arial" w:eastAsia="Arial" w:hAnsi="Arial"/>
          <w:sz w:val="18"/>
          <w:szCs w:val="18"/>
          <w:color w:val="auto"/>
        </w:rPr>
        <w:t>If (i) either (x) a Lender Insolvency Event with respect to the parent company of any L/C Tranche Lender shall occur following the Closing Date or (y) the parent company of any L/C Tranche Lender shall become the subject of a Bail-In Action following the Closing Date and, in each case,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70" w:lineRule="auto"/>
        <w:rPr>
          <w:sz w:val="20"/>
          <w:szCs w:val="20"/>
          <w:color w:val="auto"/>
        </w:rPr>
      </w:pPr>
      <w:r>
        <w:rPr>
          <w:rFonts w:ascii="Arial" w:cs="Arial" w:eastAsia="Arial" w:hAnsi="Arial"/>
          <w:sz w:val="17"/>
          <w:szCs w:val="17"/>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80" w:lineRule="exact"/>
        <w:rPr>
          <w:sz w:val="20"/>
          <w:szCs w:val="20"/>
          <w:color w:val="auto"/>
        </w:rPr>
      </w:pPr>
    </w:p>
    <w:p>
      <w:pPr>
        <w:ind w:left="120" w:firstLine="989"/>
        <w:spacing w:after="0" w:line="283"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L/C Tranche Facility only, to the payment on a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basis of any amounts owing by such Defaulting Lender to each Issuing Lender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Issuing Lenders in accordance with the amounts owed by such Defaulting Lender to each Issuing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L/C Tranche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L/C Tranche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2.26 shall be deemed paid to and redirected by such Defaulting Lender, and each Lender under the applicable Facility irrevocably consents hereto.</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firstLine="989"/>
        <w:spacing w:after="0" w:line="284"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New Local Facilities</w:t>
      </w:r>
      <w:r>
        <w:rPr>
          <w:rFonts w:ascii="Arial" w:cs="Arial" w:eastAsia="Arial" w:hAnsi="Arial"/>
          <w:sz w:val="16"/>
          <w:szCs w:val="16"/>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6"/>
          <w:szCs w:val="16"/>
          <w:u w:val="single" w:color="auto"/>
          <w:color w:val="auto"/>
        </w:rPr>
        <w:t>New Local 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required to make Extensions of Credit in excess of its Commitment then in effect, and (ii) after giving effect to any such New Local Facility, the Total Domestic Extensions of Credit shall not exceed the Total Domestic Commitments then in effect, the Total L/C Tranche Extensions of Credit shall not exceed the Total L/C Tranche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2.27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6"/>
          <w:szCs w:val="16"/>
          <w:u w:val="single" w:color="auto"/>
          <w:color w:val="auto"/>
        </w:rPr>
        <w:t>New Local Facility Lender</w:t>
      </w:r>
      <w:r>
        <w:rPr>
          <w:rFonts w:ascii="Arial" w:cs="Arial" w:eastAsia="Arial" w:hAnsi="Arial"/>
          <w:sz w:val="16"/>
          <w:szCs w:val="16"/>
          <w:color w:val="auto"/>
        </w:rPr>
        <w:t>”)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2.20 or 2.21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6"/>
          <w:szCs w:val="16"/>
          <w:u w:val="single" w:color="auto"/>
          <w:color w:val="auto"/>
        </w:rPr>
        <w:t>Local Facility Amendment</w:t>
      </w:r>
      <w:r>
        <w:rPr>
          <w:rFonts w:ascii="Arial" w:cs="Arial" w:eastAsia="Arial" w:hAnsi="Arial"/>
          <w:sz w:val="16"/>
          <w:szCs w:val="16"/>
          <w:color w:val="auto"/>
        </w:rPr>
        <w:t>”) to this Agreement and, as appropriate, the other Loan Documents, executed by the Loan Parties, the Administrative Agent and each New Local Facility Lender. Notwithstanding anything in this Section 2.27 to the contrary, no Lender shall be obligated to transfer any portion of its Commitments to a New Local Facility unless it so agrees.</w:t>
      </w:r>
    </w:p>
    <w:p>
      <w:pPr>
        <w:spacing w:after="0" w:line="171" w:lineRule="exact"/>
        <w:rPr>
          <w:sz w:val="20"/>
          <w:szCs w:val="20"/>
          <w:color w:val="auto"/>
        </w:rPr>
      </w:pPr>
    </w:p>
    <w:p>
      <w:pPr>
        <w:ind w:left="120" w:right="160" w:firstLine="998"/>
        <w:spacing w:after="0" w:line="258" w:lineRule="auto"/>
        <w:tabs>
          <w:tab w:leader="none" w:pos="13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2.27, a copy of which shall be made available to each Lender.</w:t>
      </w:r>
    </w:p>
    <w:p>
      <w:pPr>
        <w:spacing w:after="0" w:line="187" w:lineRule="exact"/>
        <w:rPr>
          <w:sz w:val="20"/>
          <w:szCs w:val="20"/>
          <w:color w:val="auto"/>
        </w:rPr>
      </w:pPr>
    </w:p>
    <w:p>
      <w:pPr>
        <w:ind w:left="120" w:right="140" w:firstLine="989"/>
        <w:spacing w:after="0" w:line="283"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u w:val="single" w:color="auto"/>
          <w:color w:val="auto"/>
        </w:rPr>
        <w:t>Incremental Commitments/Facilities</w:t>
      </w:r>
      <w:r>
        <w:rPr>
          <w:rFonts w:ascii="Arial" w:cs="Arial" w:eastAsia="Arial" w:hAnsi="Arial"/>
          <w:sz w:val="16"/>
          <w:szCs w:val="16"/>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w:t>
      </w:r>
    </w:p>
    <w:p>
      <w:pPr>
        <w:spacing w:after="0" w:line="4" w:lineRule="exact"/>
        <w:rPr>
          <w:sz w:val="20"/>
          <w:szCs w:val="20"/>
          <w:color w:val="auto"/>
        </w:rPr>
      </w:pPr>
    </w:p>
    <w:p>
      <w:pPr>
        <w:ind w:left="120" w:firstLine="9"/>
        <w:spacing w:after="0" w:line="252" w:lineRule="auto"/>
        <w:tabs>
          <w:tab w:leader="none" w:pos="4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such Commitment Increase or Incremental Facility (including the incurrence of any Incremental Loans on the applicable Commitment Increase Date or Incremental Facility Closing Date</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color w:val="auto"/>
        </w:rPr>
        <w:t>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5-Year Total Commitments then in effect (including, for the avoidance of doubt, any commitments under incremental facilities under the 5-Year Revolving Credit Agreement) and the aggregate amount of all Ancillary Commitments then in effect shall not exceed $18 billion.</w:t>
      </w:r>
    </w:p>
    <w:p>
      <w:pPr>
        <w:spacing w:after="0" w:line="172" w:lineRule="exact"/>
        <w:rPr>
          <w:sz w:val="20"/>
          <w:szCs w:val="20"/>
          <w:color w:val="auto"/>
        </w:rPr>
      </w:pPr>
    </w:p>
    <w:p>
      <w:pPr>
        <w:ind w:left="120" w:right="80" w:firstLine="998"/>
        <w:spacing w:after="0" w:line="293" w:lineRule="auto"/>
        <w:tabs>
          <w:tab w:leader="none" w:pos="1363" w:val="left"/>
        </w:tabs>
        <w:numPr>
          <w:ilvl w:val="1"/>
          <w:numId w:val="82"/>
        </w:numPr>
        <w:rPr>
          <w:rFonts w:ascii="Arial" w:cs="Arial" w:eastAsia="Arial" w:hAnsi="Arial"/>
          <w:sz w:val="16"/>
          <w:szCs w:val="16"/>
          <w:color w:val="auto"/>
        </w:rPr>
      </w:pPr>
      <w:r>
        <w:rPr>
          <w:rFonts w:ascii="Arial" w:cs="Arial" w:eastAsia="Arial" w:hAnsi="Arial"/>
          <w:sz w:val="16"/>
          <w:szCs w:val="16"/>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6"/>
          <w:szCs w:val="16"/>
          <w:u w:val="single" w:color="auto"/>
          <w:color w:val="auto"/>
        </w:rPr>
        <w:t>Incremental Loan</w:t>
      </w:r>
      <w:r>
        <w:rPr>
          <w:rFonts w:ascii="Arial" w:cs="Arial" w:eastAsia="Arial" w:hAnsi="Arial"/>
          <w:sz w:val="16"/>
          <w:szCs w:val="16"/>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2.28 shall be construed to obligate any Lender to execute an Incremental Loan Activation Notice.</w:t>
      </w:r>
    </w:p>
    <w:p>
      <w:pPr>
        <w:spacing w:after="0" w:line="160" w:lineRule="exact"/>
        <w:rPr>
          <w:rFonts w:ascii="Arial" w:cs="Arial" w:eastAsia="Arial" w:hAnsi="Arial"/>
          <w:sz w:val="16"/>
          <w:szCs w:val="16"/>
          <w:color w:val="auto"/>
        </w:rPr>
      </w:pPr>
    </w:p>
    <w:p>
      <w:pPr>
        <w:ind w:left="1360" w:hanging="242"/>
        <w:spacing w:after="0"/>
        <w:tabs>
          <w:tab w:leader="none" w:pos="13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w:t>
      </w:r>
    </w:p>
    <w:p>
      <w:pPr>
        <w:spacing w:after="0" w:line="34" w:lineRule="exact"/>
        <w:rPr>
          <w:rFonts w:ascii="Arial" w:cs="Arial" w:eastAsia="Arial" w:hAnsi="Arial"/>
          <w:sz w:val="17"/>
          <w:szCs w:val="17"/>
          <w:color w:val="auto"/>
        </w:rPr>
      </w:pPr>
    </w:p>
    <w:p>
      <w:pPr>
        <w:ind w:left="120" w:right="80" w:firstLine="9"/>
        <w:spacing w:after="0" w:line="289" w:lineRule="auto"/>
        <w:tabs>
          <w:tab w:leader="none" w:pos="334"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65" w:lineRule="exact"/>
        <w:rPr>
          <w:sz w:val="20"/>
          <w:szCs w:val="20"/>
          <w:color w:val="auto"/>
        </w:rPr>
      </w:pPr>
    </w:p>
    <w:p>
      <w:pPr>
        <w:ind w:left="120" w:right="40" w:firstLine="989"/>
        <w:spacing w:after="0" w:line="270" w:lineRule="auto"/>
        <w:rPr>
          <w:sz w:val="20"/>
          <w:szCs w:val="20"/>
          <w:color w:val="auto"/>
        </w:rPr>
      </w:pPr>
      <w:r>
        <w:rPr>
          <w:rFonts w:ascii="Arial" w:cs="Arial" w:eastAsia="Arial" w:hAnsi="Arial"/>
          <w:sz w:val="17"/>
          <w:szCs w:val="17"/>
          <w:color w:val="auto"/>
        </w:rPr>
        <w:t xml:space="preserve">2.29 </w:t>
      </w:r>
      <w:r>
        <w:rPr>
          <w:rFonts w:ascii="Arial" w:cs="Arial" w:eastAsia="Arial" w:hAnsi="Arial"/>
          <w:sz w:val="17"/>
          <w:szCs w:val="17"/>
          <w:u w:val="single" w:color="auto"/>
          <w:color w:val="auto"/>
        </w:rPr>
        <w:t>Termination Date Extension</w:t>
      </w:r>
      <w:r>
        <w:rPr>
          <w:rFonts w:ascii="Arial" w:cs="Arial" w:eastAsia="Arial" w:hAnsi="Arial"/>
          <w:sz w:val="17"/>
          <w:szCs w:val="17"/>
          <w:color w:val="auto"/>
        </w:rPr>
        <w:t>. (a) The Company may at any time and from time to time, by notice to the Administrative Agent,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7"/>
          <w:szCs w:val="17"/>
          <w:u w:val="single" w:color="auto"/>
          <w:color w:val="auto"/>
        </w:rPr>
        <w:t>Extending Lender</w:t>
      </w:r>
      <w:r>
        <w:rPr>
          <w:rFonts w:ascii="Arial" w:cs="Arial" w:eastAsia="Arial" w:hAnsi="Arial"/>
          <w:sz w:val="17"/>
          <w:szCs w:val="17"/>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2.29(b).</w:t>
      </w:r>
    </w:p>
    <w:p>
      <w:pPr>
        <w:spacing w:after="0" w:line="180" w:lineRule="exact"/>
        <w:rPr>
          <w:sz w:val="20"/>
          <w:szCs w:val="20"/>
          <w:color w:val="auto"/>
        </w:rPr>
      </w:pPr>
    </w:p>
    <w:p>
      <w:pPr>
        <w:ind w:left="120" w:firstLine="998"/>
        <w:spacing w:after="0" w:line="258" w:lineRule="auto"/>
        <w:tabs>
          <w:tab w:leader="none" w:pos="13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any Lender does not consent to any extension request that becomes effective pursuant to Section 2.29(a) (each such Lender,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then the Termination Date for such Non-Extending Lender shall remain unchanged from that applicable prior to the extension and the Commitments of each Non-Extending Lender and the existing Applicable Margins shall, subject to the terms of Section 2.18, continue in full force and effect.</w:t>
      </w:r>
    </w:p>
    <w:p>
      <w:pPr>
        <w:spacing w:after="0" w:line="187" w:lineRule="exact"/>
        <w:rPr>
          <w:rFonts w:ascii="Arial" w:cs="Arial" w:eastAsia="Arial" w:hAnsi="Arial"/>
          <w:sz w:val="18"/>
          <w:szCs w:val="18"/>
          <w:color w:val="auto"/>
        </w:rPr>
      </w:pPr>
    </w:p>
    <w:p>
      <w:pPr>
        <w:ind w:left="120" w:right="100" w:firstLine="998"/>
        <w:spacing w:after="0" w:line="258" w:lineRule="auto"/>
        <w:tabs>
          <w:tab w:leader="none" w:pos="13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the provisions of Section 10.1(a), the Company and the Administrative Agent (and the Extending Lenders) shall be entitled to enter into any amendments to this Agreement that the Administrative Agent believes are necessary or appropriate to reflect, or to provide for the integration of, any extension of the Termination Date or change in Applicable Margins pursuant to this Section 2.29 without the consent of any Non-Extending Lender.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8"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0" w:firstLine="989"/>
        <w:spacing w:after="0" w:line="273" w:lineRule="auto"/>
        <w:rPr>
          <w:sz w:val="20"/>
          <w:szCs w:val="20"/>
          <w:color w:val="auto"/>
        </w:rPr>
      </w:pPr>
      <w:r>
        <w:rPr>
          <w:rFonts w:ascii="Arial" w:cs="Arial" w:eastAsia="Arial" w:hAnsi="Arial"/>
          <w:sz w:val="17"/>
          <w:szCs w:val="17"/>
          <w:color w:val="auto"/>
        </w:rPr>
        <w:t xml:space="preserve">2.30 </w:t>
      </w:r>
      <w:r>
        <w:rPr>
          <w:rFonts w:ascii="Arial" w:cs="Arial" w:eastAsia="Arial" w:hAnsi="Arial"/>
          <w:sz w:val="17"/>
          <w:szCs w:val="17"/>
          <w:u w:val="single" w:color="auto"/>
          <w:color w:val="auto"/>
        </w:rPr>
        <w:t>Ancillary Facilities</w:t>
      </w:r>
      <w:r>
        <w:rPr>
          <w:rFonts w:ascii="Arial" w:cs="Arial" w:eastAsia="Arial" w:hAnsi="Arial"/>
          <w:sz w:val="17"/>
          <w:szCs w:val="17"/>
          <w:color w:val="auto"/>
        </w:rPr>
        <w:t>. (a) Subject to compliance with the requirements set forth in this Section 2.30, the Company may request from time to time (but in any event prior to the Termination Date for the applicable Multicurrency Lenders in respect of the Multicurrency Facility) and any Multicurrency Lender may agree (in its sole discretion) to establish an Ancillary Facility on a bilateral basis to be made available to any Loan Party or any Foreign Subsidiary (each such Loan Party or Foreign Subsidiary in such capacity, an “</w:t>
      </w:r>
      <w:r>
        <w:rPr>
          <w:rFonts w:ascii="Arial" w:cs="Arial" w:eastAsia="Arial" w:hAnsi="Arial"/>
          <w:sz w:val="17"/>
          <w:szCs w:val="17"/>
          <w:u w:val="single" w:color="auto"/>
          <w:color w:val="auto"/>
        </w:rPr>
        <w:t>Ancillary Borrower</w:t>
      </w:r>
      <w:r>
        <w:rPr>
          <w:rFonts w:ascii="Arial" w:cs="Arial" w:eastAsia="Arial" w:hAnsi="Arial"/>
          <w:sz w:val="17"/>
          <w:szCs w:val="17"/>
          <w:color w:val="auto"/>
        </w:rPr>
        <w:t>”) by conversion of such Lender’s unutilized Multicurrency Commitments (or part thereof) into an Ancillary Commitment (and a corresponding reduction of such Lender’s Multicurrency Commitments then in effect by an amount equal to such Ancillary Commitment).</w:t>
      </w:r>
    </w:p>
    <w:p>
      <w:pPr>
        <w:spacing w:after="0" w:line="174" w:lineRule="exact"/>
        <w:rPr>
          <w:sz w:val="20"/>
          <w:szCs w:val="20"/>
          <w:color w:val="auto"/>
        </w:rPr>
      </w:pPr>
    </w:p>
    <w:p>
      <w:pPr>
        <w:ind w:left="120" w:right="940" w:firstLine="998"/>
        <w:spacing w:after="0" w:line="263" w:lineRule="auto"/>
        <w:tabs>
          <w:tab w:leader="none" w:pos="13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request the creation of an Ancillary Facility, the Company and the applicable Ancillary Borrower(s) shall deliver to the Administrative Agent not later than 3 Business Days (or such shorter period agreed to by the Administrative Agent) prior to the Ancillary Commencement Date for such Ancillary Facility:</w:t>
      </w:r>
    </w:p>
    <w:p>
      <w:pPr>
        <w:spacing w:after="0" w:line="74" w:lineRule="exact"/>
        <w:rPr>
          <w:sz w:val="20"/>
          <w:szCs w:val="20"/>
          <w:color w:val="auto"/>
        </w:rPr>
      </w:pPr>
    </w:p>
    <w:p>
      <w:pPr>
        <w:ind w:left="1340" w:hanging="222"/>
        <w:spacing w:after="0"/>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notice in writing specifying:</w:t>
      </w:r>
    </w:p>
    <w:p>
      <w:pPr>
        <w:spacing w:after="0" w:line="116" w:lineRule="exact"/>
        <w:rPr>
          <w:rFonts w:ascii="Arial" w:cs="Arial" w:eastAsia="Arial" w:hAnsi="Arial"/>
          <w:sz w:val="18"/>
          <w:szCs w:val="18"/>
          <w:color w:val="auto"/>
        </w:rPr>
      </w:pPr>
    </w:p>
    <w:p>
      <w:pPr>
        <w:ind w:left="1820" w:hanging="302"/>
        <w:spacing w:after="0"/>
        <w:tabs>
          <w:tab w:leader="none" w:pos="18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Ancillary Borrower(s) to which extensions of credit will be made available thereunder;</w:t>
      </w:r>
    </w:p>
    <w:p>
      <w:pPr>
        <w:spacing w:after="0" w:line="116" w:lineRule="exact"/>
        <w:rPr>
          <w:rFonts w:ascii="Arial" w:cs="Arial" w:eastAsia="Arial" w:hAnsi="Arial"/>
          <w:sz w:val="18"/>
          <w:szCs w:val="18"/>
          <w:color w:val="auto"/>
        </w:rPr>
      </w:pPr>
    </w:p>
    <w:p>
      <w:pPr>
        <w:ind w:left="1120" w:right="120" w:firstLine="398"/>
        <w:spacing w:after="0" w:line="276" w:lineRule="auto"/>
        <w:tabs>
          <w:tab w:leader="none" w:pos="18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proposed Ancillary Commencement Date and the expiration date of such Ancillary Facility (which shall be no later than the Termination Date for the applicable Lenders under the Multicurrency Facility);</w:t>
      </w:r>
    </w:p>
    <w:p>
      <w:pPr>
        <w:spacing w:after="0" w:line="62" w:lineRule="exact"/>
        <w:rPr>
          <w:rFonts w:ascii="Arial" w:cs="Arial" w:eastAsia="Arial" w:hAnsi="Arial"/>
          <w:sz w:val="18"/>
          <w:szCs w:val="18"/>
          <w:color w:val="auto"/>
        </w:rPr>
      </w:pPr>
    </w:p>
    <w:p>
      <w:pPr>
        <w:ind w:left="1120" w:right="160" w:firstLine="398"/>
        <w:spacing w:after="0" w:line="276" w:lineRule="auto"/>
        <w:tabs>
          <w:tab w:leader="none" w:pos="18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type of Ancillary Facility being provided (with such type being specified based on the applicable clause of the definition of “Ancillary Facility”);</w:t>
      </w:r>
    </w:p>
    <w:p>
      <w:pPr>
        <w:spacing w:after="0" w:line="62" w:lineRule="exact"/>
        <w:rPr>
          <w:rFonts w:ascii="Arial" w:cs="Arial" w:eastAsia="Arial" w:hAnsi="Arial"/>
          <w:sz w:val="18"/>
          <w:szCs w:val="18"/>
          <w:color w:val="auto"/>
        </w:rPr>
      </w:pPr>
    </w:p>
    <w:p>
      <w:pPr>
        <w:ind w:left="1820" w:hanging="302"/>
        <w:spacing w:after="0"/>
        <w:tabs>
          <w:tab w:leader="none" w:pos="18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identity of the Ancillary Lender(s);</w:t>
      </w:r>
    </w:p>
    <w:p>
      <w:pPr>
        <w:spacing w:after="0" w:line="116" w:lineRule="exact"/>
        <w:rPr>
          <w:rFonts w:ascii="Arial" w:cs="Arial" w:eastAsia="Arial" w:hAnsi="Arial"/>
          <w:sz w:val="18"/>
          <w:szCs w:val="18"/>
          <w:color w:val="auto"/>
        </w:rPr>
      </w:pPr>
    </w:p>
    <w:p>
      <w:pPr>
        <w:jc w:val="both"/>
        <w:ind w:left="1120" w:firstLine="398"/>
        <w:spacing w:after="0" w:line="311" w:lineRule="auto"/>
        <w:tabs>
          <w:tab w:leader="none" w:pos="1794"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amount and currency of the proposed Ancillary Commitment with respect to such Ancillary Facility (the Dollar Equivalent of which on the Ancillary Commencement Date shall not exceed such Ancillary Lender’s Available Multicurrency Commitment (determined prior to giving effect to such Ancillary Commitment but after giving effect to any other Ancillary Commitments of such Lender)); and</w:t>
      </w:r>
    </w:p>
    <w:p>
      <w:pPr>
        <w:spacing w:after="0" w:line="146" w:lineRule="exact"/>
        <w:rPr>
          <w:rFonts w:ascii="Arial" w:cs="Arial" w:eastAsia="Arial" w:hAnsi="Arial"/>
          <w:sz w:val="16"/>
          <w:szCs w:val="16"/>
          <w:color w:val="auto"/>
        </w:rPr>
      </w:pPr>
    </w:p>
    <w:p>
      <w:pPr>
        <w:ind w:left="1380" w:hanging="262"/>
        <w:spacing w:after="0"/>
        <w:tabs>
          <w:tab w:leader="none" w:pos="1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copy of the Ancillary Facility Document with respect to such Ancillary Facility; and</w:t>
      </w:r>
    </w:p>
    <w:p>
      <w:pPr>
        <w:spacing w:after="0" w:line="223" w:lineRule="exact"/>
        <w:rPr>
          <w:rFonts w:ascii="Arial" w:cs="Arial" w:eastAsia="Arial" w:hAnsi="Arial"/>
          <w:sz w:val="18"/>
          <w:szCs w:val="18"/>
          <w:color w:val="auto"/>
        </w:rPr>
      </w:pPr>
    </w:p>
    <w:p>
      <w:pPr>
        <w:ind w:left="1440" w:hanging="322"/>
        <w:spacing w:after="0"/>
        <w:tabs>
          <w:tab w:leader="none" w:pos="1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other information that the Administrative Agent may reasonably request in connection with such Ancillary Facility.</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Administrative Agent shall give notice to each Lender with Multicurrency Commitments of such Ancillary Facility notice.</w:t>
      </w:r>
    </w:p>
    <w:p>
      <w:pPr>
        <w:spacing w:after="0" w:line="224" w:lineRule="exact"/>
        <w:rPr>
          <w:sz w:val="20"/>
          <w:szCs w:val="20"/>
          <w:color w:val="auto"/>
        </w:rPr>
      </w:pPr>
    </w:p>
    <w:p>
      <w:pPr>
        <w:ind w:left="120" w:firstLine="998"/>
        <w:spacing w:after="0" w:line="275" w:lineRule="auto"/>
        <w:tabs>
          <w:tab w:leader="none" w:pos="1353"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Subject to the terms of this Agreement, an affiliate of any Lender may become an Ancillary Lender, in which case such Lender and such affiliate shall be treated as a single Lender whose Multicurrency Commitments are as set forth in Schedule 1.1A or in the Assignment and Assumption pursuant to which such Lender assumed its applicable Multicurrency Commitment, as the same may be modified in accordance with the definition of “Multicurrency Commitment”; it being understood that the relevant Lender’s Multicurrency Commitment will be reduced by the amount of the Ancillary Commitment of such Lender or such affiliate for so long as such Ancillary Commitments remain outstanding.</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8"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firstLine="998"/>
        <w:spacing w:after="0" w:line="263" w:lineRule="auto"/>
        <w:tabs>
          <w:tab w:leader="none" w:pos="137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the extent that this Agreement or any other Loan Document imposes any obligation on any Ancillary Lender and such Ancillary Lender is an affiliate of a Lender and not a party hereto or thereto, the relevant Lender shall ensure that such obligation is performed by such affiliate in compliance with the terms hereof or such other Loan Document.</w:t>
      </w:r>
    </w:p>
    <w:p>
      <w:pPr>
        <w:spacing w:after="0" w:line="181" w:lineRule="exact"/>
        <w:rPr>
          <w:rFonts w:ascii="Arial" w:cs="Arial" w:eastAsia="Arial" w:hAnsi="Arial"/>
          <w:sz w:val="18"/>
          <w:szCs w:val="18"/>
          <w:color w:val="auto"/>
        </w:rPr>
      </w:pPr>
    </w:p>
    <w:p>
      <w:pPr>
        <w:ind w:left="1440" w:hanging="322"/>
        <w:spacing w:after="0"/>
        <w:tabs>
          <w:tab w:leader="none" w:pos="14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Ancillary Lender, in its capacity as such, hereby appoints the Administrative Agent as its agent for purposes of the Loan</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10" w:lineRule="exact"/>
        <w:rPr>
          <w:sz w:val="20"/>
          <w:szCs w:val="20"/>
          <w:color w:val="auto"/>
        </w:rPr>
      </w:pPr>
    </w:p>
    <w:p>
      <w:pPr>
        <w:ind w:left="120" w:right="280" w:firstLine="998"/>
        <w:spacing w:after="0" w:line="287" w:lineRule="auto"/>
        <w:tabs>
          <w:tab w:leader="none" w:pos="1363"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(I) Each Ancillary Facility shall contain terms and conditions acceptable to the applicable Ancillary Lender(s) and the applicable Ancillary Borrower(s)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terms shall, in the reasonable business judgment of the Company, be based upon normal commercial terms at the time of the creation of such Ancillary Facility pursuant to paragraph (b) of this Section 2.30 and such terms shall at all times</w:t>
      </w:r>
    </w:p>
    <w:p>
      <w:pPr>
        <w:ind w:left="120" w:right="40" w:firstLine="9"/>
        <w:spacing w:after="0" w:line="283" w:lineRule="auto"/>
        <w:tabs>
          <w:tab w:leader="none" w:pos="414"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permit extensions of credit thereunder to be made only to the applicable Ancillary Borrower(s); (B) provide that the Ancillary Commitment of any Ancillary Lender under such Ancillary Facility shall not exceed such Ancillary Lender’s Available Multicurrency Commitment as of the Ancillary Commencement Date (determined without giving effect to any reduction pursuant to the definition thereof by the amount of such Ancillary Lender’s Ancillary Commitment in relation to such Ancillary Facility) and that, in the event and on such occasion that such Ancillary Commitment exceeds such Available Multicurrency Commitment (determined as of the Ancillary Commencement Date and without giving effect to any reduction pursuant to the definition thereof by the amount of such Ancillary Lender’s Ancillary Commitment in relation to such Ancillary Facility but after giving effect to any other Ancillary Commitments of such Lender), such Ancillary Commitment shall be automatically reduced by the amount of such excess; (C) provide that the Ancillary Facility Outstandings shall not exceed the Ancillary Commitment with respect to such Ancillary Facility, (D) provide that the Ancillary Commitment under such Ancillary Facility be canceled, and that all Ancillary Facility Outstandings under such Ancillary Facility be repaid, not later than the Termination Date for the applicable Ancillary Lenders under the Multicurrency Facility (or such earlier date as the Multicurrency Commitment of the relevant Ancillary Lender (or its affiliate) is reduced to zero) unless cash collateralized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and,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 and (E) provide that the conditions set forth in Section 5.2 shall be conditions to each extension of credit under such Ancillary Facility (in each case to the extent applicable).</w:t>
      </w:r>
    </w:p>
    <w:p>
      <w:pPr>
        <w:spacing w:after="0" w:line="174" w:lineRule="exact"/>
        <w:rPr>
          <w:rFonts w:ascii="Arial" w:cs="Arial" w:eastAsia="Arial" w:hAnsi="Arial"/>
          <w:sz w:val="16"/>
          <w:szCs w:val="16"/>
          <w:color w:val="auto"/>
        </w:rPr>
      </w:pPr>
    </w:p>
    <w:p>
      <w:pPr>
        <w:ind w:left="120" w:firstLine="998"/>
        <w:spacing w:after="0" w:line="256" w:lineRule="auto"/>
        <w:tabs>
          <w:tab w:leader="none" w:pos="1373" w:val="left"/>
        </w:tabs>
        <w:numPr>
          <w:ilvl w:val="1"/>
          <w:numId w:val="90"/>
        </w:numPr>
        <w:rPr>
          <w:rFonts w:ascii="Arial" w:cs="Arial" w:eastAsia="Arial" w:hAnsi="Arial"/>
          <w:sz w:val="18"/>
          <w:szCs w:val="18"/>
          <w:color w:val="auto"/>
        </w:rPr>
      </w:pPr>
      <w:r>
        <w:rPr>
          <w:rFonts w:ascii="Arial" w:cs="Arial" w:eastAsia="Arial" w:hAnsi="Arial"/>
          <w:sz w:val="18"/>
          <w:szCs w:val="18"/>
          <w:color w:val="auto"/>
        </w:rPr>
        <w:t>On the relevant Ancillary Commencement Date after giving effect to the reduction of the Multicurrency Commitment of each Ancillary Lender, each Multicurrency Lender will participate in the outstanding Multicurrency Loans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8"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firstLine="998"/>
        <w:spacing w:after="0" w:line="296" w:lineRule="auto"/>
        <w:tabs>
          <w:tab w:leader="none" w:pos="1353" w:val="left"/>
        </w:tabs>
        <w:numPr>
          <w:ilvl w:val="0"/>
          <w:numId w:val="91"/>
        </w:numPr>
        <w:rPr>
          <w:rFonts w:ascii="Arial" w:cs="Arial" w:eastAsia="Arial" w:hAnsi="Arial"/>
          <w:sz w:val="16"/>
          <w:szCs w:val="16"/>
          <w:color w:val="auto"/>
        </w:rPr>
      </w:pPr>
      <w:r>
        <w:rPr>
          <w:rFonts w:ascii="Arial" w:cs="Arial" w:eastAsia="Arial" w:hAnsi="Arial"/>
          <w:sz w:val="16"/>
          <w:szCs w:val="16"/>
          <w:color w:val="auto"/>
        </w:rPr>
        <w:t>(i) An Ancillary Facility shall terminate on the Termination Date for the applicable Ancillary Lender(s) under the Multicurrency Facility (or later if cash collateral arrangements are made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or such earlier date (A) as provided in the relevant Ancillary Facility Document or (B) on which its expiry date occurs or on which it is cancelled in accordance with the terms of this Agreement.</w:t>
      </w:r>
    </w:p>
    <w:p>
      <w:pPr>
        <w:spacing w:after="0" w:line="158" w:lineRule="exact"/>
        <w:rPr>
          <w:sz w:val="20"/>
          <w:szCs w:val="20"/>
          <w:color w:val="auto"/>
        </w:rPr>
      </w:pPr>
    </w:p>
    <w:p>
      <w:pPr>
        <w:ind w:left="120" w:right="120" w:firstLine="998"/>
        <w:spacing w:after="0" w:line="263" w:lineRule="auto"/>
        <w:tabs>
          <w:tab w:leader="none" w:pos="13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 Ancillary Facility expires or is otherwise cancelled in accordance with its terms, the Ancillary Commitment of the Ancillary Lender(s) shall be reduced to zero and the Multicurrency Commitment of those Ancillary Lender(s) (or their respective affiliates) then in effect shall be increased by the amount of such Lender’s expired Ancillary Commitment.</w:t>
      </w:r>
    </w:p>
    <w:p>
      <w:pPr>
        <w:spacing w:after="0" w:line="181" w:lineRule="exact"/>
        <w:rPr>
          <w:rFonts w:ascii="Arial" w:cs="Arial" w:eastAsia="Arial" w:hAnsi="Arial"/>
          <w:sz w:val="18"/>
          <w:szCs w:val="18"/>
          <w:color w:val="auto"/>
        </w:rPr>
      </w:pPr>
    </w:p>
    <w:p>
      <w:pPr>
        <w:ind w:left="120" w:right="100" w:firstLine="998"/>
        <w:spacing w:after="0" w:line="263" w:lineRule="auto"/>
        <w:tabs>
          <w:tab w:leader="none" w:pos="14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Ancillary Lender may demand repayment or prepayment of, or cash collateralization of, any Ancillary Facility Outstandings prior to the expiry date of the relevant Ancillary Facility unless it gives the Company and the relevant Ancillary Borrower(s) not less than 3 Business Days’ notice and:</w:t>
      </w:r>
    </w:p>
    <w:p>
      <w:pPr>
        <w:spacing w:after="0" w:line="73" w:lineRule="exact"/>
        <w:rPr>
          <w:rFonts w:ascii="Arial" w:cs="Arial" w:eastAsia="Arial" w:hAnsi="Arial"/>
          <w:sz w:val="18"/>
          <w:szCs w:val="18"/>
          <w:color w:val="auto"/>
        </w:rPr>
      </w:pPr>
    </w:p>
    <w:p>
      <w:pPr>
        <w:ind w:left="1820" w:hanging="302"/>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Termination Date for the applicable Lender(s) under the Multicurrency Facility has occurred;</w:t>
      </w:r>
    </w:p>
    <w:p>
      <w:pPr>
        <w:spacing w:after="0" w:line="116" w:lineRule="exact"/>
        <w:rPr>
          <w:rFonts w:ascii="Arial" w:cs="Arial" w:eastAsia="Arial" w:hAnsi="Arial"/>
          <w:sz w:val="18"/>
          <w:szCs w:val="18"/>
          <w:color w:val="auto"/>
        </w:rPr>
      </w:pPr>
    </w:p>
    <w:p>
      <w:pPr>
        <w:ind w:left="1120" w:right="120" w:firstLine="398"/>
        <w:spacing w:after="0" w:line="263" w:lineRule="auto"/>
        <w:tabs>
          <w:tab w:leader="none" w:pos="180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Required Lenders have accelerated the Multicurrency Loans and terminated the Multicurrency Commitments and demanded repayment of, or otherwise accelerated, the Indebtedness or other obligations thereunder (or such Multicurrency Commitments have otherwise been terminated in full);</w:t>
      </w:r>
    </w:p>
    <w:p>
      <w:pPr>
        <w:spacing w:after="0" w:line="73" w:lineRule="exact"/>
        <w:rPr>
          <w:rFonts w:ascii="Arial" w:cs="Arial" w:eastAsia="Arial" w:hAnsi="Arial"/>
          <w:sz w:val="18"/>
          <w:szCs w:val="18"/>
          <w:color w:val="auto"/>
        </w:rPr>
      </w:pPr>
    </w:p>
    <w:p>
      <w:pPr>
        <w:ind w:left="1800" w:hanging="282"/>
        <w:spacing w:after="0"/>
        <w:tabs>
          <w:tab w:leader="none" w:pos="18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expiration date of such Ancillary Facility has occurred;</w:t>
      </w:r>
    </w:p>
    <w:p>
      <w:pPr>
        <w:spacing w:after="0" w:line="116" w:lineRule="exact"/>
        <w:rPr>
          <w:rFonts w:ascii="Arial" w:cs="Arial" w:eastAsia="Arial" w:hAnsi="Arial"/>
          <w:sz w:val="18"/>
          <w:szCs w:val="18"/>
          <w:color w:val="auto"/>
        </w:rPr>
      </w:pPr>
    </w:p>
    <w:p>
      <w:pPr>
        <w:ind w:left="1120" w:firstLine="398"/>
        <w:spacing w:after="0" w:line="263" w:lineRule="auto"/>
        <w:tabs>
          <w:tab w:leader="none" w:pos="1814" w:val="left"/>
        </w:tabs>
        <w:numPr>
          <w:ilvl w:val="1"/>
          <w:numId w:val="92"/>
        </w:numPr>
        <w:rPr>
          <w:rFonts w:ascii="Arial" w:cs="Arial" w:eastAsia="Arial" w:hAnsi="Arial"/>
          <w:sz w:val="18"/>
          <w:szCs w:val="18"/>
          <w:color w:val="auto"/>
        </w:rPr>
      </w:pPr>
      <w:r>
        <w:rPr>
          <w:rFonts w:ascii="Arial" w:cs="Arial" w:eastAsia="Arial" w:hAnsi="Arial"/>
          <w:sz w:val="18"/>
          <w:szCs w:val="18"/>
          <w:color w:val="auto"/>
        </w:rPr>
        <w:t>it becomes unlawful in any applicable jurisdiction for the Ancillary Lender(s) to perform any of their obligations as contemplated by this Agreement or to fund, issue or maintain their participation in the Ancillary Facility (or it becomes unlawful for the applicable affiliate of the Ancillary Lender(s) to do so); or</w:t>
      </w:r>
    </w:p>
    <w:p>
      <w:pPr>
        <w:spacing w:after="0" w:line="73" w:lineRule="exact"/>
        <w:rPr>
          <w:rFonts w:ascii="Arial" w:cs="Arial" w:eastAsia="Arial" w:hAnsi="Arial"/>
          <w:sz w:val="18"/>
          <w:szCs w:val="18"/>
          <w:color w:val="auto"/>
        </w:rPr>
      </w:pPr>
    </w:p>
    <w:p>
      <w:pPr>
        <w:ind w:left="1120" w:right="200" w:firstLine="398"/>
        <w:spacing w:after="0" w:line="263" w:lineRule="auto"/>
        <w:tabs>
          <w:tab w:leader="none" w:pos="17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Ancillary Facility Outstandings, if any, under such Ancillary Facility may be refinanced by a Loan under the Multicurrency Facility and the relevant Ancillary Lender(s) provide sufficient notice to permit the refinancing of such Ancillary Facility Outstandings with such a Loan.</w:t>
      </w:r>
    </w:p>
    <w:p>
      <w:pPr>
        <w:spacing w:after="0" w:line="182" w:lineRule="exact"/>
        <w:rPr>
          <w:sz w:val="20"/>
          <w:szCs w:val="20"/>
          <w:color w:val="auto"/>
        </w:rPr>
      </w:pPr>
    </w:p>
    <w:p>
      <w:pPr>
        <w:ind w:left="1340" w:hanging="222"/>
        <w:spacing w:after="0"/>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the purposes of repaying any Ancillary Facility Outstandings pursuant to paragraph (e)(iii)(E) of this Section 2.30:</w:t>
      </w:r>
    </w:p>
    <w:p>
      <w:pPr>
        <w:spacing w:after="0" w:line="116" w:lineRule="exact"/>
        <w:rPr>
          <w:rFonts w:ascii="Arial" w:cs="Arial" w:eastAsia="Arial" w:hAnsi="Arial"/>
          <w:sz w:val="18"/>
          <w:szCs w:val="18"/>
          <w:color w:val="auto"/>
        </w:rPr>
      </w:pPr>
    </w:p>
    <w:p>
      <w:pPr>
        <w:ind w:left="1120" w:right="520" w:firstLine="398"/>
        <w:spacing w:after="0" w:line="276" w:lineRule="auto"/>
        <w:tabs>
          <w:tab w:leader="none" w:pos="181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Multicurrency Commitment of such Ancillary Lender will be increased by the amount of its Ancillary Commitment so terminated; and</w:t>
      </w:r>
    </w:p>
    <w:p>
      <w:pPr>
        <w:spacing w:after="0" w:line="62" w:lineRule="exact"/>
        <w:rPr>
          <w:rFonts w:ascii="Arial" w:cs="Arial" w:eastAsia="Arial" w:hAnsi="Arial"/>
          <w:sz w:val="18"/>
          <w:szCs w:val="18"/>
          <w:color w:val="auto"/>
        </w:rPr>
      </w:pPr>
    </w:p>
    <w:p>
      <w:pPr>
        <w:ind w:left="1120" w:right="480" w:firstLine="398"/>
        <w:spacing w:after="0" w:line="306" w:lineRule="auto"/>
        <w:tabs>
          <w:tab w:leader="none" w:pos="1804" w:val="left"/>
        </w:tabs>
        <w:numPr>
          <w:ilvl w:val="1"/>
          <w:numId w:val="93"/>
        </w:numPr>
        <w:rPr>
          <w:rFonts w:ascii="Arial" w:cs="Arial" w:eastAsia="Arial" w:hAnsi="Arial"/>
          <w:sz w:val="17"/>
          <w:szCs w:val="17"/>
          <w:color w:val="auto"/>
        </w:rPr>
      </w:pPr>
      <w:r>
        <w:rPr>
          <w:rFonts w:ascii="Arial" w:cs="Arial" w:eastAsia="Arial" w:hAnsi="Arial"/>
          <w:sz w:val="17"/>
          <w:szCs w:val="17"/>
          <w:color w:val="auto"/>
        </w:rPr>
        <w:t>a Loan may be borrowed irrespective of whether a Default is outstanding or any other applicable condition precedent is not satisfied (but only to the extent that the proceeds are applied to refinance those Ancillary Facility Outstandings)</w:t>
      </w:r>
      <w:r>
        <w:rPr>
          <w:rFonts w:ascii="Arial" w:cs="Arial" w:eastAsia="Arial" w:hAnsi="Arial"/>
          <w:sz w:val="17"/>
          <w:szCs w:val="17"/>
          <w:b w:val="1"/>
          <w:bCs w:val="1"/>
          <w:color w:val="auto"/>
        </w:rPr>
        <w:t>.</w:t>
      </w:r>
    </w:p>
    <w:p>
      <w:pPr>
        <w:spacing w:after="0" w:line="148" w:lineRule="exact"/>
        <w:rPr>
          <w:rFonts w:ascii="Arial" w:cs="Arial" w:eastAsia="Arial" w:hAnsi="Arial"/>
          <w:sz w:val="17"/>
          <w:szCs w:val="17"/>
          <w:color w:val="auto"/>
        </w:rPr>
      </w:pPr>
    </w:p>
    <w:p>
      <w:pPr>
        <w:ind w:left="1380" w:hanging="262"/>
        <w:spacing w:after="0"/>
        <w:tabs>
          <w:tab w:leader="none" w:pos="1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the making of such a Loan to refinance Ancillary Facility Outstandings:</w:t>
      </w:r>
    </w:p>
    <w:p>
      <w:pPr>
        <w:spacing w:after="0" w:line="116" w:lineRule="exact"/>
        <w:rPr>
          <w:rFonts w:ascii="Arial" w:cs="Arial" w:eastAsia="Arial" w:hAnsi="Arial"/>
          <w:sz w:val="18"/>
          <w:szCs w:val="18"/>
          <w:color w:val="auto"/>
        </w:rPr>
      </w:pPr>
    </w:p>
    <w:p>
      <w:pPr>
        <w:ind w:left="1120" w:right="140" w:firstLine="398"/>
        <w:spacing w:after="0" w:line="258" w:lineRule="auto"/>
        <w:tabs>
          <w:tab w:leader="none" w:pos="1814"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Multicurrency Lender will participate in that Loan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8"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0" w:hanging="282"/>
        <w:spacing w:after="0"/>
        <w:tabs>
          <w:tab w:leader="none" w:pos="18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relevant Ancillary Facility shall be cancelled.</w:t>
      </w:r>
    </w:p>
    <w:p>
      <w:pPr>
        <w:spacing w:after="0" w:line="224" w:lineRule="exact"/>
        <w:rPr>
          <w:rFonts w:ascii="Arial" w:cs="Arial" w:eastAsia="Arial" w:hAnsi="Arial"/>
          <w:sz w:val="18"/>
          <w:szCs w:val="18"/>
          <w:color w:val="auto"/>
        </w:rPr>
      </w:pPr>
    </w:p>
    <w:p>
      <w:pPr>
        <w:jc w:val="both"/>
        <w:ind w:left="120" w:right="80" w:firstLine="998"/>
        <w:spacing w:after="0" w:line="278" w:lineRule="auto"/>
        <w:tabs>
          <w:tab w:leader="none" w:pos="136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 and each Ancillary Borrower to which an Ancillary Facility has been made available and each Ancillary Lender shall, upon request by the Administrative Agent, promptly supply the Administrative Agent with any information relating to the operation of such Ancillary Facility (including the Ancillary Facility Outstandings) as the Administrative Agent may reasonably request from time to time. The Company and each Ancillary Borrower consent to all such information being released to the Administrative Agent and the Lenders.</w:t>
      </w:r>
    </w:p>
    <w:p>
      <w:pPr>
        <w:spacing w:after="0" w:line="171" w:lineRule="exact"/>
        <w:rPr>
          <w:rFonts w:ascii="Arial" w:cs="Arial" w:eastAsia="Arial" w:hAnsi="Arial"/>
          <w:sz w:val="17"/>
          <w:szCs w:val="17"/>
          <w:color w:val="auto"/>
        </w:rPr>
      </w:pPr>
    </w:p>
    <w:p>
      <w:pPr>
        <w:ind w:left="120" w:right="180" w:firstLine="998"/>
        <w:spacing w:after="0" w:line="276"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and each Ancillary Borrower acknowledge and consent that Sections 2.18, 2.20, 2.21 and 2.22 of this Agreement shall apply to each Ancillary Facility (unless expressly waived by the relevant Ancillary Lender in its sole discretion).</w:t>
      </w:r>
    </w:p>
    <w:p>
      <w:pPr>
        <w:spacing w:after="0" w:line="170" w:lineRule="exact"/>
        <w:rPr>
          <w:rFonts w:ascii="Arial" w:cs="Arial" w:eastAsia="Arial" w:hAnsi="Arial"/>
          <w:sz w:val="18"/>
          <w:szCs w:val="18"/>
          <w:color w:val="auto"/>
        </w:rPr>
      </w:pPr>
    </w:p>
    <w:p>
      <w:pPr>
        <w:ind w:left="120" w:right="140" w:firstLine="998"/>
        <w:spacing w:after="0" w:line="263"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the extent that this Agreement or any other Loan Document imposes any obligation on any Ancillary Borrower and such Ancillary Borrower is an affiliate of a Borrower and not a party hereto or thereto, the relevant Borrower shall ensure that such obligation is performed by such affiliate in compliance with the terms hereof or such other Loan Document.</w:t>
      </w:r>
    </w:p>
    <w:p>
      <w:pPr>
        <w:spacing w:after="0" w:line="181" w:lineRule="exact"/>
        <w:rPr>
          <w:rFonts w:ascii="Arial" w:cs="Arial" w:eastAsia="Arial" w:hAnsi="Arial"/>
          <w:sz w:val="18"/>
          <w:szCs w:val="18"/>
          <w:color w:val="auto"/>
        </w:rPr>
      </w:pPr>
    </w:p>
    <w:p>
      <w:pPr>
        <w:ind w:left="120" w:right="20" w:firstLine="998"/>
        <w:spacing w:after="0" w:line="293" w:lineRule="auto"/>
        <w:tabs>
          <w:tab w:leader="none" w:pos="1363"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event of any conflict between the terms of an Ancillary Facility Document and any Loan Document, the terms of such Loan Document shall govern except for (i) the first sentence of Section 2.17(a) for the purposes of calculating fees, interest or commission relating to the relevant Ancillary Facility, (ii) any Ancillary Facility comprising more than one account where the terms of the Ancillary Facility Documents shall prevail to the extent required to permit the netting of balances in respect of such accounts and (iii) where the relevant term of this Agreement would be contrary to, or inconsistent with, the law governing the relevant Ancillary Facility Document, in which case the relevant term of this Agreement shall be superseded by the terms of the such Ancillary Facility Document solely to the extent necessary to eliminate the subject conflict or inconsistency.</w:t>
      </w:r>
    </w:p>
    <w:p>
      <w:pPr>
        <w:spacing w:after="0" w:line="160" w:lineRule="exact"/>
        <w:rPr>
          <w:rFonts w:ascii="Arial" w:cs="Arial" w:eastAsia="Arial" w:hAnsi="Arial"/>
          <w:sz w:val="16"/>
          <w:szCs w:val="16"/>
          <w:color w:val="auto"/>
        </w:rPr>
      </w:pPr>
    </w:p>
    <w:p>
      <w:pPr>
        <w:ind w:left="120" w:right="120" w:firstLine="998"/>
        <w:spacing w:after="0" w:line="263"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amendment or waiver of a term of any Ancillary Facility Document shall require the consent of any Lender other than the relevant Ancillary Lender unless such amendment or waiver itself relates to or gives rise to a matter which would require an amendment of or under this Agreement (including, for the avoidance of doubt, this Section 2.30), in which case Section 10.1 shall apply.</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3. LETTERS OF CREDIT</w:t>
      </w:r>
    </w:p>
    <w:p>
      <w:pPr>
        <w:spacing w:after="0" w:line="224" w:lineRule="exact"/>
        <w:rPr>
          <w:sz w:val="20"/>
          <w:szCs w:val="20"/>
          <w:color w:val="auto"/>
        </w:rPr>
      </w:pPr>
    </w:p>
    <w:p>
      <w:pPr>
        <w:ind w:left="120" w:firstLine="989"/>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L/C Commitment</w:t>
      </w:r>
      <w:r>
        <w:rPr>
          <w:rFonts w:ascii="Arial" w:cs="Arial" w:eastAsia="Arial" w:hAnsi="Arial"/>
          <w:sz w:val="16"/>
          <w:szCs w:val="16"/>
          <w:color w:val="auto"/>
        </w:rPr>
        <w:t>. (a) Subject to the terms and conditions hereof, each Issuing Lender, in reliance on the agreements of the L/C Tranche Lenders set forth in Section 3.4(a), agrees to issue (or cause its Applicable Lending Office to issue) letters of credit and bank guarantees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under the L/C Tranche Facility for the account of a Loan Party or a Subsidiary of a Loan Party (the “</w:t>
      </w:r>
      <w:r>
        <w:rPr>
          <w:rFonts w:ascii="Arial" w:cs="Arial" w:eastAsia="Arial" w:hAnsi="Arial"/>
          <w:sz w:val="16"/>
          <w:szCs w:val="16"/>
          <w:u w:val="single" w:color="auto"/>
          <w:color w:val="auto"/>
        </w:rPr>
        <w:t>Applicable Account Party</w:t>
      </w:r>
      <w:r>
        <w:rPr>
          <w:rFonts w:ascii="Arial" w:cs="Arial" w:eastAsia="Arial" w:hAnsi="Arial"/>
          <w:sz w:val="16"/>
          <w:szCs w:val="16"/>
          <w:color w:val="auto"/>
        </w:rPr>
        <w:t xml:space="preserve">”) on any Business Day during the Commitment Period of such Issuing Lender in such form as may be reasonable and customary for the purpose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Issuing Commitment then in effect, (B) the Total L/C Tranche Extensions of Credit</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8"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would exceed the Total L/C Tranche Commitment then in effect or (C)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would exceed the Total L/C Tranche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Bank of America, N.A. shall not be required to issue any Letters of Credit in any Optional Currency without its prior written consent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71" w:lineRule="exact"/>
        <w:rPr>
          <w:sz w:val="20"/>
          <w:szCs w:val="20"/>
          <w:color w:val="auto"/>
        </w:rPr>
      </w:pPr>
    </w:p>
    <w:p>
      <w:pPr>
        <w:ind w:left="120" w:right="120" w:firstLine="998"/>
        <w:spacing w:after="0" w:line="263" w:lineRule="auto"/>
        <w:tabs>
          <w:tab w:leader="none" w:pos="1363"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81" w:lineRule="exact"/>
        <w:rPr>
          <w:rFonts w:ascii="Arial" w:cs="Arial" w:eastAsia="Arial" w:hAnsi="Arial"/>
          <w:sz w:val="18"/>
          <w:szCs w:val="18"/>
          <w:color w:val="auto"/>
        </w:rPr>
      </w:pPr>
    </w:p>
    <w:p>
      <w:pPr>
        <w:ind w:left="120" w:right="160" w:firstLine="998"/>
        <w:spacing w:after="0" w:line="290" w:lineRule="auto"/>
        <w:tabs>
          <w:tab w:leader="none" w:pos="1353"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the Termination Date has been extended (pursuant to Section 2.29 or otherwise) and any L/C Tranche Lenders are Non-Consenting Lenders with respect thereto, and any Letter of Credit remains outstanding on the Termination Date applicable to such Non-Extending Lenders, then</w:t>
      </w:r>
    </w:p>
    <w:p>
      <w:pPr>
        <w:ind w:left="120" w:right="100" w:firstLine="9"/>
        <w:spacing w:after="0" w:line="281" w:lineRule="auto"/>
        <w:tabs>
          <w:tab w:leader="none" w:pos="334" w:val="left"/>
        </w:tabs>
        <w:numPr>
          <w:ilvl w:val="0"/>
          <w:numId w:val="97"/>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at such time, all or any part of the L/C Obligations of such Non-Extending Lenders shall be reallocated among the L/C Tranche Lenders that are Extending Lenders with respect thereto in accordance with their L/C Tranche Percentages (calculated after giving effect to the termination of the Commitments of the Non-Extending Lenders on such Termination Date) but only to the extent the sum of all Extending Lenders’ L/C Tranche Extensions of Credit plus such L/C Obligations does not exceed the total of all L/C Tranche Lenders that are Extending Lenders’ L/C Tranche Commitments, (ii) if any reallocation described in clause (i) above cannot, or can only partially, be effected, the Company or any applicable Subsidiary Borrower shall, at any time and from time to time following notice by the Administrative Agent,</w:t>
      </w:r>
    </w:p>
    <w:p>
      <w:pPr>
        <w:ind w:left="380" w:hanging="251"/>
        <w:spacing w:after="0"/>
        <w:tabs>
          <w:tab w:leader="none" w:pos="3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prepay L/C Tranche Loans in an amount sufficient to permit such reallocation of the L/C Obligations of the Non-Extending Lenders in full or</w:t>
      </w:r>
    </w:p>
    <w:p>
      <w:pPr>
        <w:spacing w:after="0" w:line="20" w:lineRule="exact"/>
        <w:rPr>
          <w:rFonts w:ascii="Arial" w:cs="Arial" w:eastAsia="Arial" w:hAnsi="Arial"/>
          <w:sz w:val="17"/>
          <w:szCs w:val="17"/>
          <w:color w:val="auto"/>
        </w:rPr>
      </w:pPr>
    </w:p>
    <w:p>
      <w:pPr>
        <w:ind w:left="120" w:right="380" w:firstLine="9"/>
        <w:spacing w:after="0" w:line="253" w:lineRule="auto"/>
        <w:tabs>
          <w:tab w:leader="none" w:pos="374"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Collateralize for the benefit of each Issuing Lender, the Borrowers’ obligations corresponding to such Non-Extending Lenders’ L/C Obligations (after giving effect to any partial reallocation pursuant to clause (i) above) for so long as such L/C Obligations are outstanding (it being expressly understood and agreed that all accrued interest on such Collateralization shall be for the account of the Company or such applicable Subsidiary Borrower and shall be paid to the Company or such Subsidiary</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color w:val="auto"/>
        </w:rPr>
        <w:t>Borrower at any time and from time to time upon its request therefor; provided, that no Event of Default shall have then occurred and be continuing), and (iii) if all or any portion of such Non-Extending Lenders’ L/C Obligations is neither reallocated nor Collateralized pursuant to clause (i) or (ii) above, then, without prejudice to any rights or remedies of the applicable Issuing Lender or any other L/C Tranche Lender hereunder, all fees payable pursuant to the L/C Fee Letter with respect to such Non-Extending Lenders’ L/C Obligations shall be payable to the applicable Issuing Lender until and to the extent that such L/C Obligations are so reallocated and/or Collateralized.</w:t>
      </w:r>
    </w:p>
    <w:p>
      <w:pPr>
        <w:spacing w:after="0" w:line="189" w:lineRule="exact"/>
        <w:rPr>
          <w:sz w:val="20"/>
          <w:szCs w:val="20"/>
          <w:color w:val="auto"/>
        </w:rPr>
      </w:pPr>
    </w:p>
    <w:p>
      <w:pPr>
        <w:ind w:left="120" w:firstLine="989"/>
        <w:spacing w:after="0" w:line="28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 Any Applicable Account Party, with (in the case of any such Applicable Account Party other than the Company) the written consent of the Company (substantially in the form of Exhibit M hereto or as the Company may otherwise specify from time to time), may from time to time request that any Issuing Lender issue (or cause its Applicable Lending 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69" w:lineRule="exact"/>
        <w:rPr>
          <w:sz w:val="20"/>
          <w:szCs w:val="20"/>
          <w:color w:val="auto"/>
        </w:rPr>
      </w:pPr>
    </w:p>
    <w:p>
      <w:pPr>
        <w:ind w:left="120" w:right="140" w:firstLine="998"/>
        <w:spacing w:after="0" w:line="285" w:lineRule="auto"/>
        <w:tabs>
          <w:tab w:leader="none" w:pos="1363"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Issuing Lender shall not (and shall not permit any Applicable Lending Office thereof to) (i) amend or cancel any Letter of Credit without the prior written consent of the Company or the Applicable Account Party,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w:t>
      </w:r>
    </w:p>
    <w:p>
      <w:pPr>
        <w:spacing w:after="0" w:line="2" w:lineRule="exact"/>
        <w:rPr>
          <w:rFonts w:ascii="Arial" w:cs="Arial" w:eastAsia="Arial" w:hAnsi="Arial"/>
          <w:sz w:val="16"/>
          <w:szCs w:val="16"/>
          <w:color w:val="auto"/>
        </w:rPr>
      </w:pPr>
    </w:p>
    <w:p>
      <w:pPr>
        <w:jc w:val="both"/>
        <w:ind w:left="120" w:right="80" w:firstLine="9"/>
        <w:spacing w:after="0" w:line="253" w:lineRule="auto"/>
        <w:tabs>
          <w:tab w:leader="none" w:pos="43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replace any lost, mutilated or destroyed Letter of Credit, in each case, without the prior written consent of the Company or the Applicable Account Party. If 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8"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6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Fees and Other Charges</w:t>
      </w:r>
      <w:r>
        <w:rPr>
          <w:rFonts w:ascii="Arial" w:cs="Arial" w:eastAsia="Arial" w:hAnsi="Arial"/>
          <w:sz w:val="17"/>
          <w:szCs w:val="17"/>
          <w:color w:val="auto"/>
        </w:rPr>
        <w:t>. The Company shall pay (or cause to be paid) the fees payable to the L/C Tranche Lenders and the Issuing Lenders, as applicable, set forth in the L/C Fee Letter. Notwithstanding any inconsistent provision of this Agreement or the L/C Fee Letter, (x) at the option of the Company and upon notice to the Administrative Agent, all fees payable to any Issuing Lender may, with the consent of such Issuing Lender, be paid in Dollars (regardless of the currency of such Letter of Credit) and (y) unless (i)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(ii) the Administrative Agent has actual knowledge that the conditions precedent to an ABR Loan to be made on such date which are contained in Section 5.2 have not been satisfied or waived, the Company or such Applicable Account Party shall be deemed to have requested that the L/C 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184" w:lineRule="exact"/>
        <w:rPr>
          <w:sz w:val="20"/>
          <w:szCs w:val="20"/>
          <w:color w:val="auto"/>
        </w:rPr>
      </w:pPr>
    </w:p>
    <w:p>
      <w:pPr>
        <w:ind w:left="120" w:firstLine="989"/>
        <w:spacing w:after="0" w:line="28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L/C Tranche Extensions of 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8"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firstLine="998"/>
        <w:spacing w:after="0" w:line="269" w:lineRule="auto"/>
        <w:tabs>
          <w:tab w:leader="none" w:pos="136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79" w:lineRule="exact"/>
        <w:rPr>
          <w:rFonts w:ascii="Arial" w:cs="Arial" w:eastAsia="Arial" w:hAnsi="Arial"/>
          <w:sz w:val="17"/>
          <w:szCs w:val="17"/>
          <w:color w:val="auto"/>
        </w:rPr>
      </w:pPr>
    </w:p>
    <w:p>
      <w:pPr>
        <w:ind w:left="120" w:right="80" w:firstLine="998"/>
        <w:spacing w:after="0" w:line="293" w:lineRule="auto"/>
        <w:tabs>
          <w:tab w:leader="none" w:pos="13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Whenever, at any time after any Issuing Lender has made payment under any Letter of Credit and has received from any L/C Participant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Reimbursement Obligation of the Company and the Applicable Account Party</w:t>
      </w:r>
      <w:r>
        <w:rPr>
          <w:rFonts w:ascii="Arial" w:cs="Arial" w:eastAsia="Arial" w:hAnsi="Arial"/>
          <w:sz w:val="17"/>
          <w:szCs w:val="17"/>
          <w:color w:val="auto"/>
        </w:rPr>
        <w:t>. If any draft or demand is paid under any Letter of</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Credit issued for the account of an Applicable Account Party, the Company or such Applicable Account Party, on a joint and several basis, shall</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reimburse the Issuing Lender for the amount of the draft or demand so paid, not later than 3:00 P.M., New York City time, on the second Business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immediately following the day that the Company receives notice of payment of such draft or demand (or if notice of such payment is received after</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10:00 A.M., New York City time, on a Business Day, on the third Business Day immediately following such date of receipt) (such date,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Reimbursement Date</w:t>
      </w:r>
      <w:r>
        <w:rPr>
          <w:rFonts w:ascii="Arial" w:cs="Arial" w:eastAsia="Arial" w:hAnsi="Arial"/>
          <w:sz w:val="16"/>
          <w:szCs w:val="16"/>
          <w:color w:val="auto"/>
        </w:rPr>
        <w:t>”). Each such payment shall be made to the relevant Issuing Lender in the currency in which such Letter of Credit is denominated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and in immediately available funds;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any Letter of Credit denominated in an Optional Currency, if such payment, or</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obligation to make such payment, in an Optional Currency would subject the Administrative Agent, the relevant Issuing Lender or any L/C Tranche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Lender to any stamp duty, ad valorem charge or any similar Tax that would not be payable if such payment were paid or required to be paid in Dollars,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or such Applicable Account Party shall, at its option, (A) pay the amount of such Tax to the Administrative Agent, the relevant Issuing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Lender or the relevant L/C Tranche Lender or (B) pay the Dollar Equivalent of such draft or demand (calculated as of the Reimbursement Date);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payment is not made on the applicable Reimbursement Date the obligation to pay such draft or demand shall be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permanently converted into an obligation to pay the Dollar Equivalent amount of such draft or demand (calculated as of such Reimbursement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shall be payable on any such amounts from the Reimbursement Date until payment in full at the rate set forth in Section 2.16(c).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Notwithstanding any inconsistent provision of this Agreement, unless (x) the Company or such Applicable Account Party gives notice to the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Administrative Agent that it has paid its Reimbursement Obligation by 2:00 P.M., New York City time, on the Reimbursement Date or notifies the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Administrative Agent that it does not wish to have such Reimbursement Obligation paid with the proceeds of an ABR Loan by such time, or (y) the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Administrative Agent has actual knowledge that the conditions precedent to an ABR Loan to be made on such Reimbursement Date which are contained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Section 5.2 have not been satisfied or waived, the Company or such Applicable Account Party shall be deemed to have requested that the L/C Tranche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Lenders make an ABR Loan on such Reimbursement Date in an aggregate principal amount equal to the amount of the related Reimbursement</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8"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2.8,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L/C Tranche Percentage of such ABR Loan to the relevant Reimbursement Obligation in lieu of funding such amount to the Administrative Agent.</w:t>
      </w:r>
    </w:p>
    <w:p>
      <w:pPr>
        <w:spacing w:after="0" w:line="189" w:lineRule="exact"/>
        <w:rPr>
          <w:sz w:val="20"/>
          <w:szCs w:val="20"/>
          <w:color w:val="auto"/>
        </w:rPr>
      </w:pPr>
    </w:p>
    <w:p>
      <w:pPr>
        <w:ind w:left="120" w:right="60" w:firstLine="989"/>
        <w:spacing w:after="0" w:line="285"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74" w:lineRule="exact"/>
        <w:rPr>
          <w:sz w:val="20"/>
          <w:szCs w:val="20"/>
          <w:color w:val="auto"/>
        </w:rPr>
      </w:pPr>
    </w:p>
    <w:p>
      <w:pPr>
        <w:ind w:left="120" w:firstLine="989"/>
        <w:spacing w:after="0" w:line="268"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Letter of Credit Payments</w:t>
      </w:r>
      <w:r>
        <w:rPr>
          <w:rFonts w:ascii="Arial" w:cs="Arial" w:eastAsia="Arial" w:hAnsi="Arial"/>
          <w:sz w:val="17"/>
          <w:szCs w:val="17"/>
          <w:color w:val="auto"/>
        </w:rPr>
        <w:t xml:space="preserve">.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and the Company of the date and amount thereof and whether such Issuing Lender has made or will make the payment under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85" w:lineRule="exact"/>
        <w:rPr>
          <w:sz w:val="20"/>
          <w:szCs w:val="20"/>
          <w:color w:val="auto"/>
        </w:rPr>
      </w:pPr>
    </w:p>
    <w:p>
      <w:pPr>
        <w:ind w:left="120" w:right="180" w:firstLine="989"/>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Applications</w:t>
      </w:r>
      <w:r>
        <w:rPr>
          <w:rFonts w:ascii="Arial" w:cs="Arial" w:eastAsia="Arial" w:hAnsi="Arial"/>
          <w:sz w:val="18"/>
          <w:szCs w:val="18"/>
          <w:color w:val="auto"/>
        </w:rPr>
        <w:t>. Subject to the requirements of Section 3.12,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8"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firstLine="989"/>
        <w:spacing w:after="0" w:line="252"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Collateralization</w:t>
      </w:r>
      <w:r>
        <w:rPr>
          <w:rFonts w:ascii="Arial" w:cs="Arial" w:eastAsia="Arial" w:hAnsi="Arial"/>
          <w:sz w:val="18"/>
          <w:szCs w:val="18"/>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97" w:lineRule="exact"/>
        <w:rPr>
          <w:sz w:val="20"/>
          <w:szCs w:val="20"/>
          <w:color w:val="auto"/>
        </w:rPr>
      </w:pPr>
    </w:p>
    <w:p>
      <w:pPr>
        <w:ind w:left="120" w:firstLine="989"/>
        <w:spacing w:after="0" w:line="284"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New Issuing Lenders; L/C Commitments</w:t>
      </w:r>
      <w:r>
        <w:rPr>
          <w:rFonts w:ascii="Arial" w:cs="Arial" w:eastAsia="Arial" w:hAnsi="Arial"/>
          <w:sz w:val="16"/>
          <w:szCs w:val="16"/>
          <w:color w:val="auto"/>
        </w:rPr>
        <w:t>. (a) The Company may from time to time (i) decrease the L/C Issuing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78" w:lineRule="exact"/>
        <w:rPr>
          <w:sz w:val="20"/>
          <w:szCs w:val="20"/>
          <w:color w:val="auto"/>
        </w:rPr>
      </w:pPr>
    </w:p>
    <w:p>
      <w:pPr>
        <w:ind w:left="120" w:right="140" w:firstLine="998"/>
        <w:spacing w:after="0" w:line="273" w:lineRule="auto"/>
        <w:tabs>
          <w:tab w:leader="none" w:pos="136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8"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5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Existing Letters of Credit and Designated Letters of Credit</w:t>
      </w:r>
      <w:r>
        <w:rPr>
          <w:rFonts w:ascii="Arial" w:cs="Arial" w:eastAsia="Arial" w:hAnsi="Arial"/>
          <w:sz w:val="18"/>
          <w:szCs w:val="18"/>
          <w:color w:val="auto"/>
        </w:rPr>
        <w:t>. (a) On and as of the Closing Date the letters of credit and letters of guarantee set forth on Exhibit C to the L/C Fee Letter (the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will constitute Letters of Credit under this Agreement and for the purposes hereof will be deemed to have been issued for the account of an Applicable Account Party, for which the Company shall be jointly and severally liable, on the Closing Date and each issuer thereof shall be deemed to be an Issuing Lender hereunder solely for the purposes of Sections 3.3, 3.4, 3.5, 3.6, 3.7, 3.8 and 3.9 (whether or not such issuer is otherwise an Issuing Lender hereunder). For the avoidance of doubt, each of the letters of credit outstanding under the Existing Three Year Credit Agreement as of the Closing Date shall be listed on Exhibit C to the L/C Fee Letter and shall be Existing Letters of Credit hereunder.</w:t>
      </w:r>
    </w:p>
    <w:p>
      <w:pPr>
        <w:spacing w:after="0" w:line="191" w:lineRule="exact"/>
        <w:rPr>
          <w:sz w:val="20"/>
          <w:szCs w:val="20"/>
          <w:color w:val="auto"/>
        </w:rPr>
      </w:pPr>
    </w:p>
    <w:p>
      <w:pPr>
        <w:ind w:left="120" w:firstLine="998"/>
        <w:spacing w:after="0" w:line="283" w:lineRule="auto"/>
        <w:tabs>
          <w:tab w:leader="none" w:pos="136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Arial" w:cs="Arial" w:eastAsia="Arial" w:hAnsi="Arial"/>
          <w:sz w:val="16"/>
          <w:szCs w:val="16"/>
          <w:u w:val="single" w:color="auto"/>
          <w:color w:val="auto"/>
        </w:rPr>
        <w:t>Designation Date</w:t>
      </w:r>
      <w:r>
        <w:rPr>
          <w:rFonts w:ascii="Arial" w:cs="Arial" w:eastAsia="Arial" w:hAnsi="Arial"/>
          <w:sz w:val="16"/>
          <w:szCs w:val="16"/>
          <w:color w:val="auto"/>
        </w:rPr>
        <w:t>”) and each issuer thereof shall be deemed to be an Issuing Lender hereunder solely for the purposes of Sections 3.3, 3.4, 3.5, 3.6, 3.7, 3.8 and 3.9 (whether or not such issuer is otherwise an Issuing Lender hereunder) (the “</w:t>
      </w:r>
      <w:r>
        <w:rPr>
          <w:rFonts w:ascii="Arial" w:cs="Arial" w:eastAsia="Arial" w:hAnsi="Arial"/>
          <w:sz w:val="16"/>
          <w:szCs w:val="16"/>
          <w:u w:val="single" w:color="auto"/>
          <w:color w:val="auto"/>
        </w:rPr>
        <w:t>Designated Letters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and (C)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upon request of the Company and with the consent of the relevant Issuing Lender, any such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w:t>
      </w:r>
    </w:p>
    <w:p>
      <w:pPr>
        <w:spacing w:after="0" w:line="397" w:lineRule="exact"/>
        <w:rPr>
          <w:rFonts w:ascii="Arial" w:cs="Arial" w:eastAsia="Arial" w:hAnsi="Arial"/>
          <w:sz w:val="16"/>
          <w:szCs w:val="16"/>
          <w:color w:val="auto"/>
        </w:rPr>
      </w:pPr>
    </w:p>
    <w:p>
      <w:pPr>
        <w:ind w:left="120" w:right="160" w:firstLine="998"/>
        <w:spacing w:after="0" w:line="258" w:lineRule="auto"/>
        <w:tabs>
          <w:tab w:leader="none" w:pos="135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Replacement of Letters of Credit</w:t>
      </w:r>
      <w:r>
        <w:rPr>
          <w:rFonts w:ascii="Arial" w:cs="Arial" w:eastAsia="Arial" w:hAnsi="Arial"/>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Acknowledgment with regard to such Letters of Credit.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8"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firstLine="998"/>
        <w:spacing w:after="0" w:line="289" w:lineRule="auto"/>
        <w:tabs>
          <w:tab w:leader="none" w:pos="136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Termination of Existing Guarantees</w:t>
      </w:r>
      <w:r>
        <w:rPr>
          <w:rFonts w:ascii="Arial" w:cs="Arial" w:eastAsia="Arial" w:hAnsi="Arial"/>
          <w:sz w:val="16"/>
          <w:szCs w:val="16"/>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(other than any such existing guarantee provided by the Company under the Existing Three Year Credit Agreement), shall automatically terminate with respect to such Existing 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shall be released and returned to the Company or such Applicable Account Party on the Closing Date or the applicable Designation Date, as the case may be.</w:t>
      </w:r>
    </w:p>
    <w:p>
      <w:pPr>
        <w:spacing w:after="0" w:line="167" w:lineRule="exact"/>
        <w:rPr>
          <w:sz w:val="20"/>
          <w:szCs w:val="20"/>
          <w:color w:val="auto"/>
        </w:rPr>
      </w:pPr>
    </w:p>
    <w:p>
      <w:pPr>
        <w:ind w:left="120" w:right="60" w:firstLine="989"/>
        <w:spacing w:after="0" w:line="284"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Conflicts</w:t>
      </w:r>
      <w:r>
        <w:rPr>
          <w:rFonts w:ascii="Arial" w:cs="Arial" w:eastAsia="Arial" w:hAnsi="Arial"/>
          <w:sz w:val="16"/>
          <w:szCs w:val="16"/>
          <w:color w:val="auto"/>
        </w:rPr>
        <w:t>. ii) In the event of any inconsistency between the terms and conditions of this Agreement and the terms and 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(1) with respect to any Letter of Credit issued in the United States, the terms and conditions of this Agreement shall control and (2) with respect to any Letter of Credit issued in a jurisdiction other than the United States, the terms and conditions of this Agreement shall control, except for</w:t>
      </w:r>
    </w:p>
    <w:p>
      <w:pPr>
        <w:spacing w:after="0" w:line="3" w:lineRule="exact"/>
        <w:rPr>
          <w:sz w:val="20"/>
          <w:szCs w:val="20"/>
          <w:color w:val="auto"/>
        </w:rPr>
      </w:pPr>
    </w:p>
    <w:p>
      <w:pPr>
        <w:ind w:left="120" w:right="60" w:firstLine="9"/>
        <w:spacing w:after="0" w:line="253" w:lineRule="auto"/>
        <w:tabs>
          <w:tab w:leader="none" w:pos="41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or (B) if required pursuant to a Requirement of Law. Additionally, each Applicable Lending Office shall sign a Letter of Credit Acknowledgment.</w:t>
      </w:r>
    </w:p>
    <w:p>
      <w:pPr>
        <w:spacing w:after="0" w:line="190" w:lineRule="exact"/>
        <w:rPr>
          <w:rFonts w:ascii="Arial" w:cs="Arial" w:eastAsia="Arial" w:hAnsi="Arial"/>
          <w:sz w:val="18"/>
          <w:szCs w:val="18"/>
          <w:color w:val="auto"/>
        </w:rPr>
      </w:pPr>
    </w:p>
    <w:p>
      <w:pPr>
        <w:ind w:left="120" w:right="100" w:firstLine="998"/>
        <w:spacing w:after="0" w:line="287" w:lineRule="auto"/>
        <w:tabs>
          <w:tab w:leader="none" w:pos="135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 Agreement that control as provided in Section 3.12(a) above or in any Letter of Credit Acknowledgment, which shall be governed by, and construed in accordance with, the laws of the State of New York, and (ii) to the extent not prohibited by such laws and not materially 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4. REPRESENTATIONS AND WARRANTIES</w:t>
      </w:r>
    </w:p>
    <w:p>
      <w:pPr>
        <w:spacing w:after="0" w:line="224" w:lineRule="exact"/>
        <w:rPr>
          <w:sz w:val="20"/>
          <w:szCs w:val="20"/>
          <w:color w:val="auto"/>
        </w:rPr>
      </w:pPr>
    </w:p>
    <w:p>
      <w:pPr>
        <w:ind w:left="120" w:right="280" w:firstLine="989"/>
        <w:spacing w:after="0" w:line="276"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63"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consolidated financial statements of the Company included in its Annual Report on Form 10-K, for the twelve-month period ended December 31, 2020 (the “</w:t>
      </w:r>
      <w:r>
        <w:rPr>
          <w:rFonts w:ascii="Arial" w:cs="Arial" w:eastAsia="Arial" w:hAnsi="Arial"/>
          <w:sz w:val="18"/>
          <w:szCs w:val="18"/>
          <w:u w:val="single" w:color="auto"/>
          <w:color w:val="auto"/>
        </w:rPr>
        <w:t>2020 10-K</w:t>
      </w:r>
      <w:r>
        <w:rPr>
          <w:rFonts w:ascii="Arial" w:cs="Arial" w:eastAsia="Arial" w:hAnsi="Arial"/>
          <w:sz w:val="18"/>
          <w:szCs w:val="18"/>
          <w:color w:val="auto"/>
        </w:rPr>
        <w:t>”)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8"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380"/>
        <w:spacing w:after="0" w:line="285" w:lineRule="auto"/>
        <w:rPr>
          <w:sz w:val="20"/>
          <w:szCs w:val="20"/>
          <w:color w:val="auto"/>
        </w:rPr>
      </w:pPr>
      <w:r>
        <w:rPr>
          <w:rFonts w:ascii="Arial" w:cs="Arial" w:eastAsia="Arial" w:hAnsi="Arial"/>
          <w:sz w:val="17"/>
          <w:szCs w:val="17"/>
          <w:color w:val="auto"/>
        </w:rPr>
        <w:t xml:space="preserve">31, 2020;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66" w:lineRule="exact"/>
        <w:rPr>
          <w:sz w:val="20"/>
          <w:szCs w:val="20"/>
          <w:color w:val="auto"/>
        </w:rPr>
      </w:pPr>
    </w:p>
    <w:p>
      <w:pPr>
        <w:ind w:left="120" w:right="820" w:firstLine="989"/>
        <w:spacing w:after="0" w:line="27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2020 10-K and the Closing Date, there has been no development or event which has had a Material Adverse Effect.</w:t>
      </w:r>
    </w:p>
    <w:p>
      <w:pPr>
        <w:spacing w:after="0" w:line="170"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7" w:lineRule="exact"/>
        <w:rPr>
          <w:sz w:val="20"/>
          <w:szCs w:val="20"/>
          <w:color w:val="auto"/>
        </w:rPr>
      </w:pPr>
    </w:p>
    <w:p>
      <w:pPr>
        <w:ind w:left="120" w:right="80" w:firstLine="989"/>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120" w:right="140" w:firstLine="9"/>
        <w:spacing w:after="0" w:line="301" w:lineRule="auto"/>
        <w:tabs>
          <w:tab w:leader="none" w:pos="37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5" w:lineRule="exact"/>
        <w:rPr>
          <w:sz w:val="20"/>
          <w:szCs w:val="20"/>
          <w:color w:val="auto"/>
        </w:rPr>
      </w:pPr>
    </w:p>
    <w:p>
      <w:pPr>
        <w:ind w:left="120" w:right="180" w:firstLine="989"/>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9" w:lineRule="exact"/>
        <w:rPr>
          <w:sz w:val="20"/>
          <w:szCs w:val="20"/>
          <w:color w:val="auto"/>
        </w:rPr>
      </w:pPr>
    </w:p>
    <w:p>
      <w:pPr>
        <w:ind w:left="120" w:right="20" w:firstLine="989"/>
        <w:spacing w:after="0" w:line="25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2020 10-K or on any Current Report on Form 8-K of the Company filed with the SEC after December 31, 2020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4" w:lineRule="exact"/>
        <w:rPr>
          <w:sz w:val="20"/>
          <w:szCs w:val="20"/>
          <w:color w:val="auto"/>
        </w:rPr>
      </w:pPr>
    </w:p>
    <w:p>
      <w:pPr>
        <w:ind w:left="120" w:right="60" w:firstLine="989"/>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ectPr>
          <w:pgSz w:w="11900" w:h="16838" w:orient="portrait"/>
          <w:cols w:equalWidth="0" w:num="1">
            <w:col w:w="11100"/>
          </w:cols>
          <w:pgMar w:left="320" w:top="458"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20" w:right="280" w:firstLine="989"/>
        <w:spacing w:after="0" w:line="28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6" w:lineRule="exact"/>
        <w:rPr>
          <w:sz w:val="20"/>
          <w:szCs w:val="20"/>
          <w:color w:val="auto"/>
        </w:rPr>
      </w:pPr>
    </w:p>
    <w:p>
      <w:pPr>
        <w:ind w:left="120" w:right="240" w:firstLine="989"/>
        <w:spacing w:after="0" w:line="27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or Letters of Credit, and no other extensions of credit hereunder, will be used for any purpose that violates the provisions of Regulation T, U or X of the Board.</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4" w:lineRule="exact"/>
        <w:rPr>
          <w:sz w:val="20"/>
          <w:szCs w:val="20"/>
          <w:color w:val="auto"/>
        </w:rPr>
      </w:pPr>
    </w:p>
    <w:p>
      <w:pPr>
        <w:ind w:left="120" w:right="400" w:firstLine="989"/>
        <w:spacing w:after="0" w:line="27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left="120" w:right="480" w:firstLine="989"/>
        <w:spacing w:after="0" w:line="276"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0" w:lineRule="exact"/>
        <w:rPr>
          <w:sz w:val="20"/>
          <w:szCs w:val="20"/>
          <w:color w:val="auto"/>
        </w:rPr>
      </w:pPr>
    </w:p>
    <w:p>
      <w:pPr>
        <w:jc w:val="both"/>
        <w:ind w:left="120" w:right="140" w:firstLine="989"/>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2" w:lineRule="exact"/>
        <w:rPr>
          <w:sz w:val="20"/>
          <w:szCs w:val="20"/>
          <w:color w:val="auto"/>
        </w:rPr>
      </w:pPr>
    </w:p>
    <w:p>
      <w:pPr>
        <w:ind w:left="120" w:right="100" w:firstLine="989"/>
        <w:spacing w:after="0" w:line="284"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Her Majesty’s Treasury of the United Kingdom or the U.S. Department of State or the European Union (collectively, the “</w:t>
      </w:r>
      <w:r>
        <w:rPr>
          <w:rFonts w:ascii="Arial" w:cs="Arial" w:eastAsia="Arial" w:hAnsi="Arial"/>
          <w:sz w:val="16"/>
          <w:szCs w:val="16"/>
          <w:u w:val="single" w:color="auto"/>
          <w:color w:val="auto"/>
        </w:rPr>
        <w:t>Sanctions Lists</w:t>
      </w:r>
      <w:r>
        <w:rPr>
          <w:rFonts w:ascii="Arial" w:cs="Arial" w:eastAsia="Arial" w:hAnsi="Arial"/>
          <w:sz w:val="16"/>
          <w:szCs w:val="16"/>
          <w:color w:val="auto"/>
        </w:rPr>
        <w:t>”). Neither the Company nor any of its Subsidiaries has a physical place of business, or is organized or resident, in</w:t>
      </w:r>
    </w:p>
    <w:p>
      <w:pPr>
        <w:spacing w:after="0" w:line="1" w:lineRule="exact"/>
        <w:rPr>
          <w:sz w:val="20"/>
          <w:szCs w:val="20"/>
          <w:color w:val="auto"/>
        </w:rPr>
      </w:pPr>
    </w:p>
    <w:p>
      <w:pPr>
        <w:ind w:left="120" w:firstLine="9"/>
        <w:spacing w:after="0" w:line="286" w:lineRule="auto"/>
        <w:tabs>
          <w:tab w:leader="none" w:pos="36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Cuba, Iran, North Korea, Syria or Crimea or (b) in any other Sanctioned Country.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6"/>
          <w:szCs w:val="16"/>
          <w:u w:val="single" w:color="auto"/>
          <w:color w:val="auto"/>
        </w:rPr>
        <w:t>Sanctioned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Country</w:t>
      </w:r>
      <w:r>
        <w:rPr>
          <w:rFonts w:ascii="Arial" w:cs="Arial" w:eastAsia="Arial" w:hAnsi="Arial"/>
          <w:sz w:val="16"/>
          <w:szCs w:val="16"/>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ectPr>
          <w:pgSz w:w="11900" w:h="16838" w:orient="portrait"/>
          <w:cols w:equalWidth="0" w:num="1">
            <w:col w:w="11120"/>
          </w:cols>
          <w:pgMar w:left="320" w:top="458"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5. CONDITIONS PRECEDENT</w:t>
      </w:r>
    </w:p>
    <w:p>
      <w:pPr>
        <w:spacing w:after="0" w:line="224" w:lineRule="exact"/>
        <w:rPr>
          <w:sz w:val="20"/>
          <w:szCs w:val="20"/>
          <w:color w:val="auto"/>
        </w:rPr>
      </w:pPr>
    </w:p>
    <w:p>
      <w:pPr>
        <w:ind w:left="120" w:right="20" w:firstLine="989"/>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81" w:lineRule="exact"/>
        <w:rPr>
          <w:sz w:val="20"/>
          <w:szCs w:val="20"/>
          <w:color w:val="auto"/>
        </w:rPr>
      </w:pPr>
    </w:p>
    <w:p>
      <w:pPr>
        <w:ind w:left="120" w:right="80" w:firstLine="998"/>
        <w:spacing w:after="0" w:line="276" w:lineRule="auto"/>
        <w:tabs>
          <w:tab w:leader="none" w:pos="1353"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(x) The Company shall have executed and delivered the Guarantee and (y) the L/C Fee Letter shall have been executed and delivered by the Company, each L/C Tranche Lender and each Issuing Lender.</w:t>
      </w:r>
    </w:p>
    <w:p>
      <w:pPr>
        <w:spacing w:after="0" w:line="170" w:lineRule="exact"/>
        <w:rPr>
          <w:rFonts w:ascii="Arial" w:cs="Arial" w:eastAsia="Arial" w:hAnsi="Arial"/>
          <w:sz w:val="18"/>
          <w:szCs w:val="18"/>
          <w:color w:val="auto"/>
        </w:rPr>
      </w:pPr>
    </w:p>
    <w:p>
      <w:pPr>
        <w:ind w:left="120" w:right="60" w:firstLine="998"/>
        <w:spacing w:after="0" w:line="276" w:lineRule="auto"/>
        <w:tabs>
          <w:tab w:leader="none" w:pos="1363"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70" w:lineRule="exact"/>
        <w:rPr>
          <w:rFonts w:ascii="Arial" w:cs="Arial" w:eastAsia="Arial" w:hAnsi="Arial"/>
          <w:sz w:val="18"/>
          <w:szCs w:val="18"/>
          <w:color w:val="auto"/>
        </w:rPr>
      </w:pPr>
    </w:p>
    <w:p>
      <w:pPr>
        <w:ind w:left="1360" w:hanging="242"/>
        <w:spacing w:after="0"/>
        <w:tabs>
          <w:tab w:leader="none" w:pos="136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w:t>
      </w:r>
    </w:p>
    <w:p>
      <w:pPr>
        <w:spacing w:after="0" w:line="45" w:lineRule="exact"/>
        <w:rPr>
          <w:rFonts w:ascii="Arial" w:cs="Arial" w:eastAsia="Arial" w:hAnsi="Arial"/>
          <w:sz w:val="16"/>
          <w:szCs w:val="16"/>
          <w:color w:val="auto"/>
        </w:rPr>
      </w:pPr>
    </w:p>
    <w:p>
      <w:pPr>
        <w:jc w:val="both"/>
        <w:ind w:left="120" w:right="80" w:firstLine="9"/>
        <w:spacing w:after="0" w:line="291" w:lineRule="auto"/>
        <w:tabs>
          <w:tab w:leader="none" w:pos="33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63" w:lineRule="exact"/>
        <w:rPr>
          <w:rFonts w:ascii="Arial" w:cs="Arial" w:eastAsia="Arial" w:hAnsi="Arial"/>
          <w:sz w:val="16"/>
          <w:szCs w:val="16"/>
          <w:color w:val="auto"/>
        </w:rPr>
      </w:pPr>
    </w:p>
    <w:p>
      <w:pPr>
        <w:ind w:left="120" w:right="200" w:firstLine="998"/>
        <w:spacing w:after="0" w:line="306" w:lineRule="auto"/>
        <w:tabs>
          <w:tab w:leader="none" w:pos="1363"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the executed legal opinion of (i) in-house counsel to the Loan Parties and (ii) Mayer Brown LLP, counsel to the Loan Parties, each in form and substance reasonably acceptable to the Administrative Agent.</w:t>
      </w:r>
    </w:p>
    <w:p>
      <w:pPr>
        <w:spacing w:after="0" w:line="148" w:lineRule="exact"/>
        <w:rPr>
          <w:rFonts w:ascii="Arial" w:cs="Arial" w:eastAsia="Arial" w:hAnsi="Arial"/>
          <w:sz w:val="17"/>
          <w:szCs w:val="17"/>
          <w:color w:val="auto"/>
        </w:rPr>
      </w:pPr>
    </w:p>
    <w:p>
      <w:pPr>
        <w:ind w:left="120" w:firstLine="998"/>
        <w:spacing w:after="0" w:line="301" w:lineRule="auto"/>
        <w:tabs>
          <w:tab w:leader="none" w:pos="1353"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Existing Three 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Three Year Credit Agreement that are not Lenders hereunder shall have been terminated (and the Commitments of all continuing Lenders shall be as set forth on Schedule 1.1(A)) and all accrued interest and fees under the Existing Three Year Credit Agreement shall have been paid, or arrangements satisfactory to the Administrative Agent in respect thereof shall have been made.</w:t>
      </w:r>
    </w:p>
    <w:p>
      <w:pPr>
        <w:spacing w:after="0" w:line="154" w:lineRule="exact"/>
        <w:rPr>
          <w:rFonts w:ascii="Arial" w:cs="Arial" w:eastAsia="Arial" w:hAnsi="Arial"/>
          <w:sz w:val="16"/>
          <w:szCs w:val="16"/>
          <w:color w:val="auto"/>
        </w:rPr>
      </w:pPr>
    </w:p>
    <w:p>
      <w:pPr>
        <w:jc w:val="both"/>
        <w:ind w:left="120" w:right="120" w:firstLine="998"/>
        <w:spacing w:after="0" w:line="285" w:lineRule="auto"/>
        <w:tabs>
          <w:tab w:leader="none" w:pos="1333"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The Administrative Agent shall have received all documentation and other information reasonably requested by the Administrative Agent or any Lender who is not a Lender under the Existing Three Year Credit Agreement under applicable “know your customer” and anti money laundering rules and regulations, including the USA Patriot Act and the Beneficial Ownership Regulation.</w:t>
      </w:r>
    </w:p>
    <w:p>
      <w:pPr>
        <w:spacing w:after="0" w:line="165" w:lineRule="exact"/>
        <w:rPr>
          <w:rFonts w:ascii="Arial" w:cs="Arial" w:eastAsia="Arial" w:hAnsi="Arial"/>
          <w:sz w:val="17"/>
          <w:szCs w:val="17"/>
          <w:color w:val="auto"/>
        </w:rPr>
      </w:pPr>
    </w:p>
    <w:p>
      <w:pPr>
        <w:ind w:left="120" w:right="100" w:firstLine="998"/>
        <w:spacing w:after="0" w:line="301" w:lineRule="auto"/>
        <w:tabs>
          <w:tab w:leader="none" w:pos="1363"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Termination of Existing 364-Day Credit Agreement</w:t>
      </w:r>
      <w:r>
        <w:rPr>
          <w:rFonts w:ascii="Arial" w:cs="Arial" w:eastAsia="Arial" w:hAnsi="Arial"/>
          <w:sz w:val="16"/>
          <w:szCs w:val="16"/>
          <w:color w:val="auto"/>
        </w:rPr>
        <w:t>. The Administrative Agent shall have received reasonably satisfactory evidence that the 364-Day Revolving Credit Facility, dated as of May 13, 2020, by and between the Company, the Administrative Agent, the Syndication Agent and the Co-Syndication Agent and the several banks and other financial institutions or entities party thereto, shall be repaid and all accrued interest and fees shall have been paid, or arrangements satisfactory to the Administrative Agent in respect thereof shall have been made.</w:t>
      </w:r>
    </w:p>
    <w:p>
      <w:pPr>
        <w:spacing w:after="0" w:line="154" w:lineRule="exact"/>
        <w:rPr>
          <w:sz w:val="20"/>
          <w:szCs w:val="20"/>
          <w:color w:val="auto"/>
        </w:rPr>
      </w:pPr>
    </w:p>
    <w:p>
      <w:pPr>
        <w:ind w:left="120" w:firstLine="989"/>
        <w:spacing w:after="0" w:line="28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Conditions to Each Extension of Credit</w:t>
      </w:r>
      <w:r>
        <w:rPr>
          <w:rFonts w:ascii="Arial" w:cs="Arial" w:eastAsia="Arial" w:hAnsi="Arial"/>
          <w:sz w:val="17"/>
          <w:szCs w:val="17"/>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w:t>
      </w:r>
    </w:p>
    <w:p>
      <w:pPr>
        <w:sectPr>
          <w:pgSz w:w="11900" w:h="16838" w:orient="portrait"/>
          <w:cols w:equalWidth="0" w:num="1">
            <w:col w:w="11080"/>
          </w:cols>
          <w:pgMar w:left="320" w:top="458"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74" w:lineRule="exact"/>
        <w:rPr>
          <w:sz w:val="20"/>
          <w:szCs w:val="20"/>
          <w:color w:val="auto"/>
        </w:rPr>
      </w:pPr>
    </w:p>
    <w:p>
      <w:pPr>
        <w:jc w:val="both"/>
        <w:ind w:left="120" w:right="360" w:firstLine="998"/>
        <w:spacing w:after="0" w:line="278" w:lineRule="auto"/>
        <w:tabs>
          <w:tab w:leader="none" w:pos="1353"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1" w:lineRule="exact"/>
        <w:rPr>
          <w:rFonts w:ascii="Arial" w:cs="Arial" w:eastAsia="Arial" w:hAnsi="Arial"/>
          <w:sz w:val="17"/>
          <w:szCs w:val="17"/>
          <w:color w:val="auto"/>
        </w:rPr>
      </w:pPr>
    </w:p>
    <w:p>
      <w:pPr>
        <w:ind w:left="120" w:right="80" w:firstLine="998"/>
        <w:spacing w:after="0" w:line="276" w:lineRule="auto"/>
        <w:tabs>
          <w:tab w:leader="none" w:pos="136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rFonts w:ascii="Arial" w:cs="Arial" w:eastAsia="Arial" w:hAnsi="Arial"/>
          <w:sz w:val="18"/>
          <w:szCs w:val="18"/>
          <w:color w:val="auto"/>
        </w:rPr>
      </w:pPr>
    </w:p>
    <w:p>
      <w:pPr>
        <w:ind w:left="120" w:firstLine="998"/>
        <w:spacing w:after="0" w:line="253" w:lineRule="auto"/>
        <w:tabs>
          <w:tab w:leader="none" w:pos="135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Subsidiary Borrower Bankruptcy Events</w:t>
      </w:r>
      <w:r>
        <w:rPr>
          <w:rFonts w:ascii="Arial" w:cs="Arial" w:eastAsia="Arial" w:hAnsi="Arial"/>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91" w:lineRule="exact"/>
        <w:rPr>
          <w:sz w:val="20"/>
          <w:szCs w:val="20"/>
          <w:color w:val="auto"/>
        </w:rPr>
      </w:pPr>
    </w:p>
    <w:p>
      <w:pPr>
        <w:ind w:left="120" w:right="180" w:firstLine="989"/>
        <w:spacing w:after="0" w:line="263"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6. AFFIRMATIVE COVENANTS</w:t>
      </w:r>
    </w:p>
    <w:p>
      <w:pPr>
        <w:spacing w:after="0" w:line="224" w:lineRule="exact"/>
        <w:rPr>
          <w:sz w:val="20"/>
          <w:szCs w:val="20"/>
          <w:color w:val="auto"/>
        </w:rPr>
      </w:pPr>
    </w:p>
    <w:p>
      <w:pPr>
        <w:ind w:left="120" w:right="180" w:firstLine="989"/>
        <w:spacing w:after="0" w:line="276" w:lineRule="auto"/>
        <w:rPr>
          <w:sz w:val="20"/>
          <w:szCs w:val="20"/>
          <w:color w:val="auto"/>
        </w:rPr>
      </w:pPr>
      <w:r>
        <w:rPr>
          <w:rFonts w:ascii="Arial" w:cs="Arial" w:eastAsia="Arial" w:hAnsi="Arial"/>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63" w:lineRule="exact"/>
        <w:rPr>
          <w:sz w:val="20"/>
          <w:szCs w:val="20"/>
          <w:color w:val="auto"/>
        </w:rPr>
      </w:pPr>
    </w:p>
    <w:p>
      <w:pPr>
        <w:ind w:left="120" w:firstLine="989"/>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firstLine="989"/>
        <w:spacing w:after="0" w:line="25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9" w:lineRule="exact"/>
        <w:rPr>
          <w:sz w:val="20"/>
          <w:szCs w:val="20"/>
          <w:color w:val="auto"/>
        </w:rPr>
      </w:pPr>
    </w:p>
    <w:p>
      <w:pPr>
        <w:ind w:left="120" w:right="80" w:firstLine="989"/>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left="120" w:right="40" w:firstLine="989"/>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4"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7" w:lineRule="exact"/>
        <w:rPr>
          <w:sz w:val="20"/>
          <w:szCs w:val="20"/>
          <w:color w:val="auto"/>
        </w:rPr>
      </w:pPr>
    </w:p>
    <w:p>
      <w:pPr>
        <w:ind w:left="120" w:right="40" w:firstLine="989"/>
        <w:spacing w:after="0" w:line="25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 xml:space="preserve">. iii)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requirements shall not apply to GM Holdings.</w:t>
      </w:r>
    </w:p>
    <w:p>
      <w:pPr>
        <w:spacing w:after="0" w:line="187" w:lineRule="exact"/>
        <w:rPr>
          <w:sz w:val="20"/>
          <w:szCs w:val="20"/>
          <w:color w:val="auto"/>
        </w:rPr>
      </w:pPr>
    </w:p>
    <w:p>
      <w:pPr>
        <w:ind w:left="1360" w:hanging="242"/>
        <w:spacing w:after="0"/>
        <w:tabs>
          <w:tab w:leader="none" w:pos="13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w:t>
      </w:r>
    </w:p>
    <w:p>
      <w:pPr>
        <w:spacing w:after="0" w:line="45" w:lineRule="exact"/>
        <w:rPr>
          <w:rFonts w:ascii="Arial" w:cs="Arial" w:eastAsia="Arial" w:hAnsi="Arial"/>
          <w:sz w:val="16"/>
          <w:szCs w:val="16"/>
          <w:color w:val="auto"/>
        </w:rPr>
      </w:pPr>
    </w:p>
    <w:p>
      <w:pPr>
        <w:ind w:left="120" w:right="20" w:firstLine="9"/>
        <w:spacing w:after="0" w:line="267" w:lineRule="auto"/>
        <w:tabs>
          <w:tab w:leader="none" w:pos="41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ectPr>
          <w:pgSz w:w="11900" w:h="16838" w:orient="portrait"/>
          <w:cols w:equalWidth="0" w:num="1">
            <w:col w:w="11100"/>
          </w:cols>
          <w:pgMar w:left="320" w:top="458"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40" w:firstLine="998"/>
        <w:spacing w:after="0" w:line="276" w:lineRule="auto"/>
        <w:tabs>
          <w:tab w:leader="none" w:pos="13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left="120" w:right="140" w:firstLine="989"/>
        <w:spacing w:after="0" w:line="285"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66" w:lineRule="exact"/>
        <w:rPr>
          <w:sz w:val="20"/>
          <w:szCs w:val="20"/>
          <w:color w:val="auto"/>
        </w:rPr>
      </w:pPr>
    </w:p>
    <w:p>
      <w:pPr>
        <w:jc w:val="both"/>
        <w:ind w:left="120" w:right="60" w:firstLine="989"/>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obtain or maintain, as applicable, a specific Index Debt Rating.</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7. NEGATIVE COVENANTS</w:t>
      </w:r>
    </w:p>
    <w:p>
      <w:pPr>
        <w:spacing w:after="0" w:line="224" w:lineRule="exact"/>
        <w:rPr>
          <w:sz w:val="20"/>
          <w:szCs w:val="20"/>
          <w:color w:val="auto"/>
        </w:rPr>
      </w:pPr>
    </w:p>
    <w:p>
      <w:pPr>
        <w:ind w:left="120" w:right="320" w:firstLine="989"/>
        <w:spacing w:after="0" w:line="306"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40" w:lineRule="exact"/>
        <w:rPr>
          <w:sz w:val="20"/>
          <w:szCs w:val="20"/>
          <w:color w:val="auto"/>
        </w:rPr>
      </w:pPr>
    </w:p>
    <w:p>
      <w:pPr>
        <w:ind w:left="120" w:right="360" w:firstLine="989"/>
        <w:spacing w:after="0" w:line="27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0" w:lineRule="exact"/>
        <w:rPr>
          <w:sz w:val="20"/>
          <w:szCs w:val="20"/>
          <w:color w:val="auto"/>
        </w:rPr>
      </w:pPr>
    </w:p>
    <w:p>
      <w:pPr>
        <w:ind w:left="120" w:firstLine="989"/>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Indebtedness</w:t>
      </w:r>
      <w:r>
        <w:rPr>
          <w:rFonts w:ascii="Arial" w:cs="Arial" w:eastAsia="Arial" w:hAnsi="Arial"/>
          <w:sz w:val="16"/>
          <w:szCs w:val="16"/>
          <w:color w:val="auto"/>
        </w:rPr>
        <w:t>. The Company shall not, and shall not permit any Principal Domestic Subsidiary to, incur Indebtedness that is secured by a Lien on any Previously Pledged Assets other than (A) Indebtedness secured by Permitted Liens on such Previously Pledged Assets and</w:t>
      </w:r>
    </w:p>
    <w:p>
      <w:pPr>
        <w:spacing w:after="0" w:line="1" w:lineRule="exact"/>
        <w:rPr>
          <w:sz w:val="20"/>
          <w:szCs w:val="20"/>
          <w:color w:val="auto"/>
        </w:rPr>
      </w:pPr>
    </w:p>
    <w:p>
      <w:pPr>
        <w:ind w:left="120" w:right="120" w:firstLine="9"/>
        <w:spacing w:after="0" w:line="259" w:lineRule="auto"/>
        <w:tabs>
          <w:tab w:leader="none" w:pos="4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Indebtedness secured by Liens on such Previously Pledged Assets, in an aggregate principal amount, the Dollar Equivalent of which, at the time of the incurrence thereof, does not exceed 7.5% of Consolidated Tangible Assets.</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4" w:lineRule="exact"/>
        <w:rPr>
          <w:sz w:val="20"/>
          <w:szCs w:val="20"/>
          <w:color w:val="auto"/>
        </w:rPr>
      </w:pPr>
    </w:p>
    <w:p>
      <w:pPr>
        <w:ind w:left="120" w:right="40" w:firstLine="998"/>
        <w:spacing w:after="0" w:line="271" w:lineRule="auto"/>
        <w:tabs>
          <w:tab w:leader="none" w:pos="1353"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Reinstated Guarantee Period, any such transfer from a Subsidiary Guarantor shall be to another Subsidiary Guarantor;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the Company or any of its Principal Domestic Subsidiaries may Dispose of all or any portion of an Excluded Subsidiary Business to one or more Excluded Subsidiaries.</w:t>
      </w:r>
    </w:p>
    <w:p>
      <w:pPr>
        <w:spacing w:after="0" w:line="178" w:lineRule="exact"/>
        <w:rPr>
          <w:rFonts w:ascii="Arial" w:cs="Arial" w:eastAsia="Arial" w:hAnsi="Arial"/>
          <w:sz w:val="17"/>
          <w:szCs w:val="17"/>
          <w:color w:val="auto"/>
        </w:rPr>
      </w:pPr>
    </w:p>
    <w:p>
      <w:pPr>
        <w:ind w:left="120" w:right="140" w:firstLine="998"/>
        <w:spacing w:after="0" w:line="258" w:lineRule="auto"/>
        <w:tabs>
          <w:tab w:leader="none" w:pos="136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w:t>
      </w:r>
    </w:p>
    <w:p>
      <w:pPr>
        <w:sectPr>
          <w:pgSz w:w="11900" w:h="16838" w:orient="portrait"/>
          <w:cols w:equalWidth="0" w:num="1">
            <w:col w:w="11080"/>
          </w:cols>
          <w:pgMar w:left="320" w:top="458"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4" w:lineRule="exact"/>
        <w:rPr>
          <w:sz w:val="20"/>
          <w:szCs w:val="20"/>
          <w:color w:val="auto"/>
        </w:rPr>
      </w:pPr>
    </w:p>
    <w:p>
      <w:pPr>
        <w:ind w:left="120" w:right="20" w:firstLine="998"/>
        <w:spacing w:after="0" w:line="286" w:lineRule="auto"/>
        <w:tabs>
          <w:tab w:leader="none" w:pos="135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0" w:lineRule="exact"/>
        <w:rPr>
          <w:rFonts w:ascii="Arial" w:cs="Arial" w:eastAsia="Arial" w:hAnsi="Arial"/>
          <w:sz w:val="16"/>
          <w:szCs w:val="16"/>
          <w:color w:val="auto"/>
        </w:rPr>
      </w:pPr>
    </w:p>
    <w:p>
      <w:pPr>
        <w:ind w:left="120" w:right="100" w:firstLine="998"/>
        <w:spacing w:after="0" w:line="288" w:lineRule="auto"/>
        <w:tabs>
          <w:tab w:leader="none" w:pos="136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no Subsidiary that is a Subsidiary Guarantor shall merge or consolidate with any other Person or dispose of all or substantially all of its assets to any Person unless (1) the Company or a Subsidiary Guarantor shall be the continuing entity or shall be the transferee of such assets, (2)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(3) in connection with an asset sale not prohibited by Section 7.3.</w:t>
      </w:r>
    </w:p>
    <w:p>
      <w:pPr>
        <w:spacing w:after="0" w:line="168" w:lineRule="exact"/>
        <w:rPr>
          <w:sz w:val="20"/>
          <w:szCs w:val="20"/>
          <w:color w:val="auto"/>
        </w:rPr>
      </w:pPr>
    </w:p>
    <w:p>
      <w:pPr>
        <w:ind w:left="120" w:firstLine="989"/>
        <w:spacing w:after="0" w:line="290"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and its Subsidiary Borrowers shall not, and shall not permit any of its Subsidiaries to, knowingly use the proceeds of the Loans or Letters of Credit (i) in violation of any Anti-Corruption Laws or (ii) to fund any activities or business</w:t>
      </w:r>
    </w:p>
    <w:p>
      <w:pPr>
        <w:spacing w:after="0" w:line="1" w:lineRule="exact"/>
        <w:rPr>
          <w:sz w:val="20"/>
          <w:szCs w:val="20"/>
          <w:color w:val="auto"/>
        </w:rPr>
      </w:pPr>
    </w:p>
    <w:p>
      <w:pPr>
        <w:ind w:left="120" w:right="80" w:firstLine="9"/>
        <w:spacing w:after="0" w:line="251" w:lineRule="auto"/>
        <w:tabs>
          <w:tab w:leader="none" w:pos="37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ectPr>
          <w:pgSz w:w="11900" w:h="16838" w:orient="portrait"/>
          <w:cols w:equalWidth="0" w:num="1">
            <w:col w:w="11100"/>
          </w:cols>
          <w:pgMar w:left="320" w:top="458"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SECTION 8. EVENTS OF DEFAULT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16" w:lineRule="exact"/>
        <w:rPr>
          <w:sz w:val="20"/>
          <w:szCs w:val="20"/>
          <w:color w:val="auto"/>
        </w:rPr>
      </w:pPr>
    </w:p>
    <w:p>
      <w:pPr>
        <w:jc w:val="both"/>
        <w:ind w:left="120" w:firstLine="998"/>
        <w:spacing w:after="0" w:line="256" w:lineRule="auto"/>
        <w:tabs>
          <w:tab w:leader="none" w:pos="135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Borrower shall fail to pay (i) any principal of any Loan at maturity, (ii) any interest, Facility Fee or any Reimbursement Obligation hereunder or any fee owing pursuant to the L/C Fee Letter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89" w:lineRule="exact"/>
        <w:rPr>
          <w:rFonts w:ascii="Arial" w:cs="Arial" w:eastAsia="Arial" w:hAnsi="Arial"/>
          <w:sz w:val="18"/>
          <w:szCs w:val="18"/>
          <w:color w:val="auto"/>
        </w:rPr>
      </w:pPr>
    </w:p>
    <w:p>
      <w:pPr>
        <w:ind w:left="120" w:right="60" w:firstLine="998"/>
        <w:spacing w:after="0" w:line="341" w:lineRule="auto"/>
        <w:tabs>
          <w:tab w:leader="none" w:pos="136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left="120" w:right="20" w:firstLine="998"/>
        <w:spacing w:after="0" w:line="278" w:lineRule="auto"/>
        <w:tabs>
          <w:tab w:leader="none" w:pos="135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71" w:lineRule="exact"/>
        <w:rPr>
          <w:rFonts w:ascii="Arial" w:cs="Arial" w:eastAsia="Arial" w:hAnsi="Arial"/>
          <w:sz w:val="17"/>
          <w:szCs w:val="17"/>
          <w:color w:val="auto"/>
        </w:rPr>
      </w:pPr>
    </w:p>
    <w:p>
      <w:pPr>
        <w:ind w:left="120" w:right="120" w:firstLine="998"/>
        <w:spacing w:after="0" w:line="271" w:lineRule="auto"/>
        <w:tabs>
          <w:tab w:leader="none" w:pos="136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78" w:lineRule="exact"/>
        <w:rPr>
          <w:rFonts w:ascii="Arial" w:cs="Arial" w:eastAsia="Arial" w:hAnsi="Arial"/>
          <w:sz w:val="17"/>
          <w:szCs w:val="17"/>
          <w:color w:val="auto"/>
        </w:rPr>
      </w:pPr>
    </w:p>
    <w:p>
      <w:pPr>
        <w:ind w:left="120" w:right="140" w:firstLine="998"/>
        <w:spacing w:after="0" w:line="291" w:lineRule="auto"/>
        <w:tabs>
          <w:tab w:leader="none" w:pos="135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62" w:lineRule="exact"/>
        <w:rPr>
          <w:rFonts w:ascii="Arial" w:cs="Arial" w:eastAsia="Arial" w:hAnsi="Arial"/>
          <w:sz w:val="16"/>
          <w:szCs w:val="16"/>
          <w:color w:val="auto"/>
        </w:rPr>
      </w:pPr>
    </w:p>
    <w:p>
      <w:pPr>
        <w:ind w:left="1340" w:hanging="222"/>
        <w:spacing w:after="0"/>
        <w:tabs>
          <w:tab w:leader="none" w:pos="1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23" w:lineRule="exact"/>
        <w:rPr>
          <w:rFonts w:ascii="Arial" w:cs="Arial" w:eastAsia="Arial" w:hAnsi="Arial"/>
          <w:sz w:val="18"/>
          <w:szCs w:val="18"/>
          <w:color w:val="auto"/>
        </w:rPr>
      </w:pPr>
    </w:p>
    <w:p>
      <w:pPr>
        <w:ind w:left="120" w:right="20" w:firstLine="998"/>
        <w:spacing w:after="0" w:line="258" w:lineRule="auto"/>
        <w:tabs>
          <w:tab w:leader="none" w:pos="13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ectPr>
          <w:pgSz w:w="11900" w:h="16838" w:orient="portrait"/>
          <w:cols w:equalWidth="0" w:num="1">
            <w:col w:w="11120"/>
          </w:cols>
          <w:pgMar w:left="320" w:top="458"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76" w:lineRule="auto"/>
        <w:tabs>
          <w:tab w:leader="none" w:pos="13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340" w:hanging="222"/>
        <w:spacing w:after="0"/>
        <w:tabs>
          <w:tab w:leader="none" w:pos="1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4"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then, and in any such event, (A) if such event is an Event of Default specified in paragraph (e) above with respect to the Company, automatically the Commitments and Ancillary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and Ancillary Commitments to be terminated forthwith, whereupon the Commitments and Ancillary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SECTION 9. THE AGENTS</w:t>
      </w:r>
    </w:p>
    <w:p>
      <w:pPr>
        <w:spacing w:after="0" w:line="224" w:lineRule="exact"/>
        <w:rPr>
          <w:sz w:val="20"/>
          <w:szCs w:val="20"/>
          <w:color w:val="auto"/>
        </w:rPr>
      </w:pPr>
    </w:p>
    <w:p>
      <w:pPr>
        <w:ind w:left="120" w:right="100" w:firstLine="989"/>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w:t>
      </w:r>
      <w:r>
        <w:rPr>
          <w:rFonts w:ascii="Arial" w:cs="Arial" w:eastAsia="Arial" w:hAnsi="Arial"/>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w:t>
      </w:r>
    </w:p>
    <w:p>
      <w:pPr>
        <w:sectPr>
          <w:pgSz w:w="11900" w:h="16838" w:orient="portrait"/>
          <w:cols w:equalWidth="0" w:num="1">
            <w:col w:w="11080"/>
          </w:cols>
          <w:pgMar w:left="320" w:top="458"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7" w:lineRule="exact"/>
        <w:rPr>
          <w:sz w:val="20"/>
          <w:szCs w:val="20"/>
          <w:color w:val="auto"/>
        </w:rPr>
      </w:pPr>
    </w:p>
    <w:p>
      <w:pPr>
        <w:ind w:left="120" w:right="20" w:firstLine="989"/>
        <w:spacing w:after="0" w:line="31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7" w:lineRule="exact"/>
        <w:rPr>
          <w:sz w:val="20"/>
          <w:szCs w:val="20"/>
          <w:color w:val="auto"/>
        </w:rPr>
      </w:pPr>
    </w:p>
    <w:p>
      <w:pPr>
        <w:ind w:left="120" w:right="160" w:firstLine="989"/>
        <w:spacing w:after="0" w:line="28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spacing w:after="0" w:line="1" w:lineRule="exact"/>
        <w:rPr>
          <w:sz w:val="20"/>
          <w:szCs w:val="20"/>
          <w:color w:val="auto"/>
        </w:rPr>
      </w:pPr>
    </w:p>
    <w:p>
      <w:pPr>
        <w:ind w:left="120" w:firstLine="9"/>
        <w:spacing w:after="0" w:line="268" w:lineRule="auto"/>
        <w:tabs>
          <w:tab w:leader="none" w:pos="38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82" w:lineRule="exact"/>
        <w:rPr>
          <w:sz w:val="20"/>
          <w:szCs w:val="20"/>
          <w:color w:val="auto"/>
        </w:rPr>
      </w:pPr>
    </w:p>
    <w:p>
      <w:pPr>
        <w:ind w:left="120" w:right="20" w:firstLine="989"/>
        <w:spacing w:after="0" w:line="28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67" w:lineRule="exact"/>
        <w:rPr>
          <w:sz w:val="20"/>
          <w:szCs w:val="20"/>
          <w:color w:val="auto"/>
        </w:rPr>
      </w:pPr>
    </w:p>
    <w:p>
      <w:pPr>
        <w:ind w:left="120" w:right="260" w:firstLine="989"/>
        <w:spacing w:after="0" w:line="25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Notice of Default</w:t>
      </w:r>
      <w:r>
        <w:rPr>
          <w:rFonts w:ascii="Arial" w:cs="Arial" w:eastAsia="Arial" w:hAnsi="Arial"/>
          <w:sz w:val="18"/>
          <w:szCs w:val="18"/>
          <w:color w:val="auto"/>
        </w:rPr>
        <w:t>.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9" w:lineRule="exact"/>
        <w:rPr>
          <w:sz w:val="20"/>
          <w:szCs w:val="20"/>
          <w:color w:val="auto"/>
        </w:rPr>
      </w:pPr>
    </w:p>
    <w:p>
      <w:pPr>
        <w:ind w:left="120" w:firstLine="989"/>
        <w:spacing w:after="0" w:line="285"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71" w:lineRule="exact"/>
        <w:rPr>
          <w:sz w:val="20"/>
          <w:szCs w:val="20"/>
          <w:color w:val="auto"/>
        </w:rPr>
      </w:pPr>
    </w:p>
    <w:p>
      <w:pPr>
        <w:ind w:left="120" w:right="20" w:firstLine="989"/>
        <w:spacing w:after="0" w:line="286"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70" w:lineRule="exact"/>
        <w:rPr>
          <w:sz w:val="20"/>
          <w:szCs w:val="20"/>
          <w:color w:val="auto"/>
        </w:rPr>
      </w:pPr>
    </w:p>
    <w:p>
      <w:pPr>
        <w:jc w:val="both"/>
        <w:ind w:left="120" w:right="220" w:firstLine="989"/>
        <w:spacing w:after="0" w:line="285"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any Letter of Credit issued or participated in by it and any other extension of credit made by</w:t>
      </w:r>
    </w:p>
    <w:p>
      <w:pPr>
        <w:sectPr>
          <w:pgSz w:w="11900" w:h="16838" w:orient="portrait"/>
          <w:cols w:equalWidth="0" w:num="1">
            <w:col w:w="11080"/>
          </w:cols>
          <w:pgMar w:left="320" w:top="458"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2" w:lineRule="exact"/>
        <w:rPr>
          <w:sz w:val="20"/>
          <w:szCs w:val="20"/>
          <w:color w:val="auto"/>
        </w:rPr>
      </w:pPr>
    </w:p>
    <w:p>
      <w:pPr>
        <w:ind w:left="120" w:right="20" w:firstLine="989"/>
        <w:spacing w:after="0" w:line="267"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9.10 [Reserved].</w:t>
      </w:r>
    </w:p>
    <w:p>
      <w:pPr>
        <w:spacing w:after="0" w:line="224" w:lineRule="exact"/>
        <w:rPr>
          <w:sz w:val="20"/>
          <w:szCs w:val="20"/>
          <w:color w:val="auto"/>
        </w:rPr>
      </w:pPr>
    </w:p>
    <w:p>
      <w:pPr>
        <w:ind w:left="120" w:right="40" w:firstLine="989"/>
        <w:spacing w:after="0" w:line="296"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Bookrunners, Lead Arrangers, Global and Regional Coordinators, Documentation Agents, Syndication Agent and Co-Syndication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6"/>
          <w:szCs w:val="16"/>
          <w:u w:val="single" w:color="auto"/>
          <w:color w:val="auto"/>
        </w:rPr>
        <w:t>Arrangers</w:t>
      </w:r>
      <w:r>
        <w:rPr>
          <w:rFonts w:ascii="Arial" w:cs="Arial" w:eastAsia="Arial" w:hAnsi="Arial"/>
          <w:sz w:val="16"/>
          <w:szCs w:val="16"/>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Certain ERISA Matters</w:t>
      </w:r>
      <w:r>
        <w:rPr>
          <w:rFonts w:ascii="Arial" w:cs="Arial" w:eastAsia="Arial" w:hAnsi="Arial"/>
          <w:sz w:val="17"/>
          <w:szCs w:val="17"/>
          <w:color w:val="auto"/>
        </w:rPr>
        <w:t>. (a) Each Lender (x) represents and warrants, as of the date such Person became a Lender party hereto, to, and</w:t>
      </w:r>
    </w:p>
    <w:p>
      <w:pPr>
        <w:spacing w:after="0" w:line="34" w:lineRule="exact"/>
        <w:rPr>
          <w:sz w:val="20"/>
          <w:szCs w:val="20"/>
          <w:color w:val="auto"/>
        </w:rPr>
      </w:pPr>
    </w:p>
    <w:p>
      <w:pPr>
        <w:ind w:left="120" w:right="20" w:firstLine="9"/>
        <w:spacing w:after="0" w:line="254" w:lineRule="auto"/>
        <w:tabs>
          <w:tab w:leader="none" w:pos="37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82" w:lineRule="exact"/>
        <w:rPr>
          <w:rFonts w:ascii="Arial" w:cs="Arial" w:eastAsia="Arial" w:hAnsi="Arial"/>
          <w:sz w:val="18"/>
          <w:szCs w:val="18"/>
          <w:color w:val="auto"/>
        </w:rPr>
      </w:pPr>
    </w:p>
    <w:p>
      <w:pPr>
        <w:ind w:left="1120" w:right="620" w:firstLine="398"/>
        <w:spacing w:after="0" w:line="276" w:lineRule="auto"/>
        <w:tabs>
          <w:tab w:leader="none" w:pos="173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right="120" w:firstLine="398"/>
        <w:spacing w:after="0" w:line="293" w:lineRule="auto"/>
        <w:tabs>
          <w:tab w:leader="none" w:pos="1784" w:val="left"/>
        </w:tabs>
        <w:numPr>
          <w:ilvl w:val="2"/>
          <w:numId w:val="122"/>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53" w:lineRule="exact"/>
        <w:rPr>
          <w:rFonts w:ascii="Arial" w:cs="Arial" w:eastAsia="Arial" w:hAnsi="Arial"/>
          <w:sz w:val="16"/>
          <w:szCs w:val="16"/>
          <w:color w:val="auto"/>
        </w:rPr>
      </w:pPr>
    </w:p>
    <w:p>
      <w:pPr>
        <w:ind w:left="1120" w:right="100" w:firstLine="398"/>
        <w:spacing w:after="0" w:line="271" w:lineRule="auto"/>
        <w:tabs>
          <w:tab w:leader="none" w:pos="1834" w:val="left"/>
        </w:tabs>
        <w:numPr>
          <w:ilvl w:val="2"/>
          <w:numId w:val="122"/>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71" w:lineRule="exact"/>
        <w:rPr>
          <w:rFonts w:ascii="Arial" w:cs="Arial" w:eastAsia="Arial" w:hAnsi="Arial"/>
          <w:sz w:val="17"/>
          <w:szCs w:val="17"/>
          <w:color w:val="auto"/>
        </w:rPr>
      </w:pPr>
    </w:p>
    <w:p>
      <w:pPr>
        <w:ind w:left="1120" w:right="440" w:firstLine="398"/>
        <w:spacing w:after="0" w:line="276" w:lineRule="auto"/>
        <w:tabs>
          <w:tab w:leader="none" w:pos="1824" w:val="left"/>
        </w:tabs>
        <w:numPr>
          <w:ilvl w:val="2"/>
          <w:numId w:val="12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120" w:right="140" w:firstLine="998"/>
        <w:spacing w:after="0" w:line="290" w:lineRule="auto"/>
        <w:tabs>
          <w:tab w:leader="none" w:pos="136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120" w:firstLine="9"/>
        <w:spacing w:after="0" w:line="251" w:lineRule="auto"/>
        <w:tabs>
          <w:tab w:leader="none" w:pos="3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the Administrative Agent, any Arranger or any of their respective Affiliates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Acknowledgements of Lenders</w:t>
      </w:r>
      <w:r>
        <w:rPr>
          <w:rFonts w:ascii="Arial" w:cs="Arial" w:eastAsia="Arial" w:hAnsi="Arial"/>
          <w:sz w:val="18"/>
          <w:szCs w:val="18"/>
          <w:color w:val="auto"/>
        </w:rPr>
        <w:t>.</w:t>
      </w:r>
    </w:p>
    <w:p>
      <w:pPr>
        <w:spacing w:after="0" w:line="224" w:lineRule="exact"/>
        <w:rPr>
          <w:sz w:val="20"/>
          <w:szCs w:val="20"/>
          <w:color w:val="auto"/>
        </w:rPr>
      </w:pPr>
    </w:p>
    <w:p>
      <w:pPr>
        <w:ind w:left="120" w:right="60" w:firstLine="998"/>
        <w:spacing w:after="0" w:line="285" w:lineRule="auto"/>
        <w:tabs>
          <w:tab w:leader="none" w:pos="1353"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purchasing, acquiring or holding any other type of financial instrument (and each Lender agrees not to assert a claim in contravention of the foregoing),</w:t>
      </w:r>
    </w:p>
    <w:p>
      <w:pPr>
        <w:spacing w:after="0" w:line="2" w:lineRule="exact"/>
        <w:rPr>
          <w:rFonts w:ascii="Arial" w:cs="Arial" w:eastAsia="Arial" w:hAnsi="Arial"/>
          <w:sz w:val="16"/>
          <w:szCs w:val="16"/>
          <w:color w:val="auto"/>
        </w:rPr>
      </w:pPr>
    </w:p>
    <w:p>
      <w:pPr>
        <w:ind w:left="440" w:hanging="311"/>
        <w:spacing w:after="0"/>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has, independently and without reliance upon the Administrative Agent, any Arranger, any Syndication Agent,</w:t>
      </w:r>
    </w:p>
    <w:p>
      <w:pPr>
        <w:sectPr>
          <w:pgSz w:w="11900" w:h="16838" w:orient="portrait"/>
          <w:cols w:equalWidth="0" w:num="1">
            <w:col w:w="11120"/>
          </w:cols>
          <w:pgMar w:left="320" w:top="458"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ind w:left="120" w:firstLine="998"/>
        <w:spacing w:after="0" w:line="258" w:lineRule="auto"/>
        <w:tabs>
          <w:tab w:leader="none" w:pos="136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7" w:lineRule="exact"/>
        <w:rPr>
          <w:rFonts w:ascii="Arial" w:cs="Arial" w:eastAsia="Arial" w:hAnsi="Arial"/>
          <w:sz w:val="18"/>
          <w:szCs w:val="18"/>
          <w:color w:val="auto"/>
        </w:rPr>
      </w:pPr>
    </w:p>
    <w:p>
      <w:pPr>
        <w:ind w:left="1360" w:hanging="242"/>
        <w:spacing w:after="0"/>
        <w:tabs>
          <w:tab w:leader="none" w:pos="13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(4) Each Lender hereby agrees that (x) if the Administrative Agent notifies such Lender that the Administrative Agent has</w:t>
      </w:r>
    </w:p>
    <w:p>
      <w:pPr>
        <w:spacing w:after="0" w:line="2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79" w:lineRule="exact"/>
        <w:rPr>
          <w:sz w:val="20"/>
          <w:szCs w:val="20"/>
          <w:color w:val="auto"/>
        </w:rPr>
      </w:pPr>
    </w:p>
    <w:p>
      <w:pPr>
        <w:ind w:left="120" w:right="20" w:firstLine="998"/>
        <w:spacing w:after="0" w:line="269" w:lineRule="auto"/>
        <w:tabs>
          <w:tab w:leader="none" w:pos="133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b w:val="1"/>
          <w:bCs w:val="1"/>
          <w:i w:val="1"/>
          <w:iCs w:val="1"/>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ectPr>
          <w:pgSz w:w="11900" w:h="16838" w:orient="portrait"/>
          <w:cols w:equalWidth="0" w:num="1">
            <w:col w:w="11120"/>
          </w:cols>
          <w:pgMar w:left="320" w:top="458"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firstLine="998"/>
        <w:spacing w:after="0" w:line="273" w:lineRule="auto"/>
        <w:tabs>
          <w:tab w:leader="none" w:pos="139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Payment is, and solely with respect to the amount of such Payment that is, comprised of funds of the Borrower or any other Loan Party (including, for the avoidance of doubt, the proceeds of any financing or contribution incurred or obtained by the Borrower or any Loan Party).</w:t>
      </w:r>
    </w:p>
    <w:p>
      <w:pPr>
        <w:spacing w:after="0" w:line="174" w:lineRule="exact"/>
        <w:rPr>
          <w:sz w:val="20"/>
          <w:szCs w:val="20"/>
          <w:color w:val="auto"/>
        </w:rPr>
      </w:pPr>
    </w:p>
    <w:p>
      <w:pPr>
        <w:ind w:left="120" w:right="200" w:firstLine="998"/>
        <w:spacing w:after="0" w:line="263" w:lineRule="auto"/>
        <w:tabs>
          <w:tab w:leader="none" w:pos="14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10. MISCELLANEOUS</w:t>
      </w:r>
    </w:p>
    <w:p>
      <w:pPr>
        <w:spacing w:after="0" w:line="224" w:lineRule="exact"/>
        <w:rPr>
          <w:sz w:val="20"/>
          <w:szCs w:val="20"/>
          <w:color w:val="auto"/>
        </w:rPr>
      </w:pPr>
    </w:p>
    <w:p>
      <w:pPr>
        <w:ind w:left="120" w:firstLine="989"/>
        <w:spacing w:after="0" w:line="26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iv) Subject to Section 2.18(b), (c) and (d),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L/C Fee Letter shall be amended, modified, or supplemented in accordance with its individual terms and shall not be subject to the provisions of this Section 10.1 and (ii)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waiver and no such amendment, supplement or modification shall:</w:t>
      </w:r>
    </w:p>
    <w:p>
      <w:pPr>
        <w:spacing w:after="0" w:line="78" w:lineRule="exact"/>
        <w:rPr>
          <w:sz w:val="20"/>
          <w:szCs w:val="20"/>
          <w:color w:val="auto"/>
        </w:rPr>
      </w:pPr>
    </w:p>
    <w:p>
      <w:pPr>
        <w:ind w:left="1120" w:firstLine="398"/>
        <w:spacing w:after="0" w:line="255" w:lineRule="auto"/>
        <w:tabs>
          <w:tab w:leader="none" w:pos="181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ectPr>
          <w:pgSz w:w="11900" w:h="16838" w:orient="portrait"/>
          <w:cols w:equalWidth="0" w:num="1">
            <w:col w:w="11100"/>
          </w:cols>
          <w:pgMar w:left="320" w:top="458"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0" w:hanging="282"/>
        <w:spacing w:after="0"/>
        <w:tabs>
          <w:tab w:leader="none" w:pos="18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eliminate or reduce the voting rights of any Lender under this Section 10.1 without the written consent of such Lender;</w:t>
      </w:r>
    </w:p>
    <w:p>
      <w:pPr>
        <w:spacing w:after="0" w:line="127" w:lineRule="exact"/>
        <w:rPr>
          <w:rFonts w:ascii="Arial" w:cs="Arial" w:eastAsia="Arial" w:hAnsi="Arial"/>
          <w:sz w:val="17"/>
          <w:szCs w:val="17"/>
          <w:color w:val="auto"/>
        </w:rPr>
      </w:pPr>
    </w:p>
    <w:p>
      <w:pPr>
        <w:ind w:left="1120" w:right="20" w:firstLine="398"/>
        <w:spacing w:after="0" w:line="256" w:lineRule="auto"/>
        <w:tabs>
          <w:tab w:leader="none" w:pos="180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81" w:lineRule="exact"/>
        <w:rPr>
          <w:rFonts w:ascii="Arial" w:cs="Arial" w:eastAsia="Arial" w:hAnsi="Arial"/>
          <w:sz w:val="18"/>
          <w:szCs w:val="18"/>
          <w:color w:val="auto"/>
        </w:rPr>
      </w:pPr>
    </w:p>
    <w:p>
      <w:pPr>
        <w:ind w:left="1820" w:hanging="302"/>
        <w:spacing w:after="0"/>
        <w:tabs>
          <w:tab w:leader="none" w:pos="1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6" w:lineRule="exact"/>
        <w:rPr>
          <w:rFonts w:ascii="Arial" w:cs="Arial" w:eastAsia="Arial" w:hAnsi="Arial"/>
          <w:sz w:val="18"/>
          <w:szCs w:val="18"/>
          <w:color w:val="auto"/>
        </w:rPr>
      </w:pPr>
    </w:p>
    <w:p>
      <w:pPr>
        <w:ind w:left="1120" w:right="380" w:firstLine="398"/>
        <w:spacing w:after="0" w:line="276" w:lineRule="auto"/>
        <w:tabs>
          <w:tab w:leader="none" w:pos="179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62" w:lineRule="exact"/>
        <w:rPr>
          <w:rFonts w:ascii="Arial" w:cs="Arial" w:eastAsia="Arial" w:hAnsi="Arial"/>
          <w:sz w:val="18"/>
          <w:szCs w:val="18"/>
          <w:color w:val="auto"/>
        </w:rPr>
      </w:pPr>
    </w:p>
    <w:p>
      <w:pPr>
        <w:ind w:left="1120" w:right="100" w:firstLine="398"/>
        <w:spacing w:after="0" w:line="276" w:lineRule="auto"/>
        <w:tabs>
          <w:tab w:leader="none" w:pos="178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the Administrative Agent without the written consent of the Administrative Agent;</w:t>
      </w:r>
    </w:p>
    <w:p>
      <w:pPr>
        <w:spacing w:after="0" w:line="62" w:lineRule="exact"/>
        <w:rPr>
          <w:rFonts w:ascii="Arial" w:cs="Arial" w:eastAsia="Arial" w:hAnsi="Arial"/>
          <w:sz w:val="18"/>
          <w:szCs w:val="18"/>
          <w:color w:val="auto"/>
        </w:rPr>
      </w:pPr>
    </w:p>
    <w:p>
      <w:pPr>
        <w:ind w:left="1120" w:right="40" w:firstLine="398"/>
        <w:spacing w:after="0" w:line="276" w:lineRule="auto"/>
        <w:tabs>
          <w:tab w:leader="none" w:pos="181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62" w:lineRule="exact"/>
        <w:rPr>
          <w:rFonts w:ascii="Arial" w:cs="Arial" w:eastAsia="Arial" w:hAnsi="Arial"/>
          <w:sz w:val="18"/>
          <w:szCs w:val="18"/>
          <w:color w:val="auto"/>
        </w:rPr>
      </w:pPr>
    </w:p>
    <w:p>
      <w:pPr>
        <w:ind w:left="1820" w:hanging="302"/>
        <w:spacing w:after="0"/>
        <w:tabs>
          <w:tab w:leader="none" w:pos="18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amend, modify or waive any provision of Section 2.19(a) or (b) without the written consent of each Lender adversely affected</w:t>
      </w:r>
    </w:p>
    <w:p>
      <w:pPr>
        <w:spacing w:after="0" w:line="45"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thereby;</w:t>
      </w:r>
    </w:p>
    <w:p>
      <w:pPr>
        <w:spacing w:after="0" w:line="101" w:lineRule="exact"/>
        <w:rPr>
          <w:rFonts w:ascii="Arial" w:cs="Arial" w:eastAsia="Arial" w:hAnsi="Arial"/>
          <w:sz w:val="16"/>
          <w:szCs w:val="16"/>
          <w:color w:val="auto"/>
        </w:rPr>
      </w:pPr>
    </w:p>
    <w:p>
      <w:pPr>
        <w:ind w:left="1120" w:firstLine="398"/>
        <w:spacing w:after="0" w:line="276" w:lineRule="auto"/>
        <w:tabs>
          <w:tab w:leader="none" w:pos="17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affect the rights or duties of any Ancillary Lender, in a manner adverse to such Ancillary Lender, in its capacity as such, under this Agreement or any other Loan Document without the written consent of such Ancillary Lender; or</w:t>
      </w:r>
    </w:p>
    <w:p>
      <w:pPr>
        <w:spacing w:after="0" w:line="62" w:lineRule="exact"/>
        <w:rPr>
          <w:rFonts w:ascii="Arial" w:cs="Arial" w:eastAsia="Arial" w:hAnsi="Arial"/>
          <w:sz w:val="18"/>
          <w:szCs w:val="18"/>
          <w:color w:val="auto"/>
        </w:rPr>
      </w:pPr>
    </w:p>
    <w:p>
      <w:pPr>
        <w:ind w:left="1760" w:hanging="242"/>
        <w:spacing w:after="0"/>
        <w:tabs>
          <w:tab w:leader="none" w:pos="1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add additional available currencies to any Facility without the written consent of each Lender directly affected thereby.</w:t>
      </w:r>
    </w:p>
    <w:p>
      <w:pPr>
        <w:spacing w:after="0" w:line="224"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Any such waiver and any such amendment, supplement or modification shall apply equally to each of the Lenders and shall be binding upon the Loan Parties, the Lenders, the Issuing Lenders, the Administrative Agent, and all future holders of the Loans. In the case of any waiver, the Loan Parties, the Lenders, the Issuing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73" w:lineRule="exact"/>
        <w:rPr>
          <w:sz w:val="20"/>
          <w:szCs w:val="20"/>
          <w:color w:val="auto"/>
        </w:rPr>
      </w:pPr>
    </w:p>
    <w:p>
      <w:pPr>
        <w:ind w:left="120" w:right="80" w:firstLine="998"/>
        <w:spacing w:after="0" w:line="273" w:lineRule="auto"/>
        <w:tabs>
          <w:tab w:leader="none" w:pos="136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w:t>
      </w:r>
    </w:p>
    <w:p>
      <w:pPr>
        <w:sectPr>
          <w:pgSz w:w="11900" w:h="16838" w:orient="portrait"/>
          <w:cols w:equalWidth="0" w:num="1">
            <w:col w:w="11120"/>
          </w:cols>
          <w:pgMar w:left="320" w:top="458"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7"/>
          <w:szCs w:val="17"/>
          <w:u w:val="single" w:color="auto"/>
          <w:color w:val="auto"/>
        </w:rPr>
        <w:t>provided</w:t>
      </w:r>
      <w:r>
        <w:rPr>
          <w:rFonts w:ascii="Arial" w:cs="Arial" w:eastAsia="Arial" w:hAnsi="Arial"/>
          <w:sz w:val="17"/>
          <w:szCs w:val="17"/>
          <w:color w:val="auto"/>
        </w:rPr>
        <w:t>, that the Administrative Agent shall notify the Lenders and Issuing Lenders of any such amendment, modification, supplement or waiver consummated in accordance with this clause (ii) promptly after consummation thereof.</w:t>
      </w:r>
    </w:p>
    <w:p>
      <w:pPr>
        <w:spacing w:after="0" w:line="179" w:lineRule="exact"/>
        <w:rPr>
          <w:sz w:val="20"/>
          <w:szCs w:val="20"/>
          <w:color w:val="auto"/>
        </w:rPr>
      </w:pPr>
    </w:p>
    <w:p>
      <w:pPr>
        <w:ind w:left="120" w:right="80" w:firstLine="998"/>
        <w:spacing w:after="0" w:line="255" w:lineRule="auto"/>
        <w:tabs>
          <w:tab w:leader="none" w:pos="13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2.11, 2.27, 2.28, 2.29 and 2.30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8" w:lineRule="exact"/>
        <w:rPr>
          <w:rFonts w:ascii="Arial" w:cs="Arial" w:eastAsia="Arial" w:hAnsi="Arial"/>
          <w:sz w:val="18"/>
          <w:szCs w:val="18"/>
          <w:color w:val="auto"/>
        </w:rPr>
      </w:pPr>
    </w:p>
    <w:p>
      <w:pPr>
        <w:ind w:left="120" w:right="120" w:firstLine="998"/>
        <w:spacing w:after="0" w:line="276" w:lineRule="auto"/>
        <w:tabs>
          <w:tab w:leader="none" w:pos="136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63" w:lineRule="exact"/>
        <w:rPr>
          <w:sz w:val="20"/>
          <w:szCs w:val="20"/>
          <w:color w:val="auto"/>
        </w:rPr>
      </w:pPr>
    </w:p>
    <w:p>
      <w:pPr>
        <w:ind w:left="120" w:firstLine="998"/>
        <w:spacing w:after="0" w:line="285" w:lineRule="auto"/>
        <w:tabs>
          <w:tab w:leader="none" w:pos="133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designate (x) any Domestic Subsidiary of the Company as a Domestic Subsidiary Borrower, (y) any Domestic Subsidiary of the Company as a Domestic Subsidiary Borrower under the Multicurrency Facility and/or the L/C Tranche Facility, in each case with the consent of each Lender under either the Multicurrency Facility or the L/C Tranche Facility,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Lender may withhold such consent unless it is unable to make extensions of credit or provide Commitments to such Subsidiary Borrower pursuant to any Requirement of Law) and the Administrative Agent (not to be unreasonably withheld), as a Domestic Subsidiary Borrower under the Multicurrency Facility and/or the L/C Tranche Facility and (z) any other Domestic Subsidiary of the Company as a Domestic Subsidiary Borrower under a New Local Facility or any Incremental Facility upon (A) ten Business Days’ prior notice to the Administrative Agent (such notice to contain the name, primary business address and taxpayer identification number of such Subsidiary), (B) the execution and delivery by the Company, such Subsidiary and the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and</w:t>
      </w:r>
    </w:p>
    <w:p>
      <w:pPr>
        <w:spacing w:after="0" w:line="174" w:lineRule="exact"/>
        <w:rPr>
          <w:sz w:val="20"/>
          <w:szCs w:val="20"/>
          <w:color w:val="auto"/>
        </w:rPr>
      </w:pPr>
    </w:p>
    <w:p>
      <w:pPr>
        <w:ind w:left="120" w:right="40" w:firstLine="998"/>
        <w:spacing w:after="0" w:line="258" w:lineRule="auto"/>
        <w:tabs>
          <w:tab w:leader="none" w:pos="13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w:t>
      </w:r>
    </w:p>
    <w:p>
      <w:pPr>
        <w:sectPr>
          <w:pgSz w:w="11900" w:h="16838" w:orient="portrait"/>
          <w:cols w:equalWidth="0" w:num="1">
            <w:col w:w="11120"/>
          </w:cols>
          <w:pgMar w:left="320" w:top="458"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87" w:lineRule="exact"/>
        <w:rPr>
          <w:sz w:val="20"/>
          <w:szCs w:val="20"/>
          <w:color w:val="auto"/>
        </w:rPr>
      </w:pPr>
    </w:p>
    <w:p>
      <w:pPr>
        <w:ind w:left="120" w:firstLine="989"/>
        <w:spacing w:after="0" w:line="27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Notices</w:t>
      </w:r>
      <w:r>
        <w:rPr>
          <w:rFonts w:ascii="Arial" w:cs="Arial" w:eastAsia="Arial" w:hAnsi="Arial"/>
          <w:sz w:val="17"/>
          <w:szCs w:val="17"/>
          <w:color w:val="auto"/>
        </w:rPr>
        <w:t>. v)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and Ancillary Lenders, or to such other address as may be hereafter notified by the respective parties hereto:</w:t>
      </w:r>
    </w:p>
    <w:p>
      <w:pPr>
        <w:sectPr>
          <w:pgSz w:w="11900" w:h="16838" w:orient="portrait"/>
          <w:cols w:equalWidth="0" w:num="1">
            <w:col w:w="11100"/>
          </w:cols>
          <w:pgMar w:left="320" w:top="459" w:right="479" w:bottom="1440" w:gutter="0" w:footer="0" w:header="0"/>
        </w:sect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02" w:lineRule="exact"/>
        <w:rPr>
          <w:sz w:val="20"/>
          <w:szCs w:val="20"/>
          <w:color w:val="auto"/>
        </w:rPr>
      </w:pPr>
    </w:p>
    <w:p>
      <w:pPr>
        <w:sectPr>
          <w:pgSz w:w="11900" w:h="16838" w:orient="portrait"/>
          <w:cols w:equalWidth="0" w:num="2">
            <w:col w:w="3380" w:space="720"/>
            <w:col w:w="700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 Detroit Treasury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Assistant Treasurer</w:t>
      </w:r>
    </w:p>
    <w:p>
      <w:pPr>
        <w:spacing w:after="0" w:line="102" w:lineRule="exact"/>
        <w:rPr>
          <w:sz w:val="20"/>
          <w:szCs w:val="20"/>
          <w:color w:val="auto"/>
        </w:rPr>
      </w:pPr>
    </w:p>
    <w:p>
      <w:pPr>
        <w:sectPr>
          <w:pgSz w:w="11900" w:h="16838" w:orient="portrait"/>
          <w:cols w:equalWidth="0" w:num="2">
            <w:col w:w="3680" w:space="420"/>
            <w:col w:w="7000"/>
          </w:cols>
          <w:pgMar w:left="320" w:top="459" w:right="479" w:bottom="1440" w:gutter="0" w:footer="0" w:header="0"/>
          <w:type w:val="continuous"/>
        </w:sectPr>
      </w:pPr>
    </w:p>
    <w:p>
      <w:pPr>
        <w:ind w:left="120"/>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 Detroit Treasury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 Capital Markets</w:t>
      </w:r>
    </w:p>
    <w:p>
      <w:pPr>
        <w:spacing w:after="0" w:line="102" w:lineRule="exact"/>
        <w:rPr>
          <w:sz w:val="20"/>
          <w:szCs w:val="20"/>
          <w:color w:val="auto"/>
        </w:rPr>
      </w:pPr>
    </w:p>
    <w:p>
      <w:pPr>
        <w:sectPr>
          <w:pgSz w:w="11900" w:h="16838" w:orient="portrait"/>
          <w:cols w:equalWidth="0" w:num="2">
            <w:col w:w="3620" w:space="480"/>
            <w:col w:w="7000"/>
          </w:cols>
          <w:pgMar w:left="320" w:top="459" w:right="479" w:bottom="1440" w:gutter="0" w:footer="0" w:header="0"/>
          <w:type w:val="continuous"/>
        </w:sectPr>
      </w:pPr>
    </w:p>
    <w:p>
      <w:pPr>
        <w:ind w:left="120"/>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 Detroit Treasury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Director, Treasury Operations</w:t>
      </w:r>
    </w:p>
    <w:p>
      <w:pPr>
        <w:sectPr>
          <w:pgSz w:w="11900" w:h="16838" w:orient="portrait"/>
          <w:cols w:equalWidth="0" w:num="2">
            <w:col w:w="3620" w:space="480"/>
            <w:col w:w="7000"/>
          </w:cols>
          <w:pgMar w:left="320" w:top="459" w:right="47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Administrative Agent for all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with a further copy (with respect to any notices in connection with the Multicurrency Facility or the LC Tranche Facility)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-660400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craig.glidden@gm.com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Mail Code 482-C23-A68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ind w:right="1759"/>
        <w:spacing w:after="0" w:line="249" w:lineRule="auto"/>
        <w:rPr>
          <w:sz w:val="20"/>
          <w:szCs w:val="20"/>
          <w:color w:val="auto"/>
        </w:rPr>
      </w:pPr>
      <w:r>
        <w:rPr>
          <w:rFonts w:ascii="Arial" w:cs="Arial" w:eastAsia="Arial" w:hAnsi="Arial"/>
          <w:sz w:val="18"/>
          <w:szCs w:val="18"/>
          <w:color w:val="auto"/>
        </w:rPr>
        <w:t>Attention: Assistant General Counsel, Corporate Finance &amp; Global Innovation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elena.centeio@gm.com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2" w:lineRule="exact"/>
        <w:rPr>
          <w:sz w:val="20"/>
          <w:szCs w:val="20"/>
          <w:color w:val="auto"/>
        </w:rPr>
      </w:pPr>
    </w:p>
    <w:p>
      <w:pPr>
        <w:ind w:right="2639"/>
        <w:spacing w:after="0" w:line="250" w:lineRule="auto"/>
        <w:rPr>
          <w:sz w:val="20"/>
          <w:szCs w:val="20"/>
          <w:color w:val="auto"/>
        </w:rPr>
      </w:pPr>
      <w:r>
        <w:rPr>
          <w:rFonts w:ascii="Arial" w:cs="Arial" w:eastAsia="Arial" w:hAnsi="Arial"/>
          <w:sz w:val="18"/>
          <w:szCs w:val="18"/>
          <w:color w:val="auto"/>
        </w:rPr>
        <w:t>8181 Communications Pkwy, Bldg B, 6</w:t>
      </w:r>
      <w:r>
        <w:rPr>
          <w:rFonts w:ascii="Arial" w:cs="Arial" w:eastAsia="Arial" w:hAnsi="Arial"/>
          <w:sz w:val="15"/>
          <w:szCs w:val="15"/>
          <w:color w:val="auto"/>
        </w:rPr>
        <w:t>th</w:t>
      </w:r>
      <w:r>
        <w:rPr>
          <w:rFonts w:ascii="Arial" w:cs="Arial" w:eastAsia="Arial" w:hAnsi="Arial"/>
          <w:sz w:val="18"/>
          <w:szCs w:val="18"/>
          <w:color w:val="auto"/>
        </w:rPr>
        <w:t xml:space="preserve"> Floor Plano, TX, 75024, United States Email: sean.bodkin@jpmorgan.com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Telephone: 972-324-1749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Sean D. Bodkin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J.P. Morgan Europe Limited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Loans Agency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25 Bank Street,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5JP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Agency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+44 20 7777 2360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loan_and_agency_london@jpmorgan.com</w:t>
      </w:r>
    </w:p>
    <w:p>
      <w:pPr>
        <w:sectPr>
          <w:pgSz w:w="11900" w:h="16838" w:orient="portrait"/>
          <w:cols w:equalWidth="0" w:num="2">
            <w:col w:w="3700" w:space="380"/>
            <w:col w:w="6059"/>
          </w:cols>
          <w:pgMar w:left="320" w:top="458"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0"/>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or the Lenders pursuant to Section 2.2, 2.4, 2.5, 2.6, 2.9, 2.11, 2.12, 2.14 or 2.30 shall not be effective until received.</w:t>
      </w:r>
    </w:p>
    <w:p>
      <w:pPr>
        <w:spacing w:after="0" w:line="170" w:lineRule="exact"/>
        <w:rPr>
          <w:sz w:val="20"/>
          <w:szCs w:val="20"/>
          <w:color w:val="auto"/>
        </w:rPr>
      </w:pPr>
    </w:p>
    <w:p>
      <w:pPr>
        <w:ind w:left="120" w:firstLine="998"/>
        <w:spacing w:after="0" w:line="285" w:lineRule="auto"/>
        <w:tabs>
          <w:tab w:leader="none" w:pos="135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Each of the parties hereto agrees that the Administrative Agent may, but shall not be obligated to, make any notices or other Communications available to the Lenders and the Issuing Lenders by posting such Communications on IntraLinks</w:t>
      </w:r>
      <w:r>
        <w:rPr>
          <w:rFonts w:ascii="Arial" w:cs="Arial" w:eastAsia="Arial" w:hAnsi="Arial"/>
          <w:sz w:val="14"/>
          <w:szCs w:val="14"/>
          <w:color w:val="auto"/>
        </w:rPr>
        <w:t>™</w:t>
      </w:r>
      <w:r>
        <w:rPr>
          <w:rFonts w:ascii="Arial" w:cs="Arial" w:eastAsia="Arial" w:hAnsi="Arial"/>
          <w:sz w:val="17"/>
          <w:szCs w:val="17"/>
          <w:color w:val="auto"/>
        </w:rPr>
        <w:t xml:space="preserve"> or a substantially similar electronic platform chosen by the Administrative Agent to be its electronic transmission system (the “</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20" w:right="20" w:firstLine="998"/>
        <w:spacing w:after="0" w:line="270" w:lineRule="auto"/>
        <w:tabs>
          <w:tab w:leader="none" w:pos="136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80" w:lineRule="exact"/>
        <w:rPr>
          <w:rFonts w:ascii="Arial" w:cs="Arial" w:eastAsia="Arial" w:hAnsi="Arial"/>
          <w:sz w:val="17"/>
          <w:szCs w:val="17"/>
          <w:color w:val="auto"/>
        </w:rPr>
      </w:pPr>
    </w:p>
    <w:p>
      <w:pPr>
        <w:ind w:left="120" w:right="60" w:firstLine="998"/>
        <w:spacing w:after="0" w:line="253" w:lineRule="auto"/>
        <w:tabs>
          <w:tab w:leader="none" w:pos="13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3" w:lineRule="exact"/>
        <w:rPr>
          <w:rFonts w:ascii="Arial" w:cs="Arial" w:eastAsia="Arial" w:hAnsi="Arial"/>
          <w:sz w:val="18"/>
          <w:szCs w:val="18"/>
          <w:color w:val="auto"/>
        </w:rPr>
      </w:pPr>
    </w:p>
    <w:p>
      <w:pPr>
        <w:ind w:left="120" w:right="280" w:firstLine="998"/>
        <w:spacing w:after="0" w:line="263" w:lineRule="auto"/>
        <w:tabs>
          <w:tab w:leader="none" w:pos="136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82" w:lineRule="exact"/>
        <w:rPr>
          <w:sz w:val="20"/>
          <w:szCs w:val="20"/>
          <w:color w:val="auto"/>
        </w:rPr>
      </w:pPr>
    </w:p>
    <w:p>
      <w:pPr>
        <w:ind w:left="120" w:right="100" w:firstLine="989"/>
        <w:spacing w:after="0" w:line="25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or Ancillary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9" w:lineRule="exact"/>
        <w:rPr>
          <w:sz w:val="20"/>
          <w:szCs w:val="20"/>
          <w:color w:val="auto"/>
        </w:rPr>
      </w:pPr>
    </w:p>
    <w:p>
      <w:pPr>
        <w:ind w:left="120" w:right="60" w:firstLine="989"/>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ectPr>
          <w:pgSz w:w="11900" w:h="16838" w:orient="portrait"/>
          <w:cols w:equalWidth="0" w:num="1">
            <w:col w:w="11060"/>
          </w:cols>
          <w:pgMar w:left="320" w:top="458"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 of Expenses; Limitation of Liability; Indemnity</w:t>
      </w:r>
      <w:r>
        <w:rPr>
          <w:rFonts w:ascii="Arial" w:cs="Arial" w:eastAsia="Arial" w:hAnsi="Arial"/>
          <w:sz w:val="18"/>
          <w:szCs w:val="18"/>
          <w:color w:val="auto"/>
        </w:rPr>
        <w:t>.</w:t>
      </w:r>
    </w:p>
    <w:p>
      <w:pPr>
        <w:spacing w:after="0" w:line="224" w:lineRule="exact"/>
        <w:rPr>
          <w:sz w:val="20"/>
          <w:szCs w:val="20"/>
          <w:color w:val="auto"/>
        </w:rPr>
      </w:pPr>
    </w:p>
    <w:p>
      <w:pPr>
        <w:ind w:left="120" w:firstLine="998"/>
        <w:spacing w:after="0" w:line="285" w:lineRule="auto"/>
        <w:tabs>
          <w:tab w:leader="none" w:pos="1353"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the other Loan Documents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each Issuing Lender and the Administrative Agent for, and hold each Lender, each Issuing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386" w:lineRule="exact"/>
        <w:rPr>
          <w:rFonts w:ascii="Arial" w:cs="Arial" w:eastAsia="Arial" w:hAnsi="Arial"/>
          <w:sz w:val="16"/>
          <w:szCs w:val="16"/>
          <w:color w:val="auto"/>
        </w:rPr>
      </w:pPr>
    </w:p>
    <w:p>
      <w:pPr>
        <w:ind w:left="120" w:right="20" w:firstLine="998"/>
        <w:spacing w:after="0" w:line="255" w:lineRule="auto"/>
        <w:tabs>
          <w:tab w:leader="none" w:pos="1363"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8" w:lineRule="exact"/>
        <w:rPr>
          <w:rFonts w:ascii="Arial" w:cs="Arial" w:eastAsia="Arial" w:hAnsi="Arial"/>
          <w:sz w:val="18"/>
          <w:szCs w:val="18"/>
          <w:color w:val="auto"/>
        </w:rPr>
      </w:pPr>
    </w:p>
    <w:p>
      <w:pPr>
        <w:ind w:left="120" w:firstLine="998"/>
        <w:spacing w:after="0" w:line="286" w:lineRule="auto"/>
        <w:tabs>
          <w:tab w:leader="none" w:pos="1353"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pay, indemnify or reimburse each Lender, each Issuing Lender,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the other Loan Documents and any Ancillary Facility Document (all the foregoing,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ectPr>
          <w:pgSz w:w="11900" w:h="16838" w:orient="portrait"/>
          <w:cols w:equalWidth="0" w:num="1">
            <w:col w:w="11100"/>
          </w:cols>
          <w:pgMar w:left="320" w:top="458"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98"/>
        <w:spacing w:after="0" w:line="287" w:lineRule="auto"/>
        <w:tabs>
          <w:tab w:leader="none" w:pos="136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65" w:lineRule="exact"/>
        <w:rPr>
          <w:rFonts w:ascii="Arial" w:cs="Arial" w:eastAsia="Arial" w:hAnsi="Arial"/>
          <w:sz w:val="16"/>
          <w:szCs w:val="16"/>
          <w:color w:val="auto"/>
        </w:rPr>
      </w:pPr>
    </w:p>
    <w:p>
      <w:pPr>
        <w:ind w:left="120" w:firstLine="998"/>
        <w:spacing w:after="0" w:line="253" w:lineRule="auto"/>
        <w:tabs>
          <w:tab w:leader="none" w:pos="13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94" w:lineRule="exact"/>
        <w:rPr>
          <w:sz w:val="20"/>
          <w:szCs w:val="20"/>
          <w:color w:val="auto"/>
        </w:rPr>
      </w:pPr>
    </w:p>
    <w:p>
      <w:pPr>
        <w:ind w:left="120" w:firstLine="989"/>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vi)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89" w:lineRule="exact"/>
        <w:rPr>
          <w:sz w:val="20"/>
          <w:szCs w:val="20"/>
          <w:color w:val="auto"/>
        </w:rPr>
      </w:pPr>
    </w:p>
    <w:p>
      <w:pPr>
        <w:ind w:left="120" w:right="40" w:firstLine="998"/>
        <w:spacing w:after="0" w:line="258" w:lineRule="auto"/>
        <w:tabs>
          <w:tab w:leader="none" w:pos="13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9" w:lineRule="exact"/>
        <w:rPr>
          <w:rFonts w:ascii="Arial" w:cs="Arial" w:eastAsia="Arial" w:hAnsi="Arial"/>
          <w:sz w:val="18"/>
          <w:szCs w:val="18"/>
          <w:color w:val="auto"/>
        </w:rPr>
      </w:pPr>
    </w:p>
    <w:p>
      <w:pPr>
        <w:jc w:val="both"/>
        <w:ind w:left="1120" w:right="100" w:firstLine="398"/>
        <w:spacing w:after="0" w:line="263" w:lineRule="auto"/>
        <w:tabs>
          <w:tab w:leader="none" w:pos="177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8"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780" w:hanging="262"/>
        <w:spacing w:after="0"/>
        <w:tabs>
          <w:tab w:leader="none" w:pos="1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Administrative Agent; and</w:t>
      </w:r>
    </w:p>
    <w:p>
      <w:pPr>
        <w:spacing w:after="0" w:line="116" w:lineRule="exact"/>
        <w:rPr>
          <w:rFonts w:ascii="Arial" w:cs="Arial" w:eastAsia="Arial" w:hAnsi="Arial"/>
          <w:sz w:val="18"/>
          <w:szCs w:val="18"/>
          <w:color w:val="auto"/>
        </w:rPr>
      </w:pPr>
    </w:p>
    <w:p>
      <w:pPr>
        <w:ind w:left="1120" w:right="160" w:firstLine="398"/>
        <w:spacing w:after="0" w:line="306" w:lineRule="auto"/>
        <w:tabs>
          <w:tab w:leader="none" w:pos="177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 the case of any assignment of any rights or interest under the L/C Tranche Facility, each Material Issuing Lender at such time (unless such assignment is to a Lender who has an investment grade rating from two of S&amp;P, Moody’s and Fitch);</w:t>
      </w:r>
    </w:p>
    <w:p>
      <w:pPr>
        <w:spacing w:after="0" w:line="40" w:lineRule="exact"/>
        <w:rPr>
          <w:sz w:val="20"/>
          <w:szCs w:val="20"/>
          <w:color w:val="auto"/>
        </w:rPr>
      </w:pPr>
    </w:p>
    <w:p>
      <w:pPr>
        <w:jc w:val="both"/>
        <w:ind w:left="1120"/>
        <w:spacing w:after="0" w:line="31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(y) no consents provided for in clause (3) above shall be required for an assignment to an L/C Tranche Lender and (z) no consent of the Company provided for in clause (1) above shall be required if an Event of Default under Section 8(a) or (e) has occurred and is continuing.</w:t>
      </w:r>
    </w:p>
    <w:p>
      <w:pPr>
        <w:spacing w:after="0" w:line="147" w:lineRule="exact"/>
        <w:rPr>
          <w:sz w:val="20"/>
          <w:szCs w:val="20"/>
          <w:color w:val="auto"/>
        </w:rPr>
      </w:pPr>
    </w:p>
    <w:p>
      <w:pPr>
        <w:ind w:left="120" w:right="40" w:firstLine="989"/>
        <w:spacing w:after="0" w:line="263"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4" w:lineRule="exact"/>
        <w:rPr>
          <w:sz w:val="20"/>
          <w:szCs w:val="20"/>
          <w:color w:val="auto"/>
        </w:rPr>
      </w:pPr>
    </w:p>
    <w:p>
      <w:pPr>
        <w:ind w:left="1220" w:hanging="230"/>
        <w:spacing w:after="0"/>
        <w:tabs>
          <w:tab w:leader="none" w:pos="12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6" w:lineRule="exact"/>
        <w:rPr>
          <w:rFonts w:ascii="Arial" w:cs="Arial" w:eastAsia="Arial" w:hAnsi="Arial"/>
          <w:sz w:val="18"/>
          <w:szCs w:val="18"/>
          <w:color w:val="auto"/>
        </w:rPr>
      </w:pPr>
    </w:p>
    <w:p>
      <w:pPr>
        <w:ind w:left="1120" w:right="20" w:firstLine="398"/>
        <w:spacing w:after="0" w:line="293" w:lineRule="auto"/>
        <w:tabs>
          <w:tab w:leader="none" w:pos="181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53" w:lineRule="exact"/>
        <w:rPr>
          <w:rFonts w:ascii="Arial" w:cs="Arial" w:eastAsia="Arial" w:hAnsi="Arial"/>
          <w:sz w:val="16"/>
          <w:szCs w:val="16"/>
          <w:color w:val="auto"/>
        </w:rPr>
      </w:pPr>
    </w:p>
    <w:p>
      <w:pPr>
        <w:ind w:left="1120" w:right="240" w:firstLine="398"/>
        <w:spacing w:after="0" w:line="256" w:lineRule="auto"/>
        <w:tabs>
          <w:tab w:leader="none" w:pos="180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81" w:lineRule="exact"/>
        <w:rPr>
          <w:rFonts w:ascii="Arial" w:cs="Arial" w:eastAsia="Arial" w:hAnsi="Arial"/>
          <w:sz w:val="18"/>
          <w:szCs w:val="18"/>
          <w:color w:val="auto"/>
        </w:rPr>
      </w:pPr>
    </w:p>
    <w:p>
      <w:pPr>
        <w:ind w:left="1120" w:right="880" w:firstLine="398"/>
        <w:spacing w:after="0" w:line="276" w:lineRule="auto"/>
        <w:tabs>
          <w:tab w:leader="none" w:pos="180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63" w:lineRule="exact"/>
        <w:rPr>
          <w:sz w:val="20"/>
          <w:szCs w:val="20"/>
          <w:color w:val="auto"/>
        </w:rPr>
      </w:pPr>
    </w:p>
    <w:p>
      <w:pPr>
        <w:ind w:left="560" w:right="180" w:firstLine="430"/>
        <w:spacing w:after="0" w:line="275" w:lineRule="auto"/>
        <w:tabs>
          <w:tab w:leader="none" w:pos="126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8"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right="60"/>
        <w:spacing w:after="0" w:line="278" w:lineRule="auto"/>
        <w:rPr>
          <w:sz w:val="20"/>
          <w:szCs w:val="20"/>
          <w:color w:val="auto"/>
        </w:rPr>
      </w:pPr>
      <w:r>
        <w:rPr>
          <w:rFonts w:ascii="Arial" w:cs="Arial" w:eastAsia="Arial" w:hAnsi="Arial"/>
          <w:sz w:val="17"/>
          <w:szCs w:val="17"/>
          <w:color w:val="auto"/>
        </w:rPr>
        <w:t>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64" w:lineRule="exact"/>
        <w:rPr>
          <w:sz w:val="20"/>
          <w:szCs w:val="20"/>
          <w:color w:val="auto"/>
        </w:rPr>
      </w:pPr>
    </w:p>
    <w:p>
      <w:pPr>
        <w:ind w:left="560" w:right="20" w:firstLine="430"/>
        <w:spacing w:after="0" w:line="288" w:lineRule="auto"/>
        <w:tabs>
          <w:tab w:leader="none" w:pos="132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60" w:lineRule="exact"/>
        <w:rPr>
          <w:sz w:val="20"/>
          <w:szCs w:val="20"/>
          <w:color w:val="auto"/>
        </w:rPr>
      </w:pPr>
    </w:p>
    <w:p>
      <w:pPr>
        <w:ind w:left="560" w:firstLine="422"/>
        <w:spacing w:after="0" w:line="293" w:lineRule="auto"/>
        <w:rPr>
          <w:sz w:val="20"/>
          <w:szCs w:val="20"/>
          <w:color w:val="auto"/>
        </w:rPr>
      </w:pPr>
      <w:r>
        <w:rPr>
          <w:rFonts w:ascii="Arial" w:cs="Arial" w:eastAsia="Arial" w:hAnsi="Arial"/>
          <w:sz w:val="16"/>
          <w:szCs w:val="16"/>
          <w:color w:val="auto"/>
        </w:rPr>
        <w:t>(IV) 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1" w:lineRule="exact"/>
        <w:rPr>
          <w:sz w:val="20"/>
          <w:szCs w:val="20"/>
          <w:color w:val="auto"/>
        </w:rPr>
      </w:pPr>
    </w:p>
    <w:p>
      <w:pPr>
        <w:ind w:left="120" w:firstLine="998"/>
        <w:spacing w:after="0" w:line="267" w:lineRule="auto"/>
        <w:tabs>
          <w:tab w:leader="none" w:pos="136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(2) Any Lender may, without the consent of the Company, any Issuing Lender or the Administrative Agent,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Issuing Lenders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89" w:lineRule="exact"/>
        <w:rPr>
          <w:sz w:val="20"/>
          <w:szCs w:val="20"/>
          <w:color w:val="auto"/>
        </w:rPr>
      </w:pPr>
    </w:p>
    <w:p>
      <w:pPr>
        <w:ind w:left="560" w:right="60" w:firstLine="430"/>
        <w:spacing w:after="0" w:line="273" w:lineRule="auto"/>
        <w:tabs>
          <w:tab w:leader="none" w:pos="120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74" w:lineRule="exact"/>
        <w:rPr>
          <w:rFonts w:ascii="Arial" w:cs="Arial" w:eastAsia="Arial" w:hAnsi="Arial"/>
          <w:sz w:val="17"/>
          <w:szCs w:val="17"/>
          <w:color w:val="auto"/>
        </w:rPr>
      </w:pPr>
    </w:p>
    <w:p>
      <w:pPr>
        <w:ind w:left="120" w:right="60" w:firstLine="998"/>
        <w:spacing w:after="0" w:line="296" w:lineRule="auto"/>
        <w:tabs>
          <w:tab w:leader="none" w:pos="1353"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the Company or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of a security interest shall release a Lender from any of its obligations hereunder or substitute any such pledgee or Assignee for such Lender as a party hereto.</w:t>
      </w:r>
    </w:p>
    <w:p>
      <w:pPr>
        <w:spacing w:after="0" w:line="158" w:lineRule="exact"/>
        <w:rPr>
          <w:rFonts w:ascii="Arial" w:cs="Arial" w:eastAsia="Arial" w:hAnsi="Arial"/>
          <w:sz w:val="16"/>
          <w:szCs w:val="16"/>
          <w:color w:val="auto"/>
        </w:rPr>
      </w:pPr>
    </w:p>
    <w:p>
      <w:pPr>
        <w:ind w:left="120" w:firstLine="998"/>
        <w:spacing w:after="0" w:line="255" w:lineRule="auto"/>
        <w:tabs>
          <w:tab w:leader="none" w:pos="136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9" w:lineRule="exact"/>
        <w:rPr>
          <w:sz w:val="20"/>
          <w:szCs w:val="20"/>
          <w:color w:val="auto"/>
        </w:rPr>
      </w:pPr>
    </w:p>
    <w:p>
      <w:pPr>
        <w:ind w:left="120" w:right="60" w:firstLine="989"/>
        <w:spacing w:after="0" w:line="29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Adjustments</w:t>
      </w:r>
      <w:r>
        <w:rPr>
          <w:rFonts w:ascii="Arial" w:cs="Arial" w:eastAsia="Arial" w:hAnsi="Arial"/>
          <w:sz w:val="16"/>
          <w:szCs w:val="16"/>
          <w:color w:val="auto"/>
        </w:rPr>
        <w:t>. If any Lender (a “</w:t>
      </w:r>
      <w:r>
        <w:rPr>
          <w:rFonts w:ascii="Arial" w:cs="Arial" w:eastAsia="Arial" w:hAnsi="Arial"/>
          <w:sz w:val="16"/>
          <w:szCs w:val="16"/>
          <w:u w:val="single" w:color="auto"/>
          <w:color w:val="auto"/>
        </w:rPr>
        <w:t>Benefitted Lender</w:t>
      </w:r>
      <w:r>
        <w:rPr>
          <w:rFonts w:ascii="Arial" w:cs="Arial" w:eastAsia="Arial" w:hAnsi="Arial"/>
          <w:sz w:val="16"/>
          <w:szCs w:val="16"/>
          <w:color w:val="auto"/>
        </w:rPr>
        <w:t>”)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8"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payments in respect of Obligations owing by any Foreign Subsidiary Borrower shall be utilized to satisfy any Obligations owing by the Company or any Domestic Subsidiary Borrower.</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w:t>
      </w:r>
    </w:p>
    <w:p>
      <w:pPr>
        <w:spacing w:after="0" w:line="224" w:lineRule="exact"/>
        <w:rPr>
          <w:sz w:val="20"/>
          <w:szCs w:val="20"/>
          <w:color w:val="auto"/>
        </w:rPr>
      </w:pPr>
    </w:p>
    <w:p>
      <w:pPr>
        <w:ind w:left="120" w:right="20" w:firstLine="998"/>
        <w:spacing w:after="0" w:line="278" w:lineRule="auto"/>
        <w:tabs>
          <w:tab w:leader="none" w:pos="135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1" w:lineRule="exact"/>
        <w:rPr>
          <w:rFonts w:ascii="Arial" w:cs="Arial" w:eastAsia="Arial" w:hAnsi="Arial"/>
          <w:sz w:val="17"/>
          <w:szCs w:val="17"/>
          <w:color w:val="auto"/>
        </w:rPr>
      </w:pPr>
    </w:p>
    <w:p>
      <w:pPr>
        <w:ind w:left="120" w:firstLine="998"/>
        <w:spacing w:after="0" w:line="284" w:lineRule="auto"/>
        <w:tabs>
          <w:tab w:leader="none" w:pos="136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that is an Electronic Signature transmitted by telecopy, emailed pdf. or any other electronic means that reproduces an image of the actual executed signature page shall be effective as delivery of a manually executed counterpart of this Agreement, such other Loan Documents or such Ancillary,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8"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any Issuing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82" w:lineRule="exact"/>
        <w:rPr>
          <w:sz w:val="20"/>
          <w:szCs w:val="20"/>
          <w:color w:val="auto"/>
        </w:rPr>
      </w:pPr>
    </w:p>
    <w:p>
      <w:pPr>
        <w:ind w:left="120" w:right="120" w:firstLine="989"/>
        <w:spacing w:after="0" w:line="285"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left="120" w:right="40" w:firstLine="989"/>
        <w:spacing w:after="0" w:line="278"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(other than agreements between any Borrower and any Issuing Lender contemplated by this Agreement).</w:t>
      </w:r>
    </w:p>
    <w:p>
      <w:pPr>
        <w:spacing w:after="0" w:line="172" w:lineRule="exact"/>
        <w:rPr>
          <w:sz w:val="20"/>
          <w:szCs w:val="20"/>
          <w:color w:val="auto"/>
        </w:rPr>
      </w:pPr>
    </w:p>
    <w:p>
      <w:pPr>
        <w:ind w:left="120" w:right="240" w:firstLine="989"/>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vii) Each of the Administrative Agent, the Lenders, the Issuing Lenders, the Company, each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Subsidiary Borrower and each other Loan Party hereby irrevocably and unconditionally:</w:t>
      </w:r>
    </w:p>
    <w:p>
      <w:pPr>
        <w:spacing w:after="0" w:line="102" w:lineRule="exact"/>
        <w:rPr>
          <w:sz w:val="20"/>
          <w:szCs w:val="20"/>
          <w:color w:val="auto"/>
        </w:rPr>
      </w:pPr>
    </w:p>
    <w:p>
      <w:pPr>
        <w:jc w:val="both"/>
        <w:ind w:left="560" w:right="100" w:firstLine="430"/>
        <w:spacing w:after="0" w:line="258" w:lineRule="auto"/>
        <w:tabs>
          <w:tab w:leader="none" w:pos="120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80" w:lineRule="exact"/>
        <w:rPr>
          <w:sz w:val="20"/>
          <w:szCs w:val="20"/>
          <w:color w:val="auto"/>
        </w:rPr>
      </w:pPr>
    </w:p>
    <w:p>
      <w:pPr>
        <w:ind w:left="560" w:firstLine="430"/>
        <w:spacing w:after="0" w:line="263" w:lineRule="auto"/>
        <w:tabs>
          <w:tab w:leader="none" w:pos="126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4" w:lineRule="exact"/>
        <w:rPr>
          <w:sz w:val="20"/>
          <w:szCs w:val="20"/>
          <w:color w:val="auto"/>
        </w:rPr>
      </w:pPr>
    </w:p>
    <w:p>
      <w:pPr>
        <w:ind w:left="560" w:right="520" w:firstLine="430"/>
        <w:spacing w:after="0" w:line="276" w:lineRule="auto"/>
        <w:tabs>
          <w:tab w:leader="none" w:pos="13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firstLine="998"/>
        <w:spacing w:after="0" w:line="287" w:lineRule="auto"/>
        <w:tabs>
          <w:tab w:leader="none" w:pos="136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70" w:lineRule="exact"/>
        <w:rPr>
          <w:rFonts w:ascii="Arial" w:cs="Arial" w:eastAsia="Arial" w:hAnsi="Arial"/>
          <w:sz w:val="16"/>
          <w:szCs w:val="16"/>
          <w:color w:val="auto"/>
        </w:rPr>
      </w:pPr>
    </w:p>
    <w:p>
      <w:pPr>
        <w:ind w:left="120" w:right="80" w:firstLine="998"/>
        <w:spacing w:after="0" w:line="256" w:lineRule="auto"/>
        <w:tabs>
          <w:tab w:leader="none" w:pos="13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9" w:lineRule="exact"/>
        <w:rPr>
          <w:sz w:val="20"/>
          <w:szCs w:val="20"/>
          <w:color w:val="auto"/>
        </w:rPr>
      </w:pPr>
    </w:p>
    <w:p>
      <w:pPr>
        <w:ind w:left="120" w:right="40" w:firstLine="989"/>
        <w:spacing w:after="0" w:line="288"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Judgment</w:t>
      </w:r>
      <w:r>
        <w:rPr>
          <w:rFonts w:ascii="Arial" w:cs="Arial" w:eastAsia="Arial" w:hAnsi="Arial"/>
          <w:sz w:val="16"/>
          <w:szCs w:val="16"/>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the currency in which the sum originally due to such party is denominated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and Facility Fees payable hereunder or under any other Loan Document.</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224" w:lineRule="exact"/>
        <w:rPr>
          <w:sz w:val="20"/>
          <w:szCs w:val="20"/>
          <w:color w:val="auto"/>
        </w:rPr>
      </w:pPr>
    </w:p>
    <w:p>
      <w:pPr>
        <w:ind w:left="1360" w:hanging="242"/>
        <w:spacing w:after="0"/>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35" w:lineRule="exact"/>
        <w:rPr>
          <w:rFonts w:ascii="Arial" w:cs="Arial" w:eastAsia="Arial" w:hAnsi="Arial"/>
          <w:sz w:val="17"/>
          <w:szCs w:val="17"/>
          <w:color w:val="auto"/>
        </w:rPr>
      </w:pPr>
    </w:p>
    <w:p>
      <w:pPr>
        <w:ind w:left="120" w:firstLine="998"/>
        <w:spacing w:after="0" w:line="311" w:lineRule="auto"/>
        <w:tabs>
          <w:tab w:leader="none" w:pos="136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46" w:lineRule="exact"/>
        <w:rPr>
          <w:rFonts w:ascii="Arial" w:cs="Arial" w:eastAsia="Arial" w:hAnsi="Arial"/>
          <w:sz w:val="16"/>
          <w:szCs w:val="16"/>
          <w:color w:val="auto"/>
        </w:rPr>
      </w:pPr>
    </w:p>
    <w:p>
      <w:pPr>
        <w:ind w:left="120" w:right="480" w:firstLine="998"/>
        <w:spacing w:after="0" w:line="276" w:lineRule="auto"/>
        <w:tabs>
          <w:tab w:leader="none" w:pos="135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8"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 xml:space="preserve"> .</w:t>
      </w:r>
    </w:p>
    <w:p>
      <w:pPr>
        <w:spacing w:after="0" w:line="224" w:lineRule="exact"/>
        <w:rPr>
          <w:sz w:val="20"/>
          <w:szCs w:val="20"/>
          <w:color w:val="auto"/>
        </w:rPr>
      </w:pPr>
    </w:p>
    <w:p>
      <w:pPr>
        <w:ind w:left="120" w:right="100" w:firstLine="998"/>
        <w:spacing w:after="0" w:line="273" w:lineRule="auto"/>
        <w:tabs>
          <w:tab w:leader="none" w:pos="135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the Administrative Agent is hereby irrevocably authorized by each Lender, each Ancillary Lender and each Issuing Lender (without requirement of notice to or consent of any Lender, any Ancillary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74" w:lineRule="exact"/>
        <w:rPr>
          <w:rFonts w:ascii="Arial" w:cs="Arial" w:eastAsia="Arial" w:hAnsi="Arial"/>
          <w:sz w:val="17"/>
          <w:szCs w:val="17"/>
          <w:color w:val="auto"/>
        </w:rPr>
      </w:pPr>
    </w:p>
    <w:p>
      <w:pPr>
        <w:ind w:left="120" w:firstLine="998"/>
        <w:spacing w:after="0" w:line="286" w:lineRule="auto"/>
        <w:tabs>
          <w:tab w:leader="none" w:pos="136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At such time as the Loans, the Reimbursement Obligations, Ancillary Facility Outstandings and interest and fees owing hereunder and under any other Loan Document and any Ancillary Facility Document shall have been paid in full, the Commitments and Ancillary Commitments have been terminated (unless otherwise agreed by the relevant Ancillary Lender)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 provided, however, that amounts under any Ancillary Facility Documents may remain outstanding and the Commitments thereunder may remain available with the consent of the applicable Ancillary Lender if cash collateral arrangements are made or other arrangements are made to the reasonable satisfaction of the applicable Ancillary Lender (which may take the form of an agreement for the relevant facilities to continue on a bilateral basis and not under the Loan Documents after such date) so long as,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w:t>
      </w:r>
    </w:p>
    <w:p>
      <w:pPr>
        <w:spacing w:after="0" w:line="170" w:lineRule="exact"/>
        <w:rPr>
          <w:rFonts w:ascii="Arial" w:cs="Arial" w:eastAsia="Arial" w:hAnsi="Arial"/>
          <w:sz w:val="16"/>
          <w:szCs w:val="16"/>
          <w:color w:val="auto"/>
        </w:rPr>
      </w:pPr>
    </w:p>
    <w:p>
      <w:pPr>
        <w:ind w:left="120" w:right="40" w:firstLine="998"/>
        <w:spacing w:after="0" w:line="255" w:lineRule="auto"/>
        <w:tabs>
          <w:tab w:leader="none" w:pos="13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and each Issuing Lender (without requirement of notice to or consent of any Lender or any Issuing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188" w:lineRule="exact"/>
        <w:rPr>
          <w:rFonts w:ascii="Arial" w:cs="Arial" w:eastAsia="Arial" w:hAnsi="Arial"/>
          <w:sz w:val="18"/>
          <w:szCs w:val="18"/>
          <w:color w:val="auto"/>
        </w:rPr>
      </w:pPr>
    </w:p>
    <w:p>
      <w:pPr>
        <w:ind w:left="120" w:right="360" w:firstLine="998"/>
        <w:spacing w:after="0" w:line="263" w:lineRule="auto"/>
        <w:tabs>
          <w:tab w:leader="none" w:pos="136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82" w:lineRule="exact"/>
        <w:rPr>
          <w:sz w:val="20"/>
          <w:szCs w:val="20"/>
          <w:color w:val="auto"/>
        </w:rPr>
      </w:pPr>
    </w:p>
    <w:p>
      <w:pPr>
        <w:ind w:left="120" w:right="140" w:firstLine="989"/>
        <w:spacing w:after="0" w:line="291"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each Issuing Lender, each Lender and each Transferee (each a “</w:t>
      </w:r>
      <w:r>
        <w:rPr>
          <w:rFonts w:ascii="Arial" w:cs="Arial" w:eastAsia="Arial" w:hAnsi="Arial"/>
          <w:sz w:val="16"/>
          <w:szCs w:val="16"/>
          <w:u w:val="single" w:color="auto"/>
          <w:color w:val="auto"/>
        </w:rPr>
        <w:t>Receiving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10.6(b) or</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w:t>
      </w:r>
    </w:p>
    <w:p>
      <w:pPr>
        <w:spacing w:after="0" w:line="3" w:lineRule="exact"/>
        <w:rPr>
          <w:sz w:val="20"/>
          <w:szCs w:val="20"/>
          <w:color w:val="auto"/>
        </w:rPr>
      </w:pPr>
    </w:p>
    <w:p>
      <w:pPr>
        <w:ind w:left="120" w:right="100" w:firstLine="9"/>
        <w:spacing w:after="0" w:line="268" w:lineRule="auto"/>
        <w:tabs>
          <w:tab w:leader="none" w:pos="37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Borrower.</w:t>
      </w:r>
    </w:p>
    <w:p>
      <w:pPr>
        <w:spacing w:after="0" w:line="182" w:lineRule="exact"/>
        <w:rPr>
          <w:sz w:val="20"/>
          <w:szCs w:val="20"/>
          <w:color w:val="auto"/>
        </w:rPr>
      </w:pPr>
    </w:p>
    <w:p>
      <w:pPr>
        <w:ind w:left="120" w:right="220" w:firstLine="989"/>
        <w:spacing w:after="0" w:line="258"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ISSUING LENDERS AND THE LENDERS HEREBY IRREVOCABLY AND UNCONDITIONALLY WAIVE TRIAL BY JURY IN ANY LEGAL ACTION OR PROCEEDING RELATING TO THIS AGREEMENT OR ANY OTHER LOAN DOCUMENT AND FOR ANY COUNTERCLAIM THEREIN.</w:t>
      </w:r>
    </w:p>
    <w:p>
      <w:pPr>
        <w:spacing w:after="0" w:line="187" w:lineRule="exact"/>
        <w:rPr>
          <w:sz w:val="20"/>
          <w:szCs w:val="20"/>
          <w:color w:val="auto"/>
        </w:rPr>
      </w:pPr>
    </w:p>
    <w:p>
      <w:pPr>
        <w:ind w:left="120" w:firstLine="989"/>
        <w:spacing w:after="0" w:line="296"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 and the Beneficial Ownership Regulation</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58" w:lineRule="exact"/>
        <w:rPr>
          <w:sz w:val="20"/>
          <w:szCs w:val="20"/>
          <w:color w:val="auto"/>
        </w:rPr>
      </w:pPr>
    </w:p>
    <w:p>
      <w:pPr>
        <w:ind w:left="120" w:right="40" w:firstLine="989"/>
        <w:spacing w:after="0" w:line="291" w:lineRule="auto"/>
        <w:rPr>
          <w:sz w:val="20"/>
          <w:szCs w:val="20"/>
          <w:color w:val="auto"/>
        </w:rPr>
      </w:pPr>
      <w:r>
        <w:rPr>
          <w:rFonts w:ascii="Arial" w:cs="Arial" w:eastAsia="Arial" w:hAnsi="Arial"/>
          <w:sz w:val="16"/>
          <w:szCs w:val="16"/>
          <w:color w:val="auto"/>
        </w:rPr>
        <w:t xml:space="preserve">10.19 </w:t>
      </w:r>
      <w:r>
        <w:rPr>
          <w:rFonts w:ascii="Arial" w:cs="Arial" w:eastAsia="Arial" w:hAnsi="Arial"/>
          <w:sz w:val="16"/>
          <w:szCs w:val="16"/>
          <w:u w:val="single" w:color="auto"/>
          <w:color w:val="auto"/>
        </w:rPr>
        <w:t>No Novation</w:t>
      </w:r>
      <w:r>
        <w:rPr>
          <w:rFonts w:ascii="Arial" w:cs="Arial" w:eastAsia="Arial" w:hAnsi="Arial"/>
          <w:sz w:val="16"/>
          <w:szCs w:val="16"/>
          <w:color w:val="auto"/>
        </w:rPr>
        <w:t>. The terms and conditions of the Existing Three Year Credit Agreement are amended as set forth in, and restated in their entirety and superseded by, this Agreement. Nothing in this Agreement shall be deemed to be a novation of any of the Obligations as defined in the Existing Three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Three Year Credit Agreement. From and after the Closing Date, each reference to the “Agreement”, “Credit Agreement” or other reference originally applicable to the Existing Three Year Credit Agreement contained in any Loan Document shall be a reference to this Agreement, as amended, supplemented, restated or otherwise modified from time to time.</w:t>
      </w:r>
    </w:p>
    <w:p>
      <w:pPr>
        <w:spacing w:after="0" w:line="162" w:lineRule="exact"/>
        <w:rPr>
          <w:sz w:val="20"/>
          <w:szCs w:val="20"/>
          <w:color w:val="auto"/>
        </w:rPr>
      </w:pPr>
    </w:p>
    <w:p>
      <w:pPr>
        <w:ind w:left="120" w:right="140" w:firstLine="989"/>
        <w:spacing w:after="0" w:line="258"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an Affected Financial Institution and agrees and consents to, and acknowledges and agrees to be bound by:</w:t>
      </w:r>
    </w:p>
    <w:p>
      <w:pPr>
        <w:spacing w:after="0" w:line="80" w:lineRule="exact"/>
        <w:rPr>
          <w:sz w:val="20"/>
          <w:szCs w:val="20"/>
          <w:color w:val="auto"/>
        </w:rPr>
      </w:pPr>
    </w:p>
    <w:p>
      <w:pPr>
        <w:ind w:left="120" w:right="560" w:firstLine="998"/>
        <w:spacing w:after="0" w:line="276" w:lineRule="auto"/>
        <w:tabs>
          <w:tab w:leader="none" w:pos="13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8"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380" w:hanging="262"/>
        <w:spacing w:after="0"/>
        <w:tabs>
          <w:tab w:leader="none" w:pos="13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6" w:lineRule="exact"/>
        <w:rPr>
          <w:rFonts w:ascii="Arial" w:cs="Arial" w:eastAsia="Arial" w:hAnsi="Arial"/>
          <w:sz w:val="18"/>
          <w:szCs w:val="18"/>
          <w:color w:val="auto"/>
        </w:rPr>
      </w:pPr>
    </w:p>
    <w:p>
      <w:pPr>
        <w:ind w:left="1220" w:hanging="230"/>
        <w:spacing w:after="0"/>
        <w:tabs>
          <w:tab w:leader="none" w:pos="1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6" w:lineRule="exact"/>
        <w:rPr>
          <w:sz w:val="20"/>
          <w:szCs w:val="20"/>
          <w:color w:val="auto"/>
        </w:rPr>
      </w:pPr>
    </w:p>
    <w:p>
      <w:pPr>
        <w:ind w:left="560" w:right="80" w:firstLine="430"/>
        <w:spacing w:after="0" w:line="311" w:lineRule="auto"/>
        <w:tabs>
          <w:tab w:leader="none" w:pos="126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9" w:lineRule="exact"/>
        <w:rPr>
          <w:sz w:val="20"/>
          <w:szCs w:val="20"/>
          <w:color w:val="auto"/>
        </w:rPr>
      </w:pPr>
    </w:p>
    <w:p>
      <w:pPr>
        <w:ind w:left="560" w:right="240" w:firstLine="430"/>
        <w:spacing w:after="0" w:line="276" w:lineRule="auto"/>
        <w:tabs>
          <w:tab w:leader="none" w:pos="13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otherwise, for Swap Agreements or any other agreement or instrument that is a QFC (such support “QFC Credit Support” and each such QFC a</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promulgated thereunder, the “U.S. Special Resolution Regimes”) in respect of such Supported QFC and QFC Credit Support (with the provisions below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applicable notwithstanding that the Loan Documents and any Supported QFC may in fact be stated to be governed by the laws of the State of New York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210" w:lineRule="exact"/>
        <w:rPr>
          <w:sz w:val="20"/>
          <w:szCs w:val="20"/>
          <w:color w:val="auto"/>
        </w:rPr>
      </w:pPr>
    </w:p>
    <w:p>
      <w:pPr>
        <w:ind w:left="120" w:firstLine="989"/>
        <w:spacing w:after="0" w:line="287" w:lineRule="auto"/>
        <w:rPr>
          <w:sz w:val="20"/>
          <w:szCs w:val="20"/>
          <w:color w:val="auto"/>
        </w:rPr>
      </w:pPr>
      <w:r>
        <w:rPr>
          <w:rFonts w:ascii="Arial" w:cs="Arial" w:eastAsia="Arial" w:hAnsi="Arial"/>
          <w:sz w:val="16"/>
          <w:szCs w:val="16"/>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8"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right="140" w:firstLine="989"/>
        <w:spacing w:after="0" w:line="28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by their proper and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of the day and year first above written.</w:t>
      </w:r>
    </w:p>
    <w:p>
      <w:pPr>
        <w:spacing w:after="0" w:line="19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Rakesh K. Gupta</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Vice President and Treasurer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GENERAL MOTORS FINANCIAL COMPANY, INC.</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Richard A. Gokenbach, Jr.</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Executive Vice President and Treasurer</w:t>
      </w:r>
    </w:p>
    <w:p>
      <w:pPr>
        <w:spacing w:after="0" w:line="200" w:lineRule="exact"/>
        <w:rPr>
          <w:sz w:val="20"/>
          <w:szCs w:val="20"/>
          <w:color w:val="auto"/>
        </w:rPr>
      </w:pP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[Signature Page to Fourth Amended and Restated 3-Year Revolving Credit Agreement]</w:t>
      </w:r>
    </w:p>
    <w:p>
      <w:pPr>
        <w:sectPr>
          <w:pgSz w:w="11900" w:h="16838" w:orient="portrait"/>
          <w:cols w:equalWidth="0" w:num="1">
            <w:col w:w="10720"/>
          </w:cols>
          <w:pgMar w:left="320" w:top="458" w:right="8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JPMORGAN CHASE BANK, N.A., as Administrative</w:t>
      </w:r>
    </w:p>
    <w:p>
      <w:pPr>
        <w:spacing w:after="0" w:line="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Agent and as Lender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Jonathan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Jonathan Bennett</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[Signature Page to Fourth Amended and Restated 3-Year Revolving Credit Agreement]</w:t>
      </w:r>
    </w:p>
    <w:p>
      <w:pPr>
        <w:sectPr>
          <w:pgSz w:w="11900" w:h="16838" w:orient="portrait"/>
          <w:cols w:equalWidth="0" w:num="1">
            <w:col w:w="10680"/>
          </w:cols>
          <w:pgMar w:left="320" w:top="458" w:right="8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[Agricultural Bank of China, Ltd. New York Branch], as</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Nelson Chou</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40"/>
              <w:spacing w:after="0" w:line="195" w:lineRule="exact"/>
              <w:rPr>
                <w:sz w:val="20"/>
                <w:szCs w:val="20"/>
                <w:color w:val="auto"/>
              </w:rPr>
            </w:pPr>
            <w:r>
              <w:rPr>
                <w:rFonts w:ascii="Arial" w:cs="Arial" w:eastAsia="Arial" w:hAnsi="Arial"/>
                <w:sz w:val="18"/>
                <w:szCs w:val="18"/>
                <w:color w:val="auto"/>
              </w:rPr>
              <w:t>Nelson Chou</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40"/>
              <w:spacing w:after="0"/>
              <w:rPr>
                <w:sz w:val="20"/>
                <w:szCs w:val="20"/>
                <w:color w:val="auto"/>
              </w:rPr>
            </w:pPr>
            <w:r>
              <w:rPr>
                <w:rFonts w:ascii="Arial" w:cs="Arial" w:eastAsia="Arial" w:hAnsi="Arial"/>
                <w:sz w:val="18"/>
                <w:szCs w:val="18"/>
                <w:color w:val="auto"/>
              </w:rPr>
              <w:t>SVP</w:t>
            </w:r>
          </w:p>
        </w:tc>
      </w:tr>
    </w:tbl>
    <w:p>
      <w:pPr>
        <w:sectPr>
          <w:pgSz w:w="11900" w:h="16838" w:orient="portrait"/>
          <w:cols w:equalWidth="0" w:num="1">
            <w:col w:w="11120"/>
          </w:cols>
          <w:pgMar w:left="320" w:top="458"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BANK OF AMERICA, N.A., as Lender</w:t>
      </w:r>
    </w:p>
    <w:p>
      <w:pPr>
        <w:spacing w:after="0" w:line="224"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Lukehart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40"/>
              <w:spacing w:after="0" w:line="195" w:lineRule="exact"/>
              <w:rPr>
                <w:sz w:val="20"/>
                <w:szCs w:val="20"/>
                <w:color w:val="auto"/>
              </w:rPr>
            </w:pPr>
            <w:r>
              <w:rPr>
                <w:rFonts w:ascii="Arial" w:cs="Arial" w:eastAsia="Arial" w:hAnsi="Arial"/>
                <w:sz w:val="18"/>
                <w:szCs w:val="18"/>
                <w:color w:val="auto"/>
              </w:rPr>
              <w:t>Brian Lukehart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BANCO BILBAO VIZCAYA ARGENTARIA, S.A. NEW</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YORK BRANCH, as Lender</w:t>
      </w:r>
    </w:p>
    <w:p>
      <w:pPr>
        <w:spacing w:after="0" w:line="210"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Crowley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40"/>
              <w:spacing w:after="0" w:line="195" w:lineRule="exact"/>
              <w:rPr>
                <w:sz w:val="20"/>
                <w:szCs w:val="20"/>
                <w:color w:val="auto"/>
              </w:rPr>
            </w:pPr>
            <w:r>
              <w:rPr>
                <w:rFonts w:ascii="Arial" w:cs="Arial" w:eastAsia="Arial" w:hAnsi="Arial"/>
                <w:sz w:val="18"/>
                <w:szCs w:val="18"/>
                <w:color w:val="auto"/>
              </w:rPr>
              <w:t>Brian Crowley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40"/>
              <w:spacing w:after="0"/>
              <w:rPr>
                <w:sz w:val="20"/>
                <w:szCs w:val="20"/>
                <w:color w:val="auto"/>
              </w:rPr>
            </w:pPr>
            <w:r>
              <w:rPr>
                <w:rFonts w:ascii="Arial" w:cs="Arial" w:eastAsia="Arial" w:hAnsi="Arial"/>
                <w:sz w:val="18"/>
                <w:szCs w:val="18"/>
                <w:color w:val="auto"/>
              </w:rPr>
              <w:t>Managing Director</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Miriam Trautmann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40"/>
              <w:spacing w:after="0" w:line="195" w:lineRule="exact"/>
              <w:rPr>
                <w:sz w:val="20"/>
                <w:szCs w:val="20"/>
                <w:color w:val="auto"/>
              </w:rPr>
            </w:pPr>
            <w:r>
              <w:rPr>
                <w:rFonts w:ascii="Arial" w:cs="Arial" w:eastAsia="Arial" w:hAnsi="Arial"/>
                <w:sz w:val="18"/>
                <w:szCs w:val="18"/>
                <w:color w:val="auto"/>
              </w:rPr>
              <w:t>Miriam Trautmann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120"/>
          </w:cols>
          <w:pgMar w:left="320" w:top="458"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BANK OF CHINA, NEW YORK BRANCH,</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 Lender</w:t>
      </w:r>
    </w:p>
    <w:p>
      <w:pPr>
        <w:spacing w:after="0" w:line="210"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Raymond Qiao</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40"/>
              <w:spacing w:after="0" w:line="195" w:lineRule="exact"/>
              <w:rPr>
                <w:sz w:val="20"/>
                <w:szCs w:val="20"/>
                <w:color w:val="auto"/>
              </w:rPr>
            </w:pPr>
            <w:r>
              <w:rPr>
                <w:rFonts w:ascii="Arial" w:cs="Arial" w:eastAsia="Arial" w:hAnsi="Arial"/>
                <w:sz w:val="18"/>
                <w:szCs w:val="18"/>
                <w:color w:val="auto"/>
              </w:rPr>
              <w:t>Raymond Qiao</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1120"/>
          </w:cols>
          <w:pgMar w:left="320" w:top="458"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The Bank of Nova Scotia, as Lender</w:t>
      </w:r>
    </w:p>
    <w:p>
      <w:pPr>
        <w:spacing w:after="0" w:line="224"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Michelle C. Phillips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40"/>
              <w:spacing w:after="0" w:line="195" w:lineRule="exact"/>
              <w:rPr>
                <w:sz w:val="20"/>
                <w:szCs w:val="20"/>
                <w:color w:val="auto"/>
              </w:rPr>
            </w:pPr>
            <w:r>
              <w:rPr>
                <w:rFonts w:ascii="Arial" w:cs="Arial" w:eastAsia="Arial" w:hAnsi="Arial"/>
                <w:sz w:val="18"/>
                <w:szCs w:val="18"/>
                <w:color w:val="auto"/>
              </w:rPr>
              <w:t>Michelle C. Phillips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120"/>
          </w:cols>
          <w:pgMar w:left="320" w:top="458"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BARCLAYS BANK PLC, as Lender</w:t>
      </w:r>
    </w:p>
    <w:p>
      <w:pPr>
        <w:spacing w:after="0" w:line="224"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Craig Malloy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40"/>
              <w:spacing w:after="0" w:line="195" w:lineRule="exact"/>
              <w:rPr>
                <w:sz w:val="20"/>
                <w:szCs w:val="20"/>
                <w:color w:val="auto"/>
              </w:rPr>
            </w:pPr>
            <w:r>
              <w:rPr>
                <w:rFonts w:ascii="Arial" w:cs="Arial" w:eastAsia="Arial" w:hAnsi="Arial"/>
                <w:sz w:val="18"/>
                <w:szCs w:val="18"/>
                <w:color w:val="auto"/>
              </w:rPr>
              <w:t>Craig Malloy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120"/>
          </w:cols>
          <w:pgMar w:left="320" w:top="458"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BNP Paribas, as Lender</w:t>
      </w:r>
    </w:p>
    <w:p>
      <w:pPr>
        <w:spacing w:after="0" w:line="236" w:lineRule="exact"/>
        <w:rPr>
          <w:sz w:val="20"/>
          <w:szCs w:val="20"/>
          <w:color w:val="auto"/>
        </w:rPr>
      </w:pPr>
    </w:p>
    <w:p>
      <w:pPr>
        <w:jc w:val="right"/>
        <w:ind w:right="1579"/>
        <w:spacing w:after="0"/>
        <w:rPr>
          <w:sz w:val="20"/>
          <w:szCs w:val="20"/>
          <w:color w:val="auto"/>
        </w:rPr>
      </w:pPr>
      <w:r>
        <w:rPr>
          <w:rFonts w:ascii="Arial" w:cs="Arial" w:eastAsia="Arial" w:hAnsi="Arial"/>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Name: Christopher Sked</w:t>
      </w:r>
    </w:p>
    <w:p>
      <w:pPr>
        <w:spacing w:after="0" w:line="32"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Title: Managing Director</w:t>
      </w:r>
    </w:p>
    <w:p>
      <w:pPr>
        <w:spacing w:after="0" w:line="24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21590</wp:posOffset>
            </wp:positionV>
            <wp:extent cx="259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14"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Name: Karim Remtoula</w:t>
      </w:r>
    </w:p>
    <w:p>
      <w:pPr>
        <w:spacing w:after="0" w:line="2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39"/>
          </w:cols>
          <w:pgMar w:left="320" w:top="458" w:right="1440"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CREDIT AGRICOLE CORPORATE AND INVESTMENT</w:t>
      </w:r>
    </w:p>
    <w:p>
      <w:pPr>
        <w:spacing w:after="0" w:line="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BANK, as Lender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Frederic Bambuck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Frederic Bambuck</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Executive Director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Thibault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Thibault Berger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040"/>
          </w:cols>
          <w:pgMar w:left="320" w:top="458"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China CITIC Bank International Limited, as Lender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Qing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Qing Hong</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Title: General Manager &amp; Branch Manager, New York</w:t>
      </w:r>
    </w:p>
    <w:p>
      <w:pPr>
        <w:spacing w:after="0" w:line="3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Branch</w:t>
      </w:r>
    </w:p>
    <w:p>
      <w:pPr>
        <w:sectPr>
          <w:pgSz w:w="11900" w:h="16838" w:orient="portrait"/>
          <w:cols w:equalWidth="0" w:num="1">
            <w:col w:w="10660"/>
          </w:cols>
          <w:pgMar w:left="320" w:top="458" w:right="9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CANADIAN IMPERIAL BANK OF COMMERCE, NEW</w:t>
      </w:r>
    </w:p>
    <w:p>
      <w:pPr>
        <w:spacing w:after="0" w:line="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YORK BRANCH, as Lender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Farhad Merali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Farhad Merali</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980"/>
          </w:cols>
          <w:pgMar w:left="320" w:top="458" w:right="5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Citizens Bank, N.A.,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Kristina Malcolm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Kristina Malcolm</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139"/>
          </w:cols>
          <w:pgMar w:left="320" w:top="458" w:right="1440"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Commerzbank AG, New York Branch,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Michael Ravelo</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Managing Director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Robert Sullivan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60"/>
          </w:cols>
          <w:pgMar w:left="320" w:top="458" w:right="1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DEUTSCHE BANK AG NEW YORK BRANCH, as Lender</w:t>
      </w:r>
    </w:p>
    <w:p>
      <w:pPr>
        <w:spacing w:after="0" w:line="236"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By: /s/ Ming K. Chu</w:t>
            </w:r>
          </w:p>
        </w:tc>
        <w:tc>
          <w:tcPr>
            <w:tcW w:w="27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81"/>
        </w:trPr>
        <w:tc>
          <w:tcPr>
            <w:tcW w:w="1640" w:type="dxa"/>
            <w:vAlign w:val="bottom"/>
            <w:gridSpan w:val="2"/>
          </w:tcPr>
          <w:p>
            <w:pPr>
              <w:spacing w:after="0" w:line="182" w:lineRule="exact"/>
              <w:rPr>
                <w:sz w:val="20"/>
                <w:szCs w:val="20"/>
                <w:color w:val="auto"/>
              </w:rPr>
            </w:pPr>
            <w:r>
              <w:rPr>
                <w:rFonts w:ascii="Arial" w:cs="Arial" w:eastAsia="Arial" w:hAnsi="Arial"/>
                <w:sz w:val="18"/>
                <w:szCs w:val="18"/>
                <w:color w:val="auto"/>
              </w:rPr>
              <w:t>Name: Ming K. Chu</w:t>
            </w:r>
          </w:p>
        </w:tc>
        <w:tc>
          <w:tcPr>
            <w:tcW w:w="2760" w:type="dxa"/>
            <w:vAlign w:val="bottom"/>
          </w:tcPr>
          <w:p>
            <w:pPr>
              <w:ind w:left="200"/>
              <w:spacing w:after="0" w:line="182" w:lineRule="exact"/>
              <w:rPr>
                <w:sz w:val="20"/>
                <w:szCs w:val="20"/>
                <w:color w:val="auto"/>
              </w:rPr>
            </w:pPr>
            <w:r>
              <w:rPr>
                <w:rFonts w:ascii="Arial" w:cs="Arial" w:eastAsia="Arial" w:hAnsi="Arial"/>
                <w:sz w:val="18"/>
                <w:szCs w:val="18"/>
                <w:color w:val="auto"/>
              </w:rPr>
              <w:t>ming.k.chu@db.com</w:t>
            </w: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2760" w:type="dxa"/>
            <w:vAlign w:val="bottom"/>
          </w:tcPr>
          <w:p>
            <w:pPr>
              <w:jc w:val="right"/>
              <w:ind w:right="1290"/>
              <w:spacing w:after="0"/>
              <w:rPr>
                <w:sz w:val="20"/>
                <w:szCs w:val="20"/>
                <w:color w:val="auto"/>
              </w:rPr>
            </w:pPr>
            <w:r>
              <w:rPr>
                <w:rFonts w:ascii="Arial" w:cs="Arial" w:eastAsia="Arial" w:hAnsi="Arial"/>
                <w:sz w:val="18"/>
                <w:szCs w:val="18"/>
                <w:color w:val="auto"/>
                <w:w w:val="98"/>
              </w:rPr>
              <w:t>+1-212-250-5451</w:t>
            </w:r>
          </w:p>
        </w:tc>
      </w:tr>
      <w:tr>
        <w:trPr>
          <w:trHeight w:val="458"/>
        </w:trPr>
        <w:tc>
          <w:tcPr>
            <w:tcW w:w="1640" w:type="dxa"/>
            <w:vAlign w:val="bottom"/>
            <w:gridSpan w:val="2"/>
          </w:tcPr>
          <w:p>
            <w:pPr>
              <w:spacing w:after="0"/>
              <w:rPr>
                <w:sz w:val="20"/>
                <w:szCs w:val="20"/>
                <w:color w:val="auto"/>
              </w:rPr>
            </w:pPr>
            <w:r>
              <w:rPr>
                <w:rFonts w:ascii="Arial" w:cs="Arial" w:eastAsia="Arial" w:hAnsi="Arial"/>
                <w:sz w:val="18"/>
                <w:szCs w:val="18"/>
                <w:color w:val="auto"/>
              </w:rPr>
              <w:t>By: /s/ Marko Lukin</w:t>
            </w:r>
          </w:p>
        </w:tc>
        <w:tc>
          <w:tcPr>
            <w:tcW w:w="27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81"/>
        </w:trPr>
        <w:tc>
          <w:tcPr>
            <w:tcW w:w="1640" w:type="dxa"/>
            <w:vAlign w:val="bottom"/>
            <w:gridSpan w:val="2"/>
          </w:tcPr>
          <w:p>
            <w:pPr>
              <w:spacing w:after="0" w:line="182" w:lineRule="exact"/>
              <w:rPr>
                <w:sz w:val="20"/>
                <w:szCs w:val="20"/>
                <w:color w:val="auto"/>
              </w:rPr>
            </w:pPr>
            <w:r>
              <w:rPr>
                <w:rFonts w:ascii="Arial" w:cs="Arial" w:eastAsia="Arial" w:hAnsi="Arial"/>
                <w:sz w:val="18"/>
                <w:szCs w:val="18"/>
                <w:color w:val="auto"/>
              </w:rPr>
              <w:t>Name: Marko Lukin</w:t>
            </w:r>
          </w:p>
        </w:tc>
        <w:tc>
          <w:tcPr>
            <w:tcW w:w="2760" w:type="dxa"/>
            <w:vAlign w:val="bottom"/>
          </w:tcPr>
          <w:p>
            <w:pPr>
              <w:ind w:left="200"/>
              <w:spacing w:after="0" w:line="182" w:lineRule="exact"/>
              <w:rPr>
                <w:sz w:val="20"/>
                <w:szCs w:val="20"/>
                <w:color w:val="auto"/>
              </w:rPr>
            </w:pPr>
            <w:r>
              <w:rPr>
                <w:rFonts w:ascii="Arial" w:cs="Arial" w:eastAsia="Arial" w:hAnsi="Arial"/>
                <w:sz w:val="18"/>
                <w:szCs w:val="18"/>
                <w:color w:val="auto"/>
              </w:rPr>
              <w:t>marko.lukin@db.com</w:t>
            </w: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2760" w:type="dxa"/>
            <w:vAlign w:val="bottom"/>
          </w:tcPr>
          <w:p>
            <w:pPr>
              <w:ind w:left="200"/>
              <w:spacing w:after="0"/>
              <w:rPr>
                <w:sz w:val="20"/>
                <w:szCs w:val="20"/>
                <w:color w:val="auto"/>
              </w:rPr>
            </w:pPr>
            <w:r>
              <w:rPr>
                <w:rFonts w:ascii="Arial" w:cs="Arial" w:eastAsia="Arial" w:hAnsi="Arial"/>
                <w:sz w:val="18"/>
                <w:szCs w:val="18"/>
                <w:color w:val="auto"/>
              </w:rPr>
              <w:t>+1-212-250-7283</w:t>
            </w:r>
          </w:p>
        </w:tc>
      </w:tr>
    </w:tbl>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Fifth Third Bank, N.A.,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Mike Gifford</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139"/>
          </w:cols>
          <w:pgMar w:left="320" w:top="458" w:right="1440"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First Abu Dhabi Bank USA, N.V.,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Pamela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Pamela Sigda</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Chief Financial Officer—USA</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Ora Helmholz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Ora Helmholz</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Chief Operating Officer—USA</w:t>
      </w:r>
    </w:p>
    <w:p>
      <w:pPr>
        <w:sectPr>
          <w:pgSz w:w="11900" w:h="16838" w:orient="portrait"/>
          <w:cols w:equalWidth="0" w:num="1">
            <w:col w:w="10139"/>
          </w:cols>
          <w:pgMar w:left="320" w:top="459" w:right="1440"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DBS Bank Ltd., as Lender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Josephine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Josephine Lim</w:t>
      </w:r>
    </w:p>
    <w:p>
      <w:pPr>
        <w:spacing w:after="0" w:line="9" w:lineRule="exact"/>
        <w:rPr>
          <w:sz w:val="20"/>
          <w:szCs w:val="20"/>
          <w:color w:val="auto"/>
        </w:rPr>
      </w:pPr>
    </w:p>
    <w:p>
      <w:pPr>
        <w:jc w:val="right"/>
        <w:ind w:right="1419"/>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139"/>
          </w:cols>
          <w:pgMar w:left="320" w:top="458" w:right="1440"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BANK OF MONTREAL, as Lender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Chris Clark</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139"/>
          </w:cols>
          <w:pgMar w:left="320" w:top="458" w:right="1440"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CITIBANK, N.A., as Lender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Susan Olsen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39"/>
          </w:cols>
          <w:pgMar w:left="320" w:top="458" w:right="1440"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GOLDMAN SACHS BANK USA, as Lender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Ryan Durkin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139"/>
          </w:cols>
          <w:pgMar w:left="320" w:top="459" w:right="1440"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ING Bank N. V., Dublin Branch,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Sean Hassett</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Ciaran Dunne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Ciaran Dunne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139"/>
          </w:cols>
          <w:pgMar w:left="320" w:top="458" w:right="144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Intesa Sanpaolo S.p.A.,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Jordan Schweon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Managing Director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Anne Culver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39"/>
          </w:cols>
          <w:pgMar w:left="320" w:top="458" w:right="1440"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Wells Fargo Bank, National Association,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Rich 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Rich Zell</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400"/>
          </w:cols>
          <w:pgMar w:left="320" w:top="458" w:right="11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Lloyds Bank Corporate Markets plc,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Kamala Basdeo</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Assistant Vice President</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Tina Wong</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Assistant Vice President</w:t>
      </w:r>
    </w:p>
    <w:p>
      <w:pPr>
        <w:sectPr>
          <w:pgSz w:w="11900" w:h="16838" w:orient="portrait"/>
          <w:cols w:equalWidth="0" w:num="1">
            <w:col w:w="10139"/>
          </w:cols>
          <w:pgMar w:left="320" w:top="458" w:right="1440"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Mashreqbank psc, as Lender</w:t>
      </w:r>
    </w:p>
    <w:p>
      <w:pPr>
        <w:spacing w:after="0" w:line="25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Faizan A. Siddiqui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Faizan A. Siddiqui</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General Manager</w:t>
      </w:r>
    </w:p>
    <w:p>
      <w:pPr>
        <w:sectPr>
          <w:pgSz w:w="11900" w:h="16838" w:orient="portrait"/>
          <w:cols w:equalWidth="0" w:num="1">
            <w:col w:w="10139"/>
          </w:cols>
          <w:pgMar w:left="320" w:top="458" w:right="1440"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MIZUHO BANK, LTD., as Lender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Donna DeMagistris</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139"/>
          </w:cols>
          <w:pgMar w:left="320" w:top="458" w:right="1440"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MUFG Bank, Ltd.,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John Margetanski</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139"/>
          </w:cols>
          <w:pgMar w:left="320" w:top="458" w:right="1440"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Morgan Stanley Bank, N.A.,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Michael King</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139"/>
          </w:cols>
          <w:pgMar w:left="320" w:top="459" w:right="144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Morgan Stanley Senior Funding, Inc.,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Michael King</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200"/>
          </w:cols>
          <w:pgMar w:left="320" w:top="459" w:right="13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Royal Bank of Canada,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Benjamin Lennon</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139"/>
          </w:cols>
          <w:pgMar w:left="320" w:top="459" w:right="1440"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Santander Bank, N.A.,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Xavi Ruiz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Xavi Ruiz Sena</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139"/>
          </w:cols>
          <w:pgMar w:left="32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SOCIETE GENERALE,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John Hogan</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139"/>
          </w:cols>
          <w:pgMar w:left="320" w:top="459" w:right="1440"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Bangkok Bank Public Company Limited,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Thitipong Prasertsilp</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Vice President &amp; Branch Manager</w:t>
      </w:r>
    </w:p>
    <w:p>
      <w:pPr>
        <w:sectPr>
          <w:pgSz w:w="11900" w:h="16838" w:orient="portrait"/>
          <w:cols w:equalWidth="0" w:num="1">
            <w:col w:w="10460"/>
          </w:cols>
          <w:pgMar w:left="320" w:top="458" w:right="11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INDUSTRIAL AND COMMERCIAL BANK OF CHINA</w:t>
      </w:r>
    </w:p>
    <w:p>
      <w:pPr>
        <w:spacing w:after="0" w:line="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LIITED, NEW YORK BRANCH, as Lender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Christine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Christine Cai</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Vice President</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Pinyen Shih</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940"/>
          </w:cols>
          <w:pgMar w:left="320" w:top="459" w:right="6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State Street Bank and Trust, as Lender</w:t>
      </w:r>
    </w:p>
    <w:p>
      <w:pPr>
        <w:spacing w:after="0" w:line="25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Timothy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Timothy Cronin</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39"/>
          </w:cols>
          <w:pgMar w:left="32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Sumitomo Mitsui Banking Corporation,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Michael Maguire</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340"/>
          </w:cols>
          <w:pgMar w:left="320" w:top="458" w:right="1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TRUIST BANK, as Lender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Andrew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Andrew Johnson</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139"/>
          </w:cols>
          <w:pgMar w:left="320" w:top="459" w:right="1440"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The Toronto-Dominion Bank, New York Branch,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Brian MacFarlane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Brian MacFarlane</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1020"/>
          </w:cols>
          <w:pgMar w:left="320" w:top="459" w:right="5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UNICREDIT BANK AG, NEW YORK BRANCH, as</w:t>
      </w:r>
    </w:p>
    <w:p>
      <w:pPr>
        <w:spacing w:after="0" w:line="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Edward Herko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Edward Herko</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5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Thomas Petz</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640"/>
          </w:cols>
          <w:pgMar w:left="320" w:top="459" w:right="9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United Overseas Bank Limited, New York Agency, as</w:t>
      </w:r>
    </w:p>
    <w:p>
      <w:pPr>
        <w:spacing w:after="0" w:line="4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Eriberto de Guzman</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Managing Director</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Brian 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Brian Ike</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First Vice President</w:t>
      </w:r>
    </w:p>
    <w:p>
      <w:pPr>
        <w:sectPr>
          <w:pgSz w:w="11900" w:h="16838" w:orient="portrait"/>
          <w:cols w:equalWidth="0" w:num="1">
            <w:col w:w="10620"/>
          </w:cols>
          <w:pgMar w:left="320" w:top="459" w:right="9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U.S. Bank National Association, as Lender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Jeffrey S. Johnson</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139"/>
          </w:cols>
          <w:pgMar w:left="320" w:top="459" w:right="1440"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SCHEDULE 1.1A</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452"/>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Credit Agreement</w:t>
            </w:r>
          </w:p>
        </w:tc>
        <w:tc>
          <w:tcPr>
            <w:tcW w:w="0" w:type="dxa"/>
            <w:vAlign w:val="bottom"/>
          </w:tcPr>
          <w:p>
            <w:pPr>
              <w:spacing w:after="0"/>
              <w:rPr>
                <w:sz w:val="1"/>
                <w:szCs w:val="1"/>
                <w:color w:val="auto"/>
              </w:rPr>
            </w:pPr>
          </w:p>
        </w:tc>
      </w:tr>
      <w:tr>
        <w:trPr>
          <w:trHeight w:val="390"/>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Domestic Commitment</w:t>
            </w:r>
          </w:p>
        </w:tc>
        <w:tc>
          <w:tcPr>
            <w:tcW w:w="50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Street Bank and Trust Company</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gridSpan w:val="3"/>
          </w:tcPr>
          <w:p>
            <w:pPr>
              <w:spacing w:after="0"/>
              <w:rPr>
                <w:sz w:val="20"/>
                <w:szCs w:val="20"/>
                <w:color w:val="auto"/>
              </w:rPr>
            </w:pPr>
            <w:r>
              <w:rPr>
                <w:rFonts w:ascii="Arial" w:cs="Arial" w:eastAsia="Arial" w:hAnsi="Arial"/>
                <w:sz w:val="18"/>
                <w:szCs w:val="18"/>
                <w:color w:val="auto"/>
              </w:rPr>
              <w:t>United Overseas Bank Limited, New York Agency</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Bangkok Bank Public Company Limited, New York Branch</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gridSpan w:val="3"/>
          </w:tcPr>
          <w:p>
            <w:pPr>
              <w:spacing w:after="0"/>
              <w:rPr>
                <w:sz w:val="20"/>
                <w:szCs w:val="20"/>
                <w:color w:val="auto"/>
              </w:rPr>
            </w:pPr>
            <w:r>
              <w:rPr>
                <w:rFonts w:ascii="Arial" w:cs="Arial" w:eastAsia="Arial" w:hAnsi="Arial"/>
                <w:sz w:val="18"/>
                <w:szCs w:val="18"/>
                <w:color w:val="auto"/>
              </w:rPr>
              <w:t>Mashreqbank psc</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Agricultural Bank of China Ltd., New York Branch</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86"/>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L/C Issuing Commitment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9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4900" w:type="dxa"/>
            <w:vAlign w:val="bottom"/>
            <w:vMerge w:val="restart"/>
          </w:tcPr>
          <w:p>
            <w:pPr>
              <w:spacing w:after="0"/>
              <w:rPr>
                <w:sz w:val="24"/>
                <w:szCs w:val="24"/>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Commitment</w:t>
            </w:r>
          </w:p>
        </w:tc>
        <w:tc>
          <w:tcPr>
            <w:tcW w:w="1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Scheme Reference</w:t>
            </w:r>
          </w:p>
        </w:tc>
        <w:tc>
          <w:tcPr>
            <w:tcW w:w="11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Tax Residence</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13/M/0268710/DTTP</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860" w:type="dxa"/>
            <w:vAlign w:val="bottom"/>
            <w:gridSpan w:val="3"/>
          </w:tcPr>
          <w:p>
            <w:pPr>
              <w:spacing w:after="0"/>
              <w:rPr>
                <w:sz w:val="20"/>
                <w:szCs w:val="20"/>
                <w:color w:val="auto"/>
              </w:rPr>
            </w:pPr>
            <w:r>
              <w:rPr>
                <w:rFonts w:ascii="Arial" w:cs="Arial" w:eastAsia="Arial" w:hAnsi="Arial"/>
                <w:sz w:val="18"/>
                <w:szCs w:val="18"/>
                <w:color w:val="auto"/>
              </w:rPr>
              <w:t>Citibank, N.A.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13/C/62301/DTTP</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5/B/255139/DTTP</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6860" w:type="dxa"/>
            <w:vAlign w:val="bottom"/>
            <w:gridSpan w:val="3"/>
          </w:tcPr>
          <w:p>
            <w:pPr>
              <w:spacing w:after="0"/>
              <w:rPr>
                <w:sz w:val="20"/>
                <w:szCs w:val="20"/>
                <w:color w:val="auto"/>
              </w:rPr>
            </w:pPr>
            <w:r>
              <w:rPr>
                <w:rFonts w:ascii="Arial" w:cs="Arial" w:eastAsia="Arial" w:hAnsi="Arial"/>
                <w:sz w:val="18"/>
                <w:szCs w:val="18"/>
                <w:color w:val="auto"/>
              </w:rPr>
              <w:t>Bank of America, N.A.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13/B/7418/DTTP</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6860" w:type="dxa"/>
            <w:vAlign w:val="bottom"/>
            <w:gridSpan w:val="3"/>
          </w:tcPr>
          <w:p>
            <w:pPr>
              <w:spacing w:after="0"/>
              <w:rPr>
                <w:sz w:val="20"/>
                <w:szCs w:val="20"/>
                <w:color w:val="auto"/>
              </w:rPr>
            </w:pPr>
            <w:r>
              <w:rPr>
                <w:rFonts w:ascii="Arial" w:cs="Arial" w:eastAsia="Arial" w:hAnsi="Arial"/>
                <w:sz w:val="18"/>
                <w:szCs w:val="18"/>
                <w:color w:val="auto"/>
              </w:rPr>
              <w:t>Deutsche Bank AG New York Branch</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07/D/70006/DTTP</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3/C/80001/DTTP</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8"/>
                <w:szCs w:val="18"/>
                <w:color w:val="auto"/>
              </w:rPr>
              <w:t>Credit Agricole Corporate and Investment Bank</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5/C/0222082/DTTP</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Agreement Schedule 1.1A</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L/C Tranche Commitment</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Commitment</w:t>
            </w:r>
          </w:p>
        </w:tc>
        <w:tc>
          <w:tcPr>
            <w:tcW w:w="1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Scheme Reference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5"/>
              </w:rPr>
              <w:t>Jurisdiction of</w:t>
            </w:r>
          </w:p>
        </w:tc>
        <w:tc>
          <w:tcPr>
            <w:tcW w:w="0" w:type="dxa"/>
            <w:vAlign w:val="bottom"/>
          </w:tcPr>
          <w:p>
            <w:pPr>
              <w:spacing w:after="0"/>
              <w:rPr>
                <w:sz w:val="1"/>
                <w:szCs w:val="1"/>
                <w:color w:val="auto"/>
              </w:rPr>
            </w:pPr>
          </w:p>
        </w:tc>
      </w:tr>
      <w:tr>
        <w:trPr>
          <w:trHeight w:val="171"/>
        </w:trPr>
        <w:tc>
          <w:tcPr>
            <w:tcW w:w="69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1"/>
              </w:rPr>
              <w:t>Tax Residence</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13/M/0268710/DTTP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13/C/62301/DTTP</w:t>
            </w:r>
          </w:p>
        </w:tc>
        <w:tc>
          <w:tcPr>
            <w:tcW w:w="98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5/B/255139/DTTP</w:t>
            </w:r>
          </w:p>
        </w:tc>
        <w:tc>
          <w:tcPr>
            <w:tcW w:w="98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07/D/70006/DTTP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13/B/7418/DTTP</w:t>
            </w:r>
          </w:p>
        </w:tc>
        <w:tc>
          <w:tcPr>
            <w:tcW w:w="98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3/C/80001/DTTP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Credit Agricole Corporate and Investment Bank</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5/C/0222082/DTTP</w:t>
            </w:r>
          </w:p>
        </w:tc>
        <w:tc>
          <w:tcPr>
            <w:tcW w:w="98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Commercial Bank of China Limited, New York Branch</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23/I/358686/DTTP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Multicurrency Commitment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1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Lender</w:t>
            </w:r>
          </w:p>
        </w:tc>
        <w:tc>
          <w:tcPr>
            <w:tcW w:w="4780" w:type="dxa"/>
            <w:vAlign w:val="bottom"/>
            <w:vMerge w:val="restart"/>
          </w:tcPr>
          <w:p>
            <w:pPr>
              <w:spacing w:after="0"/>
              <w:rPr>
                <w:sz w:val="24"/>
                <w:szCs w:val="24"/>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Commitment</w:t>
            </w:r>
          </w:p>
        </w:tc>
        <w:tc>
          <w:tcPr>
            <w:tcW w:w="1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Scheme Reference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5"/>
              </w:rPr>
              <w:t>Jurisdiction of</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47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1"/>
              </w:rPr>
              <w:t>Tax Residence</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9/B/75354/DTTP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13/G/0351779/DTTP</w:t>
            </w:r>
          </w:p>
        </w:tc>
        <w:tc>
          <w:tcPr>
            <w:tcW w:w="98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Bank Corporate Markets plc</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Mizuho Bank, Ltd.</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43/M/274822/DTTP</w:t>
            </w:r>
          </w:p>
        </w:tc>
        <w:tc>
          <w:tcPr>
            <w:tcW w:w="98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Senior Funding, Inc.</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13/M/307216/DTTP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13/M/307216/DTTP</w:t>
            </w:r>
          </w:p>
        </w:tc>
        <w:tc>
          <w:tcPr>
            <w:tcW w:w="98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3/R/70780/DTTP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8"/>
                <w:szCs w:val="18"/>
                <w:color w:val="auto"/>
              </w:rPr>
              <w:t>Societe Generale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5/S/70085/DTTP</w:t>
            </w:r>
          </w:p>
        </w:tc>
        <w:tc>
          <w:tcPr>
            <w:tcW w:w="98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43/S/274647/DTTP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431"/>
        </w:trPr>
        <w:tc>
          <w:tcPr>
            <w:tcW w:w="6960" w:type="dxa"/>
            <w:vAlign w:val="bottom"/>
            <w:gridSpan w:val="2"/>
          </w:tcPr>
          <w:p>
            <w:pPr>
              <w:spacing w:after="0"/>
              <w:rPr>
                <w:sz w:val="20"/>
                <w:szCs w:val="20"/>
                <w:color w:val="auto"/>
              </w:rPr>
            </w:pPr>
            <w:r>
              <w:rPr>
                <w:rFonts w:ascii="Arial" w:cs="Arial" w:eastAsia="Arial" w:hAnsi="Arial"/>
                <w:sz w:val="18"/>
                <w:szCs w:val="18"/>
                <w:color w:val="auto"/>
              </w:rPr>
              <w:t>Credit Agreement Schedule 1.1A</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9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Commitment</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Scheme Reference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9"/>
              </w:rPr>
              <w:t>Jurisdiction of</w:t>
            </w:r>
          </w:p>
        </w:tc>
        <w:tc>
          <w:tcPr>
            <w:tcW w:w="0" w:type="dxa"/>
            <w:vAlign w:val="bottom"/>
          </w:tcPr>
          <w:p>
            <w:pPr>
              <w:spacing w:after="0"/>
              <w:rPr>
                <w:sz w:val="1"/>
                <w:szCs w:val="1"/>
                <w:color w:val="auto"/>
              </w:rPr>
            </w:pPr>
          </w:p>
        </w:tc>
      </w:tr>
      <w:tr>
        <w:trPr>
          <w:trHeight w:val="171"/>
        </w:trPr>
        <w:tc>
          <w:tcPr>
            <w:tcW w:w="594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5"/>
              </w:rPr>
              <w:t>Tax Residence</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1940" w:type="dxa"/>
            <w:vAlign w:val="bottom"/>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003/T/0366714/DTTP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The Toronto-Dominion Bank, New York Branch</w:t>
            </w:r>
          </w:p>
        </w:tc>
        <w:tc>
          <w:tcPr>
            <w:tcW w:w="19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3/T/80000/DTTP</w:t>
            </w:r>
          </w:p>
        </w:tc>
        <w:tc>
          <w:tcPr>
            <w:tcW w:w="102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Intesa Sanpaolo S.p.A.—New York Branch</w:t>
            </w:r>
          </w:p>
        </w:tc>
        <w:tc>
          <w:tcPr>
            <w:tcW w:w="1940" w:type="dxa"/>
            <w:vAlign w:val="bottom"/>
            <w:shd w:val="clear" w:color="auto" w:fill="CCEEFF"/>
          </w:tcPr>
          <w:p>
            <w:pPr>
              <w:jc w:val="right"/>
              <w:ind w:right="109"/>
              <w:spacing w:after="0" w:line="201" w:lineRule="exact"/>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N/A (with respect to</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Intesa Sanpaolo S.p.A.,</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London Branch as</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applicable lending office)</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UniCredit Bank AG, New York Branch</w:t>
            </w:r>
          </w:p>
        </w:tc>
        <w:tc>
          <w:tcPr>
            <w:tcW w:w="19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7/U/237605/DTTP</w:t>
            </w:r>
          </w:p>
        </w:tc>
        <w:tc>
          <w:tcPr>
            <w:tcW w:w="102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DBS Bank Ltd.</w:t>
            </w:r>
          </w:p>
        </w:tc>
        <w:tc>
          <w:tcPr>
            <w:tcW w:w="1940" w:type="dxa"/>
            <w:vAlign w:val="bottom"/>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67/D/363894/DTTP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19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13/U/62184/DTTP</w:t>
            </w:r>
          </w:p>
        </w:tc>
        <w:tc>
          <w:tcPr>
            <w:tcW w:w="10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Bank of China New York Branch</w:t>
            </w:r>
          </w:p>
        </w:tc>
        <w:tc>
          <w:tcPr>
            <w:tcW w:w="1940" w:type="dxa"/>
            <w:vAlign w:val="bottom"/>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23/B/368424/DTTP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Bank of Montreal, Chicago Branch</w:t>
            </w:r>
          </w:p>
        </w:tc>
        <w:tc>
          <w:tcPr>
            <w:tcW w:w="19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3/M/270436/DTTP</w:t>
            </w:r>
          </w:p>
        </w:tc>
        <w:tc>
          <w:tcPr>
            <w:tcW w:w="102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Santander Bank, N.A.</w:t>
            </w:r>
          </w:p>
        </w:tc>
        <w:tc>
          <w:tcPr>
            <w:tcW w:w="1940" w:type="dxa"/>
            <w:vAlign w:val="bottom"/>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9/S/267974/DTTP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MUFG Bank, Ltd.</w:t>
            </w:r>
          </w:p>
        </w:tc>
        <w:tc>
          <w:tcPr>
            <w:tcW w:w="1940" w:type="dxa"/>
            <w:vAlign w:val="bottom"/>
          </w:tcPr>
          <w:p>
            <w:pPr>
              <w:jc w:val="right"/>
              <w:ind w:right="109"/>
              <w:spacing w:after="0" w:line="229" w:lineRule="exact"/>
              <w:rPr>
                <w:sz w:val="20"/>
                <w:szCs w:val="20"/>
                <w:color w:val="auto"/>
              </w:rPr>
            </w:pPr>
            <w:r>
              <w:rPr>
                <w:rFonts w:ascii="Arial" w:cs="Arial" w:eastAsia="Arial" w:hAnsi="Arial"/>
                <w:sz w:val="20"/>
                <w:szCs w:val="20"/>
                <w:color w:val="auto"/>
              </w:rPr>
              <w:t>$[***]</w:t>
            </w:r>
          </w:p>
        </w:tc>
        <w:tc>
          <w:tcPr>
            <w:tcW w:w="2100" w:type="dxa"/>
            <w:vAlign w:val="bottom"/>
          </w:tcPr>
          <w:p>
            <w:pPr>
              <w:jc w:val="right"/>
              <w:spacing w:after="0" w:line="229" w:lineRule="exact"/>
              <w:rPr>
                <w:sz w:val="20"/>
                <w:szCs w:val="20"/>
                <w:color w:val="auto"/>
              </w:rPr>
            </w:pPr>
            <w:r>
              <w:rPr>
                <w:rFonts w:ascii="Arial" w:cs="Arial" w:eastAsia="Arial" w:hAnsi="Arial"/>
                <w:sz w:val="20"/>
                <w:szCs w:val="20"/>
                <w:color w:val="auto"/>
              </w:rPr>
              <w:t>43/B/322072/DTTP</w:t>
            </w: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Commercial Bank of China Limited, New York Branch</w:t>
            </w:r>
          </w:p>
        </w:tc>
        <w:tc>
          <w:tcPr>
            <w:tcW w:w="1940" w:type="dxa"/>
            <w:vAlign w:val="bottom"/>
            <w:shd w:val="clear" w:color="auto" w:fill="CCEEFF"/>
          </w:tcPr>
          <w:p>
            <w:pPr>
              <w:jc w:val="right"/>
              <w:ind w:right="109"/>
              <w:spacing w:after="0" w:line="229" w:lineRule="exact"/>
              <w:rPr>
                <w:sz w:val="20"/>
                <w:szCs w:val="20"/>
                <w:color w:val="auto"/>
              </w:rPr>
            </w:pPr>
            <w:r>
              <w:rPr>
                <w:rFonts w:ascii="Arial" w:cs="Arial" w:eastAsia="Arial" w:hAnsi="Arial"/>
                <w:sz w:val="20"/>
                <w:szCs w:val="20"/>
                <w:color w:val="auto"/>
              </w:rPr>
              <w:t>$[***]</w:t>
            </w:r>
          </w:p>
        </w:tc>
        <w:tc>
          <w:tcPr>
            <w:tcW w:w="2100" w:type="dxa"/>
            <w:vAlign w:val="bottom"/>
            <w:shd w:val="clear" w:color="auto" w:fill="CCEEFF"/>
          </w:tcPr>
          <w:p>
            <w:pPr>
              <w:jc w:val="right"/>
              <w:spacing w:after="0" w:line="229" w:lineRule="exact"/>
              <w:rPr>
                <w:sz w:val="20"/>
                <w:szCs w:val="20"/>
                <w:color w:val="auto"/>
              </w:rPr>
            </w:pPr>
            <w:r>
              <w:rPr>
                <w:rFonts w:ascii="Arial" w:cs="Arial" w:eastAsia="Arial" w:hAnsi="Arial"/>
                <w:sz w:val="20"/>
                <w:szCs w:val="20"/>
                <w:color w:val="auto"/>
              </w:rPr>
              <w:t>23/I/358686/DTTP</w:t>
            </w:r>
          </w:p>
        </w:tc>
        <w:tc>
          <w:tcPr>
            <w:tcW w:w="1020" w:type="dxa"/>
            <w:vAlign w:val="bottom"/>
            <w:shd w:val="clear" w:color="auto" w:fill="CCEEFF"/>
          </w:tcPr>
          <w:p>
            <w:pPr>
              <w:jc w:val="right"/>
              <w:spacing w:after="0" w:line="229" w:lineRule="exact"/>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Credit Agricole Corporate and Investment Bank</w:t>
            </w:r>
          </w:p>
        </w:tc>
        <w:tc>
          <w:tcPr>
            <w:tcW w:w="1940" w:type="dxa"/>
            <w:vAlign w:val="bottom"/>
          </w:tcPr>
          <w:p>
            <w:pPr>
              <w:jc w:val="right"/>
              <w:ind w:right="109"/>
              <w:spacing w:after="0" w:line="229" w:lineRule="exact"/>
              <w:rPr>
                <w:sz w:val="20"/>
                <w:szCs w:val="20"/>
                <w:color w:val="auto"/>
              </w:rPr>
            </w:pPr>
            <w:r>
              <w:rPr>
                <w:rFonts w:ascii="Arial" w:cs="Arial" w:eastAsia="Arial" w:hAnsi="Arial"/>
                <w:sz w:val="20"/>
                <w:szCs w:val="20"/>
                <w:color w:val="auto"/>
              </w:rPr>
              <w:t>$[***]</w:t>
            </w:r>
          </w:p>
        </w:tc>
        <w:tc>
          <w:tcPr>
            <w:tcW w:w="2100" w:type="dxa"/>
            <w:vAlign w:val="bottom"/>
          </w:tcPr>
          <w:p>
            <w:pPr>
              <w:jc w:val="right"/>
              <w:spacing w:after="0" w:line="229" w:lineRule="exact"/>
              <w:rPr>
                <w:sz w:val="20"/>
                <w:szCs w:val="20"/>
                <w:color w:val="auto"/>
              </w:rPr>
            </w:pPr>
            <w:r>
              <w:rPr>
                <w:rFonts w:ascii="Arial" w:cs="Arial" w:eastAsia="Arial" w:hAnsi="Arial"/>
                <w:sz w:val="20"/>
                <w:szCs w:val="20"/>
                <w:color w:val="auto"/>
              </w:rPr>
              <w:t>5/C/0222082/DTTP</w:t>
            </w: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Commerzbank AG New York Branch</w:t>
            </w:r>
          </w:p>
        </w:tc>
        <w:tc>
          <w:tcPr>
            <w:tcW w:w="1940" w:type="dxa"/>
            <w:vAlign w:val="bottom"/>
            <w:shd w:val="clear" w:color="auto" w:fill="CCEEFF"/>
          </w:tcPr>
          <w:p>
            <w:pPr>
              <w:jc w:val="right"/>
              <w:ind w:right="109"/>
              <w:spacing w:after="0" w:line="229" w:lineRule="exact"/>
              <w:rPr>
                <w:sz w:val="20"/>
                <w:szCs w:val="20"/>
                <w:color w:val="auto"/>
              </w:rPr>
            </w:pPr>
            <w:r>
              <w:rPr>
                <w:rFonts w:ascii="Arial" w:cs="Arial" w:eastAsia="Arial" w:hAnsi="Arial"/>
                <w:sz w:val="20"/>
                <w:szCs w:val="20"/>
                <w:color w:val="auto"/>
              </w:rPr>
              <w:t>$[***]</w:t>
            </w:r>
          </w:p>
        </w:tc>
        <w:tc>
          <w:tcPr>
            <w:tcW w:w="2100" w:type="dxa"/>
            <w:vAlign w:val="bottom"/>
            <w:shd w:val="clear" w:color="auto" w:fill="CCEEFF"/>
          </w:tcPr>
          <w:p>
            <w:pPr>
              <w:jc w:val="right"/>
              <w:spacing w:after="0" w:line="229" w:lineRule="exact"/>
              <w:rPr>
                <w:sz w:val="20"/>
                <w:szCs w:val="20"/>
                <w:color w:val="auto"/>
              </w:rPr>
            </w:pPr>
            <w:r>
              <w:rPr>
                <w:rFonts w:ascii="Arial" w:cs="Arial" w:eastAsia="Arial" w:hAnsi="Arial"/>
                <w:sz w:val="20"/>
                <w:szCs w:val="20"/>
                <w:color w:val="auto"/>
              </w:rPr>
              <w:t>7/C/25382/DTTP</w:t>
            </w:r>
          </w:p>
        </w:tc>
        <w:tc>
          <w:tcPr>
            <w:tcW w:w="1020" w:type="dxa"/>
            <w:vAlign w:val="bottom"/>
            <w:shd w:val="clear" w:color="auto" w:fill="CCEEFF"/>
          </w:tcPr>
          <w:p>
            <w:pPr>
              <w:jc w:val="right"/>
              <w:spacing w:after="0" w:line="229" w:lineRule="exact"/>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201"/>
        </w:trPr>
        <w:tc>
          <w:tcPr>
            <w:tcW w:w="5940" w:type="dxa"/>
            <w:vAlign w:val="bottom"/>
          </w:tcPr>
          <w:p>
            <w:pPr>
              <w:spacing w:after="0" w:line="201" w:lineRule="exact"/>
              <w:rPr>
                <w:sz w:val="20"/>
                <w:szCs w:val="20"/>
                <w:color w:val="auto"/>
              </w:rPr>
            </w:pPr>
            <w:r>
              <w:rPr>
                <w:rFonts w:ascii="Arial" w:cs="Arial" w:eastAsia="Arial" w:hAnsi="Arial"/>
                <w:sz w:val="18"/>
                <w:szCs w:val="18"/>
                <w:color w:val="auto"/>
              </w:rPr>
              <w:t>ING Bank N.V., Dublin Branch</w:t>
            </w:r>
          </w:p>
        </w:tc>
        <w:tc>
          <w:tcPr>
            <w:tcW w:w="1940" w:type="dxa"/>
            <w:vAlign w:val="bottom"/>
          </w:tcPr>
          <w:p>
            <w:pPr>
              <w:jc w:val="right"/>
              <w:ind w:right="109"/>
              <w:spacing w:after="0" w:line="201" w:lineRule="exact"/>
              <w:rPr>
                <w:sz w:val="20"/>
                <w:szCs w:val="20"/>
                <w:color w:val="auto"/>
              </w:rPr>
            </w:pPr>
            <w:r>
              <w:rPr>
                <w:rFonts w:ascii="Arial" w:cs="Arial" w:eastAsia="Arial" w:hAnsi="Arial"/>
                <w:sz w:val="18"/>
                <w:szCs w:val="18"/>
                <w:color w:val="auto"/>
              </w:rPr>
              <w:t>$[***]</w:t>
            </w:r>
          </w:p>
        </w:tc>
        <w:tc>
          <w:tcPr>
            <w:tcW w:w="2100" w:type="dxa"/>
            <w:vAlign w:val="bottom"/>
          </w:tcPr>
          <w:p>
            <w:pPr>
              <w:jc w:val="right"/>
              <w:spacing w:after="0" w:line="201" w:lineRule="exact"/>
              <w:rPr>
                <w:sz w:val="20"/>
                <w:szCs w:val="20"/>
                <w:color w:val="auto"/>
              </w:rPr>
            </w:pPr>
            <w:r>
              <w:rPr>
                <w:rFonts w:ascii="Arial" w:cs="Arial" w:eastAsia="Arial" w:hAnsi="Arial"/>
                <w:sz w:val="18"/>
                <w:szCs w:val="18"/>
                <w:color w:val="auto"/>
              </w:rPr>
              <w:t>12-I-371270-DTTP (with</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respect to ING Ireland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DAC as applicable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lending office)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1940" w:type="dxa"/>
            <w:vAlign w:val="bottom"/>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13/W/61173/DTTP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Citizens Bank, N.A.</w:t>
            </w:r>
          </w:p>
        </w:tc>
        <w:tc>
          <w:tcPr>
            <w:tcW w:w="19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13/C/356159/DTTP</w:t>
            </w:r>
          </w:p>
        </w:tc>
        <w:tc>
          <w:tcPr>
            <w:tcW w:w="10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Truist Bank</w:t>
            </w:r>
          </w:p>
        </w:tc>
        <w:tc>
          <w:tcPr>
            <w:tcW w:w="1940" w:type="dxa"/>
            <w:vAlign w:val="bottom"/>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13S/67712/DTTP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Fifth Third Bank</w:t>
            </w:r>
          </w:p>
        </w:tc>
        <w:tc>
          <w:tcPr>
            <w:tcW w:w="19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13/F/24267/DTTP</w:t>
            </w:r>
          </w:p>
        </w:tc>
        <w:tc>
          <w:tcPr>
            <w:tcW w:w="10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First Abu Dhabi Bank USA N.V.</w:t>
            </w:r>
          </w:p>
        </w:tc>
        <w:tc>
          <w:tcPr>
            <w:tcW w:w="1940" w:type="dxa"/>
            <w:vAlign w:val="bottom"/>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Curacao</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Bank of America, N.A.</w:t>
            </w:r>
          </w:p>
        </w:tc>
        <w:tc>
          <w:tcPr>
            <w:tcW w:w="19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13/B/7418/DTTP</w:t>
            </w:r>
          </w:p>
        </w:tc>
        <w:tc>
          <w:tcPr>
            <w:tcW w:w="10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417"/>
        </w:trPr>
        <w:tc>
          <w:tcPr>
            <w:tcW w:w="594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Commitment</w:t>
            </w:r>
          </w:p>
        </w:tc>
        <w:tc>
          <w:tcPr>
            <w:tcW w:w="1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Scheme Reference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5"/>
              </w:rPr>
              <w:t>Jurisdiction of</w:t>
            </w:r>
          </w:p>
        </w:tc>
        <w:tc>
          <w:tcPr>
            <w:tcW w:w="0" w:type="dxa"/>
            <w:vAlign w:val="bottom"/>
          </w:tcPr>
          <w:p>
            <w:pPr>
              <w:spacing w:after="0"/>
              <w:rPr>
                <w:sz w:val="1"/>
                <w:szCs w:val="1"/>
                <w:color w:val="auto"/>
              </w:rPr>
            </w:pPr>
          </w:p>
        </w:tc>
      </w:tr>
      <w:tr>
        <w:trPr>
          <w:trHeight w:val="171"/>
        </w:trPr>
        <w:tc>
          <w:tcPr>
            <w:tcW w:w="69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1"/>
              </w:rPr>
              <w:t>Tax Residence</w:t>
            </w:r>
          </w:p>
        </w:tc>
        <w:tc>
          <w:tcPr>
            <w:tcW w:w="0" w:type="dxa"/>
            <w:vAlign w:val="bottom"/>
          </w:tcPr>
          <w:p>
            <w:pPr>
              <w:spacing w:after="0"/>
              <w:rPr>
                <w:sz w:val="1"/>
                <w:szCs w:val="1"/>
                <w:color w:val="auto"/>
              </w:rPr>
            </w:pPr>
          </w:p>
        </w:tc>
      </w:tr>
      <w:tr>
        <w:trPr>
          <w:trHeight w:val="215"/>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8"/>
                <w:szCs w:val="18"/>
                <w:color w:val="auto"/>
              </w:rPr>
              <w:t>BNP Paribas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5/B/255139/DTTP</w:t>
            </w:r>
          </w:p>
        </w:tc>
        <w:tc>
          <w:tcPr>
            <w:tcW w:w="98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07/D/70006/DTTP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8"/>
                <w:szCs w:val="18"/>
                <w:color w:val="auto"/>
              </w:rPr>
              <w:t>JPMorgan Chase Bank, N.A.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13/M/0268710/DTTP</w:t>
            </w:r>
          </w:p>
        </w:tc>
        <w:tc>
          <w:tcPr>
            <w:tcW w:w="98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13/C/62301/DTTP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8"/>
                <w:szCs w:val="18"/>
                <w:color w:val="auto"/>
              </w:rPr>
              <w:t>Canadian Imperial Bank of Commerce, New York Branch</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3/C/80001/DTTP</w:t>
            </w:r>
          </w:p>
        </w:tc>
        <w:tc>
          <w:tcPr>
            <w:tcW w:w="98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China CITIC Bank International Limited</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US-NY</w:t>
            </w:r>
          </w:p>
        </w:tc>
        <w:tc>
          <w:tcPr>
            <w:tcW w:w="0" w:type="dxa"/>
            <w:vAlign w:val="bottom"/>
          </w:tcPr>
          <w:p>
            <w:pPr>
              <w:spacing w:after="0"/>
              <w:rPr>
                <w:sz w:val="1"/>
                <w:szCs w:val="1"/>
                <w:color w:val="auto"/>
              </w:rPr>
            </w:pPr>
          </w:p>
        </w:tc>
      </w:tr>
      <w:tr>
        <w:trPr>
          <w:trHeight w:val="227"/>
        </w:trPr>
        <w:tc>
          <w:tcPr>
            <w:tcW w:w="6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96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8"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SCHEDULE 1.1B</w:t>
            </w:r>
          </w:p>
        </w:tc>
      </w:tr>
      <w:tr>
        <w:trPr>
          <w:trHeight w:val="215"/>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ind w:left="1280"/>
              <w:spacing w:after="0"/>
              <w:rPr>
                <w:sz w:val="20"/>
                <w:szCs w:val="20"/>
                <w:color w:val="auto"/>
              </w:rPr>
            </w:pPr>
            <w:r>
              <w:rPr>
                <w:rFonts w:ascii="Arial" w:cs="Arial" w:eastAsia="Arial" w:hAnsi="Arial"/>
                <w:sz w:val="18"/>
                <w:szCs w:val="18"/>
                <w:color w:val="auto"/>
              </w:rPr>
              <w:t>to</w:t>
            </w:r>
          </w:p>
        </w:tc>
      </w:tr>
      <w:tr>
        <w:trPr>
          <w:trHeight w:val="230"/>
        </w:trPr>
        <w:tc>
          <w:tcPr>
            <w:tcW w:w="9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Credit Agreement</w:t>
            </w:r>
          </w:p>
        </w:tc>
      </w:tr>
      <w:tr>
        <w:trPr>
          <w:trHeight w:val="390"/>
        </w:trPr>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20" w:type="dxa"/>
            <w:vAlign w:val="bottom"/>
            <w:gridSpan w:val="4"/>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UBSIDIARIES</w:t>
            </w:r>
          </w:p>
        </w:tc>
      </w:tr>
      <w:tr>
        <w:trPr>
          <w:trHeight w:val="43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262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1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188"/>
        </w:trPr>
        <w:tc>
          <w:tcPr>
            <w:tcW w:w="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Cruise LLC</w:t>
            </w:r>
          </w:p>
        </w:tc>
        <w:tc>
          <w:tcPr>
            <w:tcW w:w="3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BrightDrop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BD Motors Solutions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BrightDrop Vehicle Distribution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Equip Insurance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OnStar Insurance Services, Inc.</w:t>
            </w:r>
          </w:p>
        </w:tc>
        <w:tc>
          <w:tcPr>
            <w:tcW w:w="2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9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r>
      <w:tr>
        <w:trPr>
          <w:trHeight w:val="431"/>
        </w:trPr>
        <w:tc>
          <w:tcPr>
            <w:tcW w:w="420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2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SCHEDULE 1.1C</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jc w:val="right"/>
              <w:ind w:right="462"/>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Credit Agreement</w:t>
            </w:r>
          </w:p>
        </w:tc>
        <w:tc>
          <w:tcPr>
            <w:tcW w:w="0" w:type="dxa"/>
            <w:vAlign w:val="bottom"/>
          </w:tcPr>
          <w:p>
            <w:pPr>
              <w:spacing w:after="0"/>
              <w:rPr>
                <w:sz w:val="1"/>
                <w:szCs w:val="1"/>
                <w:color w:val="auto"/>
              </w:rPr>
            </w:pPr>
          </w:p>
        </w:tc>
      </w:tr>
      <w:tr>
        <w:trPr>
          <w:trHeight w:val="390"/>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RID</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All-in</w:t>
            </w:r>
          </w:p>
        </w:tc>
        <w:tc>
          <w:tcPr>
            <w:tcW w:w="0" w:type="dxa"/>
            <w:vAlign w:val="bottom"/>
          </w:tcPr>
          <w:p>
            <w:pPr>
              <w:spacing w:after="0" w:line="20" w:lineRule="exact"/>
              <w:rPr>
                <w:sz w:val="1"/>
                <w:szCs w:val="1"/>
                <w:color w:val="auto"/>
              </w:rPr>
            </w:pPr>
          </w:p>
        </w:tc>
      </w:tr>
      <w:tr>
        <w:trPr>
          <w:trHeight w:val="388"/>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gridSpan w:val="3"/>
            <w:vMerge w:val="restart"/>
          </w:tcPr>
          <w:p>
            <w:pPr>
              <w:jc w:val="center"/>
              <w:ind w:right="1200"/>
              <w:spacing w:after="0"/>
              <w:rPr>
                <w:sz w:val="20"/>
                <w:szCs w:val="20"/>
                <w:color w:val="auto"/>
              </w:rPr>
            </w:pPr>
            <w:r>
              <w:rPr>
                <w:rFonts w:ascii="Arial" w:cs="Arial" w:eastAsia="Arial" w:hAnsi="Arial"/>
                <w:sz w:val="14"/>
                <w:szCs w:val="14"/>
                <w:b w:val="1"/>
                <w:bCs w:val="1"/>
                <w:color w:val="auto"/>
                <w:w w:val="96"/>
              </w:rPr>
              <w:t>Applicable Margin</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12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Spread for</w:t>
            </w:r>
          </w:p>
        </w:tc>
        <w:tc>
          <w:tcPr>
            <w:tcW w:w="0" w:type="dxa"/>
            <w:vAlign w:val="bottom"/>
          </w:tcPr>
          <w:p>
            <w:pPr>
              <w:spacing w:after="0"/>
              <w:rPr>
                <w:sz w:val="1"/>
                <w:szCs w:val="1"/>
                <w:color w:val="auto"/>
              </w:rPr>
            </w:pPr>
          </w:p>
        </w:tc>
      </w:tr>
      <w:tr>
        <w:trPr>
          <w:trHeight w:val="144"/>
        </w:trPr>
        <w:tc>
          <w:tcPr>
            <w:tcW w:w="3400" w:type="dxa"/>
            <w:vAlign w:val="bottom"/>
            <w:gridSpan w:val="2"/>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Facility Fee Rate</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60" w:type="dxa"/>
            <w:vAlign w:val="bottom"/>
            <w:gridSpan w:val="3"/>
          </w:tcPr>
          <w:p>
            <w:pPr>
              <w:jc w:val="center"/>
              <w:ind w:right="1200"/>
              <w:spacing w:after="0" w:line="144" w:lineRule="exact"/>
              <w:rPr>
                <w:sz w:val="20"/>
                <w:szCs w:val="20"/>
                <w:color w:val="auto"/>
              </w:rPr>
            </w:pPr>
            <w:r>
              <w:rPr>
                <w:rFonts w:ascii="Arial" w:cs="Arial" w:eastAsia="Arial" w:hAnsi="Arial"/>
                <w:sz w:val="14"/>
                <w:szCs w:val="14"/>
                <w:b w:val="1"/>
                <w:bCs w:val="1"/>
                <w:color w:val="auto"/>
                <w:w w:val="95"/>
              </w:rPr>
              <w:t>for Eurocurrency</w:t>
            </w: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Margin</w:t>
            </w:r>
          </w:p>
        </w:tc>
        <w:tc>
          <w:tcPr>
            <w:tcW w:w="1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Eurocurrency</w:t>
            </w:r>
          </w:p>
        </w:tc>
        <w:tc>
          <w:tcPr>
            <w:tcW w:w="0" w:type="dxa"/>
            <w:vAlign w:val="bottom"/>
          </w:tcPr>
          <w:p>
            <w:pPr>
              <w:spacing w:after="0"/>
              <w:rPr>
                <w:sz w:val="1"/>
                <w:szCs w:val="1"/>
                <w:color w:val="auto"/>
              </w:rPr>
            </w:pPr>
          </w:p>
        </w:tc>
      </w:tr>
      <w:tr>
        <w:trPr>
          <w:trHeight w:val="182"/>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Company’s Rating</w:t>
            </w:r>
          </w:p>
        </w:tc>
        <w:tc>
          <w:tcPr>
            <w:tcW w:w="2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6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2"/>
              </w:rPr>
              <w:t>Loans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for ABR Loans</w:t>
            </w:r>
          </w:p>
        </w:tc>
        <w:tc>
          <w:tcPr>
            <w:tcW w:w="1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02"/>
        </w:trPr>
        <w:tc>
          <w:tcPr>
            <w:tcW w:w="3400" w:type="dxa"/>
            <w:vAlign w:val="bottom"/>
            <w:tcBorders>
              <w:top w:val="single" w:sz="8" w:color="CCEEFF"/>
            </w:tcBorders>
            <w:gridSpan w:val="2"/>
            <w:shd w:val="clear" w:color="auto" w:fill="CCEEFF"/>
          </w:tcPr>
          <w:p>
            <w:pPr>
              <w:jc w:val="center"/>
              <w:ind w:right="1200"/>
              <w:spacing w:after="0" w:line="202" w:lineRule="exact"/>
              <w:rPr>
                <w:sz w:val="20"/>
                <w:szCs w:val="20"/>
                <w:color w:val="auto"/>
              </w:rPr>
            </w:pPr>
            <w:r>
              <w:rPr>
                <w:rFonts w:ascii="Arial" w:cs="Arial" w:eastAsia="Arial" w:hAnsi="Arial"/>
                <w:sz w:val="18"/>
                <w:szCs w:val="18"/>
                <w:color w:val="auto"/>
              </w:rPr>
              <w:t>³ A/A2/A</w:t>
            </w:r>
          </w:p>
        </w:tc>
        <w:tc>
          <w:tcPr>
            <w:tcW w:w="10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00" w:type="dxa"/>
            <w:vAlign w:val="bottom"/>
            <w:gridSpan w:val="2"/>
          </w:tcPr>
          <w:p>
            <w:pPr>
              <w:jc w:val="center"/>
              <w:ind w:right="1180"/>
              <w:spacing w:after="0"/>
              <w:rPr>
                <w:sz w:val="20"/>
                <w:szCs w:val="20"/>
                <w:color w:val="auto"/>
              </w:rPr>
            </w:pPr>
            <w:r>
              <w:rPr>
                <w:rFonts w:ascii="Arial" w:cs="Arial" w:eastAsia="Arial" w:hAnsi="Arial"/>
                <w:sz w:val="18"/>
                <w:szCs w:val="18"/>
                <w:color w:val="auto"/>
              </w:rPr>
              <w:t>A-/A3/A-</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380" w:type="dxa"/>
            <w:vAlign w:val="bottom"/>
            <w:gridSpan w:val="4"/>
          </w:tcPr>
          <w:p>
            <w:pPr>
              <w:jc w:val="center"/>
              <w:ind w:left="111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center"/>
              <w:ind w:left="1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0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5"/>
              </w:rPr>
              <w:t>BBB+ / Baa1 / BBB+</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380" w:type="dxa"/>
            <w:vAlign w:val="bottom"/>
            <w:gridSpan w:val="4"/>
            <w:shd w:val="clear" w:color="auto" w:fill="CCEEFF"/>
          </w:tcPr>
          <w:p>
            <w:pPr>
              <w:jc w:val="center"/>
              <w:ind w:left="1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00" w:type="dxa"/>
            <w:vAlign w:val="bottom"/>
            <w:gridSpan w:val="2"/>
          </w:tcPr>
          <w:p>
            <w:pPr>
              <w:jc w:val="center"/>
              <w:ind w:right="1200"/>
              <w:spacing w:after="0"/>
              <w:rPr>
                <w:sz w:val="20"/>
                <w:szCs w:val="20"/>
                <w:color w:val="auto"/>
              </w:rPr>
            </w:pPr>
            <w:r>
              <w:rPr>
                <w:rFonts w:ascii="Arial" w:cs="Arial" w:eastAsia="Arial" w:hAnsi="Arial"/>
                <w:sz w:val="18"/>
                <w:szCs w:val="18"/>
                <w:color w:val="auto"/>
                <w:w w:val="94"/>
              </w:rPr>
              <w:t>BBB / Baa2 / BBB</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380" w:type="dxa"/>
            <w:vAlign w:val="bottom"/>
            <w:gridSpan w:val="4"/>
          </w:tcPr>
          <w:p>
            <w:pPr>
              <w:jc w:val="center"/>
              <w:ind w:left="111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center"/>
              <w:ind w:left="1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00" w:type="dxa"/>
            <w:vAlign w:val="bottom"/>
            <w:gridSpan w:val="2"/>
            <w:shd w:val="clear" w:color="auto" w:fill="CCEEFF"/>
          </w:tcPr>
          <w:p>
            <w:pPr>
              <w:jc w:val="center"/>
              <w:ind w:right="1200"/>
              <w:spacing w:after="0"/>
              <w:rPr>
                <w:sz w:val="20"/>
                <w:szCs w:val="20"/>
                <w:color w:val="auto"/>
              </w:rPr>
            </w:pPr>
            <w:r>
              <w:rPr>
                <w:rFonts w:ascii="Arial" w:cs="Arial" w:eastAsia="Arial" w:hAnsi="Arial"/>
                <w:sz w:val="18"/>
                <w:szCs w:val="18"/>
                <w:color w:val="auto"/>
                <w:w w:val="94"/>
              </w:rPr>
              <w:t>BBB- / Baa3 / BBB-</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380" w:type="dxa"/>
            <w:vAlign w:val="bottom"/>
            <w:gridSpan w:val="4"/>
            <w:shd w:val="clear" w:color="auto" w:fill="CCEEFF"/>
          </w:tcPr>
          <w:p>
            <w:pPr>
              <w:jc w:val="center"/>
              <w:ind w:left="1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00" w:type="dxa"/>
            <w:vAlign w:val="bottom"/>
            <w:gridSpan w:val="2"/>
          </w:tcPr>
          <w:p>
            <w:pPr>
              <w:jc w:val="center"/>
              <w:ind w:right="1180"/>
              <w:spacing w:after="0"/>
              <w:rPr>
                <w:sz w:val="20"/>
                <w:szCs w:val="20"/>
                <w:color w:val="auto"/>
              </w:rPr>
            </w:pPr>
            <w:r>
              <w:rPr>
                <w:rFonts w:ascii="Arial" w:cs="Arial" w:eastAsia="Arial" w:hAnsi="Arial"/>
                <w:sz w:val="18"/>
                <w:szCs w:val="18"/>
                <w:color w:val="auto"/>
                <w:w w:val="96"/>
              </w:rPr>
              <w:t xml:space="preserve">BB+ / Ba1 </w:t>
            </w:r>
            <w:r>
              <w:rPr>
                <w:rFonts w:ascii="Arial" w:cs="Arial" w:eastAsia="Arial" w:hAnsi="Arial"/>
                <w:sz w:val="18"/>
                <w:szCs w:val="18"/>
                <w:b w:val="1"/>
                <w:bCs w:val="1"/>
                <w:color w:val="auto"/>
                <w:w w:val="96"/>
              </w:rPr>
              <w:t>/</w:t>
            </w:r>
            <w:r>
              <w:rPr>
                <w:rFonts w:ascii="Arial" w:cs="Arial" w:eastAsia="Arial" w:hAnsi="Arial"/>
                <w:sz w:val="18"/>
                <w:szCs w:val="18"/>
                <w:color w:val="auto"/>
                <w:w w:val="96"/>
              </w:rPr>
              <w:t xml:space="preserve"> BB+</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380" w:type="dxa"/>
            <w:vAlign w:val="bottom"/>
            <w:gridSpan w:val="4"/>
          </w:tcPr>
          <w:p>
            <w:pPr>
              <w:jc w:val="center"/>
              <w:ind w:left="111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center"/>
              <w:ind w:left="1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0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4"/>
              </w:rPr>
              <w:t>£ BB / Ba2 / BB</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380" w:type="dxa"/>
            <w:vAlign w:val="bottom"/>
            <w:gridSpan w:val="4"/>
            <w:shd w:val="clear" w:color="auto" w:fill="CCEEFF"/>
          </w:tcPr>
          <w:p>
            <w:pPr>
              <w:jc w:val="center"/>
              <w:ind w:left="1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Changes in the Applicable Margin and Facility Fee Rate set forth in the pricing grid above shall become effective on the date on which S&amp;P, Moody’s and/or Fitch changes the rating it has issued with respect to the applicable facility rating (as determined in the manner set forth in the last sentence of this paragraph) or, in the absence of any such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Agreement Schedule 1.1C</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left="9600"/>
        <w:spacing w:after="0"/>
        <w:rPr>
          <w:sz w:val="20"/>
          <w:szCs w:val="20"/>
          <w:color w:val="auto"/>
        </w:rPr>
      </w:pPr>
      <w:r>
        <w:rPr>
          <w:rFonts w:ascii="Arial" w:cs="Arial" w:eastAsia="Arial" w:hAnsi="Arial"/>
          <w:sz w:val="17"/>
          <w:szCs w:val="17"/>
          <w:color w:val="auto"/>
        </w:rPr>
        <w:t>SCHEDULE 1.1 D</w:t>
      </w:r>
    </w:p>
    <w:p>
      <w:pPr>
        <w:spacing w:after="0" w:line="34"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Credit Agreement</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IENS</w:t>
      </w:r>
    </w:p>
    <w:p>
      <w:pPr>
        <w:spacing w:after="0" w:line="228" w:lineRule="exact"/>
        <w:rPr>
          <w:sz w:val="20"/>
          <w:szCs w:val="20"/>
          <w:color w:val="auto"/>
        </w:rPr>
      </w:pPr>
    </w:p>
    <w:p>
      <w:pPr>
        <w:ind w:left="120" w:right="1620"/>
        <w:spacing w:after="0" w:line="448" w:lineRule="auto"/>
        <w:rPr>
          <w:sz w:val="20"/>
          <w:szCs w:val="20"/>
          <w:color w:val="auto"/>
        </w:rPr>
      </w:pPr>
      <w:r>
        <w:rPr>
          <w:rFonts w:ascii="Arial" w:cs="Arial" w:eastAsia="Arial" w:hAnsi="Arial"/>
          <w:sz w:val="18"/>
          <w:szCs w:val="18"/>
          <w:color w:val="auto"/>
        </w:rPr>
        <w:t>Liens reflected in the lien search results, dated as of April 4, 2021 delivered to the Administrative Agent prior to the Closing Date. Credit Agreement Schedule 1.1D</w:t>
      </w:r>
    </w:p>
    <w:p>
      <w:pPr>
        <w:sectPr>
          <w:pgSz w:w="11900" w:h="16838" w:orient="portrait"/>
          <w:cols w:equalWidth="0" w:num="1">
            <w:col w:w="11120"/>
          </w:cols>
          <w:pgMar w:left="320" w:top="458"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left="9620"/>
        <w:spacing w:after="0"/>
        <w:rPr>
          <w:sz w:val="20"/>
          <w:szCs w:val="20"/>
          <w:color w:val="auto"/>
        </w:rPr>
      </w:pPr>
      <w:r>
        <w:rPr>
          <w:rFonts w:ascii="Arial" w:cs="Arial" w:eastAsia="Arial" w:hAnsi="Arial"/>
          <w:sz w:val="16"/>
          <w:szCs w:val="16"/>
          <w:color w:val="auto"/>
        </w:rPr>
        <w:t>SCHEDULE 1.1 E</w:t>
      </w:r>
    </w:p>
    <w:p>
      <w:pPr>
        <w:spacing w:after="0" w:line="46"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Credit Agreement</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4"/>
          <w:szCs w:val="14"/>
          <w:b w:val="1"/>
          <w:bCs w:val="1"/>
          <w:u w:val="single" w:color="auto"/>
          <w:color w:val="auto"/>
        </w:rPr>
        <w:t>USINESSES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Agreement Schedule 1.1E</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SCHEDULE 4.6</w:t>
      </w:r>
    </w:p>
    <w:p>
      <w:pPr>
        <w:spacing w:after="0" w:line="46"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ITIGATION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6"/>
          <w:szCs w:val="16"/>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182245</wp:posOffset>
            </wp:positionV>
            <wp:extent cx="69786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225425</wp:posOffset>
            </wp:positionV>
            <wp:extent cx="69786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FORM OF</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FOURTH AMENDED AND RESTATED GUARANTEE AGREEMENT</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made by</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xml:space="preserve">AND CERTAIN OTHER PERSONS FROM TIME TO TIME PARTIES HERETO, </w:t>
      </w:r>
      <w:r>
        <w:rPr>
          <w:rFonts w:ascii="Arial" w:cs="Arial" w:eastAsia="Arial" w:hAnsi="Arial"/>
          <w:sz w:val="18"/>
          <w:szCs w:val="18"/>
          <w:i w:val="1"/>
          <w:iCs w:val="1"/>
          <w:color w:val="auto"/>
        </w:rPr>
        <w:t>as the Guarantors</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favor of</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Dated as of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177165</wp:posOffset>
            </wp:positionV>
            <wp:extent cx="69786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219710</wp:posOffset>
            </wp:positionV>
            <wp:extent cx="69786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SECTION 1.</w:t>
            </w:r>
          </w:p>
        </w:tc>
        <w:tc>
          <w:tcPr>
            <w:tcW w:w="9600" w:type="dxa"/>
            <w:vAlign w:val="bottom"/>
            <w:vMerge w:val="restart"/>
          </w:tcPr>
          <w:p>
            <w:pPr>
              <w:ind w:left="12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080" w:type="dxa"/>
            <w:vAlign w:val="bottom"/>
            <w:gridSpan w:val="2"/>
            <w:vMerge w:val="continue"/>
          </w:tcPr>
          <w:p>
            <w:pPr>
              <w:spacing w:after="0"/>
              <w:rPr>
                <w:sz w:val="16"/>
                <w:szCs w:val="16"/>
                <w:color w:val="auto"/>
              </w:rPr>
            </w:pPr>
          </w:p>
        </w:tc>
        <w:tc>
          <w:tcPr>
            <w:tcW w:w="960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0" w:type="dxa"/>
            <w:vAlign w:val="bottom"/>
          </w:tcPr>
          <w:p>
            <w:pPr>
              <w:ind w:left="3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9"/>
        </w:trPr>
        <w:tc>
          <w:tcPr>
            <w:tcW w:w="108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960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No 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40" w:type="dxa"/>
            <w:vAlign w:val="bottom"/>
          </w:tcPr>
          <w:p>
            <w:pPr>
              <w:ind w:left="36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9"/>
        </w:trPr>
        <w:tc>
          <w:tcPr>
            <w:tcW w:w="108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960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Counterparts; Electronic Signature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Section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80" w:type="dxa"/>
            <w:vAlign w:val="bottom"/>
            <w:gridSpan w:val="2"/>
          </w:tcPr>
          <w:p>
            <w:pPr>
              <w:ind w:left="360"/>
              <w:spacing w:after="0"/>
              <w:rPr>
                <w:sz w:val="20"/>
                <w:szCs w:val="20"/>
                <w:color w:val="auto"/>
              </w:rPr>
            </w:pPr>
            <w:r>
              <w:rPr>
                <w:rFonts w:ascii="Arial" w:cs="Arial" w:eastAsia="Arial" w:hAnsi="Arial"/>
                <w:sz w:val="18"/>
                <w:szCs w:val="18"/>
                <w:color w:val="auto"/>
              </w:rPr>
              <w:t>3.10</w:t>
            </w:r>
          </w:p>
        </w:tc>
        <w:tc>
          <w:tcPr>
            <w:tcW w:w="960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9"/>
        </w:trPr>
        <w:tc>
          <w:tcPr>
            <w:tcW w:w="108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960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Judgment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640" w:type="dxa"/>
            <w:vAlign w:val="bottom"/>
          </w:tcPr>
          <w:p>
            <w:pPr>
              <w:ind w:left="36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40" w:type="dxa"/>
            <w:vAlign w:val="bottom"/>
          </w:tcPr>
          <w:p>
            <w:pPr>
              <w:ind w:left="36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Releases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3"/>
        </w:trPr>
        <w:tc>
          <w:tcPr>
            <w:tcW w:w="108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960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7"/>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ANNEX</w:t>
            </w:r>
          </w:p>
        </w:tc>
        <w:tc>
          <w:tcPr>
            <w:tcW w:w="44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80" w:type="dxa"/>
            <w:vAlign w:val="bottom"/>
            <w:gridSpan w:val="2"/>
          </w:tcPr>
          <w:p>
            <w:pPr>
              <w:spacing w:after="0"/>
              <w:rPr>
                <w:sz w:val="20"/>
                <w:szCs w:val="20"/>
                <w:color w:val="auto"/>
              </w:rPr>
            </w:pPr>
            <w:r>
              <w:rPr>
                <w:rFonts w:ascii="Arial" w:cs="Arial" w:eastAsia="Arial" w:hAnsi="Arial"/>
                <w:sz w:val="18"/>
                <w:szCs w:val="18"/>
                <w:color w:val="auto"/>
              </w:rPr>
              <w:t>Annex I</w:t>
            </w:r>
          </w:p>
        </w:tc>
        <w:tc>
          <w:tcPr>
            <w:tcW w:w="9600" w:type="dxa"/>
            <w:vAlign w:val="bottom"/>
          </w:tcPr>
          <w:p>
            <w:pPr>
              <w:ind w:left="140"/>
              <w:spacing w:after="0"/>
              <w:rPr>
                <w:sz w:val="20"/>
                <w:szCs w:val="20"/>
                <w:color w:val="auto"/>
              </w:rPr>
            </w:pPr>
            <w:r>
              <w:rPr>
                <w:rFonts w:ascii="Arial" w:cs="Arial" w:eastAsia="Arial" w:hAnsi="Arial"/>
                <w:sz w:val="18"/>
                <w:szCs w:val="18"/>
                <w:color w:val="auto"/>
              </w:rPr>
              <w:t>Form of Joinder Agreement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firstLine="989"/>
        <w:spacing w:after="0" w:line="287" w:lineRule="auto"/>
        <w:rPr>
          <w:sz w:val="20"/>
          <w:szCs w:val="20"/>
          <w:color w:val="auto"/>
        </w:rPr>
      </w:pPr>
      <w:r>
        <w:rPr>
          <w:rFonts w:ascii="Arial" w:cs="Arial" w:eastAsia="Arial" w:hAnsi="Arial"/>
          <w:sz w:val="16"/>
          <w:szCs w:val="16"/>
          <w:color w:val="auto"/>
        </w:rPr>
        <w:t>FOURTH AMENDED AND RESTATED GUARANTEE AGREEMENT, dated as of [•], 2021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by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Company and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Fourth Amended and Restated Three Year Revolving Credit Agreement, dated as of the date hereof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General Motors Financial Company, Inc., a Texas Corporation, GM Global Treasury Centre Limited, a corporation organized under the laws of England and Wales, the other Subsidiary Borrowers from time to time parties thereto, the Lenders, the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named therein.</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4" w:lineRule="exact"/>
        <w:rPr>
          <w:sz w:val="20"/>
          <w:szCs w:val="20"/>
          <w:color w:val="auto"/>
        </w:rPr>
      </w:pPr>
    </w:p>
    <w:p>
      <w:pPr>
        <w:ind w:left="120" w:right="60" w:firstLine="989"/>
        <w:spacing w:after="0" w:line="276"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left="120" w:right="140" w:firstLine="989"/>
        <w:spacing w:after="0" w:line="276" w:lineRule="auto"/>
        <w:rPr>
          <w:sz w:val="20"/>
          <w:szCs w:val="20"/>
          <w:color w:val="auto"/>
        </w:rPr>
      </w:pPr>
      <w:r>
        <w:rPr>
          <w:rFonts w:ascii="Arial" w:cs="Arial" w:eastAsia="Arial" w:hAnsi="Arial"/>
          <w:sz w:val="18"/>
          <w:szCs w:val="18"/>
          <w:color w:val="auto"/>
        </w:rPr>
        <w:t>WHEREAS, each of the Company, the Subsidiary Borrowers, any Ancillary Borrower and any Applicable Account Party is a member of an affiliated group of companies that includes each other Guarantor;</w:t>
      </w:r>
    </w:p>
    <w:p>
      <w:pPr>
        <w:spacing w:after="0" w:line="170" w:lineRule="exact"/>
        <w:rPr>
          <w:sz w:val="20"/>
          <w:szCs w:val="20"/>
          <w:color w:val="auto"/>
        </w:rPr>
      </w:pPr>
    </w:p>
    <w:p>
      <w:pPr>
        <w:ind w:left="120" w:right="140" w:firstLine="989"/>
        <w:spacing w:after="0" w:line="263"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and any Ancillary Lender to or for the account of the Company, any Subsidiary Borrower, any Ancillary Borrower or any Applicable Account Party, as applicable, under the Credit Agreement; and</w:t>
      </w:r>
    </w:p>
    <w:p>
      <w:pPr>
        <w:spacing w:after="0" w:line="182" w:lineRule="exact"/>
        <w:rPr>
          <w:sz w:val="20"/>
          <w:szCs w:val="20"/>
          <w:color w:val="auto"/>
        </w:rPr>
      </w:pPr>
    </w:p>
    <w:p>
      <w:pPr>
        <w:ind w:left="120" w:firstLine="989"/>
        <w:spacing w:after="0" w:line="258" w:lineRule="auto"/>
        <w:rPr>
          <w:sz w:val="20"/>
          <w:szCs w:val="20"/>
          <w:color w:val="auto"/>
        </w:rPr>
      </w:pPr>
      <w:r>
        <w:rPr>
          <w:rFonts w:ascii="Arial" w:cs="Arial" w:eastAsia="Arial" w:hAnsi="Arial"/>
          <w:sz w:val="18"/>
          <w:szCs w:val="18"/>
          <w:color w:val="auto"/>
        </w:rPr>
        <w:t>WHEREAS, it is a condition precedent to the obligation of the Lenders and the Ancillary Lenders to make their respective extensions of credit to or for the account of the Company, any Subsidiary Borrower, any Ancillary Borrower or any Applicable Account Party, as applicable, under the Credit Agreement or any Ancillary Facility Document that each Guarantor shall have executed and delivered this Agreement to the Administrative Agent;</w:t>
      </w:r>
    </w:p>
    <w:p>
      <w:pPr>
        <w:spacing w:after="0" w:line="187" w:lineRule="exact"/>
        <w:rPr>
          <w:sz w:val="20"/>
          <w:szCs w:val="20"/>
          <w:color w:val="auto"/>
        </w:rPr>
      </w:pPr>
    </w:p>
    <w:p>
      <w:pPr>
        <w:ind w:left="120" w:right="20" w:firstLine="989"/>
        <w:spacing w:after="0" w:line="256"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any Ancillary Facility Document, as applicable, and to induce the Lenders and any Ancillary Lender to make their respective extensions of credit to or for the account of the Company, any Subsidiary Borrower, any Ancillary Borrower or any Applicable Account Party, as applicable, under the Credit Agreement or any Ancillary Facility Document, as applicable, each Guarantor hereby agrees with the Administrative Agent, for the benefit of the Guaranteed Parties, as follows: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1. DEFINED TERMS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4" w:lineRule="exact"/>
        <w:rPr>
          <w:sz w:val="20"/>
          <w:szCs w:val="20"/>
          <w:color w:val="auto"/>
        </w:rPr>
      </w:pPr>
    </w:p>
    <w:p>
      <w:pPr>
        <w:ind w:left="120" w:right="260"/>
        <w:spacing w:after="0" w:line="276"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terms shall have the following meanings:</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20" w:firstLine="9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means, collectively, the unpaid principal of and interest on the Loans, Reimbursement Obligations, Ancillary Facility Outstandings and all other obligations and liabilities of the Company, the Subsidiary Borrowers, any Ancillary Borrowers and any Applicable Account Party (including interest on such other obligations or liabilities accruing at the then applicable rate provided in the Credit Agreement or any Ancillary Facility Document, as applicable, after the maturity of the Loans and Reimbursement Obligations or Ancillary Facility Outstandings, as the case may be, and interest accruing on the Loans, Reimbursement Obligations, Ancillary Facility Outstandings and such other obligations and liabilities at the then applicable rate provided in the Credit Agreement or relevant Ancillary Facility Document, as the case may be, after the filing of any petition in bankruptcy, or the commencement of any insolvency, reorganization or like proceeding, relating to the Company, any Subsidiary Borrower, any Ancillary Borrower or any Applicable Account Party, whether or not a claim for post-filing or post-petition interest is allowed in such proceeding) to the Administrative Agent, any Lender, any Ancillary Lender or any Issuing Lender thereunder, whether direct or indirect, absolute or contingent, due or to become due, or now existing or hereafter incurred, which may arise under, out of, or in connection with, the Loan Documents or Ancillary Facility Documents to which the Company, any Subsidiary Borrower, any Ancillary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Lenders, any Ancillary Lenders or the Issuing Lenders that are required to be paid by the Company, any Subsidiary Borrower, any Ancillary Borrower or any Applicable Account Party pursuant to the terms of any of the Loan Documents or Ancillary Facility Documents, as applicable).</w:t>
      </w:r>
    </w:p>
    <w:p>
      <w:pPr>
        <w:spacing w:after="0" w:line="171" w:lineRule="exact"/>
        <w:rPr>
          <w:sz w:val="20"/>
          <w:szCs w:val="20"/>
          <w:color w:val="auto"/>
        </w:rPr>
      </w:pPr>
    </w:p>
    <w:p>
      <w:pPr>
        <w:ind w:left="120" w:right="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collectively, the Administrative Agent, the Lenders, the Ancillary Lenders and each other Person that holds a Guaranteed Obligation.</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20" w:right="38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Guarantors</w:t>
      </w:r>
      <w:r>
        <w:rPr>
          <w:rFonts w:ascii="Arial" w:cs="Arial" w:eastAsia="Arial" w:hAnsi="Arial"/>
          <w:sz w:val="17"/>
          <w:szCs w:val="17"/>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7"/>
          <w:szCs w:val="17"/>
          <w:u w:val="single" w:color="auto"/>
          <w:color w:val="auto"/>
        </w:rPr>
        <w:t>Section 3.14</w:t>
      </w:r>
      <w:r>
        <w:rPr>
          <w:rFonts w:ascii="Arial" w:cs="Arial" w:eastAsia="Arial" w:hAnsi="Arial"/>
          <w:sz w:val="17"/>
          <w:szCs w:val="17"/>
          <w:color w:val="auto"/>
        </w:rPr>
        <w:t>.</w:t>
      </w:r>
    </w:p>
    <w:p>
      <w:pPr>
        <w:spacing w:after="0" w:line="148" w:lineRule="exact"/>
        <w:rPr>
          <w:sz w:val="20"/>
          <w:szCs w:val="20"/>
          <w:color w:val="auto"/>
        </w:rPr>
      </w:pPr>
    </w:p>
    <w:p>
      <w:pPr>
        <w:ind w:left="120" w:right="12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paid in full</w:t>
      </w:r>
      <w:r>
        <w:rPr>
          <w:rFonts w:ascii="Arial" w:cs="Arial" w:eastAsia="Arial" w:hAnsi="Arial"/>
          <w:sz w:val="17"/>
          <w:szCs w:val="17"/>
          <w:color w:val="auto"/>
        </w:rPr>
        <w:t>” or “</w:t>
      </w:r>
      <w:r>
        <w:rPr>
          <w:rFonts w:ascii="Arial" w:cs="Arial" w:eastAsia="Arial" w:hAnsi="Arial"/>
          <w:sz w:val="17"/>
          <w:szCs w:val="17"/>
          <w:u w:val="single" w:color="auto"/>
          <w:color w:val="auto"/>
        </w:rPr>
        <w:t>payment in full</w:t>
      </w:r>
      <w:r>
        <w:rPr>
          <w:rFonts w:ascii="Arial" w:cs="Arial" w:eastAsia="Arial" w:hAnsi="Arial"/>
          <w:sz w:val="17"/>
          <w:szCs w:val="17"/>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or any Ancillary Facility Document, as applicable, in each case, after or concurrently with termination of all commitments thereunder and payment in full in cash of all fees payable with respect to a Guaranteed Obligation at or prior to the time such principal and interest are paid.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firstLine="98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w:t>
      </w:r>
    </w:p>
    <w:p>
      <w:pPr>
        <w:spacing w:after="0" w:line="1" w:lineRule="exact"/>
        <w:rPr>
          <w:sz w:val="20"/>
          <w:szCs w:val="20"/>
          <w:color w:val="auto"/>
        </w:rPr>
      </w:pPr>
    </w:p>
    <w:p>
      <w:pPr>
        <w:jc w:val="both"/>
        <w:ind w:left="120" w:firstLine="9"/>
        <w:spacing w:after="0" w:line="254" w:lineRule="auto"/>
        <w:tabs>
          <w:tab w:leader="none" w:pos="38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224" w:lineRule="exact"/>
        <w:rPr>
          <w:sz w:val="20"/>
          <w:szCs w:val="20"/>
          <w:color w:val="auto"/>
        </w:rPr>
      </w:pPr>
    </w:p>
    <w:p>
      <w:pPr>
        <w:ind w:left="120" w:right="280"/>
        <w:spacing w:after="0" w:line="306" w:lineRule="auto"/>
        <w:rPr>
          <w:sz w:val="20"/>
          <w:szCs w:val="20"/>
          <w:color w:val="auto"/>
        </w:rPr>
      </w:pPr>
      <w:r>
        <w:rPr>
          <w:rFonts w:ascii="Arial" w:cs="Arial" w:eastAsia="Arial" w:hAnsi="Arial"/>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4"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color w:val="auto"/>
        </w:rPr>
        <w:t xml:space="preserve">References to agreements defined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SECTION 2. Guarantee</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4" w:lineRule="exact"/>
        <w:rPr>
          <w:sz w:val="20"/>
          <w:szCs w:val="20"/>
          <w:color w:val="auto"/>
        </w:rPr>
      </w:pPr>
    </w:p>
    <w:p>
      <w:pPr>
        <w:ind w:left="120" w:right="160"/>
        <w:spacing w:after="0" w:line="278" w:lineRule="auto"/>
        <w:rPr>
          <w:sz w:val="20"/>
          <w:szCs w:val="20"/>
          <w:color w:val="auto"/>
        </w:rPr>
      </w:pPr>
      <w:r>
        <w:rPr>
          <w:rFonts w:ascii="Arial" w:cs="Arial" w:eastAsia="Arial" w:hAnsi="Arial"/>
          <w:sz w:val="17"/>
          <w:szCs w:val="17"/>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each Ancillary Borrower and each Applicable Account Party, as applicable, when due (whether at the stated maturity, by acceleration or otherwise) and at all times thereafter, of all Guaranteed Obligations.</w:t>
      </w:r>
    </w:p>
    <w:p>
      <w:pPr>
        <w:spacing w:after="0" w:line="17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Anything herein or in any other Loan Document or any Ancillary Facility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2" w:lineRule="exact"/>
        <w:rPr>
          <w:sz w:val="20"/>
          <w:szCs w:val="20"/>
          <w:color w:val="auto"/>
        </w:rPr>
      </w:pPr>
    </w:p>
    <w:p>
      <w:pPr>
        <w:ind w:left="120" w:right="360"/>
        <w:spacing w:after="0" w:line="341" w:lineRule="auto"/>
        <w:rPr>
          <w:sz w:val="20"/>
          <w:szCs w:val="20"/>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24"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any Ancillary Borrower or any Applicable Account Party may be free from any Guaranteed Obligations.</w:t>
      </w:r>
    </w:p>
    <w:p>
      <w:pPr>
        <w:spacing w:after="0" w:line="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No payment made by the Company, any Subsidiary Borrower, any Ancillary Borrower, any Applicable Account Party, any of the Guarantors, any other guarantor or any other Person or received or collected by any Guaranteed Party from the Company, any Subsidiary Borrower, any Ancillary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24" w:lineRule="exact"/>
        <w:rPr>
          <w:sz w:val="20"/>
          <w:szCs w:val="20"/>
          <w:color w:val="auto"/>
        </w:rPr>
      </w:pPr>
    </w:p>
    <w:p>
      <w:pPr>
        <w:ind w:left="120" w:right="180" w:firstLine="989"/>
        <w:spacing w:after="0" w:line="275" w:lineRule="auto"/>
        <w:rPr>
          <w:sz w:val="20"/>
          <w:szCs w:val="20"/>
          <w:color w:val="auto"/>
        </w:rPr>
      </w:pPr>
      <w:r>
        <w:rPr>
          <w:rFonts w:ascii="Arial" w:cs="Arial" w:eastAsia="Arial" w:hAnsi="Arial"/>
          <w:sz w:val="17"/>
          <w:szCs w:val="17"/>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224" w:lineRule="exact"/>
        <w:rPr>
          <w:sz w:val="20"/>
          <w:szCs w:val="20"/>
          <w:color w:val="auto"/>
        </w:rPr>
      </w:pPr>
    </w:p>
    <w:p>
      <w:pPr>
        <w:ind w:left="120" w:right="60" w:firstLine="989"/>
        <w:spacing w:after="0" w:line="286" w:lineRule="auto"/>
        <w:rPr>
          <w:sz w:val="20"/>
          <w:szCs w:val="20"/>
          <w:color w:val="auto"/>
        </w:rPr>
      </w:pPr>
      <w:r>
        <w:rPr>
          <w:rFonts w:ascii="Arial" w:cs="Arial" w:eastAsia="Arial" w:hAnsi="Arial"/>
          <w:sz w:val="16"/>
          <w:szCs w:val="16"/>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Ancillary Borrower,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Ancillary Borrower, any Applicable Account Party or any other Guarantor in respect of payments made by such Guarantor hereunder, until all amounts owing to the Guaranteed Parties by the Company, the Subsidiary Borrowers, any Ancillary Borrower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224" w:lineRule="exact"/>
        <w:rPr>
          <w:sz w:val="20"/>
          <w:szCs w:val="20"/>
          <w:color w:val="auto"/>
        </w:rPr>
      </w:pPr>
    </w:p>
    <w:p>
      <w:pPr>
        <w:ind w:left="120" w:firstLine="989"/>
        <w:spacing w:after="0" w:line="268" w:lineRule="auto"/>
        <w:rPr>
          <w:sz w:val="20"/>
          <w:szCs w:val="20"/>
          <w:color w:val="auto"/>
        </w:rPr>
      </w:pPr>
      <w:r>
        <w:rPr>
          <w:rFonts w:ascii="Arial" w:cs="Arial" w:eastAsia="Arial" w:hAnsi="Arial"/>
          <w:sz w:val="17"/>
          <w:szCs w:val="17"/>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any Ancillary Facility Documents and any other documents executed and delivered in connection therewith may be amended, modified, supplemented or terminated, in whole or in part, as the Administrative Agent (or the Required Lenders, the Majority Facility Lenders, all affected Lenders, or all Lenders, or any Ancillary Lender,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w:t>
      </w:r>
    </w:p>
    <w:p>
      <w:pPr>
        <w:spacing w:after="0" w:line="224" w:lineRule="exact"/>
        <w:rPr>
          <w:sz w:val="20"/>
          <w:szCs w:val="20"/>
          <w:color w:val="auto"/>
        </w:rPr>
      </w:pPr>
    </w:p>
    <w:p>
      <w:pPr>
        <w:ind w:left="120" w:firstLine="989"/>
        <w:spacing w:after="0" w:line="283" w:lineRule="auto"/>
        <w:rPr>
          <w:sz w:val="20"/>
          <w:szCs w:val="20"/>
          <w:color w:val="auto"/>
        </w:rPr>
      </w:pPr>
      <w:r>
        <w:rPr>
          <w:rFonts w:ascii="Arial" w:cs="Arial" w:eastAsia="Arial" w:hAnsi="Arial"/>
          <w:sz w:val="16"/>
          <w:szCs w:val="16"/>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any Ancillary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of the Ancillary Borrowers, any of the Applicable Account Parties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any other Loan Document or any Ancillary Facility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Ancillary Borrower, any Applicable Account Party or any other Person against any Guaranteed Party, (c) any law or regulation of any jurisdiction or any other event affecting any term of the Guaranteed Obligations or (d) any other circumstance whatsoever (with or without notice to or knowledge of the Company, any Subsidiary Borrower, any Ancillary Borrower, any Applicable Account Party or such Guarantor) which constitutes, or might be construed to constitute, an equitable or legal discharge or defense of a surety or guarantor or any other obligor on any obligation of the Company, any Subsidiary Borrower, any Ancillary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Ancillary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Ancillary Borrower, any Applicable Account Party, any other Guarantor or any other Person or to realize upon any such collateral security or guarantee or to exercise any such right of offset, or any release of the Company, any Subsidiary Borrower, any Ancillary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8"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4" w:lineRule="exact"/>
        <w:rPr>
          <w:sz w:val="20"/>
          <w:szCs w:val="20"/>
          <w:color w:val="auto"/>
        </w:rPr>
      </w:pPr>
    </w:p>
    <w:p>
      <w:pPr>
        <w:ind w:left="120" w:right="40" w:firstLine="989"/>
        <w:spacing w:after="0" w:line="255"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Ancillary Borrower, any Applicable Account Party or any Guarantor, or upon or as a result of the appointment of a receiver, intervenor or conservator of, or trustee or similar officer for, the Company, any Subsidiary Borrower, any Ancillary Borrower, any Applicable Account Party or any Guarantor or any substantial part of its property, or otherwise, all as though such payments had not been made.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4" w:lineRule="exact"/>
        <w:rPr>
          <w:sz w:val="20"/>
          <w:szCs w:val="20"/>
          <w:color w:val="auto"/>
        </w:rPr>
      </w:pPr>
    </w:p>
    <w:p>
      <w:pPr>
        <w:ind w:left="120" w:right="60" w:firstLine="989"/>
        <w:spacing w:after="0" w:line="263" w:lineRule="auto"/>
        <w:rPr>
          <w:sz w:val="20"/>
          <w:szCs w:val="20"/>
          <w:color w:val="auto"/>
        </w:rPr>
      </w:pPr>
      <w:r>
        <w:rPr>
          <w:rFonts w:ascii="Arial" w:cs="Arial" w:eastAsia="Arial" w:hAnsi="Arial"/>
          <w:sz w:val="18"/>
          <w:szCs w:val="18"/>
          <w:color w:val="auto"/>
        </w:rPr>
        <w:t>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2.21 of the Credit Agreement.</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3. MISCELLANEOUS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w:t>
      </w:r>
    </w:p>
    <w:p>
      <w:pPr>
        <w:spacing w:after="0" w:line="224" w:lineRule="exact"/>
        <w:rPr>
          <w:sz w:val="20"/>
          <w:szCs w:val="20"/>
          <w:color w:val="auto"/>
        </w:rPr>
      </w:pPr>
    </w:p>
    <w:p>
      <w:pPr>
        <w:ind w:left="120" w:firstLine="989"/>
        <w:spacing w:after="0" w:line="289" w:lineRule="auto"/>
        <w:rPr>
          <w:sz w:val="20"/>
          <w:szCs w:val="20"/>
          <w:color w:val="auto"/>
        </w:rPr>
      </w:pPr>
      <w:r>
        <w:rPr>
          <w:rFonts w:ascii="Arial" w:cs="Arial" w:eastAsia="Arial" w:hAnsi="Arial"/>
          <w:sz w:val="16"/>
          <w:szCs w:val="16"/>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and any Ancillary Lender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w:t>
      </w:r>
    </w:p>
    <w:p>
      <w:pPr>
        <w:spacing w:after="0" w:line="224" w:lineRule="exact"/>
        <w:rPr>
          <w:sz w:val="20"/>
          <w:szCs w:val="20"/>
          <w:color w:val="auto"/>
        </w:rPr>
      </w:pPr>
    </w:p>
    <w:p>
      <w:pPr>
        <w:ind w:left="120" w:right="240" w:firstLine="989"/>
        <w:spacing w:after="0" w:line="276"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4" w:lineRule="exact"/>
        <w:rPr>
          <w:sz w:val="20"/>
          <w:szCs w:val="20"/>
          <w:color w:val="auto"/>
        </w:rPr>
      </w:pPr>
    </w:p>
    <w:p>
      <w:pPr>
        <w:ind w:left="120" w:right="100" w:firstLine="989"/>
        <w:spacing w:after="0" w:line="258"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w:t>
      </w:r>
    </w:p>
    <w:p>
      <w:pPr>
        <w:spacing w:after="0" w:line="224" w:lineRule="exact"/>
        <w:rPr>
          <w:sz w:val="20"/>
          <w:szCs w:val="20"/>
          <w:color w:val="auto"/>
        </w:rPr>
      </w:pPr>
    </w:p>
    <w:p>
      <w:pPr>
        <w:ind w:left="120" w:right="20" w:firstLine="989"/>
        <w:spacing w:after="0" w:line="271"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224" w:lineRule="exact"/>
        <w:rPr>
          <w:sz w:val="20"/>
          <w:szCs w:val="20"/>
          <w:color w:val="auto"/>
        </w:rPr>
      </w:pPr>
    </w:p>
    <w:p>
      <w:pPr>
        <w:ind w:left="120" w:right="140" w:firstLine="448"/>
        <w:spacing w:after="0" w:line="256" w:lineRule="auto"/>
        <w:tabs>
          <w:tab w:leader="none" w:pos="80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Without intending to duplicate the obligations of the Guarantors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and to the extent that the Company is required to pay or reimburse the Guaranteed Parties (or any of them), for various costs and expenses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each Guarantor, jointly and severally, hereby agrees to make such payments or reimbursements and to provide such indemnification.</w:t>
      </w:r>
    </w:p>
    <w:p>
      <w:pPr>
        <w:spacing w:after="0" w:line="189" w:lineRule="exact"/>
        <w:rPr>
          <w:rFonts w:ascii="Arial" w:cs="Arial" w:eastAsia="Arial" w:hAnsi="Arial"/>
          <w:sz w:val="18"/>
          <w:szCs w:val="18"/>
          <w:color w:val="auto"/>
        </w:rPr>
      </w:pPr>
    </w:p>
    <w:p>
      <w:pPr>
        <w:ind w:left="120" w:right="280" w:firstLine="448"/>
        <w:spacing w:after="0" w:line="276" w:lineRule="auto"/>
        <w:tabs>
          <w:tab w:leader="none" w:pos="81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4" w:lineRule="exact"/>
        <w:rPr>
          <w:sz w:val="20"/>
          <w:szCs w:val="20"/>
          <w:color w:val="auto"/>
        </w:rPr>
      </w:pPr>
    </w:p>
    <w:p>
      <w:pPr>
        <w:ind w:left="120" w:right="280" w:firstLine="989"/>
        <w:spacing w:after="0" w:line="258"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 Electronic Signature</w:t>
      </w:r>
      <w:r>
        <w:rPr>
          <w:rFonts w:ascii="Arial" w:cs="Arial" w:eastAsia="Arial" w:hAnsi="Arial"/>
          <w:sz w:val="18"/>
          <w:szCs w:val="18"/>
          <w:color w:val="auto"/>
        </w:rPr>
        <w:t>.</w:t>
      </w:r>
    </w:p>
    <w:p>
      <w:pPr>
        <w:spacing w:after="0" w:line="224" w:lineRule="exact"/>
        <w:rPr>
          <w:sz w:val="20"/>
          <w:szCs w:val="20"/>
          <w:color w:val="auto"/>
        </w:rPr>
      </w:pPr>
    </w:p>
    <w:p>
      <w:pPr>
        <w:ind w:left="120" w:firstLine="989"/>
        <w:spacing w:after="0" w:line="269" w:lineRule="auto"/>
        <w:rPr>
          <w:sz w:val="20"/>
          <w:szCs w:val="20"/>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4" w:lineRule="exact"/>
        <w:rPr>
          <w:sz w:val="20"/>
          <w:szCs w:val="20"/>
          <w:color w:val="auto"/>
        </w:rPr>
      </w:pPr>
    </w:p>
    <w:p>
      <w:pPr>
        <w:jc w:val="both"/>
        <w:ind w:left="120" w:right="120" w:firstLine="989"/>
        <w:spacing w:after="0" w:line="263"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p>
    <w:p>
      <w:pPr>
        <w:spacing w:after="0" w:line="224"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224" w:lineRule="exact"/>
        <w:rPr>
          <w:sz w:val="20"/>
          <w:szCs w:val="20"/>
          <w:color w:val="auto"/>
        </w:rPr>
      </w:pPr>
    </w:p>
    <w:p>
      <w:pPr>
        <w:ind w:left="120" w:right="240" w:firstLine="989"/>
        <w:spacing w:after="0" w:line="258" w:lineRule="auto"/>
        <w:rPr>
          <w:sz w:val="20"/>
          <w:szCs w:val="20"/>
          <w:color w:val="auto"/>
        </w:rPr>
      </w:pPr>
      <w:r>
        <w:rPr>
          <w:rFonts w:ascii="Arial" w:cs="Arial" w:eastAsia="Arial" w:hAnsi="Arial"/>
          <w:sz w:val="18"/>
          <w:szCs w:val="18"/>
          <w:color w:val="auto"/>
        </w:rPr>
        <w:t>This Agreement, the other Loan Documents and any Ancillary Facility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 or in any Ancillary Facility Documents.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4. GOVERNING LAW.</w:t>
      </w:r>
    </w:p>
    <w:p>
      <w:pPr>
        <w:spacing w:after="0" w:line="220" w:lineRule="exact"/>
        <w:rPr>
          <w:sz w:val="20"/>
          <w:szCs w:val="20"/>
          <w:color w:val="auto"/>
        </w:rPr>
      </w:pPr>
    </w:p>
    <w:p>
      <w:pPr>
        <w:ind w:left="120" w:right="160" w:firstLine="989"/>
        <w:spacing w:after="0" w:line="281"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Each Guarantor hereby irrevocably and unconditionally:</w:t>
      </w:r>
    </w:p>
    <w:p>
      <w:pPr>
        <w:spacing w:after="0" w:line="116"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 xml:space="preserve">submits for itself and its property in any legal action or proceeding relating to this Agreement, the other Loan Documents and the Ancillary Facility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at such other address of which the Administrative Agent shall have been notified pursuant thereto; in the case of each Guarantor other than the Company, hereby irrevocably designates the Company (and the Company hereby irrevocably accepts such designation) as its agent to receive service of process in any such action or proceeding; agrees that nothing herein shall affect the right to effect service of process in any other manner permitted by law or shall limit the right to sue in any other jurisdiction; and waives, to the maximum extent not prohibited by law, any right it may have to claim or recover in any legal action or proceeding referred to in this Section any special, exemplary, punitive or consequential damages.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8"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u w:val="single" w:color="auto"/>
          <w:color w:val="auto"/>
        </w:rPr>
        <w:t>mutatis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mutandis</w:t>
      </w:r>
      <w:r>
        <w:rPr>
          <w:rFonts w:ascii="Arial" w:cs="Arial" w:eastAsia="Arial" w:hAnsi="Arial"/>
          <w:sz w:val="18"/>
          <w:szCs w:val="18"/>
          <w:u w:val="single" w:color="auto"/>
          <w:color w:val="auto"/>
        </w:rPr>
        <w:t>.</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24" w:lineRule="exact"/>
        <w:rPr>
          <w:sz w:val="20"/>
          <w:szCs w:val="20"/>
          <w:color w:val="auto"/>
        </w:rPr>
      </w:pPr>
    </w:p>
    <w:p>
      <w:pPr>
        <w:ind w:left="120" w:firstLine="989"/>
        <w:spacing w:after="0" w:line="290"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of the Credit Agreement, and each other Person (whether or not a Subsidiary of the Company) that the Company desires to become a party to this Agreement pursuant to</w:t>
      </w:r>
    </w:p>
    <w:p>
      <w:pPr>
        <w:spacing w:after="0" w:line="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Joinder Agreement</w:t>
      </w: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2"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5. WAIVER OF JURY TRIAL.</w:t>
      </w:r>
    </w:p>
    <w:p>
      <w:pPr>
        <w:spacing w:after="0" w:line="220" w:lineRule="exact"/>
        <w:rPr>
          <w:sz w:val="20"/>
          <w:szCs w:val="20"/>
          <w:color w:val="auto"/>
        </w:rPr>
      </w:pPr>
    </w:p>
    <w:p>
      <w:pPr>
        <w:jc w:val="both"/>
        <w:ind w:left="120" w:right="560" w:firstLine="989"/>
        <w:spacing w:after="0" w:line="265"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ANY OTHER LOAN DOCUMENT OR ANY ANCILLARY FACILITY DOCUMENT AND FOR ANY COUNTERCLAIM THEREIN.</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8"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each of the undersigned has caused this Agreement to be duly executed and delivered as of the date first above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written.</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 xml:space="preserve">GENERAL MOTORS COMPANY, </w:t>
      </w:r>
      <w:r>
        <w:rPr>
          <w:rFonts w:ascii="Arial" w:cs="Arial" w:eastAsia="Arial" w:hAnsi="Arial"/>
          <w:sz w:val="18"/>
          <w:szCs w:val="18"/>
          <w:i w:val="1"/>
          <w:iCs w:val="1"/>
          <w:color w:val="auto"/>
        </w:rPr>
        <w:t>as the Company</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14605</wp:posOffset>
            </wp:positionV>
            <wp:extent cx="261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4810125</wp:posOffset>
            </wp:positionH>
            <wp:positionV relativeFrom="paragraph">
              <wp:posOffset>-11430</wp:posOffset>
            </wp:positionV>
            <wp:extent cx="2222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22500"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125095</wp:posOffset>
            </wp:positionV>
            <wp:extent cx="1993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0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4749165</wp:posOffset>
            </wp:positionH>
            <wp:positionV relativeFrom="paragraph">
              <wp:posOffset>-10795</wp:posOffset>
            </wp:positionV>
            <wp:extent cx="2222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22500"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125730</wp:posOffset>
            </wp:positionV>
            <wp:extent cx="2565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DATE SET FORTH ABOVE: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Agent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39"/>
          </w:cols>
          <w:pgMar w:left="320" w:top="459" w:right="1440"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Annex 1</w:t>
      </w:r>
    </w:p>
    <w:p>
      <w:pPr>
        <w:spacing w:after="0" w:line="23"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Agreement</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JOINDER AGREEMENT, dated as of ________________, 20__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______________________________ (the “</w:t>
      </w:r>
      <w:r>
        <w:rPr>
          <w:rFonts w:ascii="Arial" w:cs="Arial" w:eastAsia="Arial" w:hAnsi="Arial"/>
          <w:sz w:val="16"/>
          <w:szCs w:val="16"/>
          <w:u w:val="single" w:color="auto"/>
          <w:color w:val="auto"/>
        </w:rPr>
        <w:t>Additional Guarantor</w:t>
      </w:r>
      <w:r>
        <w:rPr>
          <w:rFonts w:ascii="Arial" w:cs="Arial" w:eastAsia="Arial" w:hAnsi="Arial"/>
          <w:sz w:val="16"/>
          <w:szCs w:val="16"/>
          <w:color w:val="auto"/>
        </w:rPr>
        <w:t>”), in favor of JPMorgan Chase Bank, N.A., as administrative agent (in such capacity,</w:t>
      </w:r>
    </w:p>
    <w:p>
      <w:pPr>
        <w:spacing w:after="0" w:line="3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4" w:lineRule="exact"/>
        <w:rPr>
          <w:sz w:val="20"/>
          <w:szCs w:val="20"/>
          <w:color w:val="auto"/>
        </w:rPr>
      </w:pPr>
    </w:p>
    <w:p>
      <w:pPr>
        <w:ind w:left="120" w:right="140" w:firstLine="989"/>
        <w:spacing w:after="0" w:line="269" w:lineRule="auto"/>
        <w:rPr>
          <w:sz w:val="20"/>
          <w:szCs w:val="20"/>
          <w:color w:val="auto"/>
        </w:rPr>
      </w:pPr>
      <w:r>
        <w:rPr>
          <w:rFonts w:ascii="Arial" w:cs="Arial" w:eastAsia="Arial" w:hAnsi="Arial"/>
          <w:sz w:val="17"/>
          <w:szCs w:val="17"/>
          <w:color w:val="auto"/>
        </w:rPr>
        <w:t>WHEREAS, pursuant to the terms of the certain Fourth Amended and Restated Three Year Revolving Credit Agreement, dated as of April 7, 2021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 Treasury Centre Limited, a corporation organized under the laws of England and Wales (“</w:t>
      </w:r>
      <w:r>
        <w:rPr>
          <w:rFonts w:ascii="Arial" w:cs="Arial" w:eastAsia="Arial" w:hAnsi="Arial"/>
          <w:sz w:val="17"/>
          <w:szCs w:val="17"/>
          <w:u w:val="single" w:color="auto"/>
          <w:color w:val="auto"/>
        </w:rPr>
        <w:t>GMGTC</w:t>
      </w:r>
      <w:r>
        <w:rPr>
          <w:rFonts w:ascii="Arial" w:cs="Arial" w:eastAsia="Arial" w:hAnsi="Arial"/>
          <w:sz w:val="17"/>
          <w:szCs w:val="17"/>
          <w:color w:val="auto"/>
        </w:rPr>
        <w:t>”), the other Subsidiary Borrowers from time to time parties thereto, the Lenders, the Administrative Agent, Citibank, N.A., as syndication agent, Bank of America, N.A., as co-syndication agent, and the other agents named therein, the Company [has] [and certain of its Subsidiaries (collectively,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together with the Company and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Fourth Amended and Restated Guarantee Agreement, dated as of [•], 2021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83" w:lineRule="exact"/>
        <w:rPr>
          <w:sz w:val="20"/>
          <w:szCs w:val="20"/>
          <w:color w:val="auto"/>
        </w:rPr>
      </w:pPr>
    </w:p>
    <w:p>
      <w:pPr>
        <w:ind w:left="120" w:right="500" w:firstLine="989"/>
        <w:spacing w:after="0" w:line="276" w:lineRule="auto"/>
        <w:rPr>
          <w:sz w:val="20"/>
          <w:szCs w:val="20"/>
          <w:color w:val="auto"/>
        </w:rPr>
      </w:pPr>
      <w:r>
        <w:rPr>
          <w:rFonts w:ascii="Arial" w:cs="Arial" w:eastAsia="Arial" w:hAnsi="Arial"/>
          <w:sz w:val="18"/>
          <w:szCs w:val="18"/>
          <w:color w:val="auto"/>
        </w:rPr>
        <w:t xml:space="preserve">WHEREAS, the Additional Guarantor desires to become a party to the Guarantee Agreement in accordance with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NOW, THEREFORE, IT IS AGREED:</w:t>
      </w:r>
    </w:p>
    <w:p>
      <w:pPr>
        <w:spacing w:after="0" w:line="116" w:lineRule="exact"/>
        <w:rPr>
          <w:sz w:val="20"/>
          <w:szCs w:val="20"/>
          <w:color w:val="auto"/>
        </w:rPr>
      </w:pPr>
    </w:p>
    <w:p>
      <w:pPr>
        <w:ind w:left="120" w:firstLine="998"/>
        <w:spacing w:after="0" w:line="258" w:lineRule="auto"/>
        <w:tabs>
          <w:tab w:leader="none" w:pos="128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3" w:lineRule="exact"/>
        <w:rPr>
          <w:rFonts w:ascii="Arial" w:cs="Arial" w:eastAsia="Arial" w:hAnsi="Arial"/>
          <w:sz w:val="18"/>
          <w:szCs w:val="18"/>
          <w:color w:val="auto"/>
        </w:rPr>
      </w:pPr>
    </w:p>
    <w:p>
      <w:pPr>
        <w:ind w:left="120" w:right="340" w:firstLine="998"/>
        <w:spacing w:after="0" w:line="265" w:lineRule="auto"/>
        <w:tabs>
          <w:tab w:leader="none" w:pos="1288"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the undersigned has caused this Joinder Agreement to be duly executed and delivered as of the date first above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written.</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[ADDITIONAL GUARANTOR]</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60"/>
          </w:cols>
          <w:pgMar w:left="320" w:top="459"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DATE SET FORTH ABOVE: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Agent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39"/>
          </w:cols>
          <w:pgMar w:left="320" w:top="459" w:right="1440"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FORM OF COMPETITIVE BID REQUEST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Meghan Roberts</w:t>
      </w:r>
    </w:p>
    <w:p>
      <w:pPr>
        <w:spacing w:after="0" w:line="210"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_________, 20__</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Ladies/Gentlemen:</w:t>
      </w:r>
    </w:p>
    <w:p>
      <w:pPr>
        <w:spacing w:after="0" w:line="102" w:lineRule="exact"/>
        <w:rPr>
          <w:sz w:val="20"/>
          <w:szCs w:val="20"/>
          <w:color w:val="auto"/>
        </w:rPr>
      </w:pPr>
    </w:p>
    <w:p>
      <w:pPr>
        <w:ind w:left="120" w:right="40" w:firstLine="989"/>
        <w:spacing w:after="0" w:line="269"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14"/>
          <w:szCs w:val="14"/>
          <w:color w:val="auto"/>
        </w:rPr>
        <w:t>1</w:t>
      </w:r>
      <w:r>
        <w:rPr>
          <w:rFonts w:ascii="Arial" w:cs="Arial" w:eastAsia="Arial" w:hAnsi="Arial"/>
          <w:sz w:val="17"/>
          <w:szCs w:val="17"/>
          <w:color w:val="auto"/>
        </w:rPr>
        <w:t>, refer[s] to the Fourth Amended and Restated Three Year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2.9(a) of the Credit Agreement that it requests a Competitive Loan under the Credit Agreement, and in that connection sets forth below the terms on which such Competitive Loan is requested to be made:</w:t>
      </w: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 Currency of Competitive Loan</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r>
    </w:tbl>
    <w:p>
      <w:pPr>
        <w:spacing w:after="0" w:line="188" w:lineRule="exact"/>
        <w:rPr>
          <w:sz w:val="20"/>
          <w:szCs w:val="20"/>
          <w:color w:val="auto"/>
        </w:rPr>
      </w:pPr>
    </w:p>
    <w:p>
      <w:pPr>
        <w:ind w:left="780" w:hanging="292"/>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223" w:lineRule="exact"/>
        <w:rPr>
          <w:rFonts w:ascii="Arial" w:cs="Arial" w:eastAsia="Arial" w:hAnsi="Arial"/>
          <w:sz w:val="18"/>
          <w:szCs w:val="18"/>
          <w:color w:val="auto"/>
        </w:rPr>
      </w:pPr>
    </w:p>
    <w:p>
      <w:pPr>
        <w:ind w:left="780" w:hanging="292"/>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Principal Amount of Competitive Loan</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5812155</wp:posOffset>
            </wp:positionH>
            <wp:positionV relativeFrom="paragraph">
              <wp:posOffset>14605</wp:posOffset>
            </wp:positionV>
            <wp:extent cx="12484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-258445</wp:posOffset>
            </wp:positionV>
            <wp:extent cx="12484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185420</wp:posOffset>
            </wp:positionV>
            <wp:extent cx="7696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312" w:lineRule="exact"/>
        <w:rPr>
          <w:sz w:val="20"/>
          <w:szCs w:val="20"/>
          <w:color w:val="auto"/>
        </w:rPr>
      </w:pPr>
    </w:p>
    <w:p>
      <w:pPr>
        <w:ind w:left="560" w:hanging="431"/>
        <w:spacing w:after="0"/>
        <w:tabs>
          <w:tab w:leader="none" w:pos="560" w:val="left"/>
        </w:tabs>
        <w:numPr>
          <w:ilvl w:val="0"/>
          <w:numId w:val="164"/>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560" w:hanging="431"/>
        <w:spacing w:after="0"/>
        <w:tabs>
          <w:tab w:leader="none" w:pos="560" w:val="left"/>
        </w:tabs>
        <w:numPr>
          <w:ilvl w:val="0"/>
          <w:numId w:val="165"/>
        </w:numPr>
        <w:rPr>
          <w:rFonts w:ascii="Arial" w:cs="Arial" w:eastAsia="Arial" w:hAnsi="Arial"/>
          <w:sz w:val="15"/>
          <w:szCs w:val="15"/>
          <w:color w:val="auto"/>
        </w:rPr>
      </w:pPr>
      <w:r>
        <w:rPr>
          <w:rFonts w:ascii="Arial" w:cs="Arial" w:eastAsia="Arial" w:hAnsi="Arial"/>
          <w:sz w:val="18"/>
          <w:szCs w:val="18"/>
          <w:color w:val="auto"/>
        </w:rPr>
        <w:t>If Bid Requested from the Company, it is the “Applicable Borrower”.</w:t>
      </w:r>
    </w:p>
    <w:p>
      <w:pPr>
        <w:spacing w:after="0" w:line="9" w:lineRule="exact"/>
        <w:rPr>
          <w:sz w:val="20"/>
          <w:szCs w:val="20"/>
          <w:color w:val="auto"/>
        </w:rPr>
      </w:pPr>
    </w:p>
    <w:p>
      <w:pPr>
        <w:ind w:left="560" w:hanging="431"/>
        <w:spacing w:after="0"/>
        <w:tabs>
          <w:tab w:leader="none" w:pos="560" w:val="left"/>
        </w:tabs>
        <w:numPr>
          <w:ilvl w:val="0"/>
          <w:numId w:val="166"/>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pacing w:after="0" w:line="9" w:lineRule="exact"/>
        <w:rPr>
          <w:sz w:val="20"/>
          <w:szCs w:val="20"/>
          <w:color w:val="auto"/>
        </w:rPr>
      </w:pPr>
    </w:p>
    <w:p>
      <w:pPr>
        <w:ind w:left="560" w:hanging="431"/>
        <w:spacing w:after="0"/>
        <w:tabs>
          <w:tab w:leader="none" w:pos="560" w:val="left"/>
        </w:tabs>
        <w:numPr>
          <w:ilvl w:val="0"/>
          <w:numId w:val="167"/>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40" w:hanging="652"/>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Interest rate basis</w:t>
      </w:r>
      <w:r>
        <w:rPr>
          <w:rFonts w:ascii="Arial" w:cs="Arial" w:eastAsia="Arial" w:hAnsi="Arial"/>
          <w:sz w:val="15"/>
          <w:szCs w:val="15"/>
          <w:color w:val="auto"/>
        </w:rPr>
        <w:t>5</w:t>
      </w:r>
    </w:p>
    <w:p>
      <w:pPr>
        <w:spacing w:after="0" w:line="224" w:lineRule="exact"/>
        <w:rPr>
          <w:rFonts w:ascii="Arial" w:cs="Arial" w:eastAsia="Arial" w:hAnsi="Arial"/>
          <w:sz w:val="18"/>
          <w:szCs w:val="18"/>
          <w:color w:val="auto"/>
        </w:rPr>
      </w:pPr>
    </w:p>
    <w:p>
      <w:pPr>
        <w:ind w:left="1120" w:hanging="632"/>
        <w:spacing w:after="0"/>
        <w:tabs>
          <w:tab w:leader="none" w:pos="11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6</w:t>
      </w:r>
    </w:p>
    <w:p>
      <w:pPr>
        <w:spacing w:after="0" w:line="223" w:lineRule="exact"/>
        <w:rPr>
          <w:rFonts w:ascii="Arial" w:cs="Arial" w:eastAsia="Arial" w:hAnsi="Arial"/>
          <w:sz w:val="18"/>
          <w:szCs w:val="18"/>
          <w:color w:val="auto"/>
        </w:rPr>
      </w:pPr>
    </w:p>
    <w:p>
      <w:pPr>
        <w:ind w:left="1120" w:hanging="632"/>
        <w:spacing w:after="0"/>
        <w:tabs>
          <w:tab w:leader="none" w:pos="11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14605</wp:posOffset>
            </wp:positionV>
            <wp:extent cx="18815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-258445</wp:posOffset>
            </wp:positionV>
            <wp:extent cx="18815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-532130</wp:posOffset>
            </wp:positionV>
            <wp:extent cx="18815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217" w:lineRule="exact"/>
        <w:rPr>
          <w:sz w:val="20"/>
          <w:szCs w:val="20"/>
          <w:color w:val="auto"/>
        </w:rPr>
      </w:pPr>
    </w:p>
    <w:p>
      <w:pPr>
        <w:ind w:left="120" w:right="120" w:firstLine="989"/>
        <w:spacing w:after="0" w:line="341"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[INSERT NAME OF APPLICABLE BORROWER]</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244475</wp:posOffset>
            </wp:positionV>
            <wp:extent cx="7696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60" w:hanging="431"/>
        <w:spacing w:after="0"/>
        <w:tabs>
          <w:tab w:leader="none" w:pos="560" w:val="left"/>
        </w:tabs>
        <w:numPr>
          <w:ilvl w:val="0"/>
          <w:numId w:val="169"/>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22" w:lineRule="exact"/>
        <w:rPr>
          <w:sz w:val="20"/>
          <w:szCs w:val="20"/>
          <w:color w:val="auto"/>
        </w:rPr>
      </w:pPr>
    </w:p>
    <w:p>
      <w:pPr>
        <w:ind w:left="560" w:hanging="431"/>
        <w:spacing w:after="0"/>
        <w:tabs>
          <w:tab w:leader="none" w:pos="560" w:val="left"/>
        </w:tabs>
        <w:numPr>
          <w:ilvl w:val="0"/>
          <w:numId w:val="170"/>
        </w:numPr>
        <w:rPr>
          <w:rFonts w:ascii="Arial" w:cs="Arial" w:eastAsia="Arial" w:hAnsi="Arial"/>
          <w:sz w:val="13"/>
          <w:szCs w:val="13"/>
          <w:color w:val="auto"/>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COMPETITIVE BID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Meghan Roberts</w:t>
      </w:r>
    </w:p>
    <w:p>
      <w:pPr>
        <w:spacing w:after="0" w:line="210"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_________, 20__</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Ladies/Gentlemen:</w:t>
      </w:r>
    </w:p>
    <w:p>
      <w:pPr>
        <w:spacing w:after="0" w:line="224" w:lineRule="exact"/>
        <w:rPr>
          <w:sz w:val="20"/>
          <w:szCs w:val="20"/>
          <w:color w:val="auto"/>
        </w:rPr>
      </w:pPr>
    </w:p>
    <w:p>
      <w:pPr>
        <w:ind w:left="120" w:right="40" w:firstLine="989"/>
        <w:spacing w:after="0" w:line="288" w:lineRule="auto"/>
        <w:rPr>
          <w:sz w:val="20"/>
          <w:szCs w:val="20"/>
          <w:color w:val="auto"/>
        </w:rPr>
      </w:pPr>
      <w:r>
        <w:rPr>
          <w:rFonts w:ascii="Arial" w:cs="Arial" w:eastAsia="Arial" w:hAnsi="Arial"/>
          <w:sz w:val="16"/>
          <w:szCs w:val="16"/>
          <w:color w:val="auto"/>
        </w:rPr>
        <w:t>The undersigned, [Name of Lender], refers to the Fourth Amended and Restated Three Year Revolving Credit Agreement, dated as of April 7, 2021,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 Competitive Bid Request made by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on _________, 20__, and in that connection sets forth below the terms on which such Competitive Bid is made:</w:t>
      </w:r>
    </w:p>
    <w:p>
      <w:pPr>
        <w:spacing w:after="0" w:line="195" w:lineRule="exact"/>
        <w:rPr>
          <w:sz w:val="20"/>
          <w:szCs w:val="20"/>
          <w:color w:val="auto"/>
        </w:rPr>
      </w:pPr>
    </w:p>
    <w:p>
      <w:pPr>
        <w:ind w:left="480"/>
        <w:spacing w:after="0"/>
        <w:tabs>
          <w:tab w:leader="none" w:pos="1100" w:val="left"/>
          <w:tab w:leader="none" w:pos="10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Currency of Competitive Loan</w:t>
      </w:r>
      <w:r>
        <w:rPr>
          <w:sz w:val="20"/>
          <w:szCs w:val="20"/>
          <w:color w:val="auto"/>
        </w:rPr>
        <w:tab/>
      </w:r>
      <w:r>
        <w:rPr>
          <w:rFonts w:ascii="Arial" w:cs="Arial" w:eastAsia="Arial" w:hAnsi="Arial"/>
          <w:sz w:val="17"/>
          <w:szCs w:val="17"/>
          <w:color w:val="auto"/>
        </w:rPr>
        <w:t xml:space="preserve">]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14605</wp:posOffset>
            </wp:positionV>
            <wp:extent cx="18815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204" w:lineRule="exact"/>
        <w:rPr>
          <w:sz w:val="20"/>
          <w:szCs w:val="20"/>
          <w:color w:val="auto"/>
        </w:rPr>
      </w:pPr>
    </w:p>
    <w:p>
      <w:pPr>
        <w:ind w:left="1140" w:hanging="652"/>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223" w:lineRule="exact"/>
        <w:rPr>
          <w:rFonts w:ascii="Arial" w:cs="Arial" w:eastAsia="Arial" w:hAnsi="Arial"/>
          <w:sz w:val="18"/>
          <w:szCs w:val="18"/>
          <w:color w:val="auto"/>
        </w:rPr>
      </w:pPr>
    </w:p>
    <w:p>
      <w:pPr>
        <w:ind w:left="1140" w:hanging="652"/>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2</w:t>
      </w:r>
    </w:p>
    <w:p>
      <w:pPr>
        <w:spacing w:after="0" w:line="223" w:lineRule="exact"/>
        <w:rPr>
          <w:rFonts w:ascii="Arial" w:cs="Arial" w:eastAsia="Arial" w:hAnsi="Arial"/>
          <w:sz w:val="18"/>
          <w:szCs w:val="18"/>
          <w:color w:val="auto"/>
        </w:rPr>
      </w:pPr>
    </w:p>
    <w:p>
      <w:pPr>
        <w:ind w:left="1140" w:hanging="652"/>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14605</wp:posOffset>
            </wp:positionV>
            <wp:extent cx="18815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-258445</wp:posOffset>
            </wp:positionV>
            <wp:extent cx="18815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-532130</wp:posOffset>
            </wp:positionV>
            <wp:extent cx="18815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108585</wp:posOffset>
            </wp:positionV>
            <wp:extent cx="7696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91" w:lineRule="exact"/>
        <w:rPr>
          <w:sz w:val="20"/>
          <w:szCs w:val="20"/>
          <w:color w:val="auto"/>
        </w:rPr>
      </w:pPr>
    </w:p>
    <w:p>
      <w:pPr>
        <w:ind w:left="560" w:hanging="431"/>
        <w:spacing w:after="0"/>
        <w:tabs>
          <w:tab w:leader="none" w:pos="560" w:val="left"/>
        </w:tabs>
        <w:numPr>
          <w:ilvl w:val="0"/>
          <w:numId w:val="172"/>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pacing w:after="0" w:line="22" w:lineRule="exact"/>
        <w:rPr>
          <w:sz w:val="20"/>
          <w:szCs w:val="20"/>
          <w:color w:val="auto"/>
        </w:rPr>
      </w:pPr>
    </w:p>
    <w:p>
      <w:pPr>
        <w:ind w:left="560" w:right="240" w:hanging="431"/>
        <w:spacing w:after="0" w:line="249" w:lineRule="auto"/>
        <w:tabs>
          <w:tab w:leader="none" w:pos="560" w:val="left"/>
        </w:tabs>
        <w:numPr>
          <w:ilvl w:val="0"/>
          <w:numId w:val="173"/>
        </w:numPr>
        <w:rPr>
          <w:rFonts w:ascii="Arial" w:cs="Arial" w:eastAsia="Arial" w:hAnsi="Arial"/>
          <w:sz w:val="15"/>
          <w:szCs w:val="15"/>
          <w:color w:val="auto"/>
        </w:rPr>
      </w:pP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p>
      <w:pPr>
        <w:spacing w:after="0" w:line="1" w:lineRule="exact"/>
        <w:rPr>
          <w:sz w:val="20"/>
          <w:szCs w:val="20"/>
          <w:color w:val="auto"/>
        </w:rPr>
      </w:pPr>
    </w:p>
    <w:p>
      <w:pPr>
        <w:ind w:left="560" w:hanging="431"/>
        <w:spacing w:after="0" w:line="261" w:lineRule="auto"/>
        <w:tabs>
          <w:tab w:leader="none" w:pos="560" w:val="left"/>
        </w:tabs>
        <w:numPr>
          <w:ilvl w:val="0"/>
          <w:numId w:val="174"/>
        </w:numPr>
        <w:rPr>
          <w:rFonts w:ascii="Arial" w:cs="Arial" w:eastAsia="Arial" w:hAnsi="Arial"/>
          <w:sz w:val="15"/>
          <w:szCs w:val="15"/>
          <w:color w:val="auto"/>
        </w:rPr>
      </w:pPr>
      <w:r>
        <w:rPr>
          <w:rFonts w:ascii="Arial" w:cs="Arial" w:eastAsia="Arial" w:hAnsi="Arial"/>
          <w:sz w:val="18"/>
          <w:szCs w:val="18"/>
          <w:i w:val="1"/>
          <w:iCs w:val="1"/>
          <w:color w:val="auto"/>
        </w:rPr>
        <w:t>i.e.</w:t>
      </w:r>
      <w:r>
        <w:rPr>
          <w:rFonts w:ascii="Arial" w:cs="Arial" w:eastAsia="Arial" w:hAnsi="Arial"/>
          <w:sz w:val="18"/>
          <w:szCs w:val="18"/>
          <w:color w:val="auto"/>
        </w:rPr>
        <w:t>, Eurocurrency Rate + or - __%, in the case of Eurocurrency Competitive Loans or __%, in the case of Fixed Rate Loans, in each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per annum in the form of a decimal to no more than four decimal places.</w:t>
      </w:r>
    </w:p>
    <w:p>
      <w:pPr>
        <w:sectPr>
          <w:pgSz w:w="11900" w:h="16838" w:orient="portrait"/>
          <w:cols w:equalWidth="0" w:num="1">
            <w:col w:w="11120"/>
          </w:cols>
          <w:pgMar w:left="320" w:top="458"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ind w:left="1120" w:hanging="632"/>
        <w:spacing w:after="0"/>
        <w:tabs>
          <w:tab w:leader="none" w:pos="11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Interest Period and last day thereof</w:t>
      </w:r>
    </w:p>
    <w:p>
      <w:pPr>
        <w:spacing w:after="0" w:line="224" w:lineRule="exact"/>
        <w:rPr>
          <w:rFonts w:ascii="Arial" w:cs="Arial" w:eastAsia="Arial" w:hAnsi="Arial"/>
          <w:sz w:val="18"/>
          <w:szCs w:val="18"/>
          <w:color w:val="auto"/>
        </w:rPr>
      </w:pPr>
    </w:p>
    <w:p>
      <w:pPr>
        <w:ind w:left="1120" w:hanging="632"/>
        <w:spacing w:after="0"/>
        <w:tabs>
          <w:tab w:leader="none" w:pos="11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14605</wp:posOffset>
            </wp:positionV>
            <wp:extent cx="18815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-258445</wp:posOffset>
            </wp:positionV>
            <wp:extent cx="18815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217" w:lineRule="exact"/>
        <w:rPr>
          <w:sz w:val="20"/>
          <w:szCs w:val="20"/>
          <w:color w:val="auto"/>
        </w:rPr>
      </w:pPr>
    </w:p>
    <w:p>
      <w:pPr>
        <w:ind w:left="120" w:firstLine="989"/>
        <w:spacing w:after="0" w:line="341" w:lineRule="auto"/>
        <w:rPr>
          <w:sz w:val="20"/>
          <w:szCs w:val="20"/>
          <w:color w:val="auto"/>
        </w:rPr>
      </w:pPr>
      <w:r>
        <w:rPr>
          <w:rFonts w:ascii="Arial" w:cs="Arial" w:eastAsia="Arial" w:hAnsi="Arial"/>
          <w:sz w:val="16"/>
          <w:szCs w:val="16"/>
          <w:color w:val="auto"/>
        </w:rPr>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1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OF LENDER]</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40"/>
          </w:cols>
          <w:pgMar w:left="320" w:top="458" w:right="8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Meghan Roberts</w:t>
      </w:r>
    </w:p>
    <w:p>
      <w:pPr>
        <w:spacing w:after="0" w:line="210"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_________, 20__</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Ladies/Gentlemen:</w:t>
      </w:r>
    </w:p>
    <w:p>
      <w:pPr>
        <w:spacing w:after="0" w:line="224" w:lineRule="exact"/>
        <w:rPr>
          <w:sz w:val="20"/>
          <w:szCs w:val="20"/>
          <w:color w:val="auto"/>
        </w:rPr>
      </w:pPr>
    </w:p>
    <w:p>
      <w:pPr>
        <w:ind w:left="120" w:right="40" w:firstLine="989"/>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(the “Company/Applicable Borrower”)]</w:t>
      </w:r>
      <w:r>
        <w:rPr>
          <w:rFonts w:ascii="Arial" w:cs="Arial" w:eastAsia="Arial" w:hAnsi="Arial"/>
          <w:sz w:val="14"/>
          <w:szCs w:val="14"/>
          <w:color w:val="auto"/>
        </w:rPr>
        <w:t>1</w:t>
      </w:r>
      <w:r>
        <w:rPr>
          <w:rFonts w:ascii="Arial" w:cs="Arial" w:eastAsia="Arial" w:hAnsi="Arial"/>
          <w:sz w:val="17"/>
          <w:szCs w:val="17"/>
          <w:color w:val="auto"/>
        </w:rPr>
        <w:t>, refer[s] to the Fourth Amended and Restated Three Year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pacing w:after="0" w:line="180" w:lineRule="exact"/>
        <w:rPr>
          <w:sz w:val="20"/>
          <w:szCs w:val="20"/>
          <w:color w:val="auto"/>
        </w:rPr>
      </w:pPr>
    </w:p>
    <w:p>
      <w:pPr>
        <w:ind w:left="120" w:right="160" w:firstLine="989"/>
        <w:spacing w:after="0" w:line="341" w:lineRule="auto"/>
        <w:rPr>
          <w:sz w:val="20"/>
          <w:szCs w:val="20"/>
          <w:color w:val="auto"/>
        </w:rPr>
      </w:pPr>
      <w:r>
        <w:rPr>
          <w:rFonts w:ascii="Arial" w:cs="Arial" w:eastAsia="Arial" w:hAnsi="Arial"/>
          <w:sz w:val="16"/>
          <w:szCs w:val="16"/>
          <w:color w:val="auto"/>
        </w:rPr>
        <w:t>In accordance with Section 2.9(d) of the Credit Agreement, we have received a summary of bids in connection with our Competitive Bid Request dated _________, 20__ and in accordance with Section 2.9(e) of the Credit Agreement, we hereby accept the following bids: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90805</wp:posOffset>
            </wp:positionV>
            <wp:extent cx="7696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63" w:lineRule="exact"/>
        <w:rPr>
          <w:sz w:val="20"/>
          <w:szCs w:val="20"/>
          <w:color w:val="auto"/>
        </w:rPr>
      </w:pPr>
    </w:p>
    <w:p>
      <w:pPr>
        <w:ind w:left="560" w:hanging="431"/>
        <w:spacing w:after="0"/>
        <w:tabs>
          <w:tab w:leader="none" w:pos="560" w:val="left"/>
        </w:tabs>
        <w:numPr>
          <w:ilvl w:val="0"/>
          <w:numId w:val="176"/>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560" w:hanging="431"/>
        <w:spacing w:after="0"/>
        <w:tabs>
          <w:tab w:leader="none" w:pos="560" w:val="left"/>
        </w:tabs>
        <w:numPr>
          <w:ilvl w:val="0"/>
          <w:numId w:val="177"/>
        </w:numPr>
        <w:rPr>
          <w:rFonts w:ascii="Arial" w:cs="Arial" w:eastAsia="Arial" w:hAnsi="Arial"/>
          <w:sz w:val="15"/>
          <w:szCs w:val="15"/>
          <w:color w:val="auto"/>
        </w:rPr>
      </w:pPr>
      <w:r>
        <w:rPr>
          <w:rFonts w:ascii="Arial" w:cs="Arial" w:eastAsia="Arial" w:hAnsi="Arial"/>
          <w:sz w:val="18"/>
          <w:szCs w:val="18"/>
          <w:color w:val="auto"/>
        </w:rPr>
        <w:t>If Bid Requested by the Company, it is the “Applicable Borrower”.</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hereby reject the following bids: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Borrowing Date</w:t>
      </w:r>
    </w:p>
    <w:p>
      <w:pPr>
        <w:spacing w:after="0" w:line="210" w:lineRule="exact"/>
        <w:rPr>
          <w:sz w:val="20"/>
          <w:szCs w:val="20"/>
          <w:color w:val="auto"/>
        </w:rPr>
      </w:pPr>
    </w:p>
    <w:p>
      <w:pPr>
        <w:jc w:val="right"/>
        <w:spacing w:after="0"/>
        <w:tabs>
          <w:tab w:leader="none" w:pos="8640" w:val="left"/>
        </w:tabs>
        <w:rPr>
          <w:sz w:val="20"/>
          <w:szCs w:val="20"/>
          <w:color w:val="auto"/>
        </w:rPr>
      </w:pPr>
      <w:r>
        <w:rPr>
          <w:rFonts w:ascii="Arial" w:cs="Arial" w:eastAsia="Arial" w:hAnsi="Arial"/>
          <w:sz w:val="18"/>
          <w:szCs w:val="18"/>
          <w:color w:val="auto"/>
        </w:rPr>
        <w:t>The [$]</w:t>
      </w:r>
      <w:r>
        <w:rPr>
          <w:sz w:val="20"/>
          <w:szCs w:val="20"/>
          <w:color w:val="auto"/>
        </w:rPr>
        <w:tab/>
      </w:r>
      <w:r>
        <w:rPr>
          <w:rFonts w:ascii="Arial" w:cs="Arial" w:eastAsia="Arial" w:hAnsi="Arial"/>
          <w:sz w:val="16"/>
          <w:szCs w:val="16"/>
          <w:color w:val="auto"/>
        </w:rPr>
        <w:t>should be made available to the Applicable Borrower in immediately available funds by crediting the following account:</w:t>
      </w:r>
    </w:p>
    <w:p>
      <w:pPr>
        <w:spacing w:after="0" w:line="25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5080</wp:posOffset>
            </wp:positionV>
            <wp:extent cx="20186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18665" cy="8255"/>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22225</wp:posOffset>
            </wp:positionV>
            <wp:extent cx="20186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18665" cy="825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-122555</wp:posOffset>
            </wp:positionV>
            <wp:extent cx="20186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18665" cy="8255"/>
                    </a:xfrm>
                    <a:prstGeom prst="rect">
                      <a:avLst/>
                    </a:prstGeom>
                    <a:noFill/>
                  </pic:spPr>
                </pic:pic>
              </a:graphicData>
            </a:graphic>
          </wp:anchor>
        </w:drawing>
      </w:r>
    </w:p>
    <w:p>
      <w:pPr>
        <w:spacing w:after="0" w:line="2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[INSERT NAME OF APPLICABLE BORROWER]</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320" w:top="459" w:right="5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255"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Credit Agreement referred to below</w:t>
      </w:r>
    </w:p>
    <w:p>
      <w:pPr>
        <w:spacing w:after="0" w:line="210" w:lineRule="exact"/>
        <w:rPr>
          <w:sz w:val="20"/>
          <w:szCs w:val="20"/>
          <w:color w:val="auto"/>
        </w:rPr>
      </w:pPr>
    </w:p>
    <w:p>
      <w:pPr>
        <w:ind w:left="120" w:right="40" w:firstLine="439"/>
        <w:spacing w:after="0" w:line="271" w:lineRule="auto"/>
        <w:rPr>
          <w:sz w:val="20"/>
          <w:szCs w:val="20"/>
          <w:color w:val="auto"/>
        </w:rPr>
      </w:pPr>
      <w:r>
        <w:rPr>
          <w:rFonts w:ascii="Arial" w:cs="Arial" w:eastAsia="Arial" w:hAnsi="Arial"/>
          <w:sz w:val="17"/>
          <w:szCs w:val="17"/>
          <w:color w:val="auto"/>
        </w:rPr>
        <w:t>Reference is made to the Fourth Amended and Restated Three Year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9" w:lineRule="exact"/>
        <w:rPr>
          <w:sz w:val="20"/>
          <w:szCs w:val="20"/>
          <w:color w:val="auto"/>
        </w:rPr>
      </w:pPr>
    </w:p>
    <w:p>
      <w:pPr>
        <w:ind w:left="120" w:right="120" w:firstLine="989"/>
        <w:spacing w:after="0" w:line="276"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70" w:lineRule="exact"/>
        <w:rPr>
          <w:sz w:val="20"/>
          <w:szCs w:val="20"/>
          <w:color w:val="auto"/>
        </w:rPr>
      </w:pPr>
    </w:p>
    <w:p>
      <w:pPr>
        <w:ind w:left="120" w:right="60" w:firstLine="998"/>
        <w:spacing w:after="0" w:line="263" w:lineRule="auto"/>
        <w:tabs>
          <w:tab w:leader="none" w:pos="128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Incremental Lender party hereto agrees to commit to an Incremental Facility or increase the amount of its existing [Brazilian] [Domestic] [L/C Tranche] [Multicurrency] Commitment in the amount set forth opposite such Incremental Lender’s name on the signature pages hereof under the caption “Incremental Commitment”.</w:t>
      </w:r>
    </w:p>
    <w:p>
      <w:pPr>
        <w:spacing w:after="0" w:line="181" w:lineRule="exact"/>
        <w:rPr>
          <w:rFonts w:ascii="Arial" w:cs="Arial" w:eastAsia="Arial" w:hAnsi="Arial"/>
          <w:sz w:val="18"/>
          <w:szCs w:val="18"/>
          <w:color w:val="auto"/>
        </w:rPr>
      </w:pPr>
    </w:p>
    <w:p>
      <w:pPr>
        <w:ind w:left="1300" w:hanging="182"/>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[Incremental Facility Closing Date][Commitment Increase Date] is ___________________.</w:t>
      </w:r>
    </w:p>
    <w:p>
      <w:pPr>
        <w:spacing w:after="0" w:line="223" w:lineRule="exact"/>
        <w:rPr>
          <w:rFonts w:ascii="Arial" w:cs="Arial" w:eastAsia="Arial" w:hAnsi="Arial"/>
          <w:sz w:val="18"/>
          <w:szCs w:val="18"/>
          <w:color w:val="auto"/>
        </w:rPr>
      </w:pPr>
    </w:p>
    <w:p>
      <w:pPr>
        <w:ind w:left="1300" w:hanging="182"/>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Incremental Loan Maturity Date is _____________.</w:t>
      </w:r>
    </w:p>
    <w:p>
      <w:pPr>
        <w:spacing w:after="0" w:line="223" w:lineRule="exact"/>
        <w:rPr>
          <w:rFonts w:ascii="Arial" w:cs="Arial" w:eastAsia="Arial" w:hAnsi="Arial"/>
          <w:sz w:val="18"/>
          <w:szCs w:val="18"/>
          <w:color w:val="auto"/>
        </w:rPr>
      </w:pPr>
    </w:p>
    <w:p>
      <w:pPr>
        <w:ind w:left="1300" w:hanging="182"/>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[Currency] [Currencies] available under the Incremental Facility [is][are] _______________________.</w:t>
      </w:r>
    </w:p>
    <w:p>
      <w:pPr>
        <w:spacing w:after="0" w:line="223" w:lineRule="exact"/>
        <w:rPr>
          <w:rFonts w:ascii="Arial" w:cs="Arial" w:eastAsia="Arial" w:hAnsi="Arial"/>
          <w:sz w:val="18"/>
          <w:szCs w:val="18"/>
          <w:color w:val="auto"/>
        </w:rPr>
      </w:pPr>
    </w:p>
    <w:p>
      <w:pPr>
        <w:ind w:left="1300" w:hanging="182"/>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borrower[s] under the Incremental Facility [is][are] ____________.</w:t>
      </w:r>
    </w:p>
    <w:p>
      <w:pPr>
        <w:spacing w:after="0" w:line="223" w:lineRule="exact"/>
        <w:rPr>
          <w:rFonts w:ascii="Arial" w:cs="Arial" w:eastAsia="Arial" w:hAnsi="Arial"/>
          <w:sz w:val="18"/>
          <w:szCs w:val="18"/>
          <w:color w:val="auto"/>
        </w:rPr>
      </w:pPr>
    </w:p>
    <w:p>
      <w:pPr>
        <w:ind w:left="120" w:firstLine="998"/>
        <w:spacing w:after="0" w:line="276" w:lineRule="auto"/>
        <w:tabs>
          <w:tab w:leader="none" w:pos="128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Applicable Margin and other fees applicable to the Incremental Loans and other extensions of credit to be made available under the Incremental Facility are: ______________________________________________________.]</w:t>
      </w:r>
    </w:p>
    <w:p>
      <w:pPr>
        <w:spacing w:after="0" w:line="170" w:lineRule="exact"/>
        <w:rPr>
          <w:rFonts w:ascii="Arial" w:cs="Arial" w:eastAsia="Arial" w:hAnsi="Arial"/>
          <w:sz w:val="18"/>
          <w:szCs w:val="18"/>
          <w:color w:val="auto"/>
        </w:rPr>
      </w:pPr>
    </w:p>
    <w:p>
      <w:pPr>
        <w:ind w:left="120" w:right="80" w:firstLine="998"/>
        <w:spacing w:after="0" w:line="276" w:lineRule="auto"/>
        <w:tabs>
          <w:tab w:leader="none" w:pos="128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ectPr>
          <w:pgSz w:w="11900" w:h="16838" w:orient="portrait"/>
          <w:cols w:equalWidth="0" w:num="1">
            <w:col w:w="11120"/>
          </w:cols>
          <w:pgMar w:left="320" w:top="458"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60" w:firstLine="998"/>
        <w:spacing w:after="0" w:line="263" w:lineRule="auto"/>
        <w:tabs>
          <w:tab w:leader="none" w:pos="128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73" w:lineRule="exact"/>
        <w:rPr>
          <w:rFonts w:ascii="Arial" w:cs="Arial" w:eastAsia="Arial" w:hAnsi="Arial"/>
          <w:sz w:val="18"/>
          <w:szCs w:val="18"/>
          <w:color w:val="auto"/>
        </w:rPr>
      </w:pPr>
    </w:p>
    <w:p>
      <w:pPr>
        <w:ind w:left="1760" w:hanging="242"/>
        <w:spacing w:after="0"/>
        <w:tabs>
          <w:tab w:leader="none" w:pos="176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Administrative Agent shall have received this notice, executed and delivered by the Company and each Incremental Lender</w:t>
      </w:r>
    </w:p>
    <w:p>
      <w:pPr>
        <w:spacing w:after="0" w:line="4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party hereto.</w:t>
      </w:r>
    </w:p>
    <w:p>
      <w:pPr>
        <w:spacing w:after="0" w:line="101" w:lineRule="exact"/>
        <w:rPr>
          <w:rFonts w:ascii="Arial" w:cs="Arial" w:eastAsia="Arial" w:hAnsi="Arial"/>
          <w:sz w:val="16"/>
          <w:szCs w:val="16"/>
          <w:color w:val="auto"/>
        </w:rPr>
      </w:pPr>
    </w:p>
    <w:p>
      <w:pPr>
        <w:ind w:left="560" w:firstLine="958"/>
        <w:spacing w:after="0" w:line="296" w:lineRule="auto"/>
        <w:tabs>
          <w:tab w:leader="none" w:pos="176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13"/>
          <w:szCs w:val="13"/>
          <w:color w:val="auto"/>
        </w:rPr>
        <w:t>1</w:t>
      </w:r>
      <w:r>
        <w:rPr>
          <w:rFonts w:ascii="Arial" w:cs="Arial" w:eastAsia="Arial" w:hAnsi="Arial"/>
          <w:sz w:val="16"/>
          <w:szCs w:val="16"/>
          <w:color w:val="auto"/>
        </w:rPr>
        <w:t xml:space="preserve"> and (ii)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$18 billion.</w:t>
      </w:r>
    </w:p>
    <w:p>
      <w:pPr>
        <w:spacing w:after="0" w:line="158" w:lineRule="exact"/>
        <w:rPr>
          <w:rFonts w:ascii="Arial" w:cs="Arial" w:eastAsia="Arial" w:hAnsi="Arial"/>
          <w:sz w:val="16"/>
          <w:szCs w:val="16"/>
          <w:color w:val="auto"/>
        </w:rPr>
      </w:pPr>
    </w:p>
    <w:p>
      <w:pPr>
        <w:ind w:left="120" w:right="640" w:firstLine="998"/>
        <w:spacing w:after="0" w:line="276" w:lineRule="auto"/>
        <w:tabs>
          <w:tab w:leader="none" w:pos="128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254000</wp:posOffset>
            </wp:positionV>
            <wp:extent cx="7696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60" w:hanging="431"/>
        <w:spacing w:after="0"/>
        <w:tabs>
          <w:tab w:leader="none" w:pos="560" w:val="left"/>
        </w:tabs>
        <w:numPr>
          <w:ilvl w:val="0"/>
          <w:numId w:val="180"/>
        </w:numPr>
        <w:rPr>
          <w:rFonts w:ascii="Arial" w:cs="Arial" w:eastAsia="Arial" w:hAnsi="Arial"/>
          <w:sz w:val="15"/>
          <w:szCs w:val="15"/>
          <w:color w:val="auto"/>
        </w:rPr>
      </w:pPr>
      <w:r>
        <w:rPr>
          <w:rFonts w:ascii="Arial" w:cs="Arial" w:eastAsia="Arial" w:hAnsi="Arial"/>
          <w:sz w:val="18"/>
          <w:szCs w:val="18"/>
          <w:color w:val="auto"/>
        </w:rPr>
        <w:t>To be deleted if agreed by the Lenders providing such Incremental Facility.</w:t>
      </w:r>
    </w:p>
    <w:p>
      <w:pPr>
        <w:sectPr>
          <w:pgSz w:w="11900" w:h="16838" w:orient="portrait"/>
          <w:cols w:equalWidth="0" w:num="1">
            <w:col w:w="11100"/>
          </w:cols>
          <w:pgMar w:left="320" w:top="459" w:right="47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07"/>
        </w:trPr>
        <w:tc>
          <w:tcPr>
            <w:tcW w:w="5400" w:type="dxa"/>
            <w:vAlign w:val="bottom"/>
            <w:gridSpan w:val="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5720" w:type="dxa"/>
            <w:vAlign w:val="bottom"/>
            <w:gridSpan w:val="2"/>
          </w:tcPr>
          <w:p>
            <w:pPr>
              <w:ind w:left="132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431"/>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720" w:type="dxa"/>
            <w:vAlign w:val="bottom"/>
            <w:gridSpan w:val="2"/>
          </w:tcPr>
          <w:p>
            <w:pPr>
              <w:ind w:left="13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7"/>
        </w:trPr>
        <w:tc>
          <w:tcPr>
            <w:tcW w:w="5400" w:type="dxa"/>
            <w:vAlign w:val="bottom"/>
            <w:gridSpan w:val="3"/>
          </w:tcPr>
          <w:p>
            <w:pPr>
              <w:ind w:left="120"/>
              <w:spacing w:after="0"/>
              <w:rPr>
                <w:sz w:val="20"/>
                <w:szCs w:val="20"/>
                <w:color w:val="auto"/>
              </w:rPr>
            </w:pPr>
            <w:r>
              <w:rPr>
                <w:rFonts w:ascii="Arial" w:cs="Arial" w:eastAsia="Arial" w:hAnsi="Arial"/>
                <w:sz w:val="18"/>
                <w:szCs w:val="18"/>
                <w:color w:val="auto"/>
              </w:rPr>
              <w:t>Incremental Loan Commitment</w:t>
            </w: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[NAME OF EACH INCREMENTAL LENDER]</w:t>
            </w:r>
          </w:p>
        </w:tc>
        <w:tc>
          <w:tcPr>
            <w:tcW w:w="0" w:type="dxa"/>
            <w:vAlign w:val="bottom"/>
          </w:tcPr>
          <w:p>
            <w:pPr>
              <w:spacing w:after="0"/>
              <w:rPr>
                <w:sz w:val="1"/>
                <w:szCs w:val="1"/>
                <w:color w:val="auto"/>
              </w:rPr>
            </w:pPr>
          </w:p>
        </w:tc>
      </w:tr>
      <w:tr>
        <w:trPr>
          <w:trHeight w:val="230"/>
        </w:trPr>
        <w:tc>
          <w:tcPr>
            <w:tcW w:w="460" w:type="dxa"/>
            <w:vAlign w:val="bottom"/>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5720" w:type="dxa"/>
            <w:vAlign w:val="bottom"/>
            <w:gridSpan w:val="2"/>
            <w:vMerge w:val="restart"/>
          </w:tcPr>
          <w:p>
            <w:pPr>
              <w:ind w:left="132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720" w:type="dxa"/>
            <w:vAlign w:val="bottom"/>
            <w:gridSpan w:val="2"/>
          </w:tcPr>
          <w:p>
            <w:pPr>
              <w:ind w:left="13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7"/>
        </w:trPr>
        <w:tc>
          <w:tcPr>
            <w:tcW w:w="5400" w:type="dxa"/>
            <w:vAlign w:val="bottom"/>
            <w:gridSpan w:val="3"/>
          </w:tcPr>
          <w:p>
            <w:pPr>
              <w:ind w:left="120"/>
              <w:spacing w:after="0"/>
              <w:rPr>
                <w:sz w:val="20"/>
                <w:szCs w:val="20"/>
                <w:color w:val="auto"/>
              </w:rPr>
            </w:pPr>
            <w:r>
              <w:rPr>
                <w:rFonts w:ascii="Arial" w:cs="Arial" w:eastAsia="Arial" w:hAnsi="Arial"/>
                <w:sz w:val="18"/>
                <w:szCs w:val="18"/>
                <w:color w:val="auto"/>
              </w:rPr>
              <w:t>RECEIVED BY:</w:t>
            </w:r>
          </w:p>
        </w:tc>
        <w:tc>
          <w:tcPr>
            <w:tcW w:w="1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00" w:type="dxa"/>
            <w:vAlign w:val="bottom"/>
            <w:gridSpan w:val="3"/>
          </w:tcPr>
          <w:p>
            <w:pPr>
              <w:ind w:left="120"/>
              <w:spacing w:after="0"/>
              <w:rPr>
                <w:sz w:val="20"/>
                <w:szCs w:val="20"/>
                <w:color w:val="auto"/>
              </w:rPr>
            </w:pPr>
            <w:r>
              <w:rPr>
                <w:rFonts w:ascii="Arial" w:cs="Arial" w:eastAsia="Arial" w:hAnsi="Arial"/>
                <w:sz w:val="18"/>
                <w:szCs w:val="18"/>
                <w:color w:val="auto"/>
              </w:rPr>
              <w:t>JPMorgan Chase Bank, N.A.,</w:t>
            </w:r>
          </w:p>
        </w:tc>
        <w:tc>
          <w:tcPr>
            <w:tcW w:w="16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3"/>
          </w:tcPr>
          <w:p>
            <w:pPr>
              <w:ind w:left="120"/>
              <w:spacing w:after="0"/>
              <w:rPr>
                <w:sz w:val="20"/>
                <w:szCs w:val="20"/>
                <w:color w:val="auto"/>
              </w:rPr>
            </w:pPr>
            <w:r>
              <w:rPr>
                <w:rFonts w:ascii="Arial" w:cs="Arial" w:eastAsia="Arial" w:hAnsi="Arial"/>
                <w:sz w:val="18"/>
                <w:szCs w:val="18"/>
                <w:color w:val="auto"/>
              </w:rPr>
              <w:t>as Administrative Agent</w:t>
            </w:r>
          </w:p>
        </w:tc>
        <w:tc>
          <w:tcPr>
            <w:tcW w:w="16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5400" w:type="dxa"/>
            <w:vAlign w:val="bottom"/>
            <w:gridSpan w:val="3"/>
          </w:tcPr>
          <w:p>
            <w:pPr>
              <w:ind w:left="120"/>
              <w:spacing w:after="0"/>
              <w:rPr>
                <w:sz w:val="20"/>
                <w:szCs w:val="20"/>
                <w:color w:val="auto"/>
              </w:rPr>
            </w:pPr>
            <w:r>
              <w:rPr>
                <w:rFonts w:ascii="Arial" w:cs="Arial" w:eastAsia="Arial" w:hAnsi="Arial"/>
                <w:sz w:val="18"/>
                <w:szCs w:val="18"/>
                <w:color w:val="auto"/>
              </w:rPr>
              <w:t>By:</w:t>
            </w:r>
          </w:p>
        </w:tc>
        <w:tc>
          <w:tcPr>
            <w:tcW w:w="1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9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Name:</w:t>
            </w:r>
          </w:p>
        </w:tc>
        <w:tc>
          <w:tcPr>
            <w:tcW w:w="16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20"/>
          </w:cols>
          <w:pgMar w:left="320" w:top="44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FORM OF CLOSING CERTIFICATE</w:t>
      </w:r>
    </w:p>
    <w:p>
      <w:pPr>
        <w:spacing w:after="0" w:line="11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[NAME OF LOAN PARTY]</w:t>
      </w:r>
    </w:p>
    <w:p>
      <w:pPr>
        <w:spacing w:after="0" w:line="210"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__________, 20__</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Certificate is furnished pursuant to (i) Section 5.1(c) of that certain Fourth Amended and Restated Three Year Revolving Credit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dated as of April 7, 2021 (as amended, restated, amended and restated, renewed, supplemented or modified from time to time, the “</w:t>
      </w:r>
      <w:r>
        <w:rPr>
          <w:rFonts w:ascii="Arial" w:cs="Arial" w:eastAsia="Arial" w:hAnsi="Arial"/>
          <w:sz w:val="17"/>
          <w:szCs w:val="17"/>
          <w:u w:val="single" w:color="auto"/>
          <w:color w:val="auto"/>
        </w:rPr>
        <w:t>3-Year Credit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among General Motors Company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 Treasury Centre Limited, a corporation organized under the laws of England and Wales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GMGTC</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co-syndication agent (in such capacity, the “</w:t>
      </w:r>
      <w:r>
        <w:rPr>
          <w:rFonts w:ascii="Arial" w:cs="Arial" w:eastAsia="Arial" w:hAnsi="Arial"/>
          <w:sz w:val="17"/>
          <w:szCs w:val="17"/>
          <w:u w:val="single" w:color="auto"/>
          <w:color w:val="auto"/>
        </w:rPr>
        <w:t>Co-Syndication Agent</w:t>
      </w:r>
      <w:r>
        <w:rPr>
          <w:rFonts w:ascii="Arial" w:cs="Arial" w:eastAsia="Arial" w:hAnsi="Arial"/>
          <w:sz w:val="17"/>
          <w:szCs w:val="17"/>
          <w:color w:val="auto"/>
        </w:rPr>
        <w:t>”), and the other agents party thereto, (ii) Section 5.1(c) of that certain Third</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Amended and Restated Five Year Revolving Credit Agreement, dated as of April 18, 2018 (as amended by that certain Amendment No. 1 and Consent,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dated as of April 7, 2021, and as amended, restated, amended and restated, renewed, supplemented or modified from time to time the “</w:t>
      </w:r>
      <w:r>
        <w:rPr>
          <w:rFonts w:ascii="Arial" w:cs="Arial" w:eastAsia="Arial" w:hAnsi="Arial"/>
          <w:sz w:val="16"/>
          <w:szCs w:val="16"/>
          <w:u w:val="single" w:color="auto"/>
          <w:color w:val="auto"/>
        </w:rPr>
        <w:t>5-Year Credit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among the Company, GMF, GMGTC, GM Brazil, the Subsidiary Borrowers from time to time party thereto, the lenders from time to time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Brasil S.A., as Brazilian administrative agent, the Syndication Agent, the Co-Syndication Agent, and the other agents party thereto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-19685</wp:posOffset>
            </wp:positionV>
            <wp:extent cx="285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120" w:right="140" w:firstLine="9"/>
        <w:spacing w:after="0" w:line="268" w:lineRule="auto"/>
        <w:tabs>
          <w:tab w:leader="none" w:pos="43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Section 5.1(c) of that certain Third Amended and Restated 364-Day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364-Day Credit Agreement</w:t>
      </w:r>
      <w:r>
        <w:rPr>
          <w:rFonts w:ascii="Arial" w:cs="Arial" w:eastAsia="Arial" w:hAnsi="Arial"/>
          <w:sz w:val="17"/>
          <w:szCs w:val="17"/>
          <w:color w:val="auto"/>
        </w:rPr>
        <w:t>” and together with the 3-Year Credit Agreement and the 5-Year Credit Agreement, the “</w:t>
      </w:r>
      <w:r>
        <w:rPr>
          <w:rFonts w:ascii="Arial" w:cs="Arial" w:eastAsia="Arial" w:hAnsi="Arial"/>
          <w:sz w:val="17"/>
          <w:szCs w:val="17"/>
          <w:u w:val="single" w:color="auto"/>
          <w:color w:val="auto"/>
        </w:rPr>
        <w:t>Credit Agreements</w:t>
      </w:r>
      <w:r>
        <w:rPr>
          <w:rFonts w:ascii="Arial" w:cs="Arial" w:eastAsia="Arial" w:hAnsi="Arial"/>
          <w:sz w:val="17"/>
          <w:szCs w:val="17"/>
          <w:color w:val="auto"/>
        </w:rPr>
        <w:t>” and each a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GMF, GMGTC, the Subsidiary Borrowers from time to time party thereto, the lenders from time to time party thereto, as lenders (the “</w:t>
      </w:r>
      <w:r>
        <w:rPr>
          <w:rFonts w:ascii="Arial" w:cs="Arial" w:eastAsia="Arial" w:hAnsi="Arial"/>
          <w:sz w:val="17"/>
          <w:szCs w:val="17"/>
          <w:u w:val="single" w:color="auto"/>
          <w:color w:val="auto"/>
        </w:rPr>
        <w:t>364-Day Lenders</w:t>
      </w:r>
      <w:r>
        <w:rPr>
          <w:rFonts w:ascii="Arial" w:cs="Arial" w:eastAsia="Arial" w:hAnsi="Arial"/>
          <w:sz w:val="17"/>
          <w:szCs w:val="17"/>
          <w:color w:val="auto"/>
        </w:rPr>
        <w:t>” and together with the 3-Year Lenders and the 5-Year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JPM as the Administrative Agent for the 364-Day Lenders (the “</w:t>
      </w:r>
      <w:r>
        <w:rPr>
          <w:rFonts w:ascii="Arial" w:cs="Arial" w:eastAsia="Arial" w:hAnsi="Arial"/>
          <w:sz w:val="17"/>
          <w:szCs w:val="17"/>
          <w:u w:val="single" w:color="auto"/>
          <w:color w:val="auto"/>
        </w:rPr>
        <w:t>364-Day 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and together with the 3-Year Administrative Agent and the 5-Year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the Syndication Agent, the Co-Syndication Agent, and the other agents party thereto. Unless otherwise defined herein, capitalized terms used in this Certificate have the meanings assigned to such terms in each Credit Agreement.</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540" w:firstLine="439"/>
        <w:spacing w:after="0" w:line="306" w:lineRule="auto"/>
        <w:rPr>
          <w:sz w:val="20"/>
          <w:szCs w:val="20"/>
          <w:color w:val="auto"/>
        </w:rPr>
      </w:pPr>
      <w:r>
        <w:rPr>
          <w:rFonts w:ascii="Arial" w:cs="Arial" w:eastAsia="Arial" w:hAnsi="Arial"/>
          <w:sz w:val="17"/>
          <w:szCs w:val="17"/>
          <w:color w:val="auto"/>
        </w:rPr>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40" w:lineRule="exact"/>
        <w:rPr>
          <w:sz w:val="20"/>
          <w:szCs w:val="20"/>
          <w:color w:val="auto"/>
        </w:rPr>
      </w:pPr>
    </w:p>
    <w:p>
      <w:pPr>
        <w:ind w:left="560" w:firstLine="430"/>
        <w:spacing w:after="0" w:line="258" w:lineRule="auto"/>
        <w:tabs>
          <w:tab w:leader="none" w:pos="116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79" w:lineRule="exact"/>
        <w:rPr>
          <w:rFonts w:ascii="Arial" w:cs="Arial" w:eastAsia="Arial" w:hAnsi="Arial"/>
          <w:sz w:val="18"/>
          <w:szCs w:val="18"/>
          <w:color w:val="auto"/>
        </w:rPr>
      </w:pPr>
    </w:p>
    <w:p>
      <w:pPr>
        <w:ind w:left="560" w:right="380" w:firstLine="430"/>
        <w:spacing w:after="0" w:line="276" w:lineRule="auto"/>
        <w:tabs>
          <w:tab w:leader="none" w:pos="116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[by-laws][Limited Liability Company Agreement][Operating Agreement] of the Company as in effect on the date hereof.</w:t>
      </w:r>
    </w:p>
    <w:p>
      <w:pPr>
        <w:spacing w:after="0" w:line="62" w:lineRule="exact"/>
        <w:rPr>
          <w:rFonts w:ascii="Arial" w:cs="Arial" w:eastAsia="Arial" w:hAnsi="Arial"/>
          <w:sz w:val="18"/>
          <w:szCs w:val="18"/>
          <w:color w:val="auto"/>
        </w:rPr>
      </w:pPr>
    </w:p>
    <w:p>
      <w:pPr>
        <w:ind w:left="560" w:right="100" w:firstLine="430"/>
        <w:spacing w:after="0" w:line="273" w:lineRule="auto"/>
        <w:tabs>
          <w:tab w:leader="none" w:pos="116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Attached hereto as Annex III is a true, correct and complete copy of resolutions duly adopted by the Board of [Directors] [Managers] of the Company [at a meeting thereof] [by written consent] as of the ___ day of ____________, 2021;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66" w:lineRule="exact"/>
        <w:rPr>
          <w:rFonts w:ascii="Arial" w:cs="Arial" w:eastAsia="Arial" w:hAnsi="Arial"/>
          <w:sz w:val="17"/>
          <w:szCs w:val="17"/>
          <w:color w:val="auto"/>
        </w:rPr>
      </w:pPr>
    </w:p>
    <w:p>
      <w:pPr>
        <w:ind w:left="560" w:right="120" w:firstLine="430"/>
        <w:spacing w:after="0" w:line="306" w:lineRule="auto"/>
        <w:tabs>
          <w:tab w:leader="none" w:pos="116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080"/>
          </w:cols>
          <w:pgMar w:left="320" w:top="459"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Witness my hand as of the first date written above.</w:t>
      </w:r>
    </w:p>
    <w:p>
      <w:pPr>
        <w:spacing w:after="0" w:line="200" w:lineRule="exact"/>
        <w:rPr>
          <w:sz w:val="20"/>
          <w:szCs w:val="20"/>
          <w:color w:val="auto"/>
        </w:rPr>
      </w:pPr>
    </w:p>
    <w:p>
      <w:pPr>
        <w:spacing w:after="0" w:line="28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4272280</wp:posOffset>
            </wp:positionH>
            <wp:positionV relativeFrom="paragraph">
              <wp:posOffset>-130175</wp:posOffset>
            </wp:positionV>
            <wp:extent cx="27882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204" w:lineRule="exact"/>
        <w:rPr>
          <w:sz w:val="20"/>
          <w:szCs w:val="20"/>
          <w:color w:val="auto"/>
        </w:rPr>
      </w:pPr>
    </w:p>
    <w:p>
      <w:pPr>
        <w:ind w:left="120" w:right="20" w:firstLine="439"/>
        <w:spacing w:after="0" w:line="276"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63" w:lineRule="exact"/>
        <w:rPr>
          <w:sz w:val="20"/>
          <w:szCs w:val="20"/>
          <w:color w:val="auto"/>
        </w:rPr>
      </w:pPr>
    </w:p>
    <w:p>
      <w:pPr>
        <w:ind w:left="120" w:right="600" w:firstLine="448"/>
        <w:spacing w:after="0" w:line="276" w:lineRule="auto"/>
        <w:tabs>
          <w:tab w:leader="none" w:pos="73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___________________ is [a] [the] duly elected and qualified [Assistant] Secretary of the Company and the signature above is [his][her] genuine signature.</w:t>
      </w:r>
    </w:p>
    <w:p>
      <w:pPr>
        <w:spacing w:after="0" w:line="170" w:lineRule="exact"/>
        <w:rPr>
          <w:rFonts w:ascii="Arial" w:cs="Arial" w:eastAsia="Arial" w:hAnsi="Arial"/>
          <w:sz w:val="18"/>
          <w:szCs w:val="18"/>
          <w:color w:val="auto"/>
        </w:rPr>
      </w:pPr>
    </w:p>
    <w:p>
      <w:pPr>
        <w:jc w:val="both"/>
        <w:ind w:left="120" w:firstLine="448"/>
        <w:spacing w:after="0" w:line="258" w:lineRule="auto"/>
        <w:tabs>
          <w:tab w:leader="none" w:pos="73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date.]1</w:t>
      </w:r>
    </w:p>
    <w:p>
      <w:pPr>
        <w:spacing w:after="0" w:line="187" w:lineRule="exact"/>
        <w:rPr>
          <w:rFonts w:ascii="Arial" w:cs="Arial" w:eastAsia="Arial" w:hAnsi="Arial"/>
          <w:sz w:val="18"/>
          <w:szCs w:val="18"/>
          <w:color w:val="auto"/>
        </w:rPr>
      </w:pPr>
    </w:p>
    <w:p>
      <w:pPr>
        <w:ind w:left="740" w:hanging="172"/>
        <w:spacing w:after="0"/>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as of the date hereof.] 2</w:t>
      </w:r>
    </w:p>
    <w:p>
      <w:pPr>
        <w:spacing w:after="0" w:line="200" w:lineRule="exact"/>
        <w:rPr>
          <w:sz w:val="20"/>
          <w:szCs w:val="20"/>
          <w:color w:val="auto"/>
        </w:rPr>
      </w:pPr>
    </w:p>
    <w:p>
      <w:pPr>
        <w:spacing w:after="0" w:line="280"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4272280</wp:posOffset>
            </wp:positionH>
            <wp:positionV relativeFrom="paragraph">
              <wp:posOffset>-123190</wp:posOffset>
            </wp:positionV>
            <wp:extent cx="27882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78828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107315</wp:posOffset>
            </wp:positionV>
            <wp:extent cx="7696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9" w:lineRule="exact"/>
        <w:rPr>
          <w:sz w:val="20"/>
          <w:szCs w:val="20"/>
          <w:color w:val="auto"/>
        </w:rPr>
      </w:pPr>
    </w:p>
    <w:p>
      <w:pPr>
        <w:ind w:left="560" w:hanging="431"/>
        <w:spacing w:after="0"/>
        <w:tabs>
          <w:tab w:leader="none" w:pos="5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be included in Certificate relating to General Motors Company only.</w:t>
      </w:r>
    </w:p>
    <w:p>
      <w:pPr>
        <w:spacing w:after="0" w:line="2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To be included in Certificate relating to General Motors Company only.</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left="10240"/>
        <w:spacing w:after="0"/>
        <w:rPr>
          <w:sz w:val="20"/>
          <w:szCs w:val="20"/>
          <w:color w:val="auto"/>
        </w:rPr>
      </w:pPr>
      <w:r>
        <w:rPr>
          <w:rFonts w:ascii="Arial" w:cs="Arial" w:eastAsia="Arial" w:hAnsi="Arial"/>
          <w:sz w:val="18"/>
          <w:szCs w:val="18"/>
          <w:color w:val="auto"/>
        </w:rPr>
        <w:t>ANNEX I</w:t>
      </w:r>
    </w:p>
    <w:p>
      <w:pPr>
        <w:spacing w:after="0" w:line="23" w:lineRule="exact"/>
        <w:rPr>
          <w:sz w:val="20"/>
          <w:szCs w:val="20"/>
          <w:color w:val="auto"/>
        </w:rPr>
      </w:pPr>
    </w:p>
    <w:p>
      <w:pPr>
        <w:jc w:val="center"/>
        <w:ind w:left="103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20"/>
        <w:spacing w:after="0"/>
        <w:rPr>
          <w:sz w:val="20"/>
          <w:szCs w:val="20"/>
          <w:color w:val="auto"/>
        </w:rPr>
      </w:pPr>
      <w:r>
        <w:rPr>
          <w:rFonts w:ascii="Arial" w:cs="Arial" w:eastAsia="Arial" w:hAnsi="Arial"/>
          <w:sz w:val="16"/>
          <w:szCs w:val="16"/>
          <w:color w:val="auto"/>
        </w:rPr>
        <w:t>Certificate</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[Copy of the Certificate of [Incorporation][Formation]]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left="10180"/>
        <w:spacing w:after="0"/>
        <w:rPr>
          <w:sz w:val="20"/>
          <w:szCs w:val="20"/>
          <w:color w:val="auto"/>
        </w:rPr>
      </w:pPr>
      <w:r>
        <w:rPr>
          <w:rFonts w:ascii="Arial" w:cs="Arial" w:eastAsia="Arial" w:hAnsi="Arial"/>
          <w:sz w:val="18"/>
          <w:szCs w:val="18"/>
          <w:color w:val="auto"/>
        </w:rPr>
        <w:t>ANNEX II</w:t>
      </w:r>
    </w:p>
    <w:p>
      <w:pPr>
        <w:spacing w:after="0" w:line="23" w:lineRule="exact"/>
        <w:rPr>
          <w:sz w:val="20"/>
          <w:szCs w:val="20"/>
          <w:color w:val="auto"/>
        </w:rPr>
      </w:pPr>
    </w:p>
    <w:p>
      <w:pPr>
        <w:jc w:val="center"/>
        <w:ind w:left="103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20"/>
        <w:spacing w:after="0"/>
        <w:rPr>
          <w:sz w:val="20"/>
          <w:szCs w:val="20"/>
          <w:color w:val="auto"/>
        </w:rPr>
      </w:pPr>
      <w:r>
        <w:rPr>
          <w:rFonts w:ascii="Arial" w:cs="Arial" w:eastAsia="Arial" w:hAnsi="Arial"/>
          <w:sz w:val="16"/>
          <w:szCs w:val="16"/>
          <w:color w:val="auto"/>
        </w:rPr>
        <w:t>Certificate</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[Copy of the [by-laws] [Limited Liability Company Agreement][Operating Agreement]</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left="10120"/>
        <w:spacing w:after="0"/>
        <w:rPr>
          <w:sz w:val="20"/>
          <w:szCs w:val="20"/>
          <w:color w:val="auto"/>
        </w:rPr>
      </w:pPr>
      <w:r>
        <w:rPr>
          <w:rFonts w:ascii="Arial" w:cs="Arial" w:eastAsia="Arial" w:hAnsi="Arial"/>
          <w:sz w:val="18"/>
          <w:szCs w:val="18"/>
          <w:color w:val="auto"/>
        </w:rPr>
        <w:t>ANNEX III</w:t>
      </w:r>
    </w:p>
    <w:p>
      <w:pPr>
        <w:spacing w:after="0" w:line="23" w:lineRule="exact"/>
        <w:rPr>
          <w:sz w:val="20"/>
          <w:szCs w:val="20"/>
          <w:color w:val="auto"/>
        </w:rPr>
      </w:pPr>
    </w:p>
    <w:p>
      <w:pPr>
        <w:jc w:val="center"/>
        <w:ind w:left="103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20"/>
        <w:spacing w:after="0"/>
        <w:rPr>
          <w:sz w:val="20"/>
          <w:szCs w:val="20"/>
          <w:color w:val="auto"/>
        </w:rPr>
      </w:pPr>
      <w:r>
        <w:rPr>
          <w:rFonts w:ascii="Arial" w:cs="Arial" w:eastAsia="Arial" w:hAnsi="Arial"/>
          <w:sz w:val="16"/>
          <w:szCs w:val="16"/>
          <w:color w:val="auto"/>
        </w:rPr>
        <w:t>Certificate</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ANNEX IV</w:t>
      </w:r>
    </w:p>
    <w:p>
      <w:pPr>
        <w:spacing w:after="0" w:line="23" w:lineRule="exact"/>
        <w:rPr>
          <w:sz w:val="20"/>
          <w:szCs w:val="20"/>
          <w:color w:val="auto"/>
        </w:rPr>
      </w:pPr>
    </w:p>
    <w:p>
      <w:pPr>
        <w:ind w:left="107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Certificate</w:t>
      </w:r>
    </w:p>
    <w:p>
      <w:pPr>
        <w:spacing w:after="0" w:line="232" w:lineRule="exact"/>
        <w:rPr>
          <w:sz w:val="20"/>
          <w:szCs w:val="20"/>
          <w:color w:val="auto"/>
        </w:rPr>
      </w:pPr>
    </w:p>
    <w:p>
      <w:pPr>
        <w:ind w:left="1580"/>
        <w:spacing w:after="0"/>
        <w:tabs>
          <w:tab w:leader="none" w:pos="5660" w:val="left"/>
          <w:tab w:leader="none" w:pos="9120" w:val="left"/>
        </w:tabs>
        <w:rPr>
          <w:sz w:val="20"/>
          <w:szCs w:val="20"/>
          <w:color w:val="auto"/>
        </w:rPr>
      </w:pPr>
      <w:r>
        <w:rPr>
          <w:rFonts w:ascii="Arial" w:cs="Arial" w:eastAsia="Arial" w:hAnsi="Arial"/>
          <w:sz w:val="14"/>
          <w:szCs w:val="14"/>
          <w:color w:val="auto"/>
        </w:rPr>
        <w:t>Name of Officer</w:t>
      </w:r>
      <w:r>
        <w:rPr>
          <w:sz w:val="20"/>
          <w:szCs w:val="20"/>
          <w:color w:val="auto"/>
        </w:rPr>
        <w:tab/>
      </w:r>
      <w:r>
        <w:rPr>
          <w:rFonts w:ascii="Arial" w:cs="Arial" w:eastAsia="Arial" w:hAnsi="Arial"/>
          <w:sz w:val="14"/>
          <w:szCs w:val="14"/>
          <w:color w:val="auto"/>
        </w:rPr>
        <w:t>Office</w:t>
      </w:r>
      <w:r>
        <w:rPr>
          <w:sz w:val="20"/>
          <w:szCs w:val="20"/>
          <w:color w:val="auto"/>
        </w:rPr>
        <w:tab/>
      </w: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12065</wp:posOffset>
            </wp:positionV>
            <wp:extent cx="69786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ectPr>
          <w:pgSz w:w="11900" w:h="16838" w:orient="portrait"/>
          <w:cols w:equalWidth="0" w:num="1">
            <w:col w:w="11120"/>
          </w:cols>
          <w:pgMar w:left="320" w:top="458"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EXHIBIT G</w:t>
      </w:r>
    </w:p>
    <w:p>
      <w:pPr>
        <w:spacing w:after="0" w:line="27" w:lineRule="exact"/>
        <w:rPr>
          <w:sz w:val="20"/>
          <w:szCs w:val="20"/>
          <w:color w:val="auto"/>
        </w:rPr>
      </w:pPr>
    </w:p>
    <w:p>
      <w:pPr>
        <w:ind w:left="10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ASSIGNMENT AND ASSUMPTION</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ASSIGNMENT AND ASSUMPTION, dated as of _____________, 20__ (as amended, supplemented or modified from time to time, this</w:t>
      </w:r>
    </w:p>
    <w:p>
      <w:pPr>
        <w:spacing w:after="0" w:line="34" w:lineRule="exact"/>
        <w:rPr>
          <w:sz w:val="20"/>
          <w:szCs w:val="20"/>
          <w:color w:val="auto"/>
        </w:rPr>
      </w:pPr>
    </w:p>
    <w:p>
      <w:pPr>
        <w:ind w:left="120" w:right="8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5" w:lineRule="exact"/>
        <w:rPr>
          <w:sz w:val="20"/>
          <w:szCs w:val="20"/>
          <w:color w:val="auto"/>
        </w:rPr>
      </w:pPr>
    </w:p>
    <w:p>
      <w:pPr>
        <w:ind w:left="120" w:right="60" w:firstLine="439"/>
        <w:spacing w:after="0" w:line="291" w:lineRule="auto"/>
        <w:rPr>
          <w:sz w:val="20"/>
          <w:szCs w:val="20"/>
          <w:color w:val="auto"/>
        </w:rPr>
      </w:pPr>
      <w:r>
        <w:rPr>
          <w:rFonts w:ascii="Arial" w:cs="Arial" w:eastAsia="Arial" w:hAnsi="Arial"/>
          <w:sz w:val="16"/>
          <w:szCs w:val="16"/>
          <w:color w:val="auto"/>
        </w:rPr>
        <w:t>Reference is made to the Fourth Amended and Restated Three Year Revolving Credit Agreement, dated as of April 7, 2021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 England and Wales, the Subsidiary Borrowers from time to time party thereto,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Assignor and the Assignee hereby agree as follows:</w:t>
      </w:r>
    </w:p>
    <w:p>
      <w:pPr>
        <w:spacing w:after="0" w:line="116" w:lineRule="exact"/>
        <w:rPr>
          <w:sz w:val="20"/>
          <w:szCs w:val="20"/>
          <w:color w:val="auto"/>
        </w:rPr>
      </w:pPr>
    </w:p>
    <w:p>
      <w:pPr>
        <w:ind w:left="120" w:firstLine="448"/>
        <w:spacing w:after="0" w:line="268" w:lineRule="auto"/>
        <w:tabs>
          <w:tab w:leader="none" w:pos="73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For an agreed consideration, the Assignor hereby irrevocably sells and assigns to the Assignee,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as of the Trade Date (as defined below), the interest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xml:space="preserve">”) in and to the Assignor’s rights and obligations under the Credit Agreement with respect to its [Commitment [and all outstanding Letters of Credit issued by an Issuing Lender other than the Assignor]1][and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71755</wp:posOffset>
            </wp:positionV>
            <wp:extent cx="7696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32" w:lineRule="exact"/>
        <w:rPr>
          <w:sz w:val="20"/>
          <w:szCs w:val="20"/>
          <w:color w:val="auto"/>
        </w:rPr>
      </w:pPr>
    </w:p>
    <w:p>
      <w:pPr>
        <w:ind w:left="560" w:hanging="431"/>
        <w:spacing w:after="0"/>
        <w:tabs>
          <w:tab w:leader="none" w:pos="5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Insert bracketed text if the Assignor is an L/C Participant and Letters of Credit issued by another Issuing Lender are outstanding.</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color w:val="auto"/>
        </w:rPr>
        <w:t xml:space="preserve">amount for the Assigned Interest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it is expressly understood and agreed that (i) the Assignor is not assigning to the Assignee and the Assignor shall retain (A) all of the Assignor’s rights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from and after the Trade Date.</w:t>
      </w:r>
    </w:p>
    <w:p>
      <w:pPr>
        <w:spacing w:after="0" w:line="189" w:lineRule="exact"/>
        <w:rPr>
          <w:sz w:val="20"/>
          <w:szCs w:val="20"/>
          <w:color w:val="auto"/>
        </w:rPr>
      </w:pPr>
    </w:p>
    <w:p>
      <w:pPr>
        <w:ind w:left="120" w:firstLine="448"/>
        <w:spacing w:after="0" w:line="285" w:lineRule="auto"/>
        <w:tabs>
          <w:tab w:leader="none" w:pos="73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73" w:lineRule="exact"/>
        <w:rPr>
          <w:rFonts w:ascii="Arial" w:cs="Arial" w:eastAsia="Arial" w:hAnsi="Arial"/>
          <w:sz w:val="16"/>
          <w:szCs w:val="16"/>
          <w:color w:val="auto"/>
        </w:rPr>
      </w:pPr>
    </w:p>
    <w:p>
      <w:pPr>
        <w:ind w:left="120" w:right="260" w:firstLine="448"/>
        <w:spacing w:after="0" w:line="287" w:lineRule="auto"/>
        <w:tabs>
          <w:tab w:leader="none" w:pos="73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w:t>
      </w:r>
    </w:p>
    <w:p>
      <w:pPr>
        <w:ind w:left="120" w:right="100" w:firstLine="9"/>
        <w:spacing w:after="0" w:line="252" w:lineRule="auto"/>
        <w:tabs>
          <w:tab w:leader="none" w:pos="37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confirms that it has received a copy of the Credit Agreement, together with copies of the most recent financial statements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(or, if none of such financial statements shall have then been delivered or deemed delivered, then copies of the financial statements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thereof)[, the L/C Fee Letter]2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79375</wp:posOffset>
            </wp:positionV>
            <wp:extent cx="7696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45" w:lineRule="exact"/>
        <w:rPr>
          <w:sz w:val="20"/>
          <w:szCs w:val="20"/>
          <w:color w:val="auto"/>
        </w:rPr>
      </w:pPr>
    </w:p>
    <w:p>
      <w:pPr>
        <w:ind w:left="560" w:hanging="431"/>
        <w:spacing w:after="0"/>
        <w:tabs>
          <w:tab w:leader="none" w:pos="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Include for assignments of the L/C Tranche only.</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L/C Fee Letter and]3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79" w:lineRule="exact"/>
        <w:rPr>
          <w:sz w:val="20"/>
          <w:szCs w:val="20"/>
          <w:color w:val="auto"/>
        </w:rPr>
      </w:pPr>
    </w:p>
    <w:p>
      <w:pPr>
        <w:ind w:left="120" w:right="140" w:firstLine="448"/>
        <w:spacing w:after="0" w:line="254" w:lineRule="auto"/>
        <w:tabs>
          <w:tab w:leader="none" w:pos="73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effective date of this Agreement shall be the Trade Date of assignment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Following the 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90" w:lineRule="exact"/>
        <w:rPr>
          <w:rFonts w:ascii="Arial" w:cs="Arial" w:eastAsia="Arial" w:hAnsi="Arial"/>
          <w:sz w:val="18"/>
          <w:szCs w:val="18"/>
          <w:color w:val="auto"/>
        </w:rPr>
      </w:pPr>
    </w:p>
    <w:p>
      <w:pPr>
        <w:ind w:left="120" w:right="160" w:firstLine="448"/>
        <w:spacing w:after="0" w:line="285" w:lineRule="auto"/>
        <w:tabs>
          <w:tab w:leader="none" w:pos="73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65" w:lineRule="exact"/>
        <w:rPr>
          <w:rFonts w:ascii="Arial" w:cs="Arial" w:eastAsia="Arial" w:hAnsi="Arial"/>
          <w:sz w:val="17"/>
          <w:szCs w:val="17"/>
          <w:color w:val="auto"/>
        </w:rPr>
      </w:pPr>
    </w:p>
    <w:p>
      <w:pPr>
        <w:ind w:left="120" w:right="160" w:firstLine="448"/>
        <w:spacing w:after="0" w:line="301" w:lineRule="auto"/>
        <w:tabs>
          <w:tab w:leader="none" w:pos="73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From and after the Trade Date, (a) the Assignee shall be a party to [the L/C Fee Letter and]4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55880</wp:posOffset>
            </wp:positionV>
            <wp:extent cx="7696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08" w:lineRule="exact"/>
        <w:rPr>
          <w:sz w:val="20"/>
          <w:szCs w:val="20"/>
          <w:color w:val="auto"/>
        </w:rPr>
      </w:pPr>
    </w:p>
    <w:p>
      <w:pPr>
        <w:ind w:left="560" w:hanging="431"/>
        <w:spacing w:after="0"/>
        <w:tabs>
          <w:tab w:leader="none" w:pos="5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Include for assignments of the L/C Tranche only.</w:t>
      </w:r>
    </w:p>
    <w:p>
      <w:pPr>
        <w:spacing w:after="0" w:line="2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Include for assignments of the L/C Tranche only.</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48"/>
        <w:spacing w:after="0" w:line="276" w:lineRule="auto"/>
        <w:tabs>
          <w:tab w:leader="none" w:pos="73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70" w:lineRule="exact"/>
        <w:rPr>
          <w:rFonts w:ascii="Arial" w:cs="Arial" w:eastAsia="Arial" w:hAnsi="Arial"/>
          <w:sz w:val="18"/>
          <w:szCs w:val="18"/>
          <w:color w:val="auto"/>
        </w:rPr>
      </w:pPr>
    </w:p>
    <w:p>
      <w:pPr>
        <w:ind w:left="120" w:right="300" w:firstLine="448"/>
        <w:spacing w:after="0" w:line="285" w:lineRule="auto"/>
        <w:tabs>
          <w:tab w:leader="none" w:pos="73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080"/>
          </w:cols>
          <w:pgMar w:left="320" w:top="458"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76" w:lineRule="auto"/>
        <w:rPr>
          <w:sz w:val="20"/>
          <w:szCs w:val="20"/>
          <w:color w:val="auto"/>
        </w:rPr>
      </w:pPr>
      <w:r>
        <w:rPr>
          <w:rFonts w:ascii="Arial" w:cs="Arial" w:eastAsia="Arial" w:hAnsi="Arial"/>
          <w:sz w:val="18"/>
          <w:szCs w:val="18"/>
          <w:color w:val="auto"/>
        </w:rPr>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_________________________, as Assignor</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________________________, as Assignee</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40"/>
          </w:cols>
          <w:pgMar w:left="320" w:top="459" w:right="5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Accepted and Consented to</w:t>
      </w:r>
      <w:r>
        <w:rPr>
          <w:rFonts w:ascii="Arial" w:cs="Arial" w:eastAsia="Arial" w:hAnsi="Arial"/>
          <w:sz w:val="18"/>
          <w:szCs w:val="18"/>
          <w:color w:val="auto"/>
        </w:rPr>
        <w:t>5:</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Agent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Consented to:</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Material Issuing Lender]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90805</wp:posOffset>
            </wp:positionV>
            <wp:extent cx="7696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63" w:lineRule="exact"/>
        <w:rPr>
          <w:sz w:val="20"/>
          <w:szCs w:val="20"/>
          <w:color w:val="auto"/>
        </w:rPr>
      </w:pPr>
    </w:p>
    <w:p>
      <w:pPr>
        <w:ind w:left="560" w:hanging="431"/>
        <w:spacing w:after="0" w:line="293" w:lineRule="auto"/>
        <w:tabs>
          <w:tab w:leader="none" w:pos="5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Prior written consent of the Company, the Administrative Agent, each Material Issuing Lender at such time (with respect to assignments under the L/C Tranche Facility only), and the Brazilian Administrative Agent (in the case of any assignment of Brazilian commitments only) is required unless, (w) in the case of the Administrative Agent, the Assignee is a Lender or affiliate thereof, (x) in the case of each Material Issuing Lender, the Assignee is an L/C Tranche Lender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left="9180"/>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Assignment and Assumption</w:t>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attached to and incorporated in the Assignment and Assumption, dated as of ________________, 20__ (as amended,</w:t>
      </w:r>
    </w:p>
    <w:p>
      <w:pPr>
        <w:spacing w:after="0" w:line="34" w:lineRule="exact"/>
        <w:rPr>
          <w:sz w:val="20"/>
          <w:szCs w:val="20"/>
          <w:color w:val="auto"/>
        </w:rPr>
      </w:pPr>
    </w:p>
    <w:p>
      <w:pPr>
        <w:ind w:left="120" w:right="640"/>
        <w:spacing w:after="0" w:line="259" w:lineRule="auto"/>
        <w:rPr>
          <w:sz w:val="20"/>
          <w:szCs w:val="20"/>
          <w:color w:val="auto"/>
        </w:rPr>
      </w:pPr>
      <w:r>
        <w:rPr>
          <w:rFonts w:ascii="Arial" w:cs="Arial" w:eastAsia="Arial" w:hAnsi="Arial"/>
          <w:sz w:val="18"/>
          <w:szCs w:val="18"/>
          <w:color w:val="auto"/>
        </w:rPr>
        <w:t>supplemented or 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5" w:lineRule="exact"/>
        <w:rPr>
          <w:sz w:val="20"/>
          <w:szCs w:val="20"/>
          <w:color w:val="auto"/>
        </w:rPr>
      </w:pPr>
    </w:p>
    <w:p>
      <w:pPr>
        <w:ind w:left="120" w:right="60" w:firstLine="439"/>
        <w:spacing w:after="0" w:line="291" w:lineRule="auto"/>
        <w:rPr>
          <w:sz w:val="20"/>
          <w:szCs w:val="20"/>
          <w:color w:val="auto"/>
        </w:rPr>
      </w:pPr>
      <w:r>
        <w:rPr>
          <w:rFonts w:ascii="Arial" w:cs="Arial" w:eastAsia="Arial" w:hAnsi="Arial"/>
          <w:sz w:val="16"/>
          <w:szCs w:val="16"/>
          <w:color w:val="auto"/>
        </w:rPr>
        <w:t>Reference is made to the Fourth Amended and Restated Three Year Revolving Credit Agreement, dated as of April 7, 2021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 England and Wales, the Subsidiary Guarantors from time to time party thereto,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Name of the Assignor: ______________________</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Name of the Assignee: ______________________</w:t>
      </w:r>
    </w:p>
    <w:p>
      <w:pPr>
        <w:spacing w:after="0" w:line="130" w:lineRule="exact"/>
        <w:rPr>
          <w:sz w:val="20"/>
          <w:szCs w:val="20"/>
          <w:color w:val="auto"/>
        </w:rPr>
      </w:pPr>
    </w:p>
    <w:p>
      <w:pPr>
        <w:ind w:left="1100" w:hanging="540"/>
        <w:spacing w:after="0"/>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29" w:lineRule="exact"/>
        <w:rPr>
          <w:rFonts w:ascii="Arial" w:cs="Arial" w:eastAsia="Arial" w:hAnsi="Arial"/>
          <w:sz w:val="18"/>
          <w:szCs w:val="18"/>
          <w:color w:val="auto"/>
        </w:rPr>
      </w:pPr>
    </w:p>
    <w:p>
      <w:pPr>
        <w:ind w:left="1100" w:right="440" w:hanging="540"/>
        <w:spacing w:after="0" w:line="276" w:lineRule="auto"/>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6" w:lineRule="exact"/>
        <w:rPr>
          <w:rFonts w:ascii="Arial" w:cs="Arial" w:eastAsia="Arial" w:hAnsi="Arial"/>
          <w:sz w:val="18"/>
          <w:szCs w:val="18"/>
          <w:color w:val="auto"/>
        </w:rPr>
      </w:pPr>
    </w:p>
    <w:p>
      <w:pPr>
        <w:ind w:left="1100" w:right="80" w:hanging="540"/>
        <w:spacing w:after="0" w:line="276" w:lineRule="auto"/>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Aggregate Amount</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48"/>
        </w:trPr>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of</w:t>
            </w: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48"/>
        </w:trPr>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5"/>
              </w:rPr>
              <w:t>Commitment/Loans</w:t>
            </w: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Amount of</w:t>
            </w:r>
          </w:p>
        </w:tc>
        <w:tc>
          <w:tcPr>
            <w:tcW w:w="2520" w:type="dxa"/>
            <w:vAlign w:val="bottom"/>
          </w:tcPr>
          <w:p>
            <w:pPr>
              <w:jc w:val="center"/>
              <w:spacing w:after="0" w:line="148" w:lineRule="exact"/>
              <w:rPr>
                <w:sz w:val="20"/>
                <w:szCs w:val="20"/>
                <w:color w:val="auto"/>
              </w:rPr>
            </w:pPr>
            <w:r>
              <w:rPr>
                <w:rFonts w:ascii="Arial" w:cs="Arial" w:eastAsia="Arial" w:hAnsi="Arial"/>
                <w:sz w:val="14"/>
                <w:szCs w:val="14"/>
                <w:color w:val="auto"/>
                <w:w w:val="89"/>
              </w:rPr>
              <w:t>Percentage</w:t>
            </w:r>
          </w:p>
        </w:tc>
      </w:tr>
      <w:tr>
        <w:trPr>
          <w:trHeight w:val="148"/>
        </w:trPr>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4"/>
              </w:rPr>
              <w:t>for all Lenders</w:t>
            </w: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5"/>
              </w:rPr>
              <w:t>Commitment/Loans</w:t>
            </w:r>
          </w:p>
        </w:tc>
        <w:tc>
          <w:tcPr>
            <w:tcW w:w="2520" w:type="dxa"/>
            <w:vAlign w:val="bottom"/>
          </w:tcPr>
          <w:p>
            <w:pPr>
              <w:jc w:val="center"/>
              <w:spacing w:after="0" w:line="148" w:lineRule="exact"/>
              <w:rPr>
                <w:sz w:val="20"/>
                <w:szCs w:val="20"/>
                <w:color w:val="auto"/>
              </w:rPr>
            </w:pPr>
            <w:r>
              <w:rPr>
                <w:rFonts w:ascii="Arial" w:cs="Arial" w:eastAsia="Arial" w:hAnsi="Arial"/>
                <w:sz w:val="14"/>
                <w:szCs w:val="14"/>
                <w:color w:val="auto"/>
                <w:w w:val="92"/>
              </w:rPr>
              <w:t>Assigned of</w:t>
            </w:r>
          </w:p>
        </w:tc>
      </w:tr>
      <w:tr>
        <w:trPr>
          <w:trHeight w:val="174"/>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Facility Assigned</w:t>
            </w:r>
          </w:p>
        </w:tc>
        <w:tc>
          <w:tcPr>
            <w:tcW w:w="198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under such Facility</w:t>
            </w: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Assigned</w:t>
            </w:r>
          </w:p>
        </w:tc>
        <w:tc>
          <w:tcPr>
            <w:tcW w:w="10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Commitment/Loans</w:t>
            </w:r>
          </w:p>
        </w:tc>
      </w:tr>
    </w:tbl>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540"/>
        <w:spacing w:after="0"/>
        <w:tabs>
          <w:tab w:leader="none" w:pos="11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Trade Date of Assignment (the “</w:t>
      </w:r>
      <w:r>
        <w:rPr>
          <w:rFonts w:ascii="Arial" w:cs="Arial" w:eastAsia="Arial" w:hAnsi="Arial"/>
          <w:sz w:val="18"/>
          <w:szCs w:val="18"/>
          <w:u w:val="single" w:color="auto"/>
          <w:color w:val="auto"/>
        </w:rPr>
        <w:t>Trade Date</w:t>
      </w:r>
      <w:r>
        <w:rPr>
          <w:rFonts w:ascii="Arial" w:cs="Arial" w:eastAsia="Arial" w:hAnsi="Arial"/>
          <w:sz w:val="18"/>
          <w:szCs w:val="18"/>
          <w:color w:val="auto"/>
        </w:rPr>
        <w:t>”): __________, 20__.1</w:t>
      </w:r>
    </w:p>
    <w:p>
      <w:pPr>
        <w:spacing w:after="0" w:line="224" w:lineRule="exact"/>
        <w:rPr>
          <w:sz w:val="20"/>
          <w:szCs w:val="20"/>
          <w:color w:val="auto"/>
        </w:rPr>
      </w:pPr>
    </w:p>
    <w:p>
      <w:pPr>
        <w:ind w:left="120" w:firstLine="439"/>
        <w:spacing w:after="0" w:line="256" w:lineRule="auto"/>
        <w:rPr>
          <w:sz w:val="20"/>
          <w:szCs w:val="20"/>
          <w:color w:val="auto"/>
        </w:rPr>
      </w:pPr>
      <w:r>
        <w:rPr>
          <w:rFonts w:ascii="Arial" w:cs="Arial" w:eastAsia="Arial" w:hAnsi="Arial"/>
          <w:sz w:val="18"/>
          <w:szCs w:val="18"/>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78105</wp:posOffset>
            </wp:positionV>
            <wp:extent cx="7696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42" w:lineRule="exact"/>
        <w:rPr>
          <w:sz w:val="20"/>
          <w:szCs w:val="20"/>
          <w:color w:val="auto"/>
        </w:rPr>
      </w:pPr>
    </w:p>
    <w:p>
      <w:pPr>
        <w:ind w:left="560" w:hanging="431"/>
        <w:spacing w:after="0"/>
        <w:tabs>
          <w:tab w:leader="none" w:pos="5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0960"/>
          </w:cols>
          <w:pgMar w:left="320" w:top="459" w:right="6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EXHIBIT H</w:t>
      </w:r>
    </w:p>
    <w:p>
      <w:pPr>
        <w:spacing w:after="0" w:line="27" w:lineRule="exact"/>
        <w:rPr>
          <w:sz w:val="20"/>
          <w:szCs w:val="20"/>
          <w:color w:val="auto"/>
        </w:rPr>
      </w:pPr>
    </w:p>
    <w:p>
      <w:pPr>
        <w:ind w:left="10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JOINDER AGREEMENT</w:t>
      </w:r>
    </w:p>
    <w:p>
      <w:pPr>
        <w:spacing w:after="0" w:line="228" w:lineRule="exact"/>
        <w:rPr>
          <w:sz w:val="20"/>
          <w:szCs w:val="20"/>
          <w:color w:val="auto"/>
        </w:rPr>
      </w:pPr>
    </w:p>
    <w:p>
      <w:pPr>
        <w:ind w:left="120" w:right="140" w:firstLine="989"/>
        <w:spacing w:after="0" w:line="269" w:lineRule="auto"/>
        <w:rPr>
          <w:sz w:val="20"/>
          <w:szCs w:val="20"/>
          <w:color w:val="auto"/>
        </w:rPr>
      </w:pPr>
      <w:r>
        <w:rPr>
          <w:rFonts w:ascii="Arial" w:cs="Arial" w:eastAsia="Arial" w:hAnsi="Arial"/>
          <w:sz w:val="17"/>
          <w:szCs w:val="17"/>
          <w:color w:val="auto"/>
        </w:rPr>
        <w:t>JOINDER AGREEMENT, dated as of ___, 20__, made by each signatory hereto (each a “</w:t>
      </w:r>
      <w:r>
        <w:rPr>
          <w:rFonts w:ascii="Arial" w:cs="Arial" w:eastAsia="Arial" w:hAnsi="Arial"/>
          <w:sz w:val="17"/>
          <w:szCs w:val="17"/>
          <w:u w:val="single" w:color="auto"/>
          <w:color w:val="auto"/>
        </w:rPr>
        <w:t>Subsidiary Borrower</w:t>
      </w:r>
      <w:r>
        <w:rPr>
          <w:rFonts w:ascii="Arial" w:cs="Arial" w:eastAsia="Arial" w:hAnsi="Arial"/>
          <w:sz w:val="17"/>
          <w:szCs w:val="17"/>
          <w:color w:val="auto"/>
        </w:rPr>
        <w:t>”), in favor of JPMorgan 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or, in the case of any additional Brazilian Subsidiary Borrower, referred to in the Fourth Amended and Restated Three Year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Lenders referred to therein, the Administrative Agent, the Brazilian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 I T N E S S E T H:</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and</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24" w:lineRule="exact"/>
        <w:rPr>
          <w:sz w:val="20"/>
          <w:szCs w:val="20"/>
          <w:color w:val="auto"/>
        </w:rPr>
      </w:pPr>
    </w:p>
    <w:p>
      <w:pPr>
        <w:jc w:val="both"/>
        <w:ind w:left="120" w:right="200" w:firstLine="998"/>
        <w:spacing w:after="0" w:line="258" w:lineRule="auto"/>
        <w:tabs>
          <w:tab w:leader="none" w:pos="12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7" w:lineRule="exact"/>
        <w:rPr>
          <w:rFonts w:ascii="Arial" w:cs="Arial" w:eastAsia="Arial" w:hAnsi="Arial"/>
          <w:sz w:val="18"/>
          <w:szCs w:val="18"/>
          <w:color w:val="auto"/>
        </w:rPr>
      </w:pPr>
    </w:p>
    <w:p>
      <w:pPr>
        <w:ind w:left="120" w:right="160" w:firstLine="998"/>
        <w:spacing w:after="0" w:line="276" w:lineRule="auto"/>
        <w:tabs>
          <w:tab w:leader="none" w:pos="12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166" w:lineRule="exact"/>
        <w:rPr>
          <w:rFonts w:ascii="Arial" w:cs="Arial" w:eastAsia="Arial" w:hAnsi="Arial"/>
          <w:sz w:val="18"/>
          <w:szCs w:val="18"/>
          <w:color w:val="auto"/>
        </w:rPr>
      </w:pPr>
    </w:p>
    <w:p>
      <w:pPr>
        <w:ind w:left="120" w:right="160" w:firstLine="998"/>
        <w:spacing w:after="0" w:line="281" w:lineRule="auto"/>
        <w:tabs>
          <w:tab w:leader="none" w:pos="1289"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276" w:lineRule="auto"/>
        <w:rPr>
          <w:sz w:val="20"/>
          <w:szCs w:val="20"/>
          <w:color w:val="auto"/>
        </w:rPr>
      </w:pPr>
      <w:r>
        <w:rPr>
          <w:rFonts w:ascii="Arial" w:cs="Arial" w:eastAsia="Arial" w:hAnsi="Arial"/>
          <w:sz w:val="18"/>
          <w:szCs w:val="18"/>
          <w:color w:val="auto"/>
        </w:rPr>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[EACH SUBSIDIARY BORROWER],</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 a Subsidiary Borrower</w:t>
      </w:r>
    </w:p>
    <w:p>
      <w:pPr>
        <w:spacing w:after="0" w:line="2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Administrative Agent</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MOTORS COMPANY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80"/>
          </w:cols>
          <w:pgMar w:left="320" w:top="459"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900"/>
        <w:spacing w:after="0"/>
        <w:rPr>
          <w:sz w:val="20"/>
          <w:szCs w:val="20"/>
          <w:color w:val="auto"/>
        </w:rPr>
      </w:pPr>
      <w:r>
        <w:rPr>
          <w:rFonts w:ascii="Arial" w:cs="Arial" w:eastAsia="Arial" w:hAnsi="Arial"/>
          <w:sz w:val="18"/>
          <w:szCs w:val="18"/>
          <w:b w:val="1"/>
          <w:bCs w:val="1"/>
          <w:color w:val="auto"/>
        </w:rPr>
        <w:t>EXHIBIT I-1</w:t>
      </w:r>
    </w:p>
    <w:p>
      <w:pPr>
        <w:spacing w:after="0" w:line="27" w:lineRule="exact"/>
        <w:rPr>
          <w:sz w:val="20"/>
          <w:szCs w:val="20"/>
          <w:color w:val="auto"/>
        </w:rPr>
      </w:pPr>
    </w:p>
    <w:p>
      <w:pPr>
        <w:ind w:left="10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[FORM OF]</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U.S. TAX COMPLIANCE CERTIFICATE</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4" w:lineRule="exact"/>
        <w:rPr>
          <w:sz w:val="20"/>
          <w:szCs w:val="20"/>
          <w:color w:val="auto"/>
        </w:rPr>
      </w:pPr>
    </w:p>
    <w:p>
      <w:pPr>
        <w:ind w:left="120" w:firstLine="439"/>
        <w:spacing w:after="0" w:line="271" w:lineRule="auto"/>
        <w:rPr>
          <w:sz w:val="20"/>
          <w:szCs w:val="20"/>
          <w:color w:val="auto"/>
        </w:rPr>
      </w:pPr>
      <w:r>
        <w:rPr>
          <w:rFonts w:ascii="Arial" w:cs="Arial" w:eastAsia="Arial" w:hAnsi="Arial"/>
          <w:sz w:val="17"/>
          <w:szCs w:val="17"/>
          <w:color w:val="auto"/>
        </w:rPr>
        <w:t>Reference is hereby made to the Fourth Amended and Restated Three Year Revolving Credit Agreement dated as of April 7, 2021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9" w:lineRule="exact"/>
        <w:rPr>
          <w:sz w:val="20"/>
          <w:szCs w:val="20"/>
          <w:color w:val="auto"/>
        </w:rPr>
      </w:pPr>
    </w:p>
    <w:p>
      <w:pPr>
        <w:ind w:left="120" w:right="20" w:firstLine="439"/>
        <w:spacing w:after="0" w:line="285"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(3)(C) of the Code and (v) the interest payments in question are not effectively connected with the undersigned’s conduct of a U.S. trade or business.</w:t>
      </w:r>
    </w:p>
    <w:p>
      <w:pPr>
        <w:spacing w:after="0" w:line="233" w:lineRule="exact"/>
        <w:rPr>
          <w:sz w:val="20"/>
          <w:szCs w:val="20"/>
          <w:color w:val="auto"/>
        </w:rPr>
      </w:pPr>
    </w:p>
    <w:p>
      <w:pPr>
        <w:ind w:left="120" w:right="160" w:firstLine="439"/>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76"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LENDER]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______________, 20__</w:t>
      </w:r>
    </w:p>
    <w:p>
      <w:pPr>
        <w:sectPr>
          <w:pgSz w:w="11900" w:h="16838" w:orient="portrait"/>
          <w:cols w:equalWidth="0" w:num="1">
            <w:col w:w="10640"/>
          </w:cols>
          <w:pgMar w:left="320" w:top="458" w:right="9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900"/>
        <w:spacing w:after="0"/>
        <w:rPr>
          <w:sz w:val="20"/>
          <w:szCs w:val="20"/>
          <w:color w:val="auto"/>
        </w:rPr>
      </w:pPr>
      <w:r>
        <w:rPr>
          <w:rFonts w:ascii="Arial" w:cs="Arial" w:eastAsia="Arial" w:hAnsi="Arial"/>
          <w:sz w:val="18"/>
          <w:szCs w:val="18"/>
          <w:b w:val="1"/>
          <w:bCs w:val="1"/>
          <w:color w:val="auto"/>
        </w:rPr>
        <w:t>EXHIBIT I-2</w:t>
      </w:r>
    </w:p>
    <w:p>
      <w:pPr>
        <w:spacing w:after="0" w:line="27" w:lineRule="exact"/>
        <w:rPr>
          <w:sz w:val="20"/>
          <w:szCs w:val="20"/>
          <w:color w:val="auto"/>
        </w:rPr>
      </w:pPr>
    </w:p>
    <w:p>
      <w:pPr>
        <w:ind w:left="10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[FORM OF]</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U.S. TAX COMPLIANCE CERTIFICATE</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4" w:lineRule="exact"/>
        <w:rPr>
          <w:sz w:val="20"/>
          <w:szCs w:val="20"/>
          <w:color w:val="auto"/>
        </w:rPr>
      </w:pPr>
    </w:p>
    <w:p>
      <w:pPr>
        <w:ind w:left="120" w:firstLine="439"/>
        <w:spacing w:after="0" w:line="271" w:lineRule="auto"/>
        <w:rPr>
          <w:sz w:val="20"/>
          <w:szCs w:val="20"/>
          <w:color w:val="auto"/>
        </w:rPr>
      </w:pPr>
      <w:r>
        <w:rPr>
          <w:rFonts w:ascii="Arial" w:cs="Arial" w:eastAsia="Arial" w:hAnsi="Arial"/>
          <w:sz w:val="17"/>
          <w:szCs w:val="17"/>
          <w:color w:val="auto"/>
        </w:rPr>
        <w:t>Reference is hereby made to the Fourth Amended and Restated Three Year Revolving Credit Agreement dated as of April 7, 2021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9" w:lineRule="exact"/>
        <w:rPr>
          <w:sz w:val="20"/>
          <w:szCs w:val="20"/>
          <w:color w:val="auto"/>
        </w:rPr>
      </w:pPr>
    </w:p>
    <w:p>
      <w:pPr>
        <w:ind w:left="120" w:right="20" w:firstLine="439"/>
        <w:spacing w:after="0" w:line="270"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80" w:lineRule="exact"/>
        <w:rPr>
          <w:sz w:val="20"/>
          <w:szCs w:val="20"/>
          <w:color w:val="auto"/>
        </w:rPr>
      </w:pPr>
    </w:p>
    <w:p>
      <w:pPr>
        <w:ind w:left="120" w:right="20" w:firstLine="439"/>
        <w:spacing w:after="0" w:line="253"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120"/>
          </w:cols>
          <w:pgMar w:left="320" w:top="458"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76"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LENDER]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___________, 20__</w:t>
      </w:r>
    </w:p>
    <w:p>
      <w:pPr>
        <w:sectPr>
          <w:pgSz w:w="11900" w:h="16838" w:orient="portrait"/>
          <w:cols w:equalWidth="0" w:num="1">
            <w:col w:w="10640"/>
          </w:cols>
          <w:pgMar w:left="320" w:top="459" w:right="9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900"/>
        <w:spacing w:after="0"/>
        <w:rPr>
          <w:sz w:val="20"/>
          <w:szCs w:val="20"/>
          <w:color w:val="auto"/>
        </w:rPr>
      </w:pPr>
      <w:r>
        <w:rPr>
          <w:rFonts w:ascii="Arial" w:cs="Arial" w:eastAsia="Arial" w:hAnsi="Arial"/>
          <w:sz w:val="18"/>
          <w:szCs w:val="18"/>
          <w:b w:val="1"/>
          <w:bCs w:val="1"/>
          <w:color w:val="auto"/>
        </w:rPr>
        <w:t>EXHIBIT I-3</w:t>
      </w:r>
    </w:p>
    <w:p>
      <w:pPr>
        <w:spacing w:after="0" w:line="27" w:lineRule="exact"/>
        <w:rPr>
          <w:sz w:val="20"/>
          <w:szCs w:val="20"/>
          <w:color w:val="auto"/>
        </w:rPr>
      </w:pPr>
    </w:p>
    <w:p>
      <w:pPr>
        <w:ind w:left="10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[FORM OF]</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U.S. TAX COMPLIANCE CERTIFICATE</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4" w:lineRule="exact"/>
        <w:rPr>
          <w:sz w:val="20"/>
          <w:szCs w:val="20"/>
          <w:color w:val="auto"/>
        </w:rPr>
      </w:pPr>
    </w:p>
    <w:p>
      <w:pPr>
        <w:ind w:left="120" w:firstLine="439"/>
        <w:spacing w:after="0" w:line="271" w:lineRule="auto"/>
        <w:rPr>
          <w:sz w:val="20"/>
          <w:szCs w:val="20"/>
          <w:color w:val="auto"/>
        </w:rPr>
      </w:pPr>
      <w:r>
        <w:rPr>
          <w:rFonts w:ascii="Arial" w:cs="Arial" w:eastAsia="Arial" w:hAnsi="Arial"/>
          <w:sz w:val="17"/>
          <w:szCs w:val="17"/>
          <w:color w:val="auto"/>
        </w:rPr>
        <w:t>Reference is hereby made to the Fourth Amended and Restated Three Year Revolving Credit Agreement dated as of April 7, 2021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9" w:lineRule="exact"/>
        <w:rPr>
          <w:sz w:val="20"/>
          <w:szCs w:val="20"/>
          <w:color w:val="auto"/>
        </w:rPr>
      </w:pPr>
    </w:p>
    <w:p>
      <w:pPr>
        <w:ind w:left="120" w:right="360" w:firstLine="439"/>
        <w:spacing w:after="0" w:line="256"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9" w:lineRule="exact"/>
        <w:rPr>
          <w:sz w:val="20"/>
          <w:szCs w:val="20"/>
          <w:color w:val="auto"/>
        </w:rPr>
      </w:pPr>
    </w:p>
    <w:p>
      <w:pPr>
        <w:ind w:left="120" w:right="120" w:firstLine="439"/>
        <w:spacing w:after="0" w:line="296"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76"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PARTICIPANT]</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_____________, 20__</w:t>
      </w:r>
    </w:p>
    <w:p>
      <w:pPr>
        <w:spacing w:after="0" w:line="1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0640"/>
          </w:cols>
          <w:pgMar w:left="320" w:top="459" w:right="9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0080"/>
        <w:spacing w:after="0"/>
        <w:rPr>
          <w:sz w:val="20"/>
          <w:szCs w:val="20"/>
          <w:color w:val="auto"/>
        </w:rPr>
      </w:pPr>
      <w:r>
        <w:rPr>
          <w:rFonts w:ascii="Arial" w:cs="Arial" w:eastAsia="Arial" w:hAnsi="Arial"/>
          <w:sz w:val="18"/>
          <w:szCs w:val="18"/>
          <w:b w:val="1"/>
          <w:bCs w:val="1"/>
          <w:color w:val="auto"/>
        </w:rPr>
        <w:t>EXHIBIT I-4</w:t>
      </w:r>
    </w:p>
    <w:p>
      <w:pPr>
        <w:spacing w:after="0" w:line="27"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[FORM OF]</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U.S. TAX COMPLIANCE CERTIFICATE</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4" w:lineRule="exact"/>
        <w:rPr>
          <w:sz w:val="20"/>
          <w:szCs w:val="20"/>
          <w:color w:val="auto"/>
        </w:rPr>
      </w:pPr>
    </w:p>
    <w:p>
      <w:pPr>
        <w:ind w:left="120" w:firstLine="439"/>
        <w:spacing w:after="0" w:line="271" w:lineRule="auto"/>
        <w:rPr>
          <w:sz w:val="20"/>
          <w:szCs w:val="20"/>
          <w:color w:val="auto"/>
        </w:rPr>
      </w:pPr>
      <w:r>
        <w:rPr>
          <w:rFonts w:ascii="Arial" w:cs="Arial" w:eastAsia="Arial" w:hAnsi="Arial"/>
          <w:sz w:val="17"/>
          <w:szCs w:val="17"/>
          <w:color w:val="auto"/>
        </w:rPr>
        <w:t>Reference is hereby made to the Fourth Amended and Restated Three Year Revolving Credit Agreement dated as of April 7, 2021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9" w:lineRule="exact"/>
        <w:rPr>
          <w:sz w:val="20"/>
          <w:szCs w:val="20"/>
          <w:color w:val="auto"/>
        </w:rPr>
      </w:pPr>
    </w:p>
    <w:p>
      <w:pPr>
        <w:ind w:left="120" w:right="80" w:firstLine="439"/>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direct or indirect partners/members that is claiming the portfolio interest exception: (i) an IRS Form W-8BEN or IRS Form W-8BEN-E, as applicable, or</w:t>
      </w:r>
    </w:p>
    <w:p>
      <w:pPr>
        <w:spacing w:after="0" w:line="32" w:lineRule="exact"/>
        <w:rPr>
          <w:sz w:val="20"/>
          <w:szCs w:val="20"/>
          <w:color w:val="auto"/>
        </w:rPr>
      </w:pPr>
    </w:p>
    <w:p>
      <w:pPr>
        <w:ind w:left="120" w:right="40" w:firstLine="9"/>
        <w:spacing w:after="0" w:line="269" w:lineRule="auto"/>
        <w:tabs>
          <w:tab w:leader="none" w:pos="38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79" w:lineRule="exact"/>
        <w:rPr>
          <w:sz w:val="20"/>
          <w:szCs w:val="20"/>
          <w:color w:val="auto"/>
        </w:rPr>
      </w:pPr>
    </w:p>
    <w:p>
      <w:pPr>
        <w:ind w:left="120" w:right="480" w:firstLine="439"/>
        <w:spacing w:after="0" w:line="276"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PARTICIPANT]</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259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______________, 20__</w:t>
      </w:r>
    </w:p>
    <w:p>
      <w:pPr>
        <w:spacing w:after="0" w:line="15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0139"/>
          </w:cols>
          <w:pgMar w:left="320" w:top="459" w:right="1440"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10080"/>
        <w:spacing w:after="0"/>
        <w:rPr>
          <w:sz w:val="20"/>
          <w:szCs w:val="20"/>
          <w:color w:val="auto"/>
        </w:rPr>
      </w:pPr>
      <w:r>
        <w:rPr>
          <w:rFonts w:ascii="Arial" w:cs="Arial" w:eastAsia="Arial" w:hAnsi="Arial"/>
          <w:sz w:val="18"/>
          <w:szCs w:val="18"/>
          <w:b w:val="1"/>
          <w:bCs w:val="1"/>
          <w:color w:val="auto"/>
        </w:rPr>
        <w:t>EXHIBIT J</w:t>
      </w:r>
    </w:p>
    <w:p>
      <w:pPr>
        <w:spacing w:after="0" w:line="27" w:lineRule="exact"/>
        <w:rPr>
          <w:sz w:val="20"/>
          <w:szCs w:val="20"/>
          <w:color w:val="auto"/>
        </w:rPr>
      </w:pPr>
    </w:p>
    <w:p>
      <w:pPr>
        <w:jc w:val="center"/>
        <w:ind w:left="101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Credit Agreement</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COMPLIANCE CERTIFICATE</w:t>
      </w:r>
    </w:p>
    <w:p>
      <w:pPr>
        <w:spacing w:after="0" w:line="228"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_____________, 20__</w:t>
      </w:r>
    </w:p>
    <w:p>
      <w:pPr>
        <w:spacing w:after="0" w:line="274"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130"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6"/>
          <w:szCs w:val="16"/>
          <w:color w:val="auto"/>
        </w:rPr>
        <w:t>Re:</w:t>
        <w:tab/>
        <w:t>(i) the Fourth Amended and Restated Three Year Revolving Credit Agreement, dated as of April 7, 2021 (as amended, restated, amended and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restated, renewed, supplemented or modified from time to time, the “3</w:t>
      </w:r>
      <w:r>
        <w:rPr>
          <w:rFonts w:ascii="Arial" w:cs="Arial" w:eastAsia="Arial" w:hAnsi="Arial"/>
          <w:sz w:val="16"/>
          <w:szCs w:val="16"/>
          <w:u w:val="single" w:color="auto"/>
          <w:color w:val="auto"/>
        </w:rPr>
        <w:t>-Year Credit Agreement</w:t>
      </w:r>
      <w:r>
        <w:rPr>
          <w:rFonts w:ascii="Arial" w:cs="Arial" w:eastAsia="Arial" w:hAnsi="Arial"/>
          <w:sz w:val="16"/>
          <w:szCs w:val="16"/>
          <w:color w:val="auto"/>
        </w:rPr>
        <w:t>”), among General Motors Company (together with</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the Subsidiary Borrowers from time to time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party thereto, the lenders from time to time party thereto, as lenders (the “</w:t>
      </w:r>
      <w:r>
        <w:rPr>
          <w:rFonts w:ascii="Arial" w:cs="Arial" w:eastAsia="Arial" w:hAnsi="Arial"/>
          <w:sz w:val="18"/>
          <w:szCs w:val="18"/>
          <w:u w:val="single" w:color="auto"/>
          <w:color w:val="auto"/>
        </w:rPr>
        <w:t>3-Year Lenders</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as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administrative agent for the 3-Year Lenders (in such capacity, together with any successor thereto in such capacity, the “</w:t>
      </w:r>
      <w:r>
        <w:rPr>
          <w:rFonts w:ascii="Arial" w:cs="Arial" w:eastAsia="Arial" w:hAnsi="Arial"/>
          <w:sz w:val="16"/>
          <w:szCs w:val="16"/>
          <w:u w:val="single" w:color="auto"/>
          <w:color w:val="auto"/>
        </w:rPr>
        <w:t>3-Year Administrative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Bank of America, N.A., as co-syndication agent (in</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party thereto, (ii) the Third Amended and Restated Five Year Revolving Credit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Agreement, dated as of April 18, 2018 (as amended by that certain Amendment No. 1 and Consent, dated as of April 7, 2021, and as amended,</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restated, amended 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among the Company,</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GMF, GMGTC, GMB, the Subsidiary Borrowers from time to time party thereto, the lenders from time to time party thereto, as lenders (the</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(in such capacity, together with any successor thereto in such capacity, the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 Brasil S.A., as Brazilian administrative agent, the Syndication Agent, the Co-Syndication Agent, and</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agents party thereto and (iii) the Third Amended and Restated 364-Day Revolving Credit Agreement, dated as of April 7, 2021, as</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amended, restated, amended and restated, renewed, supplemented or modified from time to time (the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and together</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 the 3-Year Credit Agreement and the 5-Year Credit Agreement, the “</w:t>
      </w:r>
      <w:r>
        <w:rPr>
          <w:rFonts w:ascii="Arial" w:cs="Arial" w:eastAsia="Arial" w:hAnsi="Arial"/>
          <w:sz w:val="17"/>
          <w:szCs w:val="17"/>
          <w:u w:val="single" w:color="auto"/>
          <w:color w:val="auto"/>
        </w:rPr>
        <w:t>Credit Agreements</w:t>
      </w:r>
      <w:r>
        <w:rPr>
          <w:rFonts w:ascii="Arial" w:cs="Arial" w:eastAsia="Arial" w:hAnsi="Arial"/>
          <w:sz w:val="17"/>
          <w:szCs w:val="17"/>
          <w:color w:val="auto"/>
        </w:rPr>
        <w:t>” and each a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Company, GMF, GMGTC, the Subsidiary Borrowers from time to time party thereto, the lenders from time to time party thereto, as lenders (the</w:t>
      </w:r>
    </w:p>
    <w:p>
      <w:pPr>
        <w:spacing w:after="0" w:line="32" w:lineRule="exact"/>
        <w:rPr>
          <w:sz w:val="20"/>
          <w:szCs w:val="20"/>
          <w:color w:val="auto"/>
        </w:rPr>
      </w:pPr>
    </w:p>
    <w:p>
      <w:pPr>
        <w:ind w:left="560" w:right="2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Lenders</w:t>
      </w:r>
      <w:r>
        <w:rPr>
          <w:rFonts w:ascii="Arial" w:cs="Arial" w:eastAsia="Arial" w:hAnsi="Arial"/>
          <w:sz w:val="18"/>
          <w:szCs w:val="18"/>
          <w:color w:val="auto"/>
        </w:rPr>
        <w:t>” and together with the 3-Year Lenders and the 5-Year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the Administrative Agent for the 364-Day Lenders (in such capacity, together with any successor thereto in such capacity, the “</w:t>
      </w:r>
      <w:r>
        <w:rPr>
          <w:rFonts w:ascii="Arial" w:cs="Arial" w:eastAsia="Arial" w:hAnsi="Arial"/>
          <w:sz w:val="18"/>
          <w:szCs w:val="18"/>
          <w:u w:val="single" w:color="auto"/>
          <w:color w:val="auto"/>
        </w:rPr>
        <w:t>364-Day Administrative Agent</w:t>
      </w:r>
      <w:r>
        <w:rPr>
          <w:rFonts w:ascii="Arial" w:cs="Arial" w:eastAsia="Arial" w:hAnsi="Arial"/>
          <w:sz w:val="18"/>
          <w:szCs w:val="18"/>
          <w:color w:val="auto"/>
        </w:rPr>
        <w:t>” and together with the 3-Year Administrative Agent and the 5-Year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Syndication Agent, the Co-Syndication Agent, and the other agents party thereto.</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311" w:lineRule="auto"/>
        <w:rPr>
          <w:sz w:val="20"/>
          <w:szCs w:val="20"/>
          <w:color w:val="auto"/>
        </w:rPr>
      </w:pPr>
      <w:r>
        <w:rPr>
          <w:rFonts w:ascii="Arial" w:cs="Arial" w:eastAsia="Arial" w:hAnsi="Arial"/>
          <w:sz w:val="16"/>
          <w:szCs w:val="16"/>
          <w:color w:val="auto"/>
        </w:rPr>
        <w:t>This Compliance Certificate (this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is furnished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39" w:lineRule="exact"/>
        <w:rPr>
          <w:sz w:val="20"/>
          <w:szCs w:val="20"/>
          <w:color w:val="auto"/>
        </w:rPr>
      </w:pPr>
    </w:p>
    <w:p>
      <w:pPr>
        <w:ind w:left="740" w:hanging="172"/>
        <w:spacing w:after="0"/>
        <w:tabs>
          <w:tab w:leader="none" w:pos="7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4" w:lineRule="exact"/>
        <w:rPr>
          <w:rFonts w:ascii="Arial" w:cs="Arial" w:eastAsia="Arial" w:hAnsi="Arial"/>
          <w:sz w:val="18"/>
          <w:szCs w:val="18"/>
          <w:color w:val="auto"/>
        </w:rPr>
      </w:pPr>
    </w:p>
    <w:p>
      <w:pPr>
        <w:ind w:left="120" w:right="40" w:firstLine="448"/>
        <w:spacing w:after="0" w:line="276" w:lineRule="auto"/>
        <w:tabs>
          <w:tab w:leader="none" w:pos="73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To the best of my knowledge, no Default or Event of Default has occurredand is continuing as of the date hereof [, except as set forth in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120" w:right="140" w:firstLine="448"/>
        <w:spacing w:after="0" w:line="306" w:lineRule="auto"/>
        <w:tabs>
          <w:tab w:leader="none" w:pos="739"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 and</w:t>
      </w:r>
    </w:p>
    <w:p>
      <w:pPr>
        <w:spacing w:after="0" w:line="148" w:lineRule="exact"/>
        <w:rPr>
          <w:rFonts w:ascii="Arial" w:cs="Arial" w:eastAsia="Arial" w:hAnsi="Arial"/>
          <w:sz w:val="17"/>
          <w:szCs w:val="17"/>
          <w:color w:val="auto"/>
        </w:rPr>
      </w:pPr>
    </w:p>
    <w:p>
      <w:pPr>
        <w:ind w:left="120" w:right="60" w:firstLine="448"/>
        <w:spacing w:after="0" w:line="306" w:lineRule="auto"/>
        <w:tabs>
          <w:tab w:leader="none" w:pos="739"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follows]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60"/>
          </w:cols>
          <w:pgMar w:left="320" w:top="459"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76" w:lineRule="auto"/>
        <w:rPr>
          <w:sz w:val="20"/>
          <w:szCs w:val="20"/>
          <w:color w:val="auto"/>
        </w:rPr>
      </w:pPr>
      <w:r>
        <w:rPr>
          <w:rFonts w:ascii="Arial" w:cs="Arial" w:eastAsia="Arial" w:hAnsi="Arial"/>
          <w:sz w:val="18"/>
          <w:szCs w:val="18"/>
          <w:color w:val="auto"/>
        </w:rPr>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GENERAL MOTORS COMPANY</w:t>
      </w:r>
    </w:p>
    <w:p>
      <w:pPr>
        <w:spacing w:after="0" w:line="23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5080</wp:posOffset>
            </wp:positionV>
            <wp:extent cx="24542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40"/>
          </w:cols>
          <w:pgMar w:left="320" w:top="459" w:right="5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96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0"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Consolidated Domestic Liquidity as of _____________, 20__ (the “Calculation Date”)</w:t>
      </w:r>
      <w:r>
        <w:rPr>
          <w:rFonts w:ascii="Arial" w:cs="Arial" w:eastAsia="Arial" w:hAnsi="Arial"/>
          <w:sz w:val="15"/>
          <w:szCs w:val="15"/>
          <w:u w:val="single" w:color="auto"/>
          <w:color w:val="auto"/>
        </w:rPr>
        <w:t>1</w:t>
      </w:r>
    </w:p>
    <w:p>
      <w:pPr>
        <w:spacing w:after="0" w:line="251" w:lineRule="exact"/>
        <w:rPr>
          <w:sz w:val="20"/>
          <w:szCs w:val="20"/>
          <w:color w:val="auto"/>
        </w:rPr>
      </w:pPr>
    </w:p>
    <w:p>
      <w:pPr>
        <w:ind w:left="120" w:right="5440" w:firstLine="9"/>
        <w:spacing w:after="0" w:line="276" w:lineRule="auto"/>
        <w:tabs>
          <w:tab w:leader="none" w:pos="41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460" w:firstLine="9"/>
        <w:spacing w:after="0" w:line="276" w:lineRule="auto"/>
        <w:tabs>
          <w:tab w:leader="none" w:pos="40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460" w:firstLine="9"/>
        <w:spacing w:after="0" w:line="276" w:lineRule="auto"/>
        <w:tabs>
          <w:tab w:leader="none" w:pos="40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540" w:firstLine="9"/>
        <w:spacing w:after="0" w:line="311" w:lineRule="auto"/>
        <w:tabs>
          <w:tab w:leader="none" w:pos="41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total available commitments (after giving effect to any applicable borrowing base limitations) under other effective committed credit facilities of the Company or any Domestic Subsidiary as of the Calculation Date.</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440" w:firstLine="9"/>
        <w:spacing w:after="0" w:line="291" w:lineRule="auto"/>
        <w:tabs>
          <w:tab w:leader="none" w:pos="39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ectPr>
          <w:pgSz w:w="11900" w:h="16838" w:orient="portrait"/>
          <w:cols w:equalWidth="0" w:num="1">
            <w:col w:w="11120"/>
          </w:cols>
          <w:pgMar w:left="320" w:top="459" w:right="459" w:bottom="1440" w:gutter="0" w:footer="0" w:header="0"/>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Sum of (A) plus (B) plus (C) plus (D) plus (E):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Consolidated Domestic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99695</wp:posOffset>
            </wp:positionV>
            <wp:extent cx="7696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-3175</wp:posOffset>
            </wp:positionV>
            <wp:extent cx="5702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023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340" w:space="720"/>
            <w:col w:w="1060"/>
          </w:cols>
          <w:pgMar w:left="320" w:top="459" w:right="459" w:bottom="1440" w:gutter="0" w:footer="0" w:header="0"/>
          <w:type w:val="continuous"/>
        </w:sectPr>
      </w:pPr>
    </w:p>
    <w:p>
      <w:pPr>
        <w:ind w:left="560" w:right="560" w:hanging="431"/>
        <w:spacing w:after="0" w:line="276" w:lineRule="auto"/>
        <w:tabs>
          <w:tab w:leader="none" w:pos="560" w:val="left"/>
        </w:tabs>
        <w:numPr>
          <w:ilvl w:val="0"/>
          <w:numId w:val="205"/>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type w:val="continuous"/>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8"/>
          <w:szCs w:val="18"/>
          <w:u w:val="single" w:color="auto"/>
          <w:color w:val="auto"/>
        </w:rPr>
        <w:t>Consolidated Global Liquidity as of _____________, 20__(the “Calculation Date”)</w:t>
      </w:r>
      <w:r>
        <w:rPr>
          <w:rFonts w:ascii="Arial" w:cs="Arial" w:eastAsia="Arial" w:hAnsi="Arial"/>
          <w:sz w:val="15"/>
          <w:szCs w:val="15"/>
          <w:u w:val="single" w:color="auto"/>
          <w:color w:val="auto"/>
        </w:rPr>
        <w:t>1</w:t>
      </w:r>
    </w:p>
    <w:p>
      <w:pPr>
        <w:spacing w:after="0" w:line="251" w:lineRule="exact"/>
        <w:rPr>
          <w:sz w:val="20"/>
          <w:szCs w:val="20"/>
          <w:color w:val="auto"/>
        </w:rPr>
      </w:pPr>
    </w:p>
    <w:p>
      <w:pPr>
        <w:ind w:left="120" w:right="5440" w:firstLine="9"/>
        <w:spacing w:after="0" w:line="276" w:lineRule="auto"/>
        <w:tabs>
          <w:tab w:leader="none" w:pos="41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460" w:firstLine="9"/>
        <w:spacing w:after="0" w:line="276" w:lineRule="auto"/>
        <w:tabs>
          <w:tab w:leader="none" w:pos="40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460" w:firstLine="9"/>
        <w:spacing w:after="0" w:line="276" w:lineRule="auto"/>
        <w:tabs>
          <w:tab w:leader="none" w:pos="40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540" w:firstLine="9"/>
        <w:spacing w:after="0" w:line="311" w:lineRule="auto"/>
        <w:tabs>
          <w:tab w:leader="none" w:pos="41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total available commitments (after giving effect to any applicable borrowing base limitations) under other effective committed credit facilities of the Company or any of its Subsidiaries as of the Calculation Date.</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120" w:right="5520" w:firstLine="9"/>
        <w:spacing w:after="0" w:line="296" w:lineRule="auto"/>
        <w:tabs>
          <w:tab w:leader="none" w:pos="39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ectPr>
          <w:pgSz w:w="11900" w:h="16838" w:orient="portrait"/>
          <w:cols w:equalWidth="0" w:num="1">
            <w:col w:w="11120"/>
          </w:cols>
          <w:pgMar w:left="320" w:top="459" w:right="459" w:bottom="1440" w:gutter="0" w:footer="0" w:header="0"/>
        </w:sectPr>
      </w:pPr>
    </w:p>
    <w:p>
      <w:pPr>
        <w:spacing w:after="0" w:line="5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Sum of (A) plus (B) plus (C) plus (D) plus (E):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Consolidated Global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99695</wp:posOffset>
            </wp:positionV>
            <wp:extent cx="7696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-3175</wp:posOffset>
            </wp:positionV>
            <wp:extent cx="5702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023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340" w:space="720"/>
            <w:col w:w="1060"/>
          </w:cols>
          <w:pgMar w:left="320" w:top="459" w:right="459" w:bottom="1440" w:gutter="0" w:footer="0" w:header="0"/>
          <w:type w:val="continuous"/>
        </w:sectPr>
      </w:pPr>
    </w:p>
    <w:p>
      <w:pPr>
        <w:ind w:left="560" w:right="560" w:hanging="431"/>
        <w:spacing w:after="0" w:line="276" w:lineRule="auto"/>
        <w:tabs>
          <w:tab w:leader="none" w:pos="560" w:val="left"/>
        </w:tabs>
        <w:numPr>
          <w:ilvl w:val="0"/>
          <w:numId w:val="211"/>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ANNEX 1</w:t>
      </w:r>
    </w:p>
    <w:p>
      <w:pPr>
        <w:spacing w:after="0" w:line="27"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[Defaults/Events of Default that have occurred and are continuing]</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EXHIBIT K</w:t>
      </w:r>
    </w:p>
    <w:p>
      <w:pPr>
        <w:spacing w:after="0" w:line="27"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Credit Agreement</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NOTE</w:t>
      </w:r>
    </w:p>
    <w:p>
      <w:pPr>
        <w:spacing w:after="0" w:line="228"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120"/>
          </w:cols>
          <w:pgMar w:left="320" w:top="458" w:right="4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$______________</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New York, New York</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____________,20__</w:t>
      </w:r>
    </w:p>
    <w:p>
      <w:pPr>
        <w:spacing w:after="0" w:line="200" w:lineRule="exact"/>
        <w:rPr>
          <w:sz w:val="20"/>
          <w:szCs w:val="20"/>
          <w:color w:val="auto"/>
        </w:rPr>
      </w:pPr>
    </w:p>
    <w:p>
      <w:pPr>
        <w:sectPr>
          <w:pgSz w:w="11900" w:h="16838" w:orient="portrait"/>
          <w:cols w:equalWidth="0" w:num="2">
            <w:col w:w="8840" w:space="720"/>
            <w:col w:w="1560"/>
          </w:cols>
          <w:pgMar w:left="320" w:top="458" w:right="459" w:bottom="1440" w:gutter="0" w:footer="0" w:header="0"/>
          <w:type w:val="continuous"/>
        </w:sectPr>
      </w:pPr>
    </w:p>
    <w:p>
      <w:pPr>
        <w:spacing w:after="0" w:line="21" w:lineRule="exact"/>
        <w:rPr>
          <w:sz w:val="20"/>
          <w:szCs w:val="20"/>
          <w:color w:val="auto"/>
        </w:rPr>
      </w:pPr>
    </w:p>
    <w:p>
      <w:pPr>
        <w:ind w:left="120" w:right="180" w:firstLine="439"/>
        <w:spacing w:after="0" w:line="273" w:lineRule="auto"/>
        <w:rPr>
          <w:sz w:val="20"/>
          <w:szCs w:val="20"/>
          <w:color w:val="auto"/>
        </w:rPr>
      </w:pPr>
      <w:r>
        <w:rPr>
          <w:rFonts w:ascii="Arial" w:cs="Arial" w:eastAsia="Arial" w:hAnsi="Arial"/>
          <w:sz w:val="17"/>
          <w:szCs w:val="17"/>
          <w:color w:val="auto"/>
        </w:rPr>
        <w:t>FOR VALUE RECEIVED, the undersigned, [NAME OF BORROWER], [JURISDICTION OF INCORPORATION/FORMATION], [TYPE OF ORGANIZATION] (together with its successors and permitted assigns,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hereby unconditionally promises to pay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 Termination Date specified in the Credit Agreement (as hereinafter defined)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Funding Office specified in such Credit Agreement, in the currency of such Loans and in immediately available funds, the principal amount of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___________________ (__________), or, if less, (b) the unpaid principal amount of the Loans of the Lender outstanding under the Credit Agreement.</w:t>
      </w:r>
    </w:p>
    <w:p>
      <w:pPr>
        <w:spacing w:after="0" w:line="3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185" w:lineRule="exact"/>
        <w:rPr>
          <w:sz w:val="20"/>
          <w:szCs w:val="20"/>
          <w:color w:val="auto"/>
        </w:rPr>
      </w:pPr>
    </w:p>
    <w:p>
      <w:pPr>
        <w:ind w:left="120" w:right="60" w:firstLine="439"/>
        <w:spacing w:after="0" w:line="254" w:lineRule="auto"/>
        <w:rPr>
          <w:sz w:val="20"/>
          <w:szCs w:val="20"/>
          <w:color w:val="auto"/>
        </w:rPr>
      </w:pPr>
      <w:r>
        <w:rPr>
          <w:rFonts w:ascii="Arial" w:cs="Arial" w:eastAsia="Arial" w:hAnsi="Arial"/>
          <w:sz w:val="18"/>
          <w:szCs w:val="18"/>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of the Credit Agreement, each such endorsement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91" w:lineRule="exact"/>
        <w:rPr>
          <w:sz w:val="20"/>
          <w:szCs w:val="20"/>
          <w:color w:val="auto"/>
        </w:rPr>
      </w:pPr>
    </w:p>
    <w:p>
      <w:pPr>
        <w:ind w:left="120" w:right="60" w:firstLine="439"/>
        <w:spacing w:after="0" w:line="256" w:lineRule="auto"/>
        <w:rPr>
          <w:sz w:val="20"/>
          <w:szCs w:val="20"/>
          <w:color w:val="auto"/>
        </w:rPr>
      </w:pPr>
      <w:r>
        <w:rPr>
          <w:rFonts w:ascii="Arial" w:cs="Arial" w:eastAsia="Arial" w:hAnsi="Arial"/>
          <w:sz w:val="18"/>
          <w:szCs w:val="18"/>
          <w:color w:val="auto"/>
        </w:rPr>
        <w:t>This Note (a) is one of the Notes referred to in the Fourth Amended and Restated Three Year Revolving Credit Agreement, dated as of April 7, 2021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General Motors Financial Company, Inc., a Texas corporation, GM Global Treasury Centre Limited, a corporation organized under the laws of England and Wales, the Subsidiary Borrowers from time to time party thereto, the Lender, the other lenders from time to time party thereto, JPMorgan Chase Bank, N.A.,</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8" w:right="45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47" w:lineRule="exact"/>
        <w:rPr>
          <w:sz w:val="20"/>
          <w:szCs w:val="20"/>
          <w:color w:val="auto"/>
        </w:rPr>
      </w:pPr>
    </w:p>
    <w:p>
      <w:pPr>
        <w:ind w:left="120" w:right="100" w:firstLine="439"/>
        <w:spacing w:after="0" w:line="276"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4" w:lineRule="exact"/>
        <w:rPr>
          <w:sz w:val="20"/>
          <w:szCs w:val="20"/>
          <w:color w:val="auto"/>
        </w:rPr>
      </w:pPr>
    </w:p>
    <w:p>
      <w:pPr>
        <w:ind w:left="120" w:right="60" w:firstLine="439"/>
        <w:spacing w:after="0" w:line="263"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2" w:lineRule="exact"/>
        <w:rPr>
          <w:sz w:val="20"/>
          <w:szCs w:val="20"/>
          <w:color w:val="auto"/>
        </w:rPr>
      </w:pPr>
    </w:p>
    <w:p>
      <w:pPr>
        <w:ind w:left="120" w:right="500" w:firstLine="439"/>
        <w:spacing w:after="0" w:line="276"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OF APPLICABLE BORROWER].</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14605</wp:posOffset>
            </wp:positionV>
            <wp:extent cx="24542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22225</wp:posOffset>
            </wp:positionV>
            <wp:extent cx="24542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54275"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-122555</wp:posOffset>
            </wp:positionV>
            <wp:extent cx="24542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60"/>
          </w:cols>
          <w:pgMar w:left="320" w:top="459"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9680"/>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left="96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680"/>
        <w:spacing w:after="0"/>
        <w:rPr>
          <w:sz w:val="20"/>
          <w:szCs w:val="20"/>
          <w:color w:val="auto"/>
        </w:rPr>
      </w:pPr>
      <w:r>
        <w:rPr>
          <w:rFonts w:ascii="Arial" w:cs="Arial" w:eastAsia="Arial" w:hAnsi="Arial"/>
          <w:sz w:val="18"/>
          <w:szCs w:val="18"/>
          <w:b w:val="1"/>
          <w:bCs w:val="1"/>
          <w:color w:val="auto"/>
        </w:rPr>
        <w:t>Note</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LOANS, CONVERSIONS AND REPAYMENTS OF ABR LOANS</w:t>
      </w:r>
    </w:p>
    <w:p>
      <w:pPr>
        <w:spacing w:after="0" w:line="234"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Amount</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Amount of Principal</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Amount of ABR</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Unpaid Principal</w:t>
            </w:r>
          </w:p>
        </w:tc>
        <w:tc>
          <w:tcPr>
            <w:tcW w:w="980" w:type="dxa"/>
            <w:vAlign w:val="bottom"/>
          </w:tcPr>
          <w:p>
            <w:pPr>
              <w:spacing w:after="0"/>
              <w:rPr>
                <w:sz w:val="14"/>
                <w:szCs w:val="14"/>
                <w:color w:val="auto"/>
              </w:rPr>
            </w:pPr>
          </w:p>
        </w:tc>
      </w:tr>
      <w:tr>
        <w:trPr>
          <w:trHeight w:val="148"/>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7"/>
              </w:rPr>
              <w:t>Amount of</w:t>
            </w:r>
          </w:p>
        </w:tc>
        <w:tc>
          <w:tcPr>
            <w:tcW w:w="120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2"/>
              </w:rPr>
              <w:t>Converted to</w:t>
            </w:r>
          </w:p>
        </w:tc>
        <w:tc>
          <w:tcPr>
            <w:tcW w:w="130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4"/>
              </w:rPr>
              <w:t>of ABR Loans</w:t>
            </w:r>
          </w:p>
        </w:tc>
        <w:tc>
          <w:tcPr>
            <w:tcW w:w="128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1"/>
              </w:rPr>
              <w:t>Loans Converted to</w:t>
            </w:r>
          </w:p>
        </w:tc>
        <w:tc>
          <w:tcPr>
            <w:tcW w:w="118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0"/>
              </w:rPr>
              <w:t>Balance</w:t>
            </w:r>
          </w:p>
        </w:tc>
        <w:tc>
          <w:tcPr>
            <w:tcW w:w="980" w:type="dxa"/>
            <w:vAlign w:val="bottom"/>
          </w:tcPr>
          <w:p>
            <w:pPr>
              <w:spacing w:after="0"/>
              <w:rPr>
                <w:sz w:val="12"/>
                <w:szCs w:val="12"/>
                <w:color w:val="auto"/>
              </w:rPr>
            </w:pPr>
          </w:p>
        </w:tc>
      </w:tr>
      <w:tr>
        <w:trPr>
          <w:trHeight w:val="167"/>
        </w:trPr>
        <w:tc>
          <w:tcPr>
            <w:tcW w:w="280" w:type="dxa"/>
            <w:vAlign w:val="bottom"/>
          </w:tcPr>
          <w:p>
            <w:pPr>
              <w:spacing w:after="0"/>
              <w:rPr>
                <w:sz w:val="20"/>
                <w:szCs w:val="20"/>
                <w:color w:val="auto"/>
              </w:rPr>
            </w:pPr>
            <w:r>
              <w:rPr>
                <w:rFonts w:ascii="Arial" w:cs="Arial" w:eastAsia="Arial" w:hAnsi="Arial"/>
                <w:sz w:val="14"/>
                <w:szCs w:val="14"/>
                <w:color w:val="auto"/>
                <w:w w:val="87"/>
              </w:rPr>
              <w:t>Date</w:t>
            </w:r>
          </w:p>
        </w:tc>
        <w:tc>
          <w:tcPr>
            <w:tcW w:w="66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ABR Loans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ABR Loans</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Repaid</w:t>
            </w: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Eurocurrency Loans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of ABR Loans</w:t>
            </w:r>
          </w:p>
        </w:tc>
        <w:tc>
          <w:tcPr>
            <w:tcW w:w="980" w:type="dxa"/>
            <w:vAlign w:val="bottom"/>
          </w:tcPr>
          <w:p>
            <w:pPr>
              <w:ind w:left="220"/>
              <w:spacing w:after="0"/>
              <w:rPr>
                <w:sz w:val="20"/>
                <w:szCs w:val="20"/>
                <w:color w:val="auto"/>
              </w:rPr>
            </w:pPr>
            <w:r>
              <w:rPr>
                <w:rFonts w:ascii="Arial" w:cs="Arial" w:eastAsia="Arial" w:hAnsi="Arial"/>
                <w:sz w:val="14"/>
                <w:szCs w:val="14"/>
                <w:color w:val="auto"/>
              </w:rPr>
              <w:t>Made By</w:t>
            </w:r>
          </w:p>
        </w:tc>
      </w:tr>
      <w:tr>
        <w:trPr>
          <w:trHeight w:val="27"/>
        </w:trPr>
        <w:tc>
          <w:tcPr>
            <w:tcW w:w="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9680"/>
        <w:spacing w:after="0"/>
        <w:rPr>
          <w:sz w:val="20"/>
          <w:szCs w:val="20"/>
          <w:color w:val="auto"/>
        </w:rPr>
      </w:pPr>
      <w:r>
        <w:rPr>
          <w:rFonts w:ascii="Arial" w:cs="Arial" w:eastAsia="Arial" w:hAnsi="Arial"/>
          <w:sz w:val="18"/>
          <w:szCs w:val="18"/>
          <w:b w:val="1"/>
          <w:bCs w:val="1"/>
          <w:color w:val="auto"/>
        </w:rPr>
        <w:t>SCHEDULE B</w:t>
      </w:r>
    </w:p>
    <w:p>
      <w:pPr>
        <w:spacing w:after="0" w:line="27" w:lineRule="exact"/>
        <w:rPr>
          <w:sz w:val="20"/>
          <w:szCs w:val="20"/>
          <w:color w:val="auto"/>
        </w:rPr>
      </w:pPr>
    </w:p>
    <w:p>
      <w:pPr>
        <w:jc w:val="center"/>
        <w:ind w:left="96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680"/>
        <w:spacing w:after="0"/>
        <w:rPr>
          <w:sz w:val="20"/>
          <w:szCs w:val="20"/>
          <w:color w:val="auto"/>
        </w:rPr>
      </w:pPr>
      <w:r>
        <w:rPr>
          <w:rFonts w:ascii="Arial" w:cs="Arial" w:eastAsia="Arial" w:hAnsi="Arial"/>
          <w:sz w:val="18"/>
          <w:szCs w:val="18"/>
          <w:b w:val="1"/>
          <w:bCs w:val="1"/>
          <w:color w:val="auto"/>
        </w:rPr>
        <w:t>Note</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LOANS, CONVERSIONS AND REPAYMENTS OF EUROCURRENCY LOANS</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Unpaid</w:t>
            </w:r>
          </w:p>
        </w:tc>
        <w:tc>
          <w:tcPr>
            <w:tcW w:w="800" w:type="dxa"/>
            <w:vAlign w:val="bottom"/>
          </w:tcPr>
          <w:p>
            <w:pPr>
              <w:spacing w:after="0"/>
              <w:rPr>
                <w:sz w:val="14"/>
                <w:szCs w:val="14"/>
                <w:color w:val="auto"/>
              </w:rPr>
            </w:pPr>
          </w:p>
        </w:tc>
      </w:tr>
      <w:tr>
        <w:trPr>
          <w:trHeight w:val="148"/>
        </w:trPr>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6"/>
              </w:rPr>
              <w:t>Principal</w:t>
            </w:r>
          </w:p>
        </w:tc>
        <w:tc>
          <w:tcPr>
            <w:tcW w:w="80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7"/>
              </w:rPr>
              <w:t>Amount of Principal</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Amount of</w:t>
            </w: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0"/>
              </w:rPr>
              <w:t>Balance</w:t>
            </w:r>
          </w:p>
        </w:tc>
        <w:tc>
          <w:tcPr>
            <w:tcW w:w="80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7"/>
              </w:rPr>
              <w:t>Amount of</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5"/>
              </w:rPr>
              <w:t>of Eurocurrency</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6"/>
              </w:rPr>
              <w:t>Eurocurrency</w:t>
            </w: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of</w:t>
            </w:r>
          </w:p>
        </w:tc>
        <w:tc>
          <w:tcPr>
            <w:tcW w:w="80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89"/>
              </w:rPr>
              <w:t>Interest</w:t>
            </w: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3"/>
              </w:rPr>
              <w:t>Eurocurrency</w:t>
            </w:r>
          </w:p>
        </w:tc>
        <w:tc>
          <w:tcPr>
            <w:tcW w:w="13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3"/>
              </w:rPr>
              <w:t>Amount Converted to</w:t>
            </w: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89"/>
              </w:rPr>
              <w:t>Loans</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1"/>
              </w:rPr>
              <w:t>Loans Converted to</w:t>
            </w: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3"/>
              </w:rPr>
              <w:t>Eurocurrency</w:t>
            </w:r>
          </w:p>
        </w:tc>
        <w:tc>
          <w:tcPr>
            <w:tcW w:w="800" w:type="dxa"/>
            <w:vAlign w:val="bottom"/>
          </w:tcPr>
          <w:p>
            <w:pPr>
              <w:spacing w:after="0"/>
              <w:rPr>
                <w:sz w:val="12"/>
                <w:szCs w:val="12"/>
                <w:color w:val="auto"/>
              </w:rPr>
            </w:pPr>
          </w:p>
        </w:tc>
      </w:tr>
      <w:tr>
        <w:trPr>
          <w:trHeight w:val="174"/>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480" w:type="dxa"/>
            <w:vAlign w:val="bottom"/>
          </w:tcPr>
          <w:p>
            <w:pPr>
              <w:spacing w:after="0"/>
              <w:rPr>
                <w:sz w:val="15"/>
                <w:szCs w:val="15"/>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Facility</w:t>
            </w:r>
          </w:p>
        </w:tc>
        <w:tc>
          <w:tcPr>
            <w:tcW w:w="120" w:type="dxa"/>
            <w:vAlign w:val="bottom"/>
          </w:tcPr>
          <w:p>
            <w:pPr>
              <w:spacing w:after="0"/>
              <w:rPr>
                <w:sz w:val="15"/>
                <w:szCs w:val="15"/>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Eurocurrency Loans</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Repaid</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Made By</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EXHIBIT L</w:t>
      </w:r>
    </w:p>
    <w:p>
      <w:pPr>
        <w:spacing w:after="0" w:line="27"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BORROWING REQUEST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Meghan Roberts</w:t>
      </w:r>
    </w:p>
    <w:p>
      <w:pPr>
        <w:spacing w:after="0" w:line="210"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_________, 20__</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Ladies/Gentlemen:</w:t>
      </w:r>
    </w:p>
    <w:p>
      <w:pPr>
        <w:spacing w:after="0" w:line="116" w:lineRule="exact"/>
        <w:rPr>
          <w:sz w:val="20"/>
          <w:szCs w:val="20"/>
          <w:color w:val="auto"/>
        </w:rPr>
      </w:pPr>
    </w:p>
    <w:p>
      <w:pPr>
        <w:ind w:left="120" w:right="20" w:firstLine="989"/>
        <w:spacing w:after="0" w:line="288"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Fourth Amended and Restated Three Year Revolving Credit Agreement dated as of April 7, 2021,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Company/the Applicable Borrower]</w:t>
      </w:r>
      <w:r>
        <w:rPr>
          <w:rFonts w:ascii="Arial" w:cs="Arial" w:eastAsia="Arial" w:hAnsi="Arial"/>
          <w:sz w:val="13"/>
          <w:szCs w:val="13"/>
          <w:color w:val="auto"/>
        </w:rPr>
        <w:t>2</w:t>
      </w:r>
      <w:r>
        <w:rPr>
          <w:rFonts w:ascii="Arial" w:cs="Arial" w:eastAsia="Arial" w:hAnsi="Arial"/>
          <w:sz w:val="16"/>
          <w:szCs w:val="16"/>
          <w:color w:val="auto"/>
        </w:rPr>
        <w:t>, General Motors Financial Company, Inc., a Texas corporation, GM Global Treasury Centre Limited (“</w:t>
      </w:r>
      <w:r>
        <w:rPr>
          <w:rFonts w:ascii="Arial" w:cs="Arial" w:eastAsia="Arial" w:hAnsi="Arial"/>
          <w:sz w:val="16"/>
          <w:szCs w:val="16"/>
          <w:u w:val="single" w:color="auto"/>
          <w:color w:val="auto"/>
        </w:rPr>
        <w:t>GMGTC</w:t>
      </w:r>
      <w:r>
        <w:rPr>
          <w:rFonts w:ascii="Arial" w:cs="Arial" w:eastAsia="Arial" w:hAnsi="Arial"/>
          <w:sz w:val="16"/>
          <w:szCs w:val="16"/>
          <w:color w:val="auto"/>
        </w:rPr>
        <w:t>”),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Section[s] [2.2,] [2.4,] [and] [2.8]</w:t>
      </w:r>
      <w:r>
        <w:rPr>
          <w:rFonts w:ascii="Arial" w:cs="Arial" w:eastAsia="Arial" w:hAnsi="Arial"/>
          <w:sz w:val="13"/>
          <w:szCs w:val="13"/>
          <w:color w:val="auto"/>
        </w:rPr>
        <w:t>3</w:t>
      </w:r>
      <w:r>
        <w:rPr>
          <w:rFonts w:ascii="Arial" w:cs="Arial" w:eastAsia="Arial" w:hAnsi="Arial"/>
          <w:sz w:val="16"/>
          <w:szCs w:val="16"/>
          <w:color w:val="auto"/>
        </w:rPr>
        <w:t xml:space="preserve"> of the Credit Agreement that it requests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64135</wp:posOffset>
            </wp:positionV>
            <wp:extent cx="7696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21" w:lineRule="exact"/>
        <w:rPr>
          <w:sz w:val="20"/>
          <w:szCs w:val="20"/>
          <w:color w:val="auto"/>
        </w:rPr>
      </w:pPr>
    </w:p>
    <w:p>
      <w:pPr>
        <w:ind w:left="560" w:hanging="431"/>
        <w:spacing w:after="0"/>
        <w:tabs>
          <w:tab w:leader="none" w:pos="560" w:val="left"/>
        </w:tabs>
        <w:numPr>
          <w:ilvl w:val="0"/>
          <w:numId w:val="212"/>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560" w:hanging="431"/>
        <w:spacing w:after="0"/>
        <w:tabs>
          <w:tab w:leader="none" w:pos="560" w:val="left"/>
        </w:tabs>
        <w:numPr>
          <w:ilvl w:val="0"/>
          <w:numId w:val="213"/>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560" w:right="40" w:hanging="431"/>
        <w:spacing w:after="0" w:line="261" w:lineRule="auto"/>
        <w:tabs>
          <w:tab w:leader="none" w:pos="560" w:val="left"/>
        </w:tabs>
        <w:numPr>
          <w:ilvl w:val="0"/>
          <w:numId w:val="214"/>
        </w:numPr>
        <w:rPr>
          <w:rFonts w:ascii="Arial" w:cs="Arial" w:eastAsia="Arial" w:hAnsi="Arial"/>
          <w:sz w:val="15"/>
          <w:szCs w:val="15"/>
          <w:color w:val="auto"/>
        </w:rPr>
      </w:pPr>
      <w:r>
        <w:rPr>
          <w:rFonts w:ascii="Arial" w:cs="Arial" w:eastAsia="Arial" w:hAnsi="Arial"/>
          <w:sz w:val="18"/>
          <w:szCs w:val="18"/>
          <w:color w:val="auto"/>
        </w:rPr>
        <w:t>Section 2.2 describes the procedure for Domestic Commitments. Section 2.4 describes the procedure for Multicurrency Commitments. Section 2.8 describes the procedure for L/C Tranche Commitments.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Extension of Credit under the Credit Agreement, and in connection sets forth below the terms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which such Extension of Credit is requested to be made[, to which the Company hereby consents]</w:t>
      </w:r>
      <w:r>
        <w:rPr>
          <w:rFonts w:ascii="Arial" w:cs="Arial" w:eastAsia="Arial" w:hAnsi="Arial"/>
          <w:sz w:val="15"/>
          <w:szCs w:val="15"/>
          <w:color w:val="auto"/>
        </w:rPr>
        <w:t>4</w:t>
      </w:r>
      <w:r>
        <w:rPr>
          <w:rFonts w:ascii="Arial" w:cs="Arial" w:eastAsia="Arial" w:hAnsi="Arial"/>
          <w:sz w:val="18"/>
          <w:szCs w:val="18"/>
          <w:color w:val="auto"/>
        </w:rPr>
        <w:t>:</w:t>
      </w:r>
    </w:p>
    <w:p>
      <w:pPr>
        <w:spacing w:after="0" w:line="238" w:lineRule="exact"/>
        <w:rPr>
          <w:sz w:val="20"/>
          <w:szCs w:val="20"/>
          <w:color w:val="auto"/>
        </w:rPr>
      </w:pPr>
    </w:p>
    <w:p>
      <w:pPr>
        <w:ind w:left="1600" w:hanging="367"/>
        <w:spacing w:after="0"/>
        <w:tabs>
          <w:tab w:leader="none" w:pos="1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22"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15"/>
          <w:szCs w:val="15"/>
          <w:color w:val="auto"/>
        </w:rPr>
        <w:t>5</w:t>
      </w:r>
    </w:p>
    <w:p>
      <w:pPr>
        <w:spacing w:after="0" w:line="8" w:lineRule="exact"/>
        <w:rPr>
          <w:rFonts w:ascii="Arial" w:cs="Arial" w:eastAsia="Arial" w:hAnsi="Arial"/>
          <w:sz w:val="18"/>
          <w:szCs w:val="18"/>
          <w:color w:val="auto"/>
        </w:rPr>
      </w:pPr>
    </w:p>
    <w:p>
      <w:pPr>
        <w:ind w:left="1600" w:hanging="367"/>
        <w:spacing w:after="0"/>
        <w:tabs>
          <w:tab w:leader="none" w:pos="1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Facility</w:t>
      </w:r>
    </w:p>
    <w:p>
      <w:pPr>
        <w:spacing w:after="0" w:line="21" w:lineRule="exact"/>
        <w:rPr>
          <w:rFonts w:ascii="Arial" w:cs="Arial" w:eastAsia="Arial" w:hAnsi="Arial"/>
          <w:sz w:val="18"/>
          <w:szCs w:val="18"/>
          <w:color w:val="auto"/>
        </w:rPr>
      </w:pPr>
    </w:p>
    <w:p>
      <w:pPr>
        <w:ind w:left="1600" w:hanging="367"/>
        <w:spacing w:after="0"/>
        <w:tabs>
          <w:tab w:leader="none" w:pos="1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Currency</w:t>
      </w:r>
    </w:p>
    <w:p>
      <w:pPr>
        <w:spacing w:after="0" w:line="8" w:lineRule="exact"/>
        <w:rPr>
          <w:rFonts w:ascii="Arial" w:cs="Arial" w:eastAsia="Arial" w:hAnsi="Arial"/>
          <w:sz w:val="18"/>
          <w:szCs w:val="18"/>
          <w:color w:val="auto"/>
        </w:rPr>
      </w:pPr>
    </w:p>
    <w:p>
      <w:pPr>
        <w:ind w:left="1600" w:hanging="367"/>
        <w:spacing w:after="0"/>
        <w:tabs>
          <w:tab w:leader="none" w:pos="1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90805</wp:posOffset>
            </wp:positionV>
            <wp:extent cx="7696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-575310</wp:posOffset>
            </wp:positionV>
            <wp:extent cx="16243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24330" cy="825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-293370</wp:posOffset>
            </wp:positionV>
            <wp:extent cx="16243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624330" cy="825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-156845</wp:posOffset>
            </wp:positionV>
            <wp:extent cx="16243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624330" cy="825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-19685</wp:posOffset>
            </wp:positionV>
            <wp:extent cx="16243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163" w:lineRule="exact"/>
        <w:rPr>
          <w:sz w:val="20"/>
          <w:szCs w:val="20"/>
          <w:color w:val="auto"/>
        </w:rPr>
      </w:pPr>
    </w:p>
    <w:p>
      <w:pPr>
        <w:ind w:left="560" w:right="120" w:hanging="431"/>
        <w:spacing w:after="0" w:line="257" w:lineRule="auto"/>
        <w:tabs>
          <w:tab w:leader="none" w:pos="560" w:val="left"/>
        </w:tabs>
        <w:numPr>
          <w:ilvl w:val="0"/>
          <w:numId w:val="216"/>
        </w:numPr>
        <w:rPr>
          <w:rFonts w:ascii="Arial" w:cs="Arial" w:eastAsia="Arial" w:hAnsi="Arial"/>
          <w:sz w:val="15"/>
          <w:szCs w:val="15"/>
          <w:color w:val="auto"/>
        </w:rPr>
      </w:pPr>
      <w:r>
        <w:rPr>
          <w:rFonts w:ascii="Arial" w:cs="Arial" w:eastAsia="Arial" w:hAnsi="Arial"/>
          <w:sz w:val="18"/>
          <w:szCs w:val="18"/>
          <w:color w:val="auto"/>
        </w:rPr>
        <w:t>Insert if the Applicable Borrower is, in the case of a Borrowing Request delivered pursuant to Section 2.2, a Domestic Subsidiary Borrower or, in the case of a Borrowing Request delivered pursuant to Sections 2.4 or 2.8, a Subsidiary Borrower.</w:t>
      </w:r>
    </w:p>
    <w:p>
      <w:pPr>
        <w:spacing w:after="0" w:line="1" w:lineRule="exact"/>
        <w:rPr>
          <w:sz w:val="20"/>
          <w:szCs w:val="20"/>
          <w:color w:val="auto"/>
        </w:rPr>
      </w:pPr>
    </w:p>
    <w:p>
      <w:pPr>
        <w:ind w:left="560" w:right="120" w:hanging="431"/>
        <w:spacing w:after="0" w:line="281" w:lineRule="auto"/>
        <w:tabs>
          <w:tab w:leader="none" w:pos="560" w:val="left"/>
        </w:tabs>
        <w:numPr>
          <w:ilvl w:val="0"/>
          <w:numId w:val="217"/>
        </w:numPr>
        <w:rPr>
          <w:rFonts w:ascii="Arial" w:cs="Arial" w:eastAsia="Arial" w:hAnsi="Arial"/>
          <w:sz w:val="13"/>
          <w:szCs w:val="13"/>
          <w:color w:val="auto"/>
        </w:rPr>
      </w:pPr>
      <w:r>
        <w:rPr>
          <w:rFonts w:ascii="Arial" w:cs="Arial" w:eastAsia="Arial" w:hAnsi="Arial"/>
          <w:sz w:val="16"/>
          <w:szCs w:val="16"/>
          <w:color w:val="auto"/>
        </w:rPr>
        <w:t>Borrowing Request to be delivered to the Administrative Agent in the case of any Domestic Loan prior to (a) 1:00 P.M., New York City time, three Business Days prior to the requested Borrowing Date, in the case of Eurocurrency Loans, or (b) 1:00 P.M., New York City time, on the date of the proposed borrowing, in the case of ABR Loans). Borrowing Request to be delivered to the Administrative Agent (x) in the case of any Multicurrency Loan denominated in Dollars, written (or telephonic notice promptly confirmed in writing) prior to (a) in the case of Eurocurrency Loans (i) in the case of requests made by the Company or any Subsidiary Borrower other than GMGTC, 1:00 P.M., New York City time, three Business Days prior to the requested Borrowing Date or (ii) in the case of requests made by GMGTC, 1:00 P.M., London time, three Business Days prior to the requested Borrowing Date, or (b) 1:00 P.M., New York City time, on the date of the proposed borrowing, in the case of ABR Loans and (y) in the case of any Multicurrency Loan denominated in an Optional Currency, 1:00 P.M., London time, three Business Days prior to the requested Borrowing Date. Borrowing Request to be delivered in the case of any L/C Tranche Loan denominated in Dollars, written (or telephonic notice promptly confirmed in writing) prior to (a) 1:00 P.M., New York City time, three Business Days prior to the requested</w:t>
      </w:r>
    </w:p>
    <w:p>
      <w:pPr>
        <w:spacing w:after="0" w:line="2" w:lineRule="exact"/>
        <w:rPr>
          <w:sz w:val="20"/>
          <w:szCs w:val="20"/>
          <w:color w:val="auto"/>
        </w:rPr>
      </w:pPr>
    </w:p>
    <w:p>
      <w:pPr>
        <w:jc w:val="both"/>
        <w:ind w:left="560" w:right="40"/>
        <w:spacing w:after="0" w:line="249" w:lineRule="auto"/>
        <w:rPr>
          <w:sz w:val="20"/>
          <w:szCs w:val="20"/>
          <w:color w:val="auto"/>
        </w:rPr>
      </w:pPr>
      <w:r>
        <w:rPr>
          <w:rFonts w:ascii="Arial" w:cs="Arial" w:eastAsia="Arial" w:hAnsi="Arial"/>
          <w:sz w:val="18"/>
          <w:szCs w:val="18"/>
          <w:color w:val="auto"/>
        </w:rPr>
        <w:t>Borrowing Date, in the case of Eurocurrency Loans, or (b) 12:00 Noon, New York City time, on the date of the proposed borrowing, in the case of ABR Loans and (y) in the case of any L/C Tranche Loan denominated in an Optional Currency, a written Borrowing Request prior to 12:00 Noon, London time, three Business Days prior to the requested Borrowing Date.</w:t>
      </w:r>
    </w:p>
    <w:p>
      <w:pPr>
        <w:spacing w:after="0" w:line="1" w:lineRule="exact"/>
        <w:rPr>
          <w:sz w:val="20"/>
          <w:szCs w:val="20"/>
          <w:color w:val="auto"/>
        </w:rPr>
      </w:pPr>
    </w:p>
    <w:p>
      <w:pPr>
        <w:ind w:left="560" w:hanging="431"/>
        <w:spacing w:after="0" w:line="268" w:lineRule="auto"/>
        <w:tabs>
          <w:tab w:leader="none" w:pos="560" w:val="left"/>
        </w:tabs>
        <w:numPr>
          <w:ilvl w:val="0"/>
          <w:numId w:val="218"/>
        </w:numPr>
        <w:rPr>
          <w:rFonts w:ascii="Arial" w:cs="Arial" w:eastAsia="Arial" w:hAnsi="Arial"/>
          <w:sz w:val="14"/>
          <w:szCs w:val="14"/>
          <w:color w:val="auto"/>
        </w:rPr>
      </w:pPr>
      <w:r>
        <w:rPr>
          <w:rFonts w:ascii="Arial" w:cs="Arial" w:eastAsia="Arial" w:hAnsi="Arial"/>
          <w:sz w:val="17"/>
          <w:szCs w:val="17"/>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600" w:hanging="367"/>
        <w:spacing w:after="0"/>
        <w:tabs>
          <w:tab w:leader="none" w:pos="1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Type of Extension of Credit </w:t>
      </w:r>
      <w:r>
        <w:rPr>
          <w:rFonts w:ascii="Arial" w:cs="Arial" w:eastAsia="Arial" w:hAnsi="Arial"/>
          <w:sz w:val="15"/>
          <w:szCs w:val="15"/>
          <w:color w:val="auto"/>
        </w:rPr>
        <w:t>7</w:t>
      </w:r>
    </w:p>
    <w:p>
      <w:pPr>
        <w:spacing w:after="0" w:line="22" w:lineRule="exact"/>
        <w:rPr>
          <w:rFonts w:ascii="Arial" w:cs="Arial" w:eastAsia="Arial" w:hAnsi="Arial"/>
          <w:sz w:val="18"/>
          <w:szCs w:val="18"/>
          <w:color w:val="auto"/>
        </w:rPr>
      </w:pPr>
    </w:p>
    <w:p>
      <w:pPr>
        <w:ind w:left="1600" w:hanging="367"/>
        <w:spacing w:after="0"/>
        <w:tabs>
          <w:tab w:leader="none" w:pos="1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8</w:t>
      </w:r>
    </w:p>
    <w:p>
      <w:pPr>
        <w:spacing w:after="0" w:line="8" w:lineRule="exact"/>
        <w:rPr>
          <w:rFonts w:ascii="Arial" w:cs="Arial" w:eastAsia="Arial" w:hAnsi="Arial"/>
          <w:sz w:val="18"/>
          <w:szCs w:val="18"/>
          <w:color w:val="auto"/>
        </w:rPr>
      </w:pPr>
    </w:p>
    <w:p>
      <w:pPr>
        <w:ind w:left="1600" w:right="5600" w:hanging="367"/>
        <w:spacing w:after="0" w:line="281" w:lineRule="auto"/>
        <w:tabs>
          <w:tab w:leader="none" w:pos="16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Funds are requested to be disbursed to the Borrower’s account with _____________ (Account No.</w:t>
      </w:r>
    </w:p>
    <w:p>
      <w:pPr>
        <w:ind w:left="1600"/>
        <w:spacing w:after="0"/>
        <w:rPr>
          <w:rFonts w:ascii="Arial" w:cs="Arial" w:eastAsia="Arial" w:hAnsi="Arial"/>
          <w:sz w:val="16"/>
          <w:szCs w:val="16"/>
          <w:color w:val="auto"/>
        </w:rPr>
      </w:pPr>
      <w:r>
        <w:rPr>
          <w:rFonts w:ascii="Arial" w:cs="Arial" w:eastAsia="Arial" w:hAnsi="Arial"/>
          <w:sz w:val="18"/>
          <w:szCs w:val="18"/>
          <w:color w:val="auto"/>
        </w:rPr>
        <w:t>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-567055</wp:posOffset>
            </wp:positionV>
            <wp:extent cx="16243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24330" cy="825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-429895</wp:posOffset>
            </wp:positionV>
            <wp:extent cx="16243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24330" cy="825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-293370</wp:posOffset>
            </wp:positionV>
            <wp:extent cx="16243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177165</wp:posOffset>
            </wp:positionV>
            <wp:extent cx="7696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98" w:lineRule="exact"/>
        <w:rPr>
          <w:sz w:val="20"/>
          <w:szCs w:val="20"/>
          <w:color w:val="auto"/>
        </w:rPr>
      </w:pPr>
    </w:p>
    <w:p>
      <w:pPr>
        <w:ind w:left="560" w:hanging="431"/>
        <w:spacing w:after="0"/>
        <w:tabs>
          <w:tab w:leader="none" w:pos="560" w:val="left"/>
        </w:tabs>
        <w:numPr>
          <w:ilvl w:val="0"/>
          <w:numId w:val="220"/>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22" w:lineRule="exact"/>
        <w:rPr>
          <w:sz w:val="20"/>
          <w:szCs w:val="20"/>
          <w:color w:val="auto"/>
        </w:rPr>
      </w:pPr>
    </w:p>
    <w:p>
      <w:pPr>
        <w:jc w:val="center"/>
        <w:ind w:left="5480" w:hanging="5351"/>
        <w:spacing w:after="0" w:line="433" w:lineRule="auto"/>
        <w:tabs>
          <w:tab w:leader="none" w:pos="551" w:val="left"/>
        </w:tabs>
        <w:numPr>
          <w:ilvl w:val="0"/>
          <w:numId w:val="221"/>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 applicable to such Facility for such Lender. 225</w:t>
      </w:r>
    </w:p>
    <w:p>
      <w:pPr>
        <w:sectPr>
          <w:pgSz w:w="11900" w:h="16838" w:orient="portrait"/>
          <w:cols w:equalWidth="0" w:num="1">
            <w:col w:w="11080"/>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989"/>
        <w:spacing w:after="0" w:line="306" w:lineRule="auto"/>
        <w:rPr>
          <w:sz w:val="20"/>
          <w:szCs w:val="20"/>
          <w:color w:val="auto"/>
        </w:rPr>
      </w:pPr>
      <w:r>
        <w:rPr>
          <w:rFonts w:ascii="Arial" w:cs="Arial" w:eastAsia="Arial" w:hAnsi="Arial"/>
          <w:sz w:val="17"/>
          <w:szCs w:val="17"/>
          <w:color w:val="auto"/>
        </w:rPr>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9</w:t>
      </w:r>
      <w:r>
        <w:rPr>
          <w:rFonts w:ascii="Arial" w:cs="Arial" w:eastAsia="Arial" w:hAnsi="Arial"/>
          <w:sz w:val="17"/>
          <w:szCs w:val="17"/>
          <w:color w:val="auto"/>
        </w:rPr>
        <w:t>] of the Credit Agreement have been satisfied.</w:t>
      </w:r>
    </w:p>
    <w:p>
      <w:pPr>
        <w:spacing w:after="0" w:line="17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[INSERT NAME OF APPLICABLE BORROWER]</w:t>
      </w:r>
      <w:r>
        <w:rPr>
          <w:rFonts w:ascii="Arial" w:cs="Arial" w:eastAsia="Arial" w:hAnsi="Arial"/>
          <w:sz w:val="15"/>
          <w:szCs w:val="15"/>
          <w:color w:val="auto"/>
        </w:rPr>
        <w:t>10</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90805</wp:posOffset>
            </wp:positionV>
            <wp:extent cx="7696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63" w:lineRule="exact"/>
        <w:rPr>
          <w:sz w:val="20"/>
          <w:szCs w:val="20"/>
          <w:color w:val="auto"/>
        </w:rPr>
      </w:pPr>
    </w:p>
    <w:p>
      <w:pPr>
        <w:ind w:left="560" w:hanging="431"/>
        <w:spacing w:after="0"/>
        <w:tabs>
          <w:tab w:leader="none" w:pos="560" w:val="left"/>
        </w:tabs>
        <w:numPr>
          <w:ilvl w:val="0"/>
          <w:numId w:val="222"/>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5480" w:right="4820" w:hanging="5351"/>
        <w:spacing w:after="0" w:line="517" w:lineRule="auto"/>
        <w:tabs>
          <w:tab w:leader="none" w:pos="551" w:val="left"/>
        </w:tabs>
        <w:numPr>
          <w:ilvl w:val="0"/>
          <w:numId w:val="223"/>
        </w:numPr>
        <w:rPr>
          <w:rFonts w:ascii="Arial" w:cs="Arial" w:eastAsia="Arial" w:hAnsi="Arial"/>
          <w:sz w:val="13"/>
          <w:szCs w:val="13"/>
          <w:color w:val="auto"/>
        </w:rPr>
      </w:pPr>
      <w:r>
        <w:rPr>
          <w:rFonts w:ascii="Arial" w:cs="Arial" w:eastAsia="Arial" w:hAnsi="Arial"/>
          <w:sz w:val="16"/>
          <w:szCs w:val="16"/>
          <w:color w:val="auto"/>
        </w:rPr>
        <w:t>[Insert for Borrowings by an Applicable Borrower other than the Company.] 226</w:t>
      </w:r>
    </w:p>
    <w:p>
      <w:pPr>
        <w:sectPr>
          <w:pgSz w:w="11900" w:h="16838" w:orient="portrait"/>
          <w:cols w:equalWidth="0" w:num="1">
            <w:col w:w="10860"/>
          </w:cols>
          <w:pgMar w:left="320" w:top="459" w:right="7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80" w:type="dxa"/>
            <w:vAlign w:val="bottom"/>
          </w:tcPr>
          <w:p>
            <w:pPr>
              <w:jc w:val="center"/>
              <w:ind w:left="2050"/>
              <w:spacing w:after="0"/>
              <w:rPr>
                <w:sz w:val="20"/>
                <w:szCs w:val="20"/>
                <w:color w:val="auto"/>
              </w:rPr>
            </w:pPr>
            <w:r>
              <w:rPr>
                <w:rFonts w:ascii="Arial" w:cs="Arial" w:eastAsia="Arial" w:hAnsi="Arial"/>
                <w:sz w:val="18"/>
                <w:szCs w:val="18"/>
                <w:b w:val="1"/>
                <w:bCs w:val="1"/>
                <w:color w:val="auto"/>
              </w:rPr>
              <w:t>EXHIBIT M</w:t>
            </w:r>
          </w:p>
        </w:tc>
      </w:tr>
      <w:tr>
        <w:trPr>
          <w:trHeight w:val="215"/>
        </w:trPr>
        <w:tc>
          <w:tcPr>
            <w:tcW w:w="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80" w:type="dxa"/>
            <w:vAlign w:val="bottom"/>
          </w:tcPr>
          <w:p>
            <w:pPr>
              <w:jc w:val="center"/>
              <w:ind w:left="2050"/>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80" w:type="dxa"/>
            <w:vAlign w:val="bottom"/>
          </w:tcPr>
          <w:p>
            <w:pPr>
              <w:jc w:val="center"/>
              <w:ind w:left="2050"/>
              <w:spacing w:after="0"/>
              <w:rPr>
                <w:sz w:val="20"/>
                <w:szCs w:val="20"/>
                <w:color w:val="auto"/>
              </w:rPr>
            </w:pPr>
            <w:r>
              <w:rPr>
                <w:rFonts w:ascii="Arial" w:cs="Arial" w:eastAsia="Arial" w:hAnsi="Arial"/>
                <w:sz w:val="18"/>
                <w:szCs w:val="18"/>
                <w:b w:val="1"/>
                <w:bCs w:val="1"/>
                <w:color w:val="auto"/>
                <w:w w:val="91"/>
              </w:rPr>
              <w:t>Credit Agreement</w:t>
            </w:r>
          </w:p>
        </w:tc>
      </w:tr>
      <w:tr>
        <w:trPr>
          <w:trHeight w:val="444"/>
        </w:trPr>
        <w:tc>
          <w:tcPr>
            <w:tcW w:w="400" w:type="dxa"/>
            <w:vAlign w:val="bottom"/>
          </w:tcPr>
          <w:p>
            <w:pPr>
              <w:spacing w:after="0"/>
              <w:rPr>
                <w:sz w:val="24"/>
                <w:szCs w:val="24"/>
                <w:color w:val="auto"/>
              </w:rPr>
            </w:pPr>
          </w:p>
        </w:tc>
        <w:tc>
          <w:tcPr>
            <w:tcW w:w="10160" w:type="dxa"/>
            <w:vAlign w:val="bottom"/>
            <w:gridSpan w:val="5"/>
          </w:tcPr>
          <w:p>
            <w:pPr>
              <w:ind w:left="3300"/>
              <w:spacing w:after="0"/>
              <w:rPr>
                <w:sz w:val="20"/>
                <w:szCs w:val="20"/>
                <w:color w:val="auto"/>
              </w:rPr>
            </w:pPr>
            <w:r>
              <w:rPr>
                <w:rFonts w:ascii="Arial" w:cs="Arial" w:eastAsia="Arial" w:hAnsi="Arial"/>
                <w:sz w:val="18"/>
                <w:szCs w:val="18"/>
                <w:b w:val="1"/>
                <w:bCs w:val="1"/>
                <w:color w:val="auto"/>
              </w:rPr>
              <w:t>FORM OF COMPANY CONSENT</w:t>
            </w:r>
          </w:p>
        </w:tc>
      </w:tr>
      <w:tr>
        <w:trPr>
          <w:trHeight w:val="431"/>
        </w:trPr>
        <w:tc>
          <w:tcPr>
            <w:tcW w:w="400" w:type="dxa"/>
            <w:vAlign w:val="bottom"/>
          </w:tcPr>
          <w:p>
            <w:pPr>
              <w:spacing w:after="0"/>
              <w:rPr>
                <w:sz w:val="24"/>
                <w:szCs w:val="24"/>
                <w:color w:val="auto"/>
              </w:rPr>
            </w:pPr>
          </w:p>
        </w:tc>
        <w:tc>
          <w:tcPr>
            <w:tcW w:w="10160" w:type="dxa"/>
            <w:vAlign w:val="bottom"/>
            <w:gridSpan w:val="5"/>
          </w:tcPr>
          <w:p>
            <w:pPr>
              <w:jc w:val="right"/>
              <w:spacing w:after="0"/>
              <w:rPr>
                <w:sz w:val="20"/>
                <w:szCs w:val="20"/>
                <w:color w:val="auto"/>
              </w:rPr>
            </w:pPr>
            <w:r>
              <w:rPr>
                <w:rFonts w:ascii="Arial" w:cs="Arial" w:eastAsia="Arial" w:hAnsi="Arial"/>
                <w:sz w:val="18"/>
                <w:szCs w:val="18"/>
                <w:color w:val="auto"/>
              </w:rPr>
              <w:t>__________, 20__</w:t>
            </w:r>
          </w:p>
        </w:tc>
      </w:tr>
      <w:tr>
        <w:trPr>
          <w:trHeight w:val="417"/>
        </w:trPr>
        <w:tc>
          <w:tcPr>
            <w:tcW w:w="400" w:type="dxa"/>
            <w:vAlign w:val="bottom"/>
          </w:tcPr>
          <w:p>
            <w:pPr>
              <w:spacing w:after="0"/>
              <w:rPr>
                <w:sz w:val="20"/>
                <w:szCs w:val="20"/>
                <w:color w:val="auto"/>
              </w:rPr>
            </w:pPr>
            <w:r>
              <w:rPr>
                <w:rFonts w:ascii="Arial" w:cs="Arial" w:eastAsia="Arial" w:hAnsi="Arial"/>
                <w:sz w:val="18"/>
                <w:szCs w:val="18"/>
                <w:color w:val="auto"/>
              </w:rPr>
              <w:t>To:</w:t>
            </w:r>
          </w:p>
        </w:tc>
        <w:tc>
          <w:tcPr>
            <w:tcW w:w="10160" w:type="dxa"/>
            <w:vAlign w:val="bottom"/>
            <w:gridSpan w:val="5"/>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_____________________________</w:t>
            </w:r>
            <w:r>
              <w:rPr>
                <w:rFonts w:ascii="Arial" w:cs="Arial" w:eastAsia="Arial" w:hAnsi="Arial"/>
                <w:sz w:val="18"/>
                <w:szCs w:val="18"/>
                <w:color w:val="auto"/>
              </w:rPr>
              <w:t>] (the “Issuing Lender”)</w:t>
            </w:r>
          </w:p>
        </w:tc>
      </w:tr>
      <w:tr>
        <w:trPr>
          <w:trHeight w:val="20"/>
        </w:trPr>
        <w:tc>
          <w:tcPr>
            <w:tcW w:w="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64"/>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10160" w:type="dxa"/>
            <w:vAlign w:val="bottom"/>
            <w:gridSpan w:val="5"/>
          </w:tcPr>
          <w:p>
            <w:pPr>
              <w:ind w:left="140"/>
              <w:spacing w:after="0"/>
              <w:rPr>
                <w:sz w:val="20"/>
                <w:szCs w:val="20"/>
                <w:color w:val="auto"/>
              </w:rPr>
            </w:pPr>
            <w:r>
              <w:rPr>
                <w:rFonts w:ascii="Arial" w:cs="Arial" w:eastAsia="Arial" w:hAnsi="Arial"/>
                <w:sz w:val="18"/>
                <w:szCs w:val="18"/>
                <w:color w:val="auto"/>
                <w:w w:val="92"/>
              </w:rPr>
              <w:t>Fourth Amended and Restated Three Year Revolving Credit Agreement, dated as of April 7, 2021 (as amended, restated, amended and</w:t>
            </w:r>
          </w:p>
        </w:tc>
      </w:tr>
      <w:tr>
        <w:trPr>
          <w:trHeight w:val="189"/>
        </w:trPr>
        <w:tc>
          <w:tcPr>
            <w:tcW w:w="400" w:type="dxa"/>
            <w:vAlign w:val="bottom"/>
          </w:tcPr>
          <w:p>
            <w:pPr>
              <w:spacing w:after="0"/>
              <w:rPr>
                <w:sz w:val="16"/>
                <w:szCs w:val="16"/>
                <w:color w:val="auto"/>
              </w:rPr>
            </w:pPr>
          </w:p>
        </w:tc>
        <w:tc>
          <w:tcPr>
            <w:tcW w:w="10160" w:type="dxa"/>
            <w:vAlign w:val="bottom"/>
            <w:gridSpan w:val="5"/>
          </w:tcPr>
          <w:p>
            <w:pPr>
              <w:ind w:left="140"/>
              <w:spacing w:after="0" w:line="189" w:lineRule="exact"/>
              <w:rPr>
                <w:sz w:val="20"/>
                <w:szCs w:val="20"/>
                <w:color w:val="auto"/>
              </w:rPr>
            </w:pPr>
            <w:r>
              <w:rPr>
                <w:rFonts w:ascii="Arial" w:cs="Arial" w:eastAsia="Arial" w:hAnsi="Arial"/>
                <w:sz w:val="18"/>
                <w:szCs w:val="18"/>
                <w:color w:val="auto"/>
                <w:w w:val="92"/>
              </w:rPr>
              <w:t>restated, renewed, supplemented or modified from time to time, the “Credit Agreement”), among General Motors Company, a Delaware</w:t>
            </w:r>
          </w:p>
        </w:tc>
      </w:tr>
      <w:tr>
        <w:trPr>
          <w:trHeight w:val="20"/>
        </w:trPr>
        <w:tc>
          <w:tcPr>
            <w:tcW w:w="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13" w:lineRule="exact"/>
        <w:rPr>
          <w:sz w:val="20"/>
          <w:szCs w:val="20"/>
          <w:color w:val="auto"/>
        </w:rPr>
      </w:pPr>
    </w:p>
    <w:p>
      <w:pPr>
        <w:ind w:left="1100" w:right="40"/>
        <w:spacing w:after="0" w:line="296" w:lineRule="auto"/>
        <w:rPr>
          <w:sz w:val="20"/>
          <w:szCs w:val="20"/>
          <w:color w:val="auto"/>
        </w:rPr>
      </w:pPr>
      <w:r>
        <w:rPr>
          <w:rFonts w:ascii="Arial" w:cs="Arial" w:eastAsia="Arial" w:hAnsi="Arial"/>
          <w:sz w:val="16"/>
          <w:szCs w:val="16"/>
          <w:color w:val="auto"/>
        </w:rPr>
        <w:t>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 England and Wales, the Subsidiary Borrowers from time to time party thereto, the Lenders from time to time party thereto, JPMorgan Chase Bank, N.A., as administrative agent, Citibank, N.A., as syndication agent, Bank of America, N.A., as co-syndication agent, and the other agents party thereto. Capitalized terms used and not defined herein shall have the meanings assigned to such terms in the Credit Agreement.</w:t>
      </w:r>
    </w:p>
    <w:p>
      <w:pPr>
        <w:spacing w:after="0" w:line="158" w:lineRule="exact"/>
        <w:rPr>
          <w:sz w:val="20"/>
          <w:szCs w:val="20"/>
          <w:color w:val="auto"/>
        </w:rPr>
      </w:pPr>
    </w:p>
    <w:p>
      <w:pPr>
        <w:ind w:left="120" w:right="340" w:firstLine="989"/>
        <w:spacing w:after="0" w:line="290"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Credit Agreement, the Company hereby consents to the issuance by the Issuing Lender or its Applicable Lending office of a Letter of Credit in the original face amount of ________________ [Insert Currency] requested by and for the account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__________________________________________________ (the “</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pursuant to that certain Application dated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 20__] and executed by the Applicable Account Party].</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EXHIBIT N</w:t>
      </w:r>
    </w:p>
    <w:p>
      <w:pPr>
        <w:spacing w:after="0" w:line="27"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LETTER OF CREDIT ACKNOWLEDGMENT</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LETTER OF CREDIT ACKNOWLEDGMENT, dated as of _____________, 20__, is entered into by _________________, 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_________________ (the “</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in favor of [INSERT ISSUING LENDER], General Motors Company, a Delaware corporation</w:t>
      </w:r>
    </w:p>
    <w:p>
      <w:pPr>
        <w:spacing w:after="0" w:line="32" w:lineRule="exact"/>
        <w:rPr>
          <w:sz w:val="20"/>
          <w:szCs w:val="20"/>
          <w:color w:val="auto"/>
        </w:rPr>
      </w:pPr>
    </w:p>
    <w:p>
      <w:pPr>
        <w:ind w:left="120" w:right="80"/>
        <w:spacing w:after="0" w:line="28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and [ ] (the “</w:t>
      </w:r>
      <w:r>
        <w:rPr>
          <w:rFonts w:ascii="Arial" w:cs="Arial" w:eastAsia="Arial" w:hAnsi="Arial"/>
          <w:sz w:val="17"/>
          <w:szCs w:val="17"/>
          <w:u w:val="single" w:color="auto"/>
          <w:color w:val="auto"/>
        </w:rPr>
        <w:t>Applicable Account Party</w:t>
      </w:r>
      <w:r>
        <w:rPr>
          <w:rFonts w:ascii="Arial" w:cs="Arial" w:eastAsia="Arial" w:hAnsi="Arial"/>
          <w:sz w:val="17"/>
          <w:szCs w:val="17"/>
          <w:color w:val="auto"/>
        </w:rPr>
        <w:t>”). Capitalized terms used and not defined herein shall have the meanings assigned to such terms in the Credit Agreement referred to below. This is a “Letter of Credit Acknowledgment” as referenced in the Credit Agreement.</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RECITALS</w:t>
      </w:r>
    </w:p>
    <w:p>
      <w:pPr>
        <w:spacing w:after="0" w:line="228" w:lineRule="exact"/>
        <w:rPr>
          <w:sz w:val="20"/>
          <w:szCs w:val="20"/>
          <w:color w:val="auto"/>
        </w:rPr>
      </w:pPr>
    </w:p>
    <w:p>
      <w:pPr>
        <w:ind w:left="120" w:right="80" w:firstLine="439"/>
        <w:spacing w:after="0" w:line="278" w:lineRule="auto"/>
        <w:rPr>
          <w:sz w:val="20"/>
          <w:szCs w:val="20"/>
          <w:color w:val="auto"/>
        </w:rPr>
      </w:pPr>
      <w:r>
        <w:rPr>
          <w:rFonts w:ascii="Arial" w:cs="Arial" w:eastAsia="Arial" w:hAnsi="Arial"/>
          <w:sz w:val="17"/>
          <w:szCs w:val="17"/>
          <w:color w:val="auto"/>
        </w:rPr>
        <w:t>WHEREAS, the Company, General Motors Financial Company, Inc., GM Global Treasury Centre Limited, General Motors do Brazil Ltda., the Subsidiary Borrowers from time to time party thereto, JPMorgan Chase Bank, N.A, as Administrative Agent, and each of the Lenders from time to time party thereto have entered into that certain Fourth Amended and Restated Three-Year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2" w:lineRule="exact"/>
        <w:rPr>
          <w:sz w:val="20"/>
          <w:szCs w:val="20"/>
          <w:color w:val="auto"/>
        </w:rPr>
      </w:pPr>
    </w:p>
    <w:p>
      <w:pPr>
        <w:jc w:val="both"/>
        <w:ind w:left="120" w:right="100" w:firstLine="439"/>
        <w:spacing w:after="0" w:line="263" w:lineRule="auto"/>
        <w:rPr>
          <w:sz w:val="20"/>
          <w:szCs w:val="20"/>
          <w:color w:val="auto"/>
        </w:rPr>
      </w:pPr>
      <w:r>
        <w:rPr>
          <w:rFonts w:ascii="Arial" w:cs="Arial" w:eastAsia="Arial" w:hAnsi="Arial"/>
          <w:sz w:val="18"/>
          <w:szCs w:val="18"/>
          <w:color w:val="auto"/>
        </w:rPr>
        <w:t>WHEREAS, pursuant to the terms of the Credit Agreement, the Applicable Account Party has requested that the Applicable Lending Office issue a letter of credit (the “</w:t>
      </w:r>
      <w:r>
        <w:rPr>
          <w:rFonts w:ascii="Arial" w:cs="Arial" w:eastAsia="Arial" w:hAnsi="Arial"/>
          <w:sz w:val="18"/>
          <w:szCs w:val="18"/>
          <w:u w:val="single" w:color="auto"/>
          <w:color w:val="auto"/>
        </w:rPr>
        <w:t>Requested Letter of Credit</w:t>
      </w:r>
      <w:r>
        <w:rPr>
          <w:rFonts w:ascii="Arial" w:cs="Arial" w:eastAsia="Arial" w:hAnsi="Arial"/>
          <w:sz w:val="18"/>
          <w:szCs w:val="18"/>
          <w:color w:val="auto"/>
        </w:rPr>
        <w:t>”) on behalf of the Applicable Account Party, which letter of credit shall be a “Letter of Credit” for all purposes under the Credit Agreement; and</w:t>
      </w:r>
    </w:p>
    <w:p>
      <w:pPr>
        <w:spacing w:after="0" w:line="182" w:lineRule="exact"/>
        <w:rPr>
          <w:sz w:val="20"/>
          <w:szCs w:val="20"/>
          <w:color w:val="auto"/>
        </w:rPr>
      </w:pPr>
    </w:p>
    <w:p>
      <w:pPr>
        <w:ind w:left="120" w:right="160" w:firstLine="439"/>
        <w:spacing w:after="0" w:line="263" w:lineRule="auto"/>
        <w:rPr>
          <w:sz w:val="20"/>
          <w:szCs w:val="20"/>
          <w:color w:val="auto"/>
        </w:rPr>
      </w:pPr>
      <w:r>
        <w:rPr>
          <w:rFonts w:ascii="Arial" w:cs="Arial" w:eastAsia="Arial" w:hAnsi="Arial"/>
          <w:sz w:val="18"/>
          <w:szCs w:val="18"/>
          <w:color w:val="auto"/>
        </w:rPr>
        <w:t>WHEREAS, the Applicable Account Party may in the future request that the Applicable Lending Office issue additional letters of credit (each such letter of credit, a “</w:t>
      </w:r>
      <w:r>
        <w:rPr>
          <w:rFonts w:ascii="Arial" w:cs="Arial" w:eastAsia="Arial" w:hAnsi="Arial"/>
          <w:sz w:val="18"/>
          <w:szCs w:val="18"/>
          <w:u w:val="single" w:color="auto"/>
          <w:color w:val="auto"/>
        </w:rPr>
        <w:t>Future Letter of Credit</w:t>
      </w:r>
      <w:r>
        <w:rPr>
          <w:rFonts w:ascii="Arial" w:cs="Arial" w:eastAsia="Arial" w:hAnsi="Arial"/>
          <w:sz w:val="18"/>
          <w:szCs w:val="18"/>
          <w:color w:val="auto"/>
        </w:rPr>
        <w:t>”) on behalf of the Applicable Account Party, each such Future Letter of Credit to be a “Letter of Credit” for all purposes under the Credit Agreement upon the issuance thereof.</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NOW, THEREFORE, IT IS AGREED:</w:t>
      </w:r>
    </w:p>
    <w:p>
      <w:pPr>
        <w:spacing w:after="0" w:line="224" w:lineRule="exact"/>
        <w:rPr>
          <w:sz w:val="20"/>
          <w:szCs w:val="20"/>
          <w:color w:val="auto"/>
        </w:rPr>
      </w:pPr>
    </w:p>
    <w:p>
      <w:pPr>
        <w:ind w:left="120" w:firstLine="998"/>
        <w:spacing w:after="0" w:line="258" w:lineRule="auto"/>
        <w:tabs>
          <w:tab w:leader="none" w:pos="1289"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Each of the Applicable Lending Office, [INSERT ISSUING LENDER], the Company and the Applicable Account Party hereby acknowledge that, upon the issuance thereof pursuant to the terms of the Credit Agreement, the Requested Letter of Credit and any Future Letter of Credit shall constitute and shall be deemed to be a Letter of Credit for all purposes under the Credit Agreement and shall be subject to the terms thereof, as such terms may be amended solely pursuant to Section 2 below.</w:t>
      </w:r>
    </w:p>
    <w:p>
      <w:pPr>
        <w:spacing w:after="0" w:line="187" w:lineRule="exact"/>
        <w:rPr>
          <w:sz w:val="20"/>
          <w:szCs w:val="20"/>
          <w:color w:val="auto"/>
        </w:rPr>
      </w:pPr>
    </w:p>
    <w:p>
      <w:pPr>
        <w:ind w:left="120" w:right="560" w:firstLine="1429"/>
        <w:spacing w:after="0" w:line="276" w:lineRule="auto"/>
        <w:rPr>
          <w:sz w:val="20"/>
          <w:szCs w:val="20"/>
          <w:color w:val="auto"/>
        </w:rPr>
      </w:pPr>
      <w:r>
        <w:rPr>
          <w:rFonts w:ascii="Arial" w:cs="Arial" w:eastAsia="Arial" w:hAnsi="Arial"/>
          <w:sz w:val="18"/>
          <w:szCs w:val="18"/>
          <w:color w:val="auto"/>
        </w:rPr>
        <w:t>The Applicable Lending Office hereby agrees to be bound by the terms and conditions of the Credit Agreement (including all representations, warranties, and covenants), derive rights and assume the obligations thereunder.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firstLine="998"/>
        <w:spacing w:after="0" w:line="276" w:lineRule="auto"/>
        <w:tabs>
          <w:tab w:leader="none" w:pos="128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Solely with respect to the Requested Letter of Credit and any Future Letter of Credit, the terms of the Credit Agreement governing Letters of Credit shall be amended as follows:</w:t>
      </w:r>
    </w:p>
    <w:p>
      <w:pPr>
        <w:spacing w:after="0" w:line="63" w:lineRule="exact"/>
        <w:rPr>
          <w:sz w:val="20"/>
          <w:szCs w:val="20"/>
          <w:color w:val="auto"/>
        </w:rPr>
      </w:pPr>
    </w:p>
    <w:p>
      <w:pPr>
        <w:ind w:left="560" w:firstLine="422"/>
        <w:spacing w:after="0" w:line="258" w:lineRule="auto"/>
        <w:rPr>
          <w:sz w:val="20"/>
          <w:szCs w:val="20"/>
          <w:color w:val="auto"/>
        </w:rPr>
      </w:pPr>
      <w:r>
        <w:rPr>
          <w:rFonts w:ascii="Arial" w:cs="Arial" w:eastAsia="Arial" w:hAnsi="Arial"/>
          <w:sz w:val="18"/>
          <w:szCs w:val="18"/>
          <w:b w:val="1"/>
          <w:bCs w:val="1"/>
          <w:i w:val="1"/>
          <w:iCs w:val="1"/>
          <w:color w:val="auto"/>
        </w:rPr>
        <w:t>[Insert any amendments to the Letter of Credit provisions set forth in Section 3 of the Credit Agreement necessary to the extent (i) of any operational terms required by the Applicable Lending Office for similarly situated applicants that do not have a material impact on its ability to issue Letters of Credit and are not materially inconsistent with the terms of the Credit Agreement and the L/C Fee Letter or (ii) required pursuant to any applicable Requirements of Law.]</w:t>
      </w:r>
    </w:p>
    <w:p>
      <w:pPr>
        <w:spacing w:after="0" w:line="187" w:lineRule="exact"/>
        <w:rPr>
          <w:sz w:val="20"/>
          <w:szCs w:val="20"/>
          <w:color w:val="auto"/>
        </w:rPr>
      </w:pPr>
    </w:p>
    <w:p>
      <w:pPr>
        <w:ind w:left="120" w:right="40" w:firstLine="998"/>
        <w:spacing w:after="0" w:line="256" w:lineRule="auto"/>
        <w:tabs>
          <w:tab w:leader="none" w:pos="1289"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The Company hereby confirms that the Credit Agreement (other than as specifically amended hereby solely with respect to the Requested Letter of Credit and any Future Letter of Credit) remains in full force and effect and will continue to constitute legal, valid and binding obligations of the Company in accordance with its terms. Each of the Company and the Applicable Lending Office represents and warrants that it has the full power and authority, and has taken all actions necessary to execute and deliver this Letter of Credit Acknowledgment and to consummate the transactions contemplated hereunder.</w:t>
      </w:r>
    </w:p>
    <w:p>
      <w:pPr>
        <w:spacing w:after="0" w:line="189" w:lineRule="exact"/>
        <w:rPr>
          <w:rFonts w:ascii="Arial" w:cs="Arial" w:eastAsia="Arial" w:hAnsi="Arial"/>
          <w:sz w:val="18"/>
          <w:szCs w:val="18"/>
          <w:color w:val="auto"/>
        </w:rPr>
      </w:pPr>
    </w:p>
    <w:p>
      <w:pPr>
        <w:ind w:left="120" w:right="20" w:firstLine="448"/>
        <w:spacing w:after="0" w:line="258" w:lineRule="auto"/>
        <w:tabs>
          <w:tab w:leader="none" w:pos="73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Governing Law; Etc</w:t>
      </w:r>
      <w:r>
        <w:rPr>
          <w:rFonts w:ascii="Arial" w:cs="Arial" w:eastAsia="Arial" w:hAnsi="Arial"/>
          <w:sz w:val="18"/>
          <w:szCs w:val="18"/>
          <w:color w:val="auto"/>
        </w:rPr>
        <w:t xml:space="preserve">. This Letter of Credit Acknowledgment shall be governed in accordance with the laws of the State of New York </w:t>
      </w:r>
      <w:r>
        <w:rPr>
          <w:rFonts w:ascii="Arial" w:cs="Arial" w:eastAsia="Arial" w:hAnsi="Arial"/>
          <w:sz w:val="18"/>
          <w:szCs w:val="18"/>
          <w:i w:val="1"/>
          <w:iCs w:val="1"/>
          <w:color w:val="auto"/>
        </w:rPr>
        <w:t>[or local</w:t>
      </w:r>
      <w:r>
        <w:rPr>
          <w:rFonts w:ascii="Arial" w:cs="Arial" w:eastAsia="Arial" w:hAnsi="Arial"/>
          <w:sz w:val="18"/>
          <w:szCs w:val="18"/>
          <w:color w:val="auto"/>
        </w:rPr>
        <w:t xml:space="preserve"> </w:t>
      </w:r>
      <w:r>
        <w:rPr>
          <w:rFonts w:ascii="Arial" w:cs="Arial" w:eastAsia="Arial" w:hAnsi="Arial"/>
          <w:sz w:val="18"/>
          <w:szCs w:val="18"/>
          <w:i w:val="1"/>
          <w:iCs w:val="1"/>
          <w:color w:val="auto"/>
        </w:rPr>
        <w:t>law if Acknowledgement would be unenforceable if governed by New York law]</w:t>
      </w:r>
      <w:r>
        <w:rPr>
          <w:rFonts w:ascii="Arial" w:cs="Arial" w:eastAsia="Arial" w:hAnsi="Arial"/>
          <w:sz w:val="18"/>
          <w:szCs w:val="18"/>
          <w:color w:val="auto"/>
        </w:rPr>
        <w:t>. This Letter of Credit Acknowledgment may be executed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which taken together shall constitute one agreement. Any signature delivered by facsimile or by email (in “pdf” or similar format) shall be deemed an original signature hereto.</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[APPLICABLE ACCOUNT PARTY]</w:t>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5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[ISSUING LENDER]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14605</wp:posOffset>
            </wp:positionV>
            <wp:extent cx="24288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[APPLICABLE LENDING OFFICE]</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14605</wp:posOffset>
            </wp:positionV>
            <wp:extent cx="24288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1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0139"/>
          </w:cols>
          <w:pgMar w:left="320" w:top="459"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10.2</w:t>
      </w:r>
    </w:p>
    <w:p>
      <w:pPr>
        <w:spacing w:after="0" w:line="224" w:lineRule="exact"/>
        <w:rPr>
          <w:sz w:val="20"/>
          <w:szCs w:val="20"/>
          <w:color w:val="auto"/>
        </w:rPr>
      </w:pPr>
    </w:p>
    <w:p>
      <w:pPr>
        <w:jc w:val="right"/>
        <w:ind w:left="3440"/>
        <w:spacing w:after="0" w:line="260"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364-DAY REVOLVING CREDIT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FINANCIAL COMPANY,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 FROM TIME TO TIME PARTIES HERETO,</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6480" w:type="dxa"/>
            <w:vAlign w:val="bottom"/>
          </w:tcPr>
          <w:p>
            <w:pPr>
              <w:ind w:left="80"/>
              <w:spacing w:after="0"/>
              <w:rPr>
                <w:sz w:val="20"/>
                <w:szCs w:val="20"/>
                <w:color w:val="auto"/>
              </w:rPr>
            </w:pPr>
            <w:r>
              <w:rPr>
                <w:rFonts w:ascii="Arial" w:cs="Arial" w:eastAsia="Arial" w:hAnsi="Arial"/>
                <w:sz w:val="18"/>
                <w:szCs w:val="18"/>
                <w:color w:val="auto"/>
              </w:rPr>
              <w:t>Dated as of April 7, 2021</w:t>
            </w:r>
          </w:p>
        </w:tc>
        <w:tc>
          <w:tcPr>
            <w:tcW w:w="0" w:type="dxa"/>
            <w:vAlign w:val="bottom"/>
          </w:tcPr>
          <w:p>
            <w:pPr>
              <w:spacing w:after="0"/>
              <w:rPr>
                <w:sz w:val="1"/>
                <w:szCs w:val="1"/>
                <w:color w:val="auto"/>
              </w:rPr>
            </w:pPr>
          </w:p>
        </w:tc>
      </w:tr>
      <w:tr>
        <w:trPr>
          <w:trHeight w:val="443"/>
        </w:trPr>
        <w:tc>
          <w:tcPr>
            <w:tcW w:w="4520" w:type="dxa"/>
            <w:vAlign w:val="bottom"/>
          </w:tcPr>
          <w:p>
            <w:pPr>
              <w:jc w:val="center"/>
              <w:ind w:left="1030"/>
              <w:spacing w:after="0"/>
              <w:rPr>
                <w:sz w:val="20"/>
                <w:szCs w:val="20"/>
                <w:color w:val="auto"/>
              </w:rPr>
            </w:pPr>
            <w:r>
              <w:rPr>
                <w:rFonts w:ascii="Arial" w:cs="Arial" w:eastAsia="Arial" w:hAnsi="Arial"/>
                <w:sz w:val="18"/>
                <w:szCs w:val="18"/>
                <w:color w:val="auto"/>
                <w:w w:val="96"/>
              </w:rPr>
              <w:t>JPMORGAN CHASE BANK, N.A.,</w:t>
            </w:r>
          </w:p>
        </w:tc>
        <w:tc>
          <w:tcPr>
            <w:tcW w:w="6480" w:type="dxa"/>
            <w:vAlign w:val="bottom"/>
          </w:tcPr>
          <w:p>
            <w:pPr>
              <w:jc w:val="center"/>
              <w:ind w:left="1130"/>
              <w:spacing w:after="0"/>
              <w:rPr>
                <w:sz w:val="20"/>
                <w:szCs w:val="20"/>
                <w:color w:val="auto"/>
              </w:rPr>
            </w:pPr>
            <w:r>
              <w:rPr>
                <w:rFonts w:ascii="Arial" w:cs="Arial" w:eastAsia="Arial" w:hAnsi="Arial"/>
                <w:sz w:val="18"/>
                <w:szCs w:val="18"/>
                <w:color w:val="auto"/>
              </w:rPr>
              <w:t>CITIBANK, N.A.,</w:t>
            </w:r>
          </w:p>
        </w:tc>
        <w:tc>
          <w:tcPr>
            <w:tcW w:w="0" w:type="dxa"/>
            <w:vAlign w:val="bottom"/>
          </w:tcPr>
          <w:p>
            <w:pPr>
              <w:spacing w:after="0"/>
              <w:rPr>
                <w:sz w:val="1"/>
                <w:szCs w:val="1"/>
                <w:color w:val="auto"/>
              </w:rPr>
            </w:pPr>
          </w:p>
        </w:tc>
      </w:tr>
      <w:tr>
        <w:trPr>
          <w:trHeight w:val="215"/>
        </w:trPr>
        <w:tc>
          <w:tcPr>
            <w:tcW w:w="4520" w:type="dxa"/>
            <w:vAlign w:val="bottom"/>
          </w:tcPr>
          <w:p>
            <w:pPr>
              <w:jc w:val="center"/>
              <w:ind w:left="1030"/>
              <w:spacing w:after="0"/>
              <w:rPr>
                <w:sz w:val="20"/>
                <w:szCs w:val="20"/>
                <w:color w:val="auto"/>
              </w:rPr>
            </w:pPr>
            <w:r>
              <w:rPr>
                <w:rFonts w:ascii="Arial" w:cs="Arial" w:eastAsia="Arial" w:hAnsi="Arial"/>
                <w:sz w:val="18"/>
                <w:szCs w:val="18"/>
                <w:i w:val="1"/>
                <w:iCs w:val="1"/>
                <w:color w:val="auto"/>
                <w:w w:val="92"/>
              </w:rPr>
              <w:t>as Administrative Agent, Global Coordinator,</w:t>
            </w:r>
          </w:p>
        </w:tc>
        <w:tc>
          <w:tcPr>
            <w:tcW w:w="6480" w:type="dxa"/>
            <w:vAlign w:val="bottom"/>
          </w:tcPr>
          <w:p>
            <w:pPr>
              <w:jc w:val="center"/>
              <w:ind w:left="1110"/>
              <w:spacing w:after="0"/>
              <w:rPr>
                <w:sz w:val="20"/>
                <w:szCs w:val="20"/>
                <w:color w:val="auto"/>
              </w:rPr>
            </w:pPr>
            <w:r>
              <w:rPr>
                <w:rFonts w:ascii="Arial" w:cs="Arial" w:eastAsia="Arial" w:hAnsi="Arial"/>
                <w:sz w:val="18"/>
                <w:szCs w:val="18"/>
                <w:i w:val="1"/>
                <w:iCs w:val="1"/>
                <w:color w:val="auto"/>
                <w:w w:val="89"/>
              </w:rPr>
              <w:t>as Syndication Agent</w:t>
            </w:r>
          </w:p>
        </w:tc>
        <w:tc>
          <w:tcPr>
            <w:tcW w:w="0" w:type="dxa"/>
            <w:vAlign w:val="bottom"/>
          </w:tcPr>
          <w:p>
            <w:pPr>
              <w:spacing w:after="0"/>
              <w:rPr>
                <w:sz w:val="1"/>
                <w:szCs w:val="1"/>
                <w:color w:val="auto"/>
              </w:rPr>
            </w:pPr>
          </w:p>
        </w:tc>
      </w:tr>
      <w:tr>
        <w:trPr>
          <w:trHeight w:val="230"/>
        </w:trPr>
        <w:tc>
          <w:tcPr>
            <w:tcW w:w="4520" w:type="dxa"/>
            <w:vAlign w:val="bottom"/>
          </w:tcPr>
          <w:p>
            <w:pPr>
              <w:jc w:val="center"/>
              <w:ind w:left="1010"/>
              <w:spacing w:after="0"/>
              <w:rPr>
                <w:sz w:val="20"/>
                <w:szCs w:val="20"/>
                <w:color w:val="auto"/>
              </w:rPr>
            </w:pPr>
            <w:r>
              <w:rPr>
                <w:rFonts w:ascii="Arial" w:cs="Arial" w:eastAsia="Arial" w:hAnsi="Arial"/>
                <w:sz w:val="18"/>
                <w:szCs w:val="18"/>
                <w:i w:val="1"/>
                <w:iCs w:val="1"/>
                <w:color w:val="auto"/>
                <w:w w:val="92"/>
              </w:rPr>
              <w:t>Joint Lead Arranger and Joint Bookrunner</w:t>
            </w:r>
          </w:p>
        </w:tc>
        <w:tc>
          <w:tcPr>
            <w:tcW w:w="6480" w:type="dxa"/>
            <w:vAlign w:val="bottom"/>
            <w:vMerge w:val="restart"/>
          </w:tcPr>
          <w:p>
            <w:pPr>
              <w:jc w:val="center"/>
              <w:ind w:left="1110"/>
              <w:spacing w:after="0"/>
              <w:rPr>
                <w:sz w:val="20"/>
                <w:szCs w:val="20"/>
                <w:color w:val="auto"/>
              </w:rPr>
            </w:pPr>
            <w:r>
              <w:rPr>
                <w:rFonts w:ascii="Arial" w:cs="Arial" w:eastAsia="Arial" w:hAnsi="Arial"/>
                <w:sz w:val="18"/>
                <w:szCs w:val="18"/>
                <w:color w:val="auto"/>
                <w:w w:val="97"/>
              </w:rPr>
              <w:t>CITIGROUP GLOBAL MARKETS INC.,</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6480" w:type="dxa"/>
            <w:vAlign w:val="bottom"/>
          </w:tcPr>
          <w:p>
            <w:pPr>
              <w:jc w:val="center"/>
              <w:ind w:left="1130"/>
              <w:spacing w:after="0"/>
              <w:rPr>
                <w:sz w:val="20"/>
                <w:szCs w:val="20"/>
                <w:color w:val="auto"/>
              </w:rPr>
            </w:pPr>
            <w:r>
              <w:rPr>
                <w:rFonts w:ascii="Arial" w:cs="Arial" w:eastAsia="Arial" w:hAnsi="Arial"/>
                <w:sz w:val="18"/>
                <w:szCs w:val="18"/>
                <w:i w:val="1"/>
                <w:iCs w:val="1"/>
                <w:color w:val="auto"/>
                <w:w w:val="92"/>
              </w:rPr>
              <w:t>as Global Coordinator, Joint Lead Arranger and</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6480" w:type="dxa"/>
            <w:vAlign w:val="bottom"/>
          </w:tcPr>
          <w:p>
            <w:pPr>
              <w:jc w:val="center"/>
              <w:ind w:left="1130"/>
              <w:spacing w:after="0"/>
              <w:rPr>
                <w:sz w:val="20"/>
                <w:szCs w:val="20"/>
                <w:color w:val="auto"/>
              </w:rPr>
            </w:pPr>
            <w:r>
              <w:rPr>
                <w:rFonts w:ascii="Arial" w:cs="Arial" w:eastAsia="Arial" w:hAnsi="Arial"/>
                <w:sz w:val="18"/>
                <w:szCs w:val="18"/>
                <w:i w:val="1"/>
                <w:iCs w:val="1"/>
                <w:color w:val="auto"/>
                <w:w w:val="92"/>
              </w:rPr>
              <w:t>Joint Bookrunner</w:t>
            </w:r>
          </w:p>
        </w:tc>
        <w:tc>
          <w:tcPr>
            <w:tcW w:w="0" w:type="dxa"/>
            <w:vAlign w:val="bottom"/>
          </w:tcPr>
          <w:p>
            <w:pPr>
              <w:spacing w:after="0"/>
              <w:rPr>
                <w:sz w:val="1"/>
                <w:szCs w:val="1"/>
                <w:color w:val="auto"/>
              </w:rPr>
            </w:pPr>
          </w:p>
        </w:tc>
      </w:tr>
      <w:tr>
        <w:trPr>
          <w:trHeight w:val="256"/>
        </w:trPr>
        <w:tc>
          <w:tcPr>
            <w:tcW w:w="4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52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7"/>
        </w:trPr>
        <w:tc>
          <w:tcPr>
            <w:tcW w:w="4520" w:type="dxa"/>
            <w:vAlign w:val="bottom"/>
          </w:tcPr>
          <w:p>
            <w:pPr>
              <w:spacing w:after="0"/>
              <w:rPr>
                <w:sz w:val="24"/>
                <w:szCs w:val="24"/>
                <w:color w:val="auto"/>
              </w:rPr>
            </w:pPr>
          </w:p>
        </w:tc>
        <w:tc>
          <w:tcPr>
            <w:tcW w:w="6480" w:type="dxa"/>
            <w:vAlign w:val="bottom"/>
          </w:tcPr>
          <w:p>
            <w:pPr>
              <w:jc w:val="center"/>
              <w:ind w:left="1110"/>
              <w:spacing w:after="0"/>
              <w:rPr>
                <w:sz w:val="20"/>
                <w:szCs w:val="20"/>
                <w:color w:val="auto"/>
              </w:rPr>
            </w:pPr>
            <w:r>
              <w:rPr>
                <w:rFonts w:ascii="Arial" w:cs="Arial" w:eastAsia="Arial" w:hAnsi="Arial"/>
                <w:sz w:val="18"/>
                <w:szCs w:val="18"/>
                <w:color w:val="auto"/>
                <w:w w:val="94"/>
              </w:rPr>
              <w:t>THE TORONTO</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6480" w:type="dxa"/>
            <w:vAlign w:val="bottom"/>
          </w:tcPr>
          <w:p>
            <w:pPr>
              <w:jc w:val="center"/>
              <w:ind w:left="1130"/>
              <w:spacing w:after="0"/>
              <w:rPr>
                <w:sz w:val="20"/>
                <w:szCs w:val="20"/>
                <w:color w:val="auto"/>
              </w:rPr>
            </w:pPr>
            <w:r>
              <w:rPr>
                <w:rFonts w:ascii="Arial" w:cs="Arial" w:eastAsia="Arial" w:hAnsi="Arial"/>
                <w:sz w:val="18"/>
                <w:szCs w:val="18"/>
                <w:color w:val="auto"/>
                <w:w w:val="99"/>
              </w:rPr>
              <w:t>DOMINION BANK, NEW</w:t>
            </w:r>
          </w:p>
        </w:tc>
        <w:tc>
          <w:tcPr>
            <w:tcW w:w="0" w:type="dxa"/>
            <w:vAlign w:val="bottom"/>
          </w:tcPr>
          <w:p>
            <w:pPr>
              <w:spacing w:after="0"/>
              <w:rPr>
                <w:sz w:val="1"/>
                <w:szCs w:val="1"/>
                <w:color w:val="auto"/>
              </w:rPr>
            </w:pPr>
          </w:p>
        </w:tc>
      </w:tr>
      <w:tr>
        <w:trPr>
          <w:trHeight w:val="230"/>
        </w:trPr>
        <w:tc>
          <w:tcPr>
            <w:tcW w:w="4520" w:type="dxa"/>
            <w:vAlign w:val="bottom"/>
          </w:tcPr>
          <w:p>
            <w:pPr>
              <w:jc w:val="center"/>
              <w:ind w:left="1030"/>
              <w:spacing w:after="0"/>
              <w:rPr>
                <w:sz w:val="20"/>
                <w:szCs w:val="20"/>
                <w:color w:val="auto"/>
              </w:rPr>
            </w:pPr>
            <w:r>
              <w:rPr>
                <w:rFonts w:ascii="Arial" w:cs="Arial" w:eastAsia="Arial" w:hAnsi="Arial"/>
                <w:sz w:val="18"/>
                <w:szCs w:val="18"/>
                <w:color w:val="auto"/>
                <w:w w:val="98"/>
              </w:rPr>
              <w:t>LLOYDS BANK PLC</w:t>
            </w:r>
            <w:r>
              <w:rPr>
                <w:rFonts w:ascii="Arial" w:cs="Arial" w:eastAsia="Arial" w:hAnsi="Arial"/>
                <w:sz w:val="15"/>
                <w:szCs w:val="15"/>
                <w:color w:val="auto"/>
                <w:w w:val="98"/>
              </w:rPr>
              <w:t>1,2</w:t>
            </w:r>
          </w:p>
        </w:tc>
        <w:tc>
          <w:tcPr>
            <w:tcW w:w="6480" w:type="dxa"/>
            <w:vAlign w:val="bottom"/>
          </w:tcPr>
          <w:p>
            <w:pPr>
              <w:jc w:val="center"/>
              <w:ind w:left="1130"/>
              <w:spacing w:after="0"/>
              <w:rPr>
                <w:sz w:val="20"/>
                <w:szCs w:val="20"/>
                <w:color w:val="auto"/>
              </w:rPr>
            </w:pPr>
            <w:r>
              <w:rPr>
                <w:rFonts w:ascii="Arial" w:cs="Arial" w:eastAsia="Arial" w:hAnsi="Arial"/>
                <w:sz w:val="18"/>
                <w:szCs w:val="18"/>
                <w:color w:val="auto"/>
                <w:w w:val="98"/>
              </w:rPr>
              <w:t>YORK BRANCH</w:t>
            </w:r>
            <w:r>
              <w:rPr>
                <w:rFonts w:ascii="Arial" w:cs="Arial" w:eastAsia="Arial" w:hAnsi="Arial"/>
                <w:sz w:val="15"/>
                <w:szCs w:val="15"/>
                <w:color w:val="auto"/>
                <w:w w:val="98"/>
              </w:rPr>
              <w:t>1,2</w:t>
            </w:r>
          </w:p>
        </w:tc>
        <w:tc>
          <w:tcPr>
            <w:tcW w:w="0" w:type="dxa"/>
            <w:vAlign w:val="bottom"/>
          </w:tcPr>
          <w:p>
            <w:pPr>
              <w:spacing w:after="0"/>
              <w:rPr>
                <w:sz w:val="1"/>
                <w:szCs w:val="1"/>
                <w:color w:val="auto"/>
              </w:rPr>
            </w:pPr>
          </w:p>
        </w:tc>
      </w:tr>
      <w:tr>
        <w:trPr>
          <w:trHeight w:val="417"/>
        </w:trPr>
        <w:tc>
          <w:tcPr>
            <w:tcW w:w="4520" w:type="dxa"/>
            <w:vAlign w:val="bottom"/>
          </w:tcPr>
          <w:p>
            <w:pPr>
              <w:spacing w:after="0"/>
              <w:rPr>
                <w:sz w:val="24"/>
                <w:szCs w:val="24"/>
                <w:color w:val="auto"/>
              </w:rPr>
            </w:pPr>
          </w:p>
        </w:tc>
        <w:tc>
          <w:tcPr>
            <w:tcW w:w="648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as North American Regional</w:t>
            </w:r>
          </w:p>
        </w:tc>
        <w:tc>
          <w:tcPr>
            <w:tcW w:w="0" w:type="dxa"/>
            <w:vAlign w:val="bottom"/>
          </w:tcPr>
          <w:p>
            <w:pPr>
              <w:spacing w:after="0"/>
              <w:rPr>
                <w:sz w:val="1"/>
                <w:szCs w:val="1"/>
                <w:color w:val="auto"/>
              </w:rPr>
            </w:pPr>
          </w:p>
        </w:tc>
      </w:tr>
      <w:tr>
        <w:trPr>
          <w:trHeight w:val="230"/>
        </w:trPr>
        <w:tc>
          <w:tcPr>
            <w:tcW w:w="452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as European Regional Coordinator</w:t>
            </w:r>
          </w:p>
        </w:tc>
        <w:tc>
          <w:tcPr>
            <w:tcW w:w="6480" w:type="dxa"/>
            <w:vAlign w:val="bottom"/>
          </w:tcPr>
          <w:p>
            <w:pPr>
              <w:jc w:val="center"/>
              <w:ind w:left="1130"/>
              <w:spacing w:after="0"/>
              <w:rPr>
                <w:sz w:val="20"/>
                <w:szCs w:val="20"/>
                <w:color w:val="auto"/>
              </w:rPr>
            </w:pPr>
            <w:r>
              <w:rPr>
                <w:rFonts w:ascii="Arial" w:cs="Arial" w:eastAsia="Arial" w:hAnsi="Arial"/>
                <w:sz w:val="18"/>
                <w:szCs w:val="18"/>
                <w:i w:val="1"/>
                <w:iCs w:val="1"/>
                <w:color w:val="auto"/>
                <w:w w:val="95"/>
              </w:rPr>
              <w:t>Coordinator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1"/>
        </w:trPr>
        <w:tc>
          <w:tcPr>
            <w:tcW w:w="1540" w:type="dxa"/>
            <w:vAlign w:val="bottom"/>
          </w:tcPr>
          <w:p>
            <w:pPr>
              <w:spacing w:after="0"/>
              <w:rPr>
                <w:sz w:val="17"/>
                <w:szCs w:val="17"/>
                <w:color w:val="auto"/>
              </w:rPr>
            </w:pPr>
          </w:p>
        </w:tc>
        <w:tc>
          <w:tcPr>
            <w:tcW w:w="2060" w:type="dxa"/>
            <w:vAlign w:val="bottom"/>
          </w:tcPr>
          <w:p>
            <w:pPr>
              <w:jc w:val="center"/>
              <w:ind w:left="470"/>
              <w:spacing w:after="0" w:line="201" w:lineRule="exact"/>
              <w:rPr>
                <w:sz w:val="20"/>
                <w:szCs w:val="20"/>
                <w:color w:val="auto"/>
              </w:rPr>
            </w:pPr>
            <w:r>
              <w:rPr>
                <w:rFonts w:ascii="Arial" w:cs="Arial" w:eastAsia="Arial" w:hAnsi="Arial"/>
                <w:sz w:val="18"/>
                <w:szCs w:val="18"/>
                <w:color w:val="auto"/>
                <w:w w:val="99"/>
              </w:rPr>
              <w:t>BANCO BILBAO</w:t>
            </w:r>
          </w:p>
        </w:tc>
        <w:tc>
          <w:tcPr>
            <w:tcW w:w="1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w w:val="96"/>
              </w:rPr>
              <w:t>CREDIT AGRICOLE</w:t>
            </w:r>
          </w:p>
        </w:tc>
      </w:tr>
      <w:tr>
        <w:trPr>
          <w:trHeight w:val="215"/>
        </w:trPr>
        <w:tc>
          <w:tcPr>
            <w:tcW w:w="1540" w:type="dxa"/>
            <w:vAlign w:val="bottom"/>
          </w:tcPr>
          <w:p>
            <w:pPr>
              <w:spacing w:after="0"/>
              <w:rPr>
                <w:sz w:val="18"/>
                <w:szCs w:val="18"/>
                <w:color w:val="auto"/>
              </w:rPr>
            </w:pPr>
          </w:p>
        </w:tc>
        <w:tc>
          <w:tcPr>
            <w:tcW w:w="2060" w:type="dxa"/>
            <w:vAlign w:val="bottom"/>
          </w:tcPr>
          <w:p>
            <w:pPr>
              <w:jc w:val="center"/>
              <w:ind w:left="470"/>
              <w:spacing w:after="0"/>
              <w:rPr>
                <w:sz w:val="20"/>
                <w:szCs w:val="20"/>
                <w:color w:val="auto"/>
              </w:rPr>
            </w:pPr>
            <w:r>
              <w:rPr>
                <w:rFonts w:ascii="Arial" w:cs="Arial" w:eastAsia="Arial" w:hAnsi="Arial"/>
                <w:sz w:val="18"/>
                <w:szCs w:val="18"/>
                <w:color w:val="auto"/>
              </w:rPr>
              <w:t>VIZCAYA</w:t>
            </w:r>
          </w:p>
        </w:tc>
        <w:tc>
          <w:tcPr>
            <w:tcW w:w="1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gridSpan w:val="2"/>
          </w:tcPr>
          <w:p>
            <w:pPr>
              <w:jc w:val="center"/>
              <w:ind w:right="330"/>
              <w:spacing w:after="0"/>
              <w:rPr>
                <w:sz w:val="20"/>
                <w:szCs w:val="20"/>
                <w:color w:val="auto"/>
              </w:rPr>
            </w:pPr>
            <w:r>
              <w:rPr>
                <w:rFonts w:ascii="Arial" w:cs="Arial" w:eastAsia="Arial" w:hAnsi="Arial"/>
                <w:sz w:val="18"/>
                <w:szCs w:val="18"/>
                <w:color w:val="auto"/>
                <w:w w:val="98"/>
              </w:rPr>
              <w:t>COMMERZBANK</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CORPORATE AND</w:t>
            </w:r>
          </w:p>
        </w:tc>
      </w:tr>
      <w:tr>
        <w:trPr>
          <w:trHeight w:val="215"/>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7"/>
              </w:rPr>
              <w:t>BARCLAYS</w:t>
            </w:r>
          </w:p>
        </w:tc>
        <w:tc>
          <w:tcPr>
            <w:tcW w:w="2060" w:type="dxa"/>
            <w:vAlign w:val="bottom"/>
          </w:tcPr>
          <w:p>
            <w:pPr>
              <w:jc w:val="center"/>
              <w:ind w:left="470"/>
              <w:spacing w:after="0"/>
              <w:rPr>
                <w:sz w:val="20"/>
                <w:szCs w:val="20"/>
                <w:color w:val="auto"/>
              </w:rPr>
            </w:pPr>
            <w:r>
              <w:rPr>
                <w:rFonts w:ascii="Arial" w:cs="Arial" w:eastAsia="Arial" w:hAnsi="Arial"/>
                <w:sz w:val="18"/>
                <w:szCs w:val="18"/>
                <w:color w:val="auto"/>
                <w:w w:val="96"/>
              </w:rPr>
              <w:t>ARGENTARIA,</w:t>
            </w:r>
          </w:p>
        </w:tc>
        <w:tc>
          <w:tcPr>
            <w:tcW w:w="2920" w:type="dxa"/>
            <w:vAlign w:val="bottom"/>
            <w:gridSpan w:val="2"/>
          </w:tcPr>
          <w:p>
            <w:pPr>
              <w:jc w:val="center"/>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1860" w:type="dxa"/>
            <w:vAlign w:val="bottom"/>
            <w:gridSpan w:val="2"/>
          </w:tcPr>
          <w:p>
            <w:pPr>
              <w:jc w:val="center"/>
              <w:ind w:right="330"/>
              <w:spacing w:after="0"/>
              <w:rPr>
                <w:sz w:val="20"/>
                <w:szCs w:val="20"/>
                <w:color w:val="auto"/>
              </w:rPr>
            </w:pPr>
            <w:r>
              <w:rPr>
                <w:rFonts w:ascii="Arial" w:cs="Arial" w:eastAsia="Arial" w:hAnsi="Arial"/>
                <w:sz w:val="18"/>
                <w:szCs w:val="18"/>
                <w:color w:val="auto"/>
                <w:w w:val="98"/>
              </w:rPr>
              <w:t>AG, NEW YORK</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INVESTMENT BANK</w:t>
            </w:r>
            <w:r>
              <w:rPr>
                <w:rFonts w:ascii="Arial" w:cs="Arial" w:eastAsia="Arial" w:hAnsi="Arial"/>
                <w:sz w:val="15"/>
                <w:szCs w:val="15"/>
                <w:color w:val="auto"/>
                <w:w w:val="98"/>
              </w:rPr>
              <w:t>1,2</w:t>
            </w:r>
          </w:p>
        </w:tc>
      </w:tr>
      <w:tr>
        <w:trPr>
          <w:trHeight w:val="215"/>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6"/>
              </w:rPr>
              <w:t>BANK PLC</w:t>
            </w:r>
            <w:r>
              <w:rPr>
                <w:rFonts w:ascii="Arial" w:cs="Arial" w:eastAsia="Arial" w:hAnsi="Arial"/>
                <w:sz w:val="15"/>
                <w:szCs w:val="15"/>
                <w:color w:val="auto"/>
                <w:w w:val="96"/>
              </w:rPr>
              <w:t>1,2</w:t>
            </w:r>
          </w:p>
        </w:tc>
        <w:tc>
          <w:tcPr>
            <w:tcW w:w="2060" w:type="dxa"/>
            <w:vAlign w:val="bottom"/>
          </w:tcPr>
          <w:p>
            <w:pPr>
              <w:jc w:val="center"/>
              <w:ind w:left="470"/>
              <w:spacing w:after="0"/>
              <w:rPr>
                <w:sz w:val="20"/>
                <w:szCs w:val="20"/>
                <w:color w:val="auto"/>
              </w:rPr>
            </w:pPr>
            <w:r>
              <w:rPr>
                <w:rFonts w:ascii="Arial" w:cs="Arial" w:eastAsia="Arial" w:hAnsi="Arial"/>
                <w:sz w:val="18"/>
                <w:szCs w:val="18"/>
                <w:color w:val="auto"/>
                <w:w w:val="97"/>
              </w:rPr>
              <w:t>S.A. NEW YORK</w:t>
            </w:r>
          </w:p>
        </w:tc>
        <w:tc>
          <w:tcPr>
            <w:tcW w:w="1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right="590"/>
              <w:spacing w:after="0"/>
              <w:rPr>
                <w:sz w:val="20"/>
                <w:szCs w:val="20"/>
                <w:color w:val="auto"/>
              </w:rPr>
            </w:pPr>
            <w:r>
              <w:rPr>
                <w:rFonts w:ascii="Arial" w:cs="Arial" w:eastAsia="Arial" w:hAnsi="Arial"/>
                <w:sz w:val="18"/>
                <w:szCs w:val="18"/>
                <w:color w:val="auto"/>
                <w:w w:val="99"/>
              </w:rPr>
              <w:t>BRANCH</w:t>
            </w:r>
            <w:r>
              <w:rPr>
                <w:rFonts w:ascii="Arial" w:cs="Arial" w:eastAsia="Arial" w:hAnsi="Arial"/>
                <w:sz w:val="15"/>
                <w:szCs w:val="15"/>
                <w:color w:val="auto"/>
                <w:w w:val="99"/>
              </w:rPr>
              <w:t>2</w:t>
            </w:r>
          </w:p>
        </w:tc>
        <w:tc>
          <w:tcPr>
            <w:tcW w:w="194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2060" w:type="dxa"/>
            <w:vAlign w:val="bottom"/>
          </w:tcPr>
          <w:p>
            <w:pPr>
              <w:jc w:val="center"/>
              <w:ind w:left="47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7"/>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4"/>
              </w:rPr>
              <w:t>DEUTSCHE</w:t>
            </w:r>
          </w:p>
        </w:tc>
        <w:tc>
          <w:tcPr>
            <w:tcW w:w="2060" w:type="dxa"/>
            <w:vAlign w:val="bottom"/>
          </w:tcPr>
          <w:p>
            <w:pPr>
              <w:jc w:val="center"/>
              <w:ind w:left="470"/>
              <w:spacing w:after="0"/>
              <w:rPr>
                <w:sz w:val="20"/>
                <w:szCs w:val="20"/>
                <w:color w:val="auto"/>
              </w:rPr>
            </w:pPr>
            <w:r>
              <w:rPr>
                <w:rFonts w:ascii="Arial" w:cs="Arial" w:eastAsia="Arial" w:hAnsi="Arial"/>
                <w:sz w:val="18"/>
                <w:szCs w:val="18"/>
                <w:color w:val="auto"/>
                <w:w w:val="98"/>
              </w:rPr>
              <w:t>GOLDMAN</w:t>
            </w:r>
          </w:p>
        </w:tc>
        <w:tc>
          <w:tcPr>
            <w:tcW w:w="2920" w:type="dxa"/>
            <w:vAlign w:val="bottom"/>
            <w:gridSpan w:val="2"/>
          </w:tcPr>
          <w:p>
            <w:pPr>
              <w:jc w:val="center"/>
              <w:spacing w:after="0"/>
              <w:rPr>
                <w:sz w:val="20"/>
                <w:szCs w:val="20"/>
                <w:color w:val="auto"/>
              </w:rPr>
            </w:pPr>
            <w:r>
              <w:rPr>
                <w:rFonts w:ascii="Arial" w:cs="Arial" w:eastAsia="Arial" w:hAnsi="Arial"/>
                <w:sz w:val="18"/>
                <w:szCs w:val="18"/>
                <w:color w:val="auto"/>
                <w:w w:val="99"/>
              </w:rPr>
              <w:t>BANK OF AMERICA,</w:t>
            </w:r>
          </w:p>
        </w:tc>
        <w:tc>
          <w:tcPr>
            <w:tcW w:w="1860" w:type="dxa"/>
            <w:vAlign w:val="bottom"/>
            <w:gridSpan w:val="2"/>
          </w:tcPr>
          <w:p>
            <w:pPr>
              <w:jc w:val="center"/>
              <w:ind w:right="330"/>
              <w:spacing w:after="0"/>
              <w:rPr>
                <w:sz w:val="20"/>
                <w:szCs w:val="20"/>
                <w:color w:val="auto"/>
              </w:rPr>
            </w:pPr>
            <w:r>
              <w:rPr>
                <w:rFonts w:ascii="Arial" w:cs="Arial" w:eastAsia="Arial" w:hAnsi="Arial"/>
                <w:sz w:val="18"/>
                <w:szCs w:val="18"/>
                <w:color w:val="auto"/>
              </w:rPr>
              <w:t>MIZUHO BANK,</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MORGAN STANLEY</w:t>
            </w:r>
          </w:p>
        </w:tc>
      </w:tr>
      <w:tr>
        <w:trPr>
          <w:trHeight w:val="215"/>
        </w:trPr>
        <w:tc>
          <w:tcPr>
            <w:tcW w:w="1540" w:type="dxa"/>
            <w:vAlign w:val="bottom"/>
          </w:tcPr>
          <w:p>
            <w:pPr>
              <w:jc w:val="center"/>
              <w:ind w:right="390"/>
              <w:spacing w:after="0"/>
              <w:rPr>
                <w:sz w:val="20"/>
                <w:szCs w:val="20"/>
                <w:color w:val="auto"/>
              </w:rPr>
            </w:pPr>
            <w:r>
              <w:rPr>
                <w:rFonts w:ascii="Arial" w:cs="Arial" w:eastAsia="Arial" w:hAnsi="Arial"/>
                <w:sz w:val="18"/>
                <w:szCs w:val="18"/>
                <w:color w:val="auto"/>
              </w:rPr>
              <w:t>BANK</w:t>
            </w:r>
          </w:p>
        </w:tc>
        <w:tc>
          <w:tcPr>
            <w:tcW w:w="2060" w:type="dxa"/>
            <w:vAlign w:val="bottom"/>
          </w:tcPr>
          <w:p>
            <w:pPr>
              <w:jc w:val="center"/>
              <w:ind w:left="470"/>
              <w:spacing w:after="0"/>
              <w:rPr>
                <w:sz w:val="20"/>
                <w:szCs w:val="20"/>
                <w:color w:val="auto"/>
              </w:rPr>
            </w:pPr>
            <w:r>
              <w:rPr>
                <w:rFonts w:ascii="Arial" w:cs="Arial" w:eastAsia="Arial" w:hAnsi="Arial"/>
                <w:sz w:val="18"/>
                <w:szCs w:val="18"/>
                <w:color w:val="auto"/>
                <w:w w:val="98"/>
              </w:rPr>
              <w:t>SACHS BANK</w:t>
            </w:r>
          </w:p>
        </w:tc>
        <w:tc>
          <w:tcPr>
            <w:tcW w:w="1820" w:type="dxa"/>
            <w:vAlign w:val="bottom"/>
          </w:tcPr>
          <w:p>
            <w:pPr>
              <w:jc w:val="center"/>
              <w:ind w:left="990"/>
              <w:spacing w:after="0"/>
              <w:rPr>
                <w:sz w:val="20"/>
                <w:szCs w:val="20"/>
                <w:color w:val="auto"/>
              </w:rPr>
            </w:pPr>
            <w:r>
              <w:rPr>
                <w:rFonts w:ascii="Arial" w:cs="Arial" w:eastAsia="Arial" w:hAnsi="Arial"/>
                <w:sz w:val="18"/>
                <w:szCs w:val="18"/>
                <w:color w:val="auto"/>
                <w:w w:val="96"/>
              </w:rPr>
              <w:t>N.A.</w:t>
            </w:r>
            <w:r>
              <w:rPr>
                <w:rFonts w:ascii="Arial" w:cs="Arial" w:eastAsia="Arial" w:hAnsi="Arial"/>
                <w:sz w:val="15"/>
                <w:szCs w:val="15"/>
                <w:color w:val="auto"/>
                <w:w w:val="96"/>
              </w:rPr>
              <w:t>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right="590"/>
              <w:spacing w:after="0"/>
              <w:rPr>
                <w:sz w:val="20"/>
                <w:szCs w:val="20"/>
                <w:color w:val="auto"/>
              </w:rPr>
            </w:pPr>
            <w:r>
              <w:rPr>
                <w:rFonts w:ascii="Arial" w:cs="Arial" w:eastAsia="Arial" w:hAnsi="Arial"/>
                <w:sz w:val="18"/>
                <w:szCs w:val="18"/>
                <w:color w:val="auto"/>
                <w:w w:val="93"/>
              </w:rPr>
              <w:t>LTD.</w:t>
            </w:r>
            <w:r>
              <w:rPr>
                <w:rFonts w:ascii="Arial" w:cs="Arial" w:eastAsia="Arial" w:hAnsi="Arial"/>
                <w:sz w:val="15"/>
                <w:szCs w:val="15"/>
                <w:color w:val="auto"/>
                <w:w w:val="93"/>
              </w:rPr>
              <w:t>1,2</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SENIOR FUNDING,</w:t>
            </w:r>
          </w:p>
        </w:tc>
      </w:tr>
      <w:tr>
        <w:trPr>
          <w:trHeight w:val="215"/>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4"/>
              </w:rPr>
              <w:t>SECURITIES</w:t>
            </w:r>
          </w:p>
        </w:tc>
        <w:tc>
          <w:tcPr>
            <w:tcW w:w="2060" w:type="dxa"/>
            <w:vAlign w:val="bottom"/>
          </w:tcPr>
          <w:p>
            <w:pPr>
              <w:jc w:val="center"/>
              <w:ind w:left="470"/>
              <w:spacing w:after="0"/>
              <w:rPr>
                <w:sz w:val="20"/>
                <w:szCs w:val="20"/>
                <w:color w:val="auto"/>
              </w:rPr>
            </w:pPr>
            <w:r>
              <w:rPr>
                <w:rFonts w:ascii="Arial" w:cs="Arial" w:eastAsia="Arial" w:hAnsi="Arial"/>
                <w:sz w:val="18"/>
                <w:szCs w:val="18"/>
                <w:color w:val="auto"/>
                <w:w w:val="93"/>
              </w:rPr>
              <w:t>USA</w:t>
            </w:r>
            <w:r>
              <w:rPr>
                <w:rFonts w:ascii="Arial" w:cs="Arial" w:eastAsia="Arial" w:hAnsi="Arial"/>
                <w:sz w:val="15"/>
                <w:szCs w:val="15"/>
                <w:color w:val="auto"/>
                <w:w w:val="93"/>
              </w:rPr>
              <w:t>1,2</w:t>
            </w:r>
          </w:p>
        </w:tc>
        <w:tc>
          <w:tcPr>
            <w:tcW w:w="2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as Co-Syndication Agent</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r>
      <w:tr>
        <w:trPr>
          <w:trHeight w:val="230"/>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2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7"/>
        </w:trPr>
        <w:tc>
          <w:tcPr>
            <w:tcW w:w="1540" w:type="dxa"/>
            <w:vAlign w:val="bottom"/>
          </w:tcPr>
          <w:p>
            <w:pPr>
              <w:jc w:val="center"/>
              <w:ind w:right="410"/>
              <w:spacing w:after="0"/>
              <w:rPr>
                <w:sz w:val="20"/>
                <w:szCs w:val="20"/>
                <w:color w:val="auto"/>
              </w:rPr>
            </w:pPr>
            <w:r>
              <w:rPr>
                <w:rFonts w:ascii="Arial" w:cs="Arial" w:eastAsia="Arial" w:hAnsi="Arial"/>
                <w:sz w:val="18"/>
                <w:szCs w:val="18"/>
                <w:color w:val="auto"/>
                <w:w w:val="94"/>
              </w:rPr>
              <w:t>RBC</w:t>
            </w:r>
          </w:p>
        </w:tc>
        <w:tc>
          <w:tcPr>
            <w:tcW w:w="2060" w:type="dxa"/>
            <w:vAlign w:val="bottom"/>
          </w:tcPr>
          <w:p>
            <w:pPr>
              <w:jc w:val="center"/>
              <w:ind w:left="30"/>
              <w:spacing w:after="0"/>
              <w:rPr>
                <w:sz w:val="20"/>
                <w:szCs w:val="20"/>
                <w:color w:val="auto"/>
              </w:rPr>
            </w:pPr>
            <w:r>
              <w:rPr>
                <w:rFonts w:ascii="Arial" w:cs="Arial" w:eastAsia="Arial" w:hAnsi="Arial"/>
                <w:sz w:val="18"/>
                <w:szCs w:val="18"/>
                <w:color w:val="auto"/>
                <w:w w:val="99"/>
              </w:rPr>
              <w:t>NATIONAL</w:t>
            </w:r>
          </w:p>
        </w:tc>
        <w:tc>
          <w:tcPr>
            <w:tcW w:w="1820" w:type="dxa"/>
            <w:vAlign w:val="bottom"/>
          </w:tcPr>
          <w:p>
            <w:pPr>
              <w:jc w:val="center"/>
              <w:ind w:right="150"/>
              <w:spacing w:after="0"/>
              <w:rPr>
                <w:sz w:val="20"/>
                <w:szCs w:val="20"/>
                <w:color w:val="auto"/>
              </w:rPr>
            </w:pPr>
            <w:r>
              <w:rPr>
                <w:rFonts w:ascii="Arial" w:cs="Arial" w:eastAsia="Arial" w:hAnsi="Arial"/>
                <w:sz w:val="18"/>
                <w:szCs w:val="18"/>
                <w:color w:val="auto"/>
                <w:w w:val="98"/>
              </w:rPr>
              <w:t>SUMITOMO</w:t>
            </w: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93"/>
              </w:rPr>
              <w:t>SOCIÉTÉ</w:t>
            </w:r>
          </w:p>
        </w:tc>
        <w:tc>
          <w:tcPr>
            <w:tcW w:w="260" w:type="dxa"/>
            <w:vAlign w:val="bottom"/>
          </w:tcPr>
          <w:p>
            <w:pPr>
              <w:spacing w:after="0"/>
              <w:rPr>
                <w:sz w:val="24"/>
                <w:szCs w:val="24"/>
                <w:color w:val="auto"/>
              </w:rPr>
            </w:pPr>
          </w:p>
        </w:tc>
        <w:tc>
          <w:tcPr>
            <w:tcW w:w="1600" w:type="dxa"/>
            <w:vAlign w:val="bottom"/>
          </w:tcPr>
          <w:p>
            <w:pPr>
              <w:jc w:val="center"/>
              <w:ind w:left="530"/>
              <w:spacing w:after="0"/>
              <w:rPr>
                <w:sz w:val="20"/>
                <w:szCs w:val="20"/>
                <w:color w:val="auto"/>
              </w:rPr>
            </w:pPr>
            <w:r>
              <w:rPr>
                <w:rFonts w:ascii="Arial" w:cs="Arial" w:eastAsia="Arial" w:hAnsi="Arial"/>
                <w:sz w:val="18"/>
                <w:szCs w:val="18"/>
                <w:color w:val="auto"/>
                <w:w w:val="99"/>
              </w:rPr>
              <w:t>THE BANK</w:t>
            </w:r>
          </w:p>
        </w:tc>
        <w:tc>
          <w:tcPr>
            <w:tcW w:w="1940" w:type="dxa"/>
            <w:vAlign w:val="bottom"/>
          </w:tcPr>
          <w:p>
            <w:pPr>
              <w:jc w:val="center"/>
              <w:ind w:left="410"/>
              <w:spacing w:after="0"/>
              <w:rPr>
                <w:sz w:val="20"/>
                <w:szCs w:val="20"/>
                <w:color w:val="auto"/>
              </w:rPr>
            </w:pPr>
            <w:r>
              <w:rPr>
                <w:rFonts w:ascii="Arial" w:cs="Arial" w:eastAsia="Arial" w:hAnsi="Arial"/>
                <w:sz w:val="18"/>
                <w:szCs w:val="18"/>
                <w:color w:val="auto"/>
                <w:w w:val="96"/>
              </w:rPr>
              <w:t>SANTANDER,</w:t>
            </w:r>
          </w:p>
        </w:tc>
      </w:tr>
      <w:tr>
        <w:trPr>
          <w:trHeight w:val="215"/>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8"/>
              </w:rPr>
              <w:t>CAPITAL</w:t>
            </w:r>
          </w:p>
        </w:tc>
        <w:tc>
          <w:tcPr>
            <w:tcW w:w="2060" w:type="dxa"/>
            <w:vAlign w:val="bottom"/>
          </w:tcPr>
          <w:p>
            <w:pPr>
              <w:jc w:val="center"/>
              <w:ind w:left="50"/>
              <w:spacing w:after="0"/>
              <w:rPr>
                <w:sz w:val="20"/>
                <w:szCs w:val="20"/>
                <w:color w:val="auto"/>
              </w:rPr>
            </w:pPr>
            <w:r>
              <w:rPr>
                <w:rFonts w:ascii="Arial" w:cs="Arial" w:eastAsia="Arial" w:hAnsi="Arial"/>
                <w:sz w:val="18"/>
                <w:szCs w:val="18"/>
                <w:color w:val="auto"/>
                <w:w w:val="96"/>
              </w:rPr>
              <w:t>WESTMINSTER</w:t>
            </w:r>
          </w:p>
        </w:tc>
        <w:tc>
          <w:tcPr>
            <w:tcW w:w="1820" w:type="dxa"/>
            <w:vAlign w:val="bottom"/>
          </w:tcPr>
          <w:p>
            <w:pPr>
              <w:jc w:val="center"/>
              <w:ind w:right="150"/>
              <w:spacing w:after="0"/>
              <w:rPr>
                <w:sz w:val="20"/>
                <w:szCs w:val="20"/>
                <w:color w:val="auto"/>
              </w:rPr>
            </w:pPr>
            <w:r>
              <w:rPr>
                <w:rFonts w:ascii="Arial" w:cs="Arial" w:eastAsia="Arial" w:hAnsi="Arial"/>
                <w:sz w:val="18"/>
                <w:szCs w:val="18"/>
                <w:color w:val="auto"/>
              </w:rPr>
              <w:t>MITSUI</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1600" w:type="dxa"/>
            <w:vAlign w:val="bottom"/>
          </w:tcPr>
          <w:p>
            <w:pPr>
              <w:jc w:val="center"/>
              <w:ind w:left="530"/>
              <w:spacing w:after="0"/>
              <w:rPr>
                <w:sz w:val="20"/>
                <w:szCs w:val="20"/>
                <w:color w:val="auto"/>
              </w:rPr>
            </w:pPr>
            <w:r>
              <w:rPr>
                <w:rFonts w:ascii="Arial" w:cs="Arial" w:eastAsia="Arial" w:hAnsi="Arial"/>
                <w:sz w:val="18"/>
                <w:szCs w:val="18"/>
                <w:color w:val="auto"/>
                <w:w w:val="96"/>
              </w:rPr>
              <w:t>OF NOVA</w:t>
            </w:r>
          </w:p>
        </w:tc>
        <w:tc>
          <w:tcPr>
            <w:tcW w:w="1940" w:type="dxa"/>
            <w:vAlign w:val="bottom"/>
          </w:tcPr>
          <w:p>
            <w:pPr>
              <w:jc w:val="center"/>
              <w:ind w:left="410"/>
              <w:spacing w:after="0"/>
              <w:rPr>
                <w:sz w:val="20"/>
                <w:szCs w:val="20"/>
                <w:color w:val="auto"/>
              </w:rPr>
            </w:pPr>
            <w:r>
              <w:rPr>
                <w:rFonts w:ascii="Arial" w:cs="Arial" w:eastAsia="Arial" w:hAnsi="Arial"/>
                <w:sz w:val="18"/>
                <w:szCs w:val="18"/>
                <w:color w:val="auto"/>
                <w:w w:val="99"/>
              </w:rPr>
              <w:t>BANK, N.A.1</w:t>
            </w:r>
          </w:p>
        </w:tc>
      </w:tr>
      <w:tr>
        <w:trPr>
          <w:trHeight w:val="215"/>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2060" w:type="dxa"/>
            <w:vAlign w:val="bottom"/>
          </w:tcPr>
          <w:p>
            <w:pPr>
              <w:jc w:val="center"/>
              <w:ind w:left="50"/>
              <w:spacing w:after="0"/>
              <w:rPr>
                <w:sz w:val="20"/>
                <w:szCs w:val="20"/>
                <w:color w:val="auto"/>
              </w:rPr>
            </w:pPr>
            <w:r>
              <w:rPr>
                <w:rFonts w:ascii="Arial" w:cs="Arial" w:eastAsia="Arial" w:hAnsi="Arial"/>
                <w:sz w:val="18"/>
                <w:szCs w:val="18"/>
                <w:color w:val="auto"/>
                <w:w w:val="97"/>
              </w:rPr>
              <w:t xml:space="preserve">BANK PLC </w:t>
            </w:r>
            <w:r>
              <w:rPr>
                <w:rFonts w:ascii="Arial" w:cs="Arial" w:eastAsia="Arial" w:hAnsi="Arial"/>
                <w:sz w:val="15"/>
                <w:szCs w:val="15"/>
                <w:color w:val="auto"/>
                <w:w w:val="97"/>
              </w:rPr>
              <w:t>1,2</w:t>
            </w:r>
          </w:p>
        </w:tc>
        <w:tc>
          <w:tcPr>
            <w:tcW w:w="1820" w:type="dxa"/>
            <w:vAlign w:val="bottom"/>
          </w:tcPr>
          <w:p>
            <w:pPr>
              <w:jc w:val="center"/>
              <w:ind w:right="150"/>
              <w:spacing w:after="0"/>
              <w:rPr>
                <w:sz w:val="20"/>
                <w:szCs w:val="20"/>
                <w:color w:val="auto"/>
              </w:rPr>
            </w:pPr>
            <w:r>
              <w:rPr>
                <w:rFonts w:ascii="Arial" w:cs="Arial" w:eastAsia="Arial" w:hAnsi="Arial"/>
                <w:sz w:val="18"/>
                <w:szCs w:val="18"/>
                <w:color w:val="auto"/>
              </w:rPr>
              <w:t>BANKING</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left="550"/>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c>
          <w:tcPr>
            <w:tcW w:w="1940" w:type="dxa"/>
            <w:vAlign w:val="bottom"/>
          </w:tcPr>
          <w:p>
            <w:pPr>
              <w:spacing w:after="0"/>
              <w:rPr>
                <w:sz w:val="18"/>
                <w:szCs w:val="18"/>
                <w:color w:val="auto"/>
              </w:rPr>
            </w:pPr>
          </w:p>
        </w:tc>
      </w:tr>
      <w:tr>
        <w:trPr>
          <w:trHeight w:val="215"/>
        </w:trPr>
        <w:tc>
          <w:tcPr>
            <w:tcW w:w="1540" w:type="dxa"/>
            <w:vAlign w:val="bottom"/>
          </w:tcPr>
          <w:p>
            <w:pPr>
              <w:jc w:val="center"/>
              <w:ind w:right="410"/>
              <w:spacing w:after="0"/>
              <w:rPr>
                <w:sz w:val="20"/>
                <w:szCs w:val="20"/>
                <w:color w:val="auto"/>
              </w:rPr>
            </w:pPr>
            <w:r>
              <w:rPr>
                <w:rFonts w:ascii="Arial" w:cs="Arial" w:eastAsia="Arial" w:hAnsi="Arial"/>
                <w:sz w:val="18"/>
                <w:szCs w:val="18"/>
                <w:color w:val="auto"/>
                <w:w w:val="98"/>
              </w:rPr>
              <w:t>ROYAL</w:t>
            </w:r>
          </w:p>
        </w:tc>
        <w:tc>
          <w:tcPr>
            <w:tcW w:w="2060" w:type="dxa"/>
            <w:vAlign w:val="bottom"/>
          </w:tcPr>
          <w:p>
            <w:pPr>
              <w:spacing w:after="0"/>
              <w:rPr>
                <w:sz w:val="18"/>
                <w:szCs w:val="18"/>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color w:val="auto"/>
                <w:w w:val="94"/>
              </w:rPr>
              <w:t>CORPORATION</w:t>
            </w:r>
            <w:r>
              <w:rPr>
                <w:rFonts w:ascii="Arial" w:cs="Arial" w:eastAsia="Arial" w:hAnsi="Arial"/>
                <w:sz w:val="15"/>
                <w:szCs w:val="15"/>
                <w:color w:val="auto"/>
                <w:w w:val="94"/>
              </w:rPr>
              <w:t>1,2</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5"/>
        </w:trPr>
        <w:tc>
          <w:tcPr>
            <w:tcW w:w="1540" w:type="dxa"/>
            <w:vAlign w:val="bottom"/>
          </w:tcPr>
          <w:p>
            <w:pPr>
              <w:jc w:val="center"/>
              <w:ind w:right="390"/>
              <w:spacing w:after="0"/>
              <w:rPr>
                <w:sz w:val="20"/>
                <w:szCs w:val="20"/>
                <w:color w:val="auto"/>
              </w:rPr>
            </w:pPr>
            <w:r>
              <w:rPr>
                <w:rFonts w:ascii="Arial" w:cs="Arial" w:eastAsia="Arial" w:hAnsi="Arial"/>
                <w:sz w:val="18"/>
                <w:szCs w:val="18"/>
                <w:color w:val="auto"/>
                <w:w w:val="98"/>
              </w:rPr>
              <w:t>BANK OF</w:t>
            </w:r>
          </w:p>
        </w:tc>
        <w:tc>
          <w:tcPr>
            <w:tcW w:w="2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40" w:type="dxa"/>
            <w:vAlign w:val="bottom"/>
          </w:tcPr>
          <w:p>
            <w:pPr>
              <w:jc w:val="center"/>
              <w:ind w:right="41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and as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w:t>
      </w:r>
    </w:p>
    <w:p>
      <w:pPr>
        <w:sectPr>
          <w:pgSz w:w="11900" w:h="16838" w:orient="portrait"/>
          <w:cols w:equalWidth="0" w:num="1">
            <w:col w:w="11000"/>
          </w:cols>
          <w:pgMar w:left="440" w:top="121" w:right="45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76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406"/>
        </w:trPr>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4"/>
        </w:trPr>
        <w:tc>
          <w:tcPr>
            <w:tcW w:w="842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7760" w:type="dxa"/>
            <w:vAlign w:val="bottom"/>
          </w:tcPr>
          <w:p>
            <w:pPr>
              <w:ind w:left="320"/>
              <w:spacing w:after="0"/>
              <w:rPr>
                <w:sz w:val="20"/>
                <w:szCs w:val="20"/>
                <w:color w:val="auto"/>
              </w:rPr>
            </w:pPr>
            <w:r>
              <w:rPr>
                <w:rFonts w:ascii="Arial" w:cs="Arial" w:eastAsia="Arial" w:hAnsi="Arial"/>
                <w:sz w:val="18"/>
                <w:szCs w:val="18"/>
                <w:color w:val="auto"/>
              </w:rPr>
              <w:t>Defined Terms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1.2</w:t>
            </w:r>
          </w:p>
        </w:tc>
        <w:tc>
          <w:tcPr>
            <w:tcW w:w="7760" w:type="dxa"/>
            <w:vAlign w:val="bottom"/>
          </w:tcPr>
          <w:p>
            <w:pPr>
              <w:ind w:left="320"/>
              <w:spacing w:after="0"/>
              <w:rPr>
                <w:sz w:val="20"/>
                <w:szCs w:val="20"/>
                <w:color w:val="auto"/>
              </w:rPr>
            </w:pPr>
            <w:r>
              <w:rPr>
                <w:rFonts w:ascii="Arial" w:cs="Arial" w:eastAsia="Arial" w:hAnsi="Arial"/>
                <w:sz w:val="18"/>
                <w:szCs w:val="18"/>
                <w:color w:val="auto"/>
              </w:rPr>
              <w:t>Other Definitional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1.3</w:t>
            </w:r>
          </w:p>
        </w:tc>
        <w:tc>
          <w:tcPr>
            <w:tcW w:w="7760" w:type="dxa"/>
            <w:vAlign w:val="bottom"/>
          </w:tcPr>
          <w:p>
            <w:pPr>
              <w:ind w:left="320"/>
              <w:spacing w:after="0"/>
              <w:rPr>
                <w:sz w:val="20"/>
                <w:szCs w:val="20"/>
                <w:color w:val="auto"/>
              </w:rPr>
            </w:pPr>
            <w:r>
              <w:rPr>
                <w:rFonts w:ascii="Arial" w:cs="Arial" w:eastAsia="Arial" w:hAnsi="Arial"/>
                <w:sz w:val="18"/>
                <w:szCs w:val="18"/>
                <w:color w:val="auto"/>
              </w:rPr>
              <w:t>Conversion of Foreign Currencies</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1.4</w:t>
            </w:r>
          </w:p>
        </w:tc>
        <w:tc>
          <w:tcPr>
            <w:tcW w:w="7760" w:type="dxa"/>
            <w:vAlign w:val="bottom"/>
          </w:tcPr>
          <w:p>
            <w:pPr>
              <w:ind w:left="320"/>
              <w:spacing w:after="0"/>
              <w:rPr>
                <w:sz w:val="20"/>
                <w:szCs w:val="20"/>
                <w:color w:val="auto"/>
              </w:rPr>
            </w:pPr>
            <w:r>
              <w:rPr>
                <w:rFonts w:ascii="Arial" w:cs="Arial" w:eastAsia="Arial" w:hAnsi="Arial"/>
                <w:sz w:val="18"/>
                <w:szCs w:val="18"/>
                <w:color w:val="auto"/>
              </w:rPr>
              <w:t>Other Interpretive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1.5</w:t>
            </w:r>
          </w:p>
        </w:tc>
        <w:tc>
          <w:tcPr>
            <w:tcW w:w="7760" w:type="dxa"/>
            <w:vAlign w:val="bottom"/>
          </w:tcPr>
          <w:p>
            <w:pPr>
              <w:ind w:left="320"/>
              <w:spacing w:after="0"/>
              <w:rPr>
                <w:sz w:val="20"/>
                <w:szCs w:val="20"/>
                <w:color w:val="auto"/>
              </w:rPr>
            </w:pPr>
            <w:r>
              <w:rPr>
                <w:rFonts w:ascii="Arial" w:cs="Arial" w:eastAsia="Arial" w:hAnsi="Arial"/>
                <w:sz w:val="18"/>
                <w:szCs w:val="18"/>
                <w:color w:val="auto"/>
              </w:rPr>
              <w:t>Interest Rates; LIBOR Notification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1.6</w:t>
            </w:r>
          </w:p>
        </w:tc>
        <w:tc>
          <w:tcPr>
            <w:tcW w:w="7760" w:type="dxa"/>
            <w:vAlign w:val="bottom"/>
          </w:tcPr>
          <w:p>
            <w:pPr>
              <w:ind w:left="320"/>
              <w:spacing w:after="0"/>
              <w:rPr>
                <w:sz w:val="20"/>
                <w:szCs w:val="20"/>
                <w:color w:val="auto"/>
              </w:rPr>
            </w:pPr>
            <w:r>
              <w:rPr>
                <w:rFonts w:ascii="Arial" w:cs="Arial" w:eastAsia="Arial" w:hAnsi="Arial"/>
                <w:sz w:val="18"/>
                <w:szCs w:val="18"/>
                <w:color w:val="auto"/>
              </w:rPr>
              <w:t>Divisions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3"/>
        </w:trPr>
        <w:tc>
          <w:tcPr>
            <w:tcW w:w="842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2.1</w:t>
            </w:r>
          </w:p>
        </w:tc>
        <w:tc>
          <w:tcPr>
            <w:tcW w:w="7760" w:type="dxa"/>
            <w:vAlign w:val="bottom"/>
          </w:tcPr>
          <w:p>
            <w:pPr>
              <w:ind w:left="320"/>
              <w:spacing w:after="0"/>
              <w:rPr>
                <w:sz w:val="20"/>
                <w:szCs w:val="20"/>
                <w:color w:val="auto"/>
              </w:rPr>
            </w:pPr>
            <w:r>
              <w:rPr>
                <w:rFonts w:ascii="Arial" w:cs="Arial" w:eastAsia="Arial" w:hAnsi="Arial"/>
                <w:sz w:val="18"/>
                <w:szCs w:val="18"/>
                <w:color w:val="auto"/>
              </w:rPr>
              <w:t>Commitments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w:t>
            </w:r>
          </w:p>
        </w:tc>
        <w:tc>
          <w:tcPr>
            <w:tcW w:w="7760" w:type="dxa"/>
            <w:vAlign w:val="bottom"/>
          </w:tcPr>
          <w:p>
            <w:pPr>
              <w:ind w:left="320"/>
              <w:spacing w:after="0"/>
              <w:rPr>
                <w:sz w:val="20"/>
                <w:szCs w:val="20"/>
                <w:color w:val="auto"/>
              </w:rPr>
            </w:pPr>
            <w:r>
              <w:rPr>
                <w:rFonts w:ascii="Arial" w:cs="Arial" w:eastAsia="Arial" w:hAnsi="Arial"/>
                <w:sz w:val="18"/>
                <w:szCs w:val="18"/>
                <w:color w:val="auto"/>
              </w:rPr>
              <w:t>Procedure for Borrowing</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2.3</w:t>
            </w:r>
          </w:p>
        </w:tc>
        <w:tc>
          <w:tcPr>
            <w:tcW w:w="77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2.4</w:t>
            </w:r>
          </w:p>
        </w:tc>
        <w:tc>
          <w:tcPr>
            <w:tcW w:w="77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2.5</w:t>
            </w:r>
          </w:p>
        </w:tc>
        <w:tc>
          <w:tcPr>
            <w:tcW w:w="77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2.6</w:t>
            </w:r>
          </w:p>
        </w:tc>
        <w:tc>
          <w:tcPr>
            <w:tcW w:w="77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2.7</w:t>
            </w:r>
          </w:p>
        </w:tc>
        <w:tc>
          <w:tcPr>
            <w:tcW w:w="77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2.8</w:t>
            </w:r>
          </w:p>
        </w:tc>
        <w:tc>
          <w:tcPr>
            <w:tcW w:w="77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2.9</w:t>
            </w:r>
          </w:p>
        </w:tc>
        <w:tc>
          <w:tcPr>
            <w:tcW w:w="7760" w:type="dxa"/>
            <w:vAlign w:val="bottom"/>
          </w:tcPr>
          <w:p>
            <w:pPr>
              <w:ind w:left="320"/>
              <w:spacing w:after="0"/>
              <w:rPr>
                <w:sz w:val="20"/>
                <w:szCs w:val="20"/>
                <w:color w:val="auto"/>
              </w:rPr>
            </w:pPr>
            <w:r>
              <w:rPr>
                <w:rFonts w:ascii="Arial" w:cs="Arial" w:eastAsia="Arial" w:hAnsi="Arial"/>
                <w:sz w:val="18"/>
                <w:szCs w:val="18"/>
                <w:color w:val="auto"/>
              </w:rPr>
              <w:t>Competitive Bid Procedure</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2.10</w:t>
            </w:r>
          </w:p>
        </w:tc>
        <w:tc>
          <w:tcPr>
            <w:tcW w:w="7760" w:type="dxa"/>
            <w:vAlign w:val="bottom"/>
          </w:tcPr>
          <w:p>
            <w:pPr>
              <w:ind w:left="320"/>
              <w:spacing w:after="0"/>
              <w:rPr>
                <w:sz w:val="20"/>
                <w:szCs w:val="20"/>
                <w:color w:val="auto"/>
              </w:rPr>
            </w:pPr>
            <w:r>
              <w:rPr>
                <w:rFonts w:ascii="Arial" w:cs="Arial" w:eastAsia="Arial" w:hAnsi="Arial"/>
                <w:sz w:val="18"/>
                <w:szCs w:val="18"/>
                <w:color w:val="auto"/>
              </w:rPr>
              <w:t>Facility Fees, etc.</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7760" w:type="dxa"/>
            <w:vAlign w:val="bottom"/>
          </w:tcPr>
          <w:p>
            <w:pPr>
              <w:ind w:left="320"/>
              <w:spacing w:after="0"/>
              <w:rPr>
                <w:sz w:val="20"/>
                <w:szCs w:val="20"/>
                <w:color w:val="auto"/>
              </w:rPr>
            </w:pPr>
            <w:r>
              <w:rPr>
                <w:rFonts w:ascii="Arial" w:cs="Arial" w:eastAsia="Arial" w:hAnsi="Arial"/>
                <w:sz w:val="18"/>
                <w:szCs w:val="18"/>
                <w:color w:val="auto"/>
              </w:rPr>
              <w:t>Termination and Reduction of Commitments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2.12</w:t>
            </w:r>
          </w:p>
        </w:tc>
        <w:tc>
          <w:tcPr>
            <w:tcW w:w="7760" w:type="dxa"/>
            <w:vAlign w:val="bottom"/>
          </w:tcPr>
          <w:p>
            <w:pPr>
              <w:ind w:left="320"/>
              <w:spacing w:after="0"/>
              <w:rPr>
                <w:sz w:val="20"/>
                <w:szCs w:val="20"/>
                <w:color w:val="auto"/>
              </w:rPr>
            </w:pPr>
            <w:r>
              <w:rPr>
                <w:rFonts w:ascii="Arial" w:cs="Arial" w:eastAsia="Arial" w:hAnsi="Arial"/>
                <w:sz w:val="18"/>
                <w:szCs w:val="18"/>
                <w:color w:val="auto"/>
              </w:rPr>
              <w:t>Optional Prepayments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2.13</w:t>
            </w:r>
          </w:p>
        </w:tc>
        <w:tc>
          <w:tcPr>
            <w:tcW w:w="77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2.14</w:t>
            </w:r>
          </w:p>
        </w:tc>
        <w:tc>
          <w:tcPr>
            <w:tcW w:w="7760" w:type="dxa"/>
            <w:vAlign w:val="bottom"/>
          </w:tcPr>
          <w:p>
            <w:pPr>
              <w:ind w:left="320"/>
              <w:spacing w:after="0"/>
              <w:rPr>
                <w:sz w:val="20"/>
                <w:szCs w:val="20"/>
                <w:color w:val="auto"/>
              </w:rPr>
            </w:pPr>
            <w:r>
              <w:rPr>
                <w:rFonts w:ascii="Arial" w:cs="Arial" w:eastAsia="Arial" w:hAnsi="Arial"/>
                <w:sz w:val="18"/>
                <w:szCs w:val="18"/>
                <w:color w:val="auto"/>
              </w:rPr>
              <w:t>Conversion and Continuation Options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2.15</w:t>
            </w:r>
          </w:p>
        </w:tc>
        <w:tc>
          <w:tcPr>
            <w:tcW w:w="7760" w:type="dxa"/>
            <w:vAlign w:val="bottom"/>
          </w:tcPr>
          <w:p>
            <w:pPr>
              <w:ind w:left="320"/>
              <w:spacing w:after="0"/>
              <w:rPr>
                <w:sz w:val="20"/>
                <w:szCs w:val="20"/>
                <w:color w:val="auto"/>
              </w:rPr>
            </w:pPr>
            <w:r>
              <w:rPr>
                <w:rFonts w:ascii="Arial" w:cs="Arial" w:eastAsia="Arial" w:hAnsi="Arial"/>
                <w:sz w:val="18"/>
                <w:szCs w:val="18"/>
                <w:color w:val="auto"/>
              </w:rPr>
              <w:t>Limitations on Eurocurrency Tranches</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2.16</w:t>
            </w:r>
          </w:p>
        </w:tc>
        <w:tc>
          <w:tcPr>
            <w:tcW w:w="7760" w:type="dxa"/>
            <w:vAlign w:val="bottom"/>
          </w:tcPr>
          <w:p>
            <w:pPr>
              <w:ind w:left="320"/>
              <w:spacing w:after="0"/>
              <w:rPr>
                <w:sz w:val="20"/>
                <w:szCs w:val="20"/>
                <w:color w:val="auto"/>
              </w:rPr>
            </w:pPr>
            <w:r>
              <w:rPr>
                <w:rFonts w:ascii="Arial" w:cs="Arial" w:eastAsia="Arial" w:hAnsi="Arial"/>
                <w:sz w:val="18"/>
                <w:szCs w:val="18"/>
                <w:color w:val="auto"/>
              </w:rPr>
              <w:t>Interest Rates and Payment Dates</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2.17</w:t>
            </w:r>
          </w:p>
        </w:tc>
        <w:tc>
          <w:tcPr>
            <w:tcW w:w="7760" w:type="dxa"/>
            <w:vAlign w:val="bottom"/>
          </w:tcPr>
          <w:p>
            <w:pPr>
              <w:ind w:left="320"/>
              <w:spacing w:after="0"/>
              <w:rPr>
                <w:sz w:val="20"/>
                <w:szCs w:val="20"/>
                <w:color w:val="auto"/>
              </w:rPr>
            </w:pPr>
            <w:r>
              <w:rPr>
                <w:rFonts w:ascii="Arial" w:cs="Arial" w:eastAsia="Arial" w:hAnsi="Arial"/>
                <w:sz w:val="18"/>
                <w:szCs w:val="18"/>
                <w:color w:val="auto"/>
              </w:rPr>
              <w:t>Computation of Interest and Fees</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2.18</w:t>
            </w:r>
          </w:p>
        </w:tc>
        <w:tc>
          <w:tcPr>
            <w:tcW w:w="7760" w:type="dxa"/>
            <w:vAlign w:val="bottom"/>
          </w:tcPr>
          <w:p>
            <w:pPr>
              <w:ind w:left="320"/>
              <w:spacing w:after="0"/>
              <w:rPr>
                <w:sz w:val="20"/>
                <w:szCs w:val="20"/>
                <w:color w:val="auto"/>
              </w:rPr>
            </w:pPr>
            <w:r>
              <w:rPr>
                <w:rFonts w:ascii="Arial" w:cs="Arial" w:eastAsia="Arial" w:hAnsi="Arial"/>
                <w:sz w:val="18"/>
                <w:szCs w:val="18"/>
                <w:color w:val="auto"/>
              </w:rPr>
              <w:t>Alternate Rate of Interest</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2.19</w:t>
            </w:r>
          </w:p>
        </w:tc>
        <w:tc>
          <w:tcPr>
            <w:tcW w:w="7760" w:type="dxa"/>
            <w:vAlign w:val="bottom"/>
          </w:tcPr>
          <w:p>
            <w:pPr>
              <w:ind w:left="320"/>
              <w:spacing w:after="0"/>
              <w:rPr>
                <w:sz w:val="20"/>
                <w:szCs w:val="20"/>
                <w:color w:val="auto"/>
              </w:rPr>
            </w:pPr>
            <w:r>
              <w:rPr>
                <w:rFonts w:ascii="Arial" w:cs="Arial" w:eastAsia="Arial" w:hAnsi="Arial"/>
                <w:sz w:val="18"/>
                <w:szCs w:val="18"/>
                <w:color w:val="auto"/>
              </w:rPr>
              <w:t>Pro Rata Treatment and Payments; Evidence of Debt</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2.20</w:t>
            </w:r>
          </w:p>
        </w:tc>
        <w:tc>
          <w:tcPr>
            <w:tcW w:w="7760" w:type="dxa"/>
            <w:vAlign w:val="bottom"/>
          </w:tcPr>
          <w:p>
            <w:pPr>
              <w:ind w:left="320"/>
              <w:spacing w:after="0"/>
              <w:rPr>
                <w:sz w:val="20"/>
                <w:szCs w:val="20"/>
                <w:color w:val="auto"/>
              </w:rPr>
            </w:pPr>
            <w:r>
              <w:rPr>
                <w:rFonts w:ascii="Arial" w:cs="Arial" w:eastAsia="Arial" w:hAnsi="Arial"/>
                <w:sz w:val="18"/>
                <w:szCs w:val="18"/>
                <w:color w:val="auto"/>
              </w:rPr>
              <w:t>Requirements of Law</w:t>
            </w:r>
          </w:p>
        </w:tc>
        <w:tc>
          <w:tcPr>
            <w:tcW w:w="2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2.21</w:t>
            </w:r>
          </w:p>
        </w:tc>
        <w:tc>
          <w:tcPr>
            <w:tcW w:w="7760" w:type="dxa"/>
            <w:vAlign w:val="bottom"/>
          </w:tcPr>
          <w:p>
            <w:pPr>
              <w:ind w:left="320"/>
              <w:spacing w:after="0"/>
              <w:rPr>
                <w:sz w:val="20"/>
                <w:szCs w:val="20"/>
                <w:color w:val="auto"/>
              </w:rPr>
            </w:pPr>
            <w:r>
              <w:rPr>
                <w:rFonts w:ascii="Arial" w:cs="Arial" w:eastAsia="Arial" w:hAnsi="Arial"/>
                <w:sz w:val="18"/>
                <w:szCs w:val="18"/>
                <w:color w:val="auto"/>
              </w:rPr>
              <w:t>Taxes</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2.22</w:t>
            </w:r>
          </w:p>
        </w:tc>
        <w:tc>
          <w:tcPr>
            <w:tcW w:w="7760" w:type="dxa"/>
            <w:vAlign w:val="bottom"/>
          </w:tcPr>
          <w:p>
            <w:pPr>
              <w:ind w:left="320"/>
              <w:spacing w:after="0"/>
              <w:rPr>
                <w:sz w:val="20"/>
                <w:szCs w:val="20"/>
                <w:color w:val="auto"/>
              </w:rPr>
            </w:pPr>
            <w:r>
              <w:rPr>
                <w:rFonts w:ascii="Arial" w:cs="Arial" w:eastAsia="Arial" w:hAnsi="Arial"/>
                <w:sz w:val="18"/>
                <w:szCs w:val="18"/>
                <w:color w:val="auto"/>
              </w:rPr>
              <w:t>Indemnity</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2.23</w:t>
            </w:r>
          </w:p>
        </w:tc>
        <w:tc>
          <w:tcPr>
            <w:tcW w:w="7760" w:type="dxa"/>
            <w:vAlign w:val="bottom"/>
          </w:tcPr>
          <w:p>
            <w:pPr>
              <w:ind w:left="320"/>
              <w:spacing w:after="0"/>
              <w:rPr>
                <w:sz w:val="20"/>
                <w:szCs w:val="20"/>
                <w:color w:val="auto"/>
              </w:rPr>
            </w:pPr>
            <w:r>
              <w:rPr>
                <w:rFonts w:ascii="Arial" w:cs="Arial" w:eastAsia="Arial" w:hAnsi="Arial"/>
                <w:sz w:val="18"/>
                <w:szCs w:val="18"/>
                <w:color w:val="auto"/>
              </w:rPr>
              <w:t>Change of Applicable Lending Office</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2.24</w:t>
            </w:r>
          </w:p>
        </w:tc>
        <w:tc>
          <w:tcPr>
            <w:tcW w:w="7760" w:type="dxa"/>
            <w:vAlign w:val="bottom"/>
          </w:tcPr>
          <w:p>
            <w:pPr>
              <w:ind w:left="320"/>
              <w:spacing w:after="0"/>
              <w:rPr>
                <w:sz w:val="20"/>
                <w:szCs w:val="20"/>
                <w:color w:val="auto"/>
              </w:rPr>
            </w:pPr>
            <w:r>
              <w:rPr>
                <w:rFonts w:ascii="Arial" w:cs="Arial" w:eastAsia="Arial" w:hAnsi="Arial"/>
                <w:sz w:val="18"/>
                <w:szCs w:val="18"/>
                <w:color w:val="auto"/>
              </w:rPr>
              <w:t>Replacement/Termination of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2.25</w:t>
            </w:r>
          </w:p>
        </w:tc>
        <w:tc>
          <w:tcPr>
            <w:tcW w:w="7760" w:type="dxa"/>
            <w:vAlign w:val="bottom"/>
          </w:tcPr>
          <w:p>
            <w:pPr>
              <w:ind w:left="320"/>
              <w:spacing w:after="0"/>
              <w:rPr>
                <w:sz w:val="20"/>
                <w:szCs w:val="20"/>
                <w:color w:val="auto"/>
              </w:rPr>
            </w:pPr>
            <w:r>
              <w:rPr>
                <w:rFonts w:ascii="Arial" w:cs="Arial" w:eastAsia="Arial" w:hAnsi="Arial"/>
                <w:sz w:val="18"/>
                <w:szCs w:val="18"/>
                <w:color w:val="auto"/>
              </w:rPr>
              <w:t>Defaulting Lender</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2.26</w:t>
            </w:r>
          </w:p>
        </w:tc>
        <w:tc>
          <w:tcPr>
            <w:tcW w:w="7760" w:type="dxa"/>
            <w:vAlign w:val="bottom"/>
          </w:tcPr>
          <w:p>
            <w:pPr>
              <w:ind w:left="320"/>
              <w:spacing w:after="0"/>
              <w:rPr>
                <w:sz w:val="20"/>
                <w:szCs w:val="20"/>
                <w:color w:val="auto"/>
              </w:rPr>
            </w:pPr>
            <w:r>
              <w:rPr>
                <w:rFonts w:ascii="Arial" w:cs="Arial" w:eastAsia="Arial" w:hAnsi="Arial"/>
                <w:sz w:val="18"/>
                <w:szCs w:val="18"/>
                <w:color w:val="auto"/>
              </w:rPr>
              <w:t>Reallocation of Payments for the Account of Defaulting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2.27</w:t>
            </w:r>
          </w:p>
        </w:tc>
        <w:tc>
          <w:tcPr>
            <w:tcW w:w="7760" w:type="dxa"/>
            <w:vAlign w:val="bottom"/>
          </w:tcPr>
          <w:p>
            <w:pPr>
              <w:ind w:left="320"/>
              <w:spacing w:after="0"/>
              <w:rPr>
                <w:sz w:val="20"/>
                <w:szCs w:val="20"/>
                <w:color w:val="auto"/>
              </w:rPr>
            </w:pPr>
            <w:r>
              <w:rPr>
                <w:rFonts w:ascii="Arial" w:cs="Arial" w:eastAsia="Arial" w:hAnsi="Arial"/>
                <w:sz w:val="18"/>
                <w:szCs w:val="18"/>
                <w:color w:val="auto"/>
              </w:rPr>
              <w:t>Incremental Commitments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2.28</w:t>
            </w:r>
          </w:p>
        </w:tc>
        <w:tc>
          <w:tcPr>
            <w:tcW w:w="7760" w:type="dxa"/>
            <w:vAlign w:val="bottom"/>
          </w:tcPr>
          <w:p>
            <w:pPr>
              <w:ind w:left="320"/>
              <w:spacing w:after="0"/>
              <w:rPr>
                <w:sz w:val="20"/>
                <w:szCs w:val="20"/>
                <w:color w:val="auto"/>
              </w:rPr>
            </w:pPr>
            <w:r>
              <w:rPr>
                <w:rFonts w:ascii="Arial" w:cs="Arial" w:eastAsia="Arial" w:hAnsi="Arial"/>
                <w:sz w:val="18"/>
                <w:szCs w:val="18"/>
                <w:color w:val="auto"/>
              </w:rPr>
              <w:t>Term Loan Conversion; Repayment of Converted Term Loans</w:t>
            </w:r>
          </w:p>
        </w:tc>
        <w:tc>
          <w:tcPr>
            <w:tcW w:w="2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3"/>
        </w:trPr>
        <w:tc>
          <w:tcPr>
            <w:tcW w:w="8420" w:type="dxa"/>
            <w:vAlign w:val="bottom"/>
            <w:gridSpan w:val="2"/>
          </w:tcPr>
          <w:p>
            <w:pPr>
              <w:spacing w:after="0"/>
              <w:rPr>
                <w:sz w:val="20"/>
                <w:szCs w:val="20"/>
                <w:color w:val="auto"/>
              </w:rPr>
            </w:pPr>
            <w:r>
              <w:rPr>
                <w:rFonts w:ascii="Arial" w:cs="Arial" w:eastAsia="Arial" w:hAnsi="Arial"/>
                <w:sz w:val="18"/>
                <w:szCs w:val="18"/>
                <w:color w:val="auto"/>
              </w:rPr>
              <w:t>SECTION 3. [RESERVED]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3"/>
        </w:trPr>
        <w:tc>
          <w:tcPr>
            <w:tcW w:w="842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64"/>
        </w:trPr>
        <w:tc>
          <w:tcPr>
            <w:tcW w:w="660" w:type="dxa"/>
            <w:vAlign w:val="bottom"/>
          </w:tcPr>
          <w:p>
            <w:pPr>
              <w:spacing w:after="0"/>
              <w:rPr>
                <w:sz w:val="24"/>
                <w:szCs w:val="24"/>
                <w:color w:val="auto"/>
              </w:rPr>
            </w:pPr>
          </w:p>
        </w:tc>
        <w:tc>
          <w:tcPr>
            <w:tcW w:w="7760" w:type="dxa"/>
            <w:vAlign w:val="bottom"/>
          </w:tcPr>
          <w:p>
            <w:pPr>
              <w:ind w:left="4820"/>
              <w:spacing w:after="0"/>
              <w:rPr>
                <w:sz w:val="20"/>
                <w:szCs w:val="20"/>
                <w:color w:val="auto"/>
              </w:rPr>
            </w:pPr>
            <w:r>
              <w:rPr>
                <w:rFonts w:ascii="Arial" w:cs="Arial" w:eastAsia="Arial" w:hAnsi="Arial"/>
                <w:sz w:val="18"/>
                <w:szCs w:val="18"/>
                <w:color w:val="auto"/>
              </w:rPr>
              <w:t>i</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42" w:name="page243"/>
    <w:bookmarkEnd w:id="242"/>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6940" w:type="dxa"/>
            <w:vAlign w:val="bottom"/>
          </w:tcPr>
          <w:p>
            <w:pPr>
              <w:ind w:left="320"/>
              <w:spacing w:after="0"/>
              <w:rPr>
                <w:sz w:val="20"/>
                <w:szCs w:val="20"/>
                <w:color w:val="auto"/>
              </w:rPr>
            </w:pPr>
            <w:r>
              <w:rPr>
                <w:rFonts w:ascii="Arial" w:cs="Arial" w:eastAsia="Arial" w:hAnsi="Arial"/>
                <w:sz w:val="18"/>
                <w:szCs w:val="18"/>
                <w:color w:val="auto"/>
              </w:rPr>
              <w:t>Financial Condition</w:t>
            </w:r>
          </w:p>
        </w:tc>
        <w:tc>
          <w:tcPr>
            <w:tcW w:w="3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6940" w:type="dxa"/>
            <w:vAlign w:val="bottom"/>
          </w:tcPr>
          <w:p>
            <w:pPr>
              <w:ind w:left="320"/>
              <w:spacing w:after="0"/>
              <w:rPr>
                <w:sz w:val="20"/>
                <w:szCs w:val="20"/>
                <w:color w:val="auto"/>
              </w:rPr>
            </w:pPr>
            <w:r>
              <w:rPr>
                <w:rFonts w:ascii="Arial" w:cs="Arial" w:eastAsia="Arial" w:hAnsi="Arial"/>
                <w:sz w:val="18"/>
                <w:szCs w:val="18"/>
                <w:color w:val="auto"/>
              </w:rPr>
              <w:t>No Change</w:t>
            </w:r>
          </w:p>
        </w:tc>
        <w:tc>
          <w:tcPr>
            <w:tcW w:w="3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6940" w:type="dxa"/>
            <w:vAlign w:val="bottom"/>
          </w:tcPr>
          <w:p>
            <w:pPr>
              <w:ind w:left="320"/>
              <w:spacing w:after="0"/>
              <w:rPr>
                <w:sz w:val="20"/>
                <w:szCs w:val="20"/>
                <w:color w:val="auto"/>
              </w:rPr>
            </w:pPr>
            <w:r>
              <w:rPr>
                <w:rFonts w:ascii="Arial" w:cs="Arial" w:eastAsia="Arial" w:hAnsi="Arial"/>
                <w:sz w:val="18"/>
                <w:szCs w:val="18"/>
                <w:color w:val="auto"/>
              </w:rPr>
              <w:t>Existence</w:t>
            </w:r>
          </w:p>
        </w:tc>
        <w:tc>
          <w:tcPr>
            <w:tcW w:w="3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6940" w:type="dxa"/>
            <w:vAlign w:val="bottom"/>
          </w:tcPr>
          <w:p>
            <w:pPr>
              <w:ind w:left="320"/>
              <w:spacing w:after="0"/>
              <w:rPr>
                <w:sz w:val="20"/>
                <w:szCs w:val="20"/>
                <w:color w:val="auto"/>
              </w:rPr>
            </w:pPr>
            <w:r>
              <w:rPr>
                <w:rFonts w:ascii="Arial" w:cs="Arial" w:eastAsia="Arial" w:hAnsi="Arial"/>
                <w:sz w:val="18"/>
                <w:szCs w:val="18"/>
                <w:color w:val="auto"/>
              </w:rPr>
              <w:t>Power; Authorization; Enforceable Obligations</w:t>
            </w:r>
          </w:p>
        </w:tc>
        <w:tc>
          <w:tcPr>
            <w:tcW w:w="3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6940" w:type="dxa"/>
            <w:vAlign w:val="bottom"/>
          </w:tcPr>
          <w:p>
            <w:pPr>
              <w:ind w:left="320"/>
              <w:spacing w:after="0"/>
              <w:rPr>
                <w:sz w:val="20"/>
                <w:szCs w:val="20"/>
                <w:color w:val="auto"/>
              </w:rPr>
            </w:pPr>
            <w:r>
              <w:rPr>
                <w:rFonts w:ascii="Arial" w:cs="Arial" w:eastAsia="Arial" w:hAnsi="Arial"/>
                <w:sz w:val="18"/>
                <w:szCs w:val="18"/>
                <w:color w:val="auto"/>
              </w:rPr>
              <w:t>No Legal Bar</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694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6940" w:type="dxa"/>
            <w:vAlign w:val="bottom"/>
          </w:tcPr>
          <w:p>
            <w:pPr>
              <w:ind w:left="320"/>
              <w:spacing w:after="0"/>
              <w:rPr>
                <w:sz w:val="20"/>
                <w:szCs w:val="20"/>
                <w:color w:val="auto"/>
              </w:rPr>
            </w:pPr>
            <w:r>
              <w:rPr>
                <w:rFonts w:ascii="Arial" w:cs="Arial" w:eastAsia="Arial" w:hAnsi="Arial"/>
                <w:sz w:val="18"/>
                <w:szCs w:val="18"/>
                <w:color w:val="auto"/>
              </w:rPr>
              <w:t>No Default</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4.8</w:t>
            </w:r>
          </w:p>
        </w:tc>
        <w:tc>
          <w:tcPr>
            <w:tcW w:w="6940" w:type="dxa"/>
            <w:vAlign w:val="bottom"/>
          </w:tcPr>
          <w:p>
            <w:pPr>
              <w:ind w:left="320"/>
              <w:spacing w:after="0"/>
              <w:rPr>
                <w:sz w:val="20"/>
                <w:szCs w:val="20"/>
                <w:color w:val="auto"/>
              </w:rPr>
            </w:pPr>
            <w:r>
              <w:rPr>
                <w:rFonts w:ascii="Arial" w:cs="Arial" w:eastAsia="Arial" w:hAnsi="Arial"/>
                <w:sz w:val="18"/>
                <w:szCs w:val="18"/>
                <w:color w:val="auto"/>
              </w:rPr>
              <w:t>Ownership of Property</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4.9</w:t>
            </w:r>
          </w:p>
        </w:tc>
        <w:tc>
          <w:tcPr>
            <w:tcW w:w="694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4.10</w:t>
            </w:r>
          </w:p>
        </w:tc>
        <w:tc>
          <w:tcPr>
            <w:tcW w:w="6940" w:type="dxa"/>
            <w:vAlign w:val="bottom"/>
          </w:tcPr>
          <w:p>
            <w:pPr>
              <w:ind w:left="320"/>
              <w:spacing w:after="0"/>
              <w:rPr>
                <w:sz w:val="20"/>
                <w:szCs w:val="20"/>
                <w:color w:val="auto"/>
              </w:rPr>
            </w:pPr>
            <w:r>
              <w:rPr>
                <w:rFonts w:ascii="Arial" w:cs="Arial" w:eastAsia="Arial" w:hAnsi="Arial"/>
                <w:sz w:val="18"/>
                <w:szCs w:val="18"/>
                <w:color w:val="auto"/>
              </w:rPr>
              <w:t>Federal Regulations</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4.11</w:t>
            </w:r>
          </w:p>
        </w:tc>
        <w:tc>
          <w:tcPr>
            <w:tcW w:w="6940" w:type="dxa"/>
            <w:vAlign w:val="bottom"/>
          </w:tcPr>
          <w:p>
            <w:pPr>
              <w:ind w:left="320"/>
              <w:spacing w:after="0"/>
              <w:rPr>
                <w:sz w:val="20"/>
                <w:szCs w:val="20"/>
                <w:color w:val="auto"/>
              </w:rPr>
            </w:pPr>
            <w:r>
              <w:rPr>
                <w:rFonts w:ascii="Arial" w:cs="Arial" w:eastAsia="Arial" w:hAnsi="Arial"/>
                <w:sz w:val="18"/>
                <w:szCs w:val="18"/>
                <w:color w:val="auto"/>
              </w:rPr>
              <w:t>ERISA</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4.12</w:t>
            </w:r>
          </w:p>
        </w:tc>
        <w:tc>
          <w:tcPr>
            <w:tcW w:w="6940" w:type="dxa"/>
            <w:vAlign w:val="bottom"/>
          </w:tcPr>
          <w:p>
            <w:pPr>
              <w:ind w:left="320"/>
              <w:spacing w:after="0"/>
              <w:rPr>
                <w:sz w:val="20"/>
                <w:szCs w:val="20"/>
                <w:color w:val="auto"/>
              </w:rPr>
            </w:pPr>
            <w:r>
              <w:rPr>
                <w:rFonts w:ascii="Arial" w:cs="Arial" w:eastAsia="Arial" w:hAnsi="Arial"/>
                <w:sz w:val="18"/>
                <w:szCs w:val="18"/>
                <w:color w:val="auto"/>
              </w:rPr>
              <w:t>Investment Company Act</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4.13</w:t>
            </w:r>
          </w:p>
        </w:tc>
        <w:tc>
          <w:tcPr>
            <w:tcW w:w="6940" w:type="dxa"/>
            <w:vAlign w:val="bottom"/>
          </w:tcPr>
          <w:p>
            <w:pPr>
              <w:ind w:left="320"/>
              <w:spacing w:after="0"/>
              <w:rPr>
                <w:sz w:val="20"/>
                <w:szCs w:val="20"/>
                <w:color w:val="auto"/>
              </w:rPr>
            </w:pPr>
            <w:r>
              <w:rPr>
                <w:rFonts w:ascii="Arial" w:cs="Arial" w:eastAsia="Arial" w:hAnsi="Arial"/>
                <w:sz w:val="18"/>
                <w:szCs w:val="18"/>
                <w:color w:val="auto"/>
              </w:rPr>
              <w:t>Ownership of the Subsidiary Borrowers</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4.14</w:t>
            </w:r>
          </w:p>
        </w:tc>
        <w:tc>
          <w:tcPr>
            <w:tcW w:w="694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3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4.15</w:t>
            </w:r>
          </w:p>
        </w:tc>
        <w:tc>
          <w:tcPr>
            <w:tcW w:w="6940" w:type="dxa"/>
            <w:vAlign w:val="bottom"/>
          </w:tcPr>
          <w:p>
            <w:pPr>
              <w:ind w:left="320"/>
              <w:spacing w:after="0"/>
              <w:rPr>
                <w:sz w:val="20"/>
                <w:szCs w:val="20"/>
                <w:color w:val="auto"/>
              </w:rPr>
            </w:pPr>
            <w:r>
              <w:rPr>
                <w:rFonts w:ascii="Arial" w:cs="Arial" w:eastAsia="Arial" w:hAnsi="Arial"/>
                <w:sz w:val="18"/>
                <w:szCs w:val="18"/>
                <w:color w:val="auto"/>
              </w:rPr>
              <w:t>Anti-Corruption Laws and Sanctions</w:t>
            </w:r>
          </w:p>
        </w:tc>
        <w:tc>
          <w:tcPr>
            <w:tcW w:w="3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3"/>
        </w:trPr>
        <w:tc>
          <w:tcPr>
            <w:tcW w:w="7600" w:type="dxa"/>
            <w:vAlign w:val="bottom"/>
            <w:gridSpan w:val="2"/>
          </w:tcPr>
          <w:p>
            <w:pPr>
              <w:spacing w:after="0"/>
              <w:rPr>
                <w:sz w:val="20"/>
                <w:szCs w:val="20"/>
                <w:color w:val="auto"/>
              </w:rPr>
            </w:pPr>
            <w:r>
              <w:rPr>
                <w:rFonts w:ascii="Arial" w:cs="Arial" w:eastAsia="Arial" w:hAnsi="Arial"/>
                <w:sz w:val="18"/>
                <w:szCs w:val="18"/>
                <w:color w:val="auto"/>
              </w:rPr>
              <w:t>SECTION 5. CONDITIONS PRECEDENT</w:t>
            </w:r>
          </w:p>
        </w:tc>
        <w:tc>
          <w:tcPr>
            <w:tcW w:w="3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6940" w:type="dxa"/>
            <w:vAlign w:val="bottom"/>
          </w:tcPr>
          <w:p>
            <w:pPr>
              <w:ind w:left="320"/>
              <w:spacing w:after="0"/>
              <w:rPr>
                <w:sz w:val="20"/>
                <w:szCs w:val="20"/>
                <w:color w:val="auto"/>
              </w:rPr>
            </w:pPr>
            <w:r>
              <w:rPr>
                <w:rFonts w:ascii="Arial" w:cs="Arial" w:eastAsia="Arial" w:hAnsi="Arial"/>
                <w:sz w:val="18"/>
                <w:szCs w:val="18"/>
                <w:color w:val="auto"/>
              </w:rPr>
              <w:t>Conditions to Closing Date</w:t>
            </w:r>
          </w:p>
        </w:tc>
        <w:tc>
          <w:tcPr>
            <w:tcW w:w="3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5.2</w:t>
            </w:r>
          </w:p>
        </w:tc>
        <w:tc>
          <w:tcPr>
            <w:tcW w:w="6940" w:type="dxa"/>
            <w:vAlign w:val="bottom"/>
          </w:tcPr>
          <w:p>
            <w:pPr>
              <w:ind w:left="320"/>
              <w:spacing w:after="0"/>
              <w:rPr>
                <w:sz w:val="20"/>
                <w:szCs w:val="20"/>
                <w:color w:val="auto"/>
              </w:rPr>
            </w:pPr>
            <w:r>
              <w:rPr>
                <w:rFonts w:ascii="Arial" w:cs="Arial" w:eastAsia="Arial" w:hAnsi="Arial"/>
                <w:sz w:val="18"/>
                <w:szCs w:val="18"/>
                <w:color w:val="auto"/>
              </w:rPr>
              <w:t>Conditions to Each Extension of Credit</w:t>
            </w:r>
          </w:p>
        </w:tc>
        <w:tc>
          <w:tcPr>
            <w:tcW w:w="3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3"/>
        </w:trPr>
        <w:tc>
          <w:tcPr>
            <w:tcW w:w="760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3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6.1</w:t>
            </w:r>
          </w:p>
        </w:tc>
        <w:tc>
          <w:tcPr>
            <w:tcW w:w="694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3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6.2</w:t>
            </w:r>
          </w:p>
        </w:tc>
        <w:tc>
          <w:tcPr>
            <w:tcW w:w="6940" w:type="dxa"/>
            <w:vAlign w:val="bottom"/>
          </w:tcPr>
          <w:p>
            <w:pPr>
              <w:ind w:left="320"/>
              <w:spacing w:after="0"/>
              <w:rPr>
                <w:sz w:val="20"/>
                <w:szCs w:val="20"/>
                <w:color w:val="auto"/>
              </w:rPr>
            </w:pPr>
            <w:r>
              <w:rPr>
                <w:rFonts w:ascii="Arial" w:cs="Arial" w:eastAsia="Arial" w:hAnsi="Arial"/>
                <w:sz w:val="18"/>
                <w:szCs w:val="18"/>
                <w:color w:val="auto"/>
              </w:rPr>
              <w:t>Compliance Certificates</w:t>
            </w:r>
          </w:p>
        </w:tc>
        <w:tc>
          <w:tcPr>
            <w:tcW w:w="3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6.3</w:t>
            </w:r>
          </w:p>
        </w:tc>
        <w:tc>
          <w:tcPr>
            <w:tcW w:w="6940" w:type="dxa"/>
            <w:vAlign w:val="bottom"/>
          </w:tcPr>
          <w:p>
            <w:pPr>
              <w:ind w:left="320"/>
              <w:spacing w:after="0"/>
              <w:rPr>
                <w:sz w:val="20"/>
                <w:szCs w:val="20"/>
                <w:color w:val="auto"/>
              </w:rPr>
            </w:pPr>
            <w:r>
              <w:rPr>
                <w:rFonts w:ascii="Arial" w:cs="Arial" w:eastAsia="Arial" w:hAnsi="Arial"/>
                <w:sz w:val="18"/>
                <w:szCs w:val="18"/>
                <w:color w:val="auto"/>
              </w:rPr>
              <w:t>Maintenance of Business; Existence</w:t>
            </w:r>
          </w:p>
        </w:tc>
        <w:tc>
          <w:tcPr>
            <w:tcW w:w="3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6.4</w:t>
            </w:r>
          </w:p>
        </w:tc>
        <w:tc>
          <w:tcPr>
            <w:tcW w:w="6940" w:type="dxa"/>
            <w:vAlign w:val="bottom"/>
          </w:tcPr>
          <w:p>
            <w:pPr>
              <w:ind w:left="320"/>
              <w:spacing w:after="0"/>
              <w:rPr>
                <w:sz w:val="20"/>
                <w:szCs w:val="20"/>
                <w:color w:val="auto"/>
              </w:rPr>
            </w:pPr>
            <w:r>
              <w:rPr>
                <w:rFonts w:ascii="Arial" w:cs="Arial" w:eastAsia="Arial" w:hAnsi="Arial"/>
                <w:sz w:val="18"/>
                <w:szCs w:val="18"/>
                <w:color w:val="auto"/>
              </w:rPr>
              <w:t>Maintenance of Insurance</w:t>
            </w:r>
          </w:p>
        </w:tc>
        <w:tc>
          <w:tcPr>
            <w:tcW w:w="3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6.5</w:t>
            </w:r>
          </w:p>
        </w:tc>
        <w:tc>
          <w:tcPr>
            <w:tcW w:w="6940" w:type="dxa"/>
            <w:vAlign w:val="bottom"/>
          </w:tcPr>
          <w:p>
            <w:pPr>
              <w:ind w:left="320"/>
              <w:spacing w:after="0"/>
              <w:rPr>
                <w:sz w:val="20"/>
                <w:szCs w:val="20"/>
                <w:color w:val="auto"/>
              </w:rPr>
            </w:pPr>
            <w:r>
              <w:rPr>
                <w:rFonts w:ascii="Arial" w:cs="Arial" w:eastAsia="Arial" w:hAnsi="Arial"/>
                <w:sz w:val="18"/>
                <w:szCs w:val="18"/>
                <w:color w:val="auto"/>
              </w:rPr>
              <w:t>Notices</w:t>
            </w:r>
          </w:p>
        </w:tc>
        <w:tc>
          <w:tcPr>
            <w:tcW w:w="3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6.6</w:t>
            </w:r>
          </w:p>
        </w:tc>
        <w:tc>
          <w:tcPr>
            <w:tcW w:w="6940" w:type="dxa"/>
            <w:vAlign w:val="bottom"/>
          </w:tcPr>
          <w:p>
            <w:pPr>
              <w:ind w:left="320"/>
              <w:spacing w:after="0"/>
              <w:rPr>
                <w:sz w:val="20"/>
                <w:szCs w:val="20"/>
                <w:color w:val="auto"/>
              </w:rPr>
            </w:pPr>
            <w:r>
              <w:rPr>
                <w:rFonts w:ascii="Arial" w:cs="Arial" w:eastAsia="Arial" w:hAnsi="Arial"/>
                <w:sz w:val="18"/>
                <w:szCs w:val="18"/>
                <w:color w:val="auto"/>
              </w:rPr>
              <w:t>Reinstated Guarantors, etc.</w:t>
            </w:r>
          </w:p>
        </w:tc>
        <w:tc>
          <w:tcPr>
            <w:tcW w:w="3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6.7</w:t>
            </w:r>
          </w:p>
        </w:tc>
        <w:tc>
          <w:tcPr>
            <w:tcW w:w="6940" w:type="dxa"/>
            <w:vAlign w:val="bottom"/>
          </w:tcPr>
          <w:p>
            <w:pPr>
              <w:ind w:left="320"/>
              <w:spacing w:after="0"/>
              <w:rPr>
                <w:sz w:val="20"/>
                <w:szCs w:val="20"/>
                <w:color w:val="auto"/>
              </w:rPr>
            </w:pPr>
            <w:r>
              <w:rPr>
                <w:rFonts w:ascii="Arial" w:cs="Arial" w:eastAsia="Arial" w:hAnsi="Arial"/>
                <w:sz w:val="18"/>
                <w:szCs w:val="18"/>
                <w:color w:val="auto"/>
              </w:rPr>
              <w:t>Books and Records</w:t>
            </w:r>
          </w:p>
        </w:tc>
        <w:tc>
          <w:tcPr>
            <w:tcW w:w="3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6.8</w:t>
            </w:r>
          </w:p>
        </w:tc>
        <w:tc>
          <w:tcPr>
            <w:tcW w:w="6940" w:type="dxa"/>
            <w:vAlign w:val="bottom"/>
          </w:tcPr>
          <w:p>
            <w:pPr>
              <w:ind w:left="320"/>
              <w:spacing w:after="0"/>
              <w:rPr>
                <w:sz w:val="20"/>
                <w:szCs w:val="20"/>
                <w:color w:val="auto"/>
              </w:rPr>
            </w:pPr>
            <w:r>
              <w:rPr>
                <w:rFonts w:ascii="Arial" w:cs="Arial" w:eastAsia="Arial" w:hAnsi="Arial"/>
                <w:sz w:val="18"/>
                <w:szCs w:val="18"/>
                <w:color w:val="auto"/>
              </w:rPr>
              <w:t>Ratings</w:t>
            </w:r>
          </w:p>
        </w:tc>
        <w:tc>
          <w:tcPr>
            <w:tcW w:w="3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3"/>
        </w:trPr>
        <w:tc>
          <w:tcPr>
            <w:tcW w:w="760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3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7.1</w:t>
            </w:r>
          </w:p>
        </w:tc>
        <w:tc>
          <w:tcPr>
            <w:tcW w:w="6940" w:type="dxa"/>
            <w:vAlign w:val="bottom"/>
          </w:tcPr>
          <w:p>
            <w:pPr>
              <w:ind w:left="320"/>
              <w:spacing w:after="0"/>
              <w:rPr>
                <w:sz w:val="20"/>
                <w:szCs w:val="20"/>
                <w:color w:val="auto"/>
              </w:rPr>
            </w:pPr>
            <w:r>
              <w:rPr>
                <w:rFonts w:ascii="Arial" w:cs="Arial" w:eastAsia="Arial" w:hAnsi="Arial"/>
                <w:sz w:val="18"/>
                <w:szCs w:val="18"/>
                <w:color w:val="auto"/>
              </w:rPr>
              <w:t>Minimum Liquidity</w:t>
            </w:r>
          </w:p>
        </w:tc>
        <w:tc>
          <w:tcPr>
            <w:tcW w:w="3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7.2</w:t>
            </w:r>
          </w:p>
        </w:tc>
        <w:tc>
          <w:tcPr>
            <w:tcW w:w="6940" w:type="dxa"/>
            <w:vAlign w:val="bottom"/>
          </w:tcPr>
          <w:p>
            <w:pPr>
              <w:ind w:left="320"/>
              <w:spacing w:after="0"/>
              <w:rPr>
                <w:sz w:val="20"/>
                <w:szCs w:val="20"/>
                <w:color w:val="auto"/>
              </w:rPr>
            </w:pPr>
            <w:r>
              <w:rPr>
                <w:rFonts w:ascii="Arial" w:cs="Arial" w:eastAsia="Arial" w:hAnsi="Arial"/>
                <w:sz w:val="18"/>
                <w:szCs w:val="18"/>
                <w:color w:val="auto"/>
              </w:rPr>
              <w:t>Indebtedness</w:t>
            </w:r>
          </w:p>
        </w:tc>
        <w:tc>
          <w:tcPr>
            <w:tcW w:w="3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7.3</w:t>
            </w:r>
          </w:p>
        </w:tc>
        <w:tc>
          <w:tcPr>
            <w:tcW w:w="6940" w:type="dxa"/>
            <w:vAlign w:val="bottom"/>
          </w:tcPr>
          <w:p>
            <w:pPr>
              <w:ind w:left="320"/>
              <w:spacing w:after="0"/>
              <w:rPr>
                <w:sz w:val="20"/>
                <w:szCs w:val="20"/>
                <w:color w:val="auto"/>
              </w:rPr>
            </w:pPr>
            <w:r>
              <w:rPr>
                <w:rFonts w:ascii="Arial" w:cs="Arial" w:eastAsia="Arial" w:hAnsi="Arial"/>
                <w:sz w:val="18"/>
                <w:szCs w:val="18"/>
                <w:color w:val="auto"/>
              </w:rPr>
              <w:t>Asset Sale Restrictions</w:t>
            </w:r>
          </w:p>
        </w:tc>
        <w:tc>
          <w:tcPr>
            <w:tcW w:w="3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7.4</w:t>
            </w:r>
          </w:p>
        </w:tc>
        <w:tc>
          <w:tcPr>
            <w:tcW w:w="6940" w:type="dxa"/>
            <w:vAlign w:val="bottom"/>
          </w:tcPr>
          <w:p>
            <w:pPr>
              <w:ind w:left="320"/>
              <w:spacing w:after="0"/>
              <w:rPr>
                <w:sz w:val="20"/>
                <w:szCs w:val="20"/>
                <w:color w:val="auto"/>
              </w:rPr>
            </w:pPr>
            <w:r>
              <w:rPr>
                <w:rFonts w:ascii="Arial" w:cs="Arial" w:eastAsia="Arial" w:hAnsi="Arial"/>
                <w:sz w:val="18"/>
                <w:szCs w:val="18"/>
                <w:color w:val="auto"/>
              </w:rPr>
              <w:t>Fundamental Changes</w:t>
            </w:r>
          </w:p>
        </w:tc>
        <w:tc>
          <w:tcPr>
            <w:tcW w:w="3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7.5</w:t>
            </w:r>
          </w:p>
        </w:tc>
        <w:tc>
          <w:tcPr>
            <w:tcW w:w="6940" w:type="dxa"/>
            <w:vAlign w:val="bottom"/>
          </w:tcPr>
          <w:p>
            <w:pPr>
              <w:ind w:left="320"/>
              <w:spacing w:after="0"/>
              <w:rPr>
                <w:sz w:val="20"/>
                <w:szCs w:val="20"/>
                <w:color w:val="auto"/>
              </w:rPr>
            </w:pPr>
            <w:r>
              <w:rPr>
                <w:rFonts w:ascii="Arial" w:cs="Arial" w:eastAsia="Arial" w:hAnsi="Arial"/>
                <w:sz w:val="18"/>
                <w:szCs w:val="18"/>
                <w:color w:val="auto"/>
              </w:rPr>
              <w:t>Anti-Corruption Laws and Sanctions</w:t>
            </w:r>
          </w:p>
        </w:tc>
        <w:tc>
          <w:tcPr>
            <w:tcW w:w="3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3"/>
        </w:trPr>
        <w:tc>
          <w:tcPr>
            <w:tcW w:w="760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3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3"/>
        </w:trPr>
        <w:tc>
          <w:tcPr>
            <w:tcW w:w="760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3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9.1</w:t>
            </w:r>
          </w:p>
        </w:tc>
        <w:tc>
          <w:tcPr>
            <w:tcW w:w="6940" w:type="dxa"/>
            <w:vAlign w:val="bottom"/>
          </w:tcPr>
          <w:p>
            <w:pPr>
              <w:ind w:left="320"/>
              <w:spacing w:after="0"/>
              <w:rPr>
                <w:sz w:val="20"/>
                <w:szCs w:val="20"/>
                <w:color w:val="auto"/>
              </w:rPr>
            </w:pPr>
            <w:r>
              <w:rPr>
                <w:rFonts w:ascii="Arial" w:cs="Arial" w:eastAsia="Arial" w:hAnsi="Arial"/>
                <w:sz w:val="18"/>
                <w:szCs w:val="18"/>
                <w:color w:val="auto"/>
              </w:rPr>
              <w:t>Appointment</w:t>
            </w:r>
          </w:p>
        </w:tc>
        <w:tc>
          <w:tcPr>
            <w:tcW w:w="3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9.2</w:t>
            </w:r>
          </w:p>
        </w:tc>
        <w:tc>
          <w:tcPr>
            <w:tcW w:w="6940" w:type="dxa"/>
            <w:vAlign w:val="bottom"/>
          </w:tcPr>
          <w:p>
            <w:pPr>
              <w:ind w:left="320"/>
              <w:spacing w:after="0"/>
              <w:rPr>
                <w:sz w:val="20"/>
                <w:szCs w:val="20"/>
                <w:color w:val="auto"/>
              </w:rPr>
            </w:pPr>
            <w:r>
              <w:rPr>
                <w:rFonts w:ascii="Arial" w:cs="Arial" w:eastAsia="Arial" w:hAnsi="Arial"/>
                <w:sz w:val="18"/>
                <w:szCs w:val="18"/>
                <w:color w:val="auto"/>
              </w:rPr>
              <w:t>Delegation of Duties</w:t>
            </w:r>
          </w:p>
        </w:tc>
        <w:tc>
          <w:tcPr>
            <w:tcW w:w="3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9.3</w:t>
            </w:r>
          </w:p>
        </w:tc>
        <w:tc>
          <w:tcPr>
            <w:tcW w:w="6940" w:type="dxa"/>
            <w:vAlign w:val="bottom"/>
          </w:tcPr>
          <w:p>
            <w:pPr>
              <w:ind w:left="320"/>
              <w:spacing w:after="0"/>
              <w:rPr>
                <w:sz w:val="20"/>
                <w:szCs w:val="20"/>
                <w:color w:val="auto"/>
              </w:rPr>
            </w:pPr>
            <w:r>
              <w:rPr>
                <w:rFonts w:ascii="Arial" w:cs="Arial" w:eastAsia="Arial" w:hAnsi="Arial"/>
                <w:sz w:val="18"/>
                <w:szCs w:val="18"/>
                <w:color w:val="auto"/>
              </w:rPr>
              <w:t>Exculpatory Provisions</w:t>
            </w:r>
          </w:p>
        </w:tc>
        <w:tc>
          <w:tcPr>
            <w:tcW w:w="3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9.4</w:t>
            </w:r>
          </w:p>
        </w:tc>
        <w:tc>
          <w:tcPr>
            <w:tcW w:w="6940" w:type="dxa"/>
            <w:vAlign w:val="bottom"/>
          </w:tcPr>
          <w:p>
            <w:pPr>
              <w:ind w:left="320"/>
              <w:spacing w:after="0"/>
              <w:rPr>
                <w:sz w:val="20"/>
                <w:szCs w:val="20"/>
                <w:color w:val="auto"/>
              </w:rPr>
            </w:pPr>
            <w:r>
              <w:rPr>
                <w:rFonts w:ascii="Arial" w:cs="Arial" w:eastAsia="Arial" w:hAnsi="Arial"/>
                <w:sz w:val="18"/>
                <w:szCs w:val="18"/>
                <w:color w:val="auto"/>
              </w:rPr>
              <w:t>Reliance by Administrative Agent</w:t>
            </w:r>
          </w:p>
        </w:tc>
        <w:tc>
          <w:tcPr>
            <w:tcW w:w="34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440" w:top="273" w:right="45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9.5</w:t>
            </w:r>
          </w:p>
        </w:tc>
        <w:tc>
          <w:tcPr>
            <w:tcW w:w="9860" w:type="dxa"/>
            <w:vAlign w:val="bottom"/>
          </w:tcPr>
          <w:p>
            <w:pPr>
              <w:ind w:left="280"/>
              <w:spacing w:after="0"/>
              <w:rPr>
                <w:sz w:val="20"/>
                <w:szCs w:val="20"/>
                <w:color w:val="auto"/>
              </w:rPr>
            </w:pPr>
            <w:r>
              <w:rPr>
                <w:rFonts w:ascii="Arial" w:cs="Arial" w:eastAsia="Arial" w:hAnsi="Arial"/>
                <w:sz w:val="18"/>
                <w:szCs w:val="18"/>
                <w:color w:val="auto"/>
              </w:rPr>
              <w:t>Notice of Default</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9.6</w:t>
            </w:r>
          </w:p>
        </w:tc>
        <w:tc>
          <w:tcPr>
            <w:tcW w:w="9860" w:type="dxa"/>
            <w:vAlign w:val="bottom"/>
          </w:tcPr>
          <w:p>
            <w:pPr>
              <w:ind w:left="280"/>
              <w:spacing w:after="0"/>
              <w:rPr>
                <w:sz w:val="20"/>
                <w:szCs w:val="20"/>
                <w:color w:val="auto"/>
              </w:rPr>
            </w:pPr>
            <w:r>
              <w:rPr>
                <w:rFonts w:ascii="Arial" w:cs="Arial" w:eastAsia="Arial" w:hAnsi="Arial"/>
                <w:sz w:val="18"/>
                <w:szCs w:val="18"/>
                <w:color w:val="auto"/>
              </w:rPr>
              <w:t>Non-Reliance on Agents and Other Lenders</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9.7</w:t>
            </w:r>
          </w:p>
        </w:tc>
        <w:tc>
          <w:tcPr>
            <w:tcW w:w="986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9.8</w:t>
            </w:r>
          </w:p>
        </w:tc>
        <w:tc>
          <w:tcPr>
            <w:tcW w:w="9860" w:type="dxa"/>
            <w:vAlign w:val="bottom"/>
          </w:tcPr>
          <w:p>
            <w:pPr>
              <w:ind w:left="280"/>
              <w:spacing w:after="0"/>
              <w:rPr>
                <w:sz w:val="20"/>
                <w:szCs w:val="20"/>
                <w:color w:val="auto"/>
              </w:rPr>
            </w:pPr>
            <w:r>
              <w:rPr>
                <w:rFonts w:ascii="Arial" w:cs="Arial" w:eastAsia="Arial" w:hAnsi="Arial"/>
                <w:sz w:val="18"/>
                <w:szCs w:val="18"/>
                <w:color w:val="auto"/>
              </w:rPr>
              <w:t>Agent in Its Individual Capacity</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9.9</w:t>
            </w:r>
          </w:p>
        </w:tc>
        <w:tc>
          <w:tcPr>
            <w:tcW w:w="9860" w:type="dxa"/>
            <w:vAlign w:val="bottom"/>
          </w:tcPr>
          <w:p>
            <w:pPr>
              <w:ind w:left="280"/>
              <w:spacing w:after="0"/>
              <w:rPr>
                <w:sz w:val="20"/>
                <w:szCs w:val="20"/>
                <w:color w:val="auto"/>
              </w:rPr>
            </w:pPr>
            <w:r>
              <w:rPr>
                <w:rFonts w:ascii="Arial" w:cs="Arial" w:eastAsia="Arial" w:hAnsi="Arial"/>
                <w:sz w:val="18"/>
                <w:szCs w:val="18"/>
                <w:color w:val="auto"/>
              </w:rPr>
              <w:t>Successor Administrative Agent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9.10</w:t>
            </w:r>
          </w:p>
        </w:tc>
        <w:tc>
          <w:tcPr>
            <w:tcW w:w="9860" w:type="dxa"/>
            <w:vAlign w:val="bottom"/>
          </w:tcPr>
          <w:p>
            <w:pPr>
              <w:ind w:left="28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70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w w:val="93"/>
              </w:rPr>
              <w:t>Bookrunners, Lead Arrangers, Global and Regional Coordinators, Documentation Agents, Syndication Agent and Co-Syndication</w:t>
            </w:r>
          </w:p>
        </w:tc>
        <w:tc>
          <w:tcPr>
            <w:tcW w:w="440" w:type="dxa"/>
            <w:vAlign w:val="bottom"/>
          </w:tcPr>
          <w:p>
            <w:pPr>
              <w:spacing w:after="0"/>
              <w:rPr>
                <w:sz w:val="18"/>
                <w:szCs w:val="18"/>
                <w:color w:val="auto"/>
              </w:rPr>
            </w:pP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9.11</w:t>
            </w:r>
          </w:p>
        </w:tc>
        <w:tc>
          <w:tcPr>
            <w:tcW w:w="9860" w:type="dxa"/>
            <w:vAlign w:val="bottom"/>
          </w:tcPr>
          <w:p>
            <w:pPr>
              <w:ind w:left="460"/>
              <w:spacing w:after="0"/>
              <w:rPr>
                <w:sz w:val="20"/>
                <w:szCs w:val="20"/>
                <w:color w:val="auto"/>
              </w:rPr>
            </w:pPr>
            <w:r>
              <w:rPr>
                <w:rFonts w:ascii="Arial" w:cs="Arial" w:eastAsia="Arial" w:hAnsi="Arial"/>
                <w:sz w:val="18"/>
                <w:szCs w:val="18"/>
                <w:color w:val="auto"/>
              </w:rPr>
              <w:t>Agent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9.12</w:t>
            </w:r>
          </w:p>
        </w:tc>
        <w:tc>
          <w:tcPr>
            <w:tcW w:w="9860" w:type="dxa"/>
            <w:vAlign w:val="bottom"/>
          </w:tcPr>
          <w:p>
            <w:pPr>
              <w:ind w:left="280"/>
              <w:spacing w:after="0"/>
              <w:rPr>
                <w:sz w:val="20"/>
                <w:szCs w:val="20"/>
                <w:color w:val="auto"/>
              </w:rPr>
            </w:pPr>
            <w:r>
              <w:rPr>
                <w:rFonts w:ascii="Arial" w:cs="Arial" w:eastAsia="Arial" w:hAnsi="Arial"/>
                <w:sz w:val="18"/>
                <w:szCs w:val="18"/>
                <w:color w:val="auto"/>
              </w:rPr>
              <w:t>Certain ERISA Matters</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9.13</w:t>
            </w:r>
          </w:p>
        </w:tc>
        <w:tc>
          <w:tcPr>
            <w:tcW w:w="9860" w:type="dxa"/>
            <w:vAlign w:val="bottom"/>
          </w:tcPr>
          <w:p>
            <w:pPr>
              <w:ind w:left="280"/>
              <w:spacing w:after="0"/>
              <w:rPr>
                <w:sz w:val="20"/>
                <w:szCs w:val="20"/>
                <w:color w:val="auto"/>
              </w:rPr>
            </w:pPr>
            <w:r>
              <w:rPr>
                <w:rFonts w:ascii="Arial" w:cs="Arial" w:eastAsia="Arial" w:hAnsi="Arial"/>
                <w:sz w:val="18"/>
                <w:szCs w:val="18"/>
                <w:color w:val="auto"/>
              </w:rPr>
              <w:t>Acknowledgements of Lenders</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3"/>
        </w:trPr>
        <w:tc>
          <w:tcPr>
            <w:tcW w:w="1056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tcPr>
          <w:p>
            <w:pPr>
              <w:ind w:left="280"/>
              <w:spacing w:after="0"/>
              <w:rPr>
                <w:sz w:val="20"/>
                <w:szCs w:val="20"/>
                <w:color w:val="auto"/>
              </w:rPr>
            </w:pPr>
            <w:r>
              <w:rPr>
                <w:rFonts w:ascii="Arial" w:cs="Arial" w:eastAsia="Arial" w:hAnsi="Arial"/>
                <w:sz w:val="18"/>
                <w:szCs w:val="18"/>
                <w:color w:val="auto"/>
              </w:rPr>
              <w:t>Amendments and Waivers</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tcPr>
          <w:p>
            <w:pPr>
              <w:ind w:left="280"/>
              <w:spacing w:after="0"/>
              <w:rPr>
                <w:sz w:val="20"/>
                <w:szCs w:val="20"/>
                <w:color w:val="auto"/>
              </w:rPr>
            </w:pPr>
            <w:r>
              <w:rPr>
                <w:rFonts w:ascii="Arial" w:cs="Arial" w:eastAsia="Arial" w:hAnsi="Arial"/>
                <w:sz w:val="18"/>
                <w:szCs w:val="18"/>
                <w:color w:val="auto"/>
              </w:rPr>
              <w:t>Notices</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tcPr>
          <w:p>
            <w:pPr>
              <w:ind w:left="280"/>
              <w:spacing w:after="0"/>
              <w:rPr>
                <w:sz w:val="20"/>
                <w:szCs w:val="20"/>
                <w:color w:val="auto"/>
              </w:rPr>
            </w:pPr>
            <w:r>
              <w:rPr>
                <w:rFonts w:ascii="Arial" w:cs="Arial" w:eastAsia="Arial" w:hAnsi="Arial"/>
                <w:sz w:val="18"/>
                <w:szCs w:val="18"/>
                <w:color w:val="auto"/>
              </w:rPr>
              <w:t>No Waiver; Cumulative Remedies</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tcPr>
          <w:p>
            <w:pPr>
              <w:ind w:left="280"/>
              <w:spacing w:after="0"/>
              <w:rPr>
                <w:sz w:val="20"/>
                <w:szCs w:val="20"/>
                <w:color w:val="auto"/>
              </w:rPr>
            </w:pPr>
            <w:r>
              <w:rPr>
                <w:rFonts w:ascii="Arial" w:cs="Arial" w:eastAsia="Arial" w:hAnsi="Arial"/>
                <w:sz w:val="18"/>
                <w:szCs w:val="18"/>
                <w:color w:val="auto"/>
              </w:rPr>
              <w:t>Survival of Representations and Warranties</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tcPr>
          <w:p>
            <w:pPr>
              <w:ind w:left="280"/>
              <w:spacing w:after="0"/>
              <w:rPr>
                <w:sz w:val="20"/>
                <w:szCs w:val="20"/>
                <w:color w:val="auto"/>
              </w:rPr>
            </w:pPr>
            <w:r>
              <w:rPr>
                <w:rFonts w:ascii="Arial" w:cs="Arial" w:eastAsia="Arial" w:hAnsi="Arial"/>
                <w:sz w:val="18"/>
                <w:szCs w:val="18"/>
                <w:color w:val="auto"/>
              </w:rPr>
              <w:t>Payment of Expenses; Limitation of Liability; Indemnity</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tcPr>
          <w:p>
            <w:pPr>
              <w:ind w:left="280"/>
              <w:spacing w:after="0"/>
              <w:rPr>
                <w:sz w:val="20"/>
                <w:szCs w:val="20"/>
                <w:color w:val="auto"/>
              </w:rPr>
            </w:pPr>
            <w:r>
              <w:rPr>
                <w:rFonts w:ascii="Arial" w:cs="Arial" w:eastAsia="Arial" w:hAnsi="Arial"/>
                <w:sz w:val="18"/>
                <w:szCs w:val="18"/>
                <w:color w:val="auto"/>
              </w:rPr>
              <w:t>Successors and Assigns; Participations and Assignments</w:t>
            </w: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986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9860" w:type="dxa"/>
            <w:vAlign w:val="bottom"/>
          </w:tcPr>
          <w:p>
            <w:pPr>
              <w:ind w:left="280"/>
              <w:spacing w:after="0"/>
              <w:rPr>
                <w:sz w:val="20"/>
                <w:szCs w:val="20"/>
                <w:color w:val="auto"/>
              </w:rPr>
            </w:pPr>
            <w:r>
              <w:rPr>
                <w:rFonts w:ascii="Arial" w:cs="Arial" w:eastAsia="Arial" w:hAnsi="Arial"/>
                <w:sz w:val="18"/>
                <w:szCs w:val="18"/>
                <w:color w:val="auto"/>
              </w:rPr>
              <w:t>Counterparts; Electronic Execution</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986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9860" w:type="dxa"/>
            <w:vAlign w:val="bottom"/>
          </w:tcPr>
          <w:p>
            <w:pPr>
              <w:ind w:left="280"/>
              <w:spacing w:after="0"/>
              <w:rPr>
                <w:sz w:val="20"/>
                <w:szCs w:val="20"/>
                <w:color w:val="auto"/>
              </w:rPr>
            </w:pPr>
            <w:r>
              <w:rPr>
                <w:rFonts w:ascii="Arial" w:cs="Arial" w:eastAsia="Arial" w:hAnsi="Arial"/>
                <w:sz w:val="18"/>
                <w:szCs w:val="18"/>
                <w:color w:val="auto"/>
              </w:rPr>
              <w:t>Integration</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986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9860" w:type="dxa"/>
            <w:vAlign w:val="bottom"/>
          </w:tcPr>
          <w:p>
            <w:pPr>
              <w:ind w:left="280"/>
              <w:spacing w:after="0"/>
              <w:rPr>
                <w:sz w:val="20"/>
                <w:szCs w:val="20"/>
                <w:color w:val="auto"/>
              </w:rPr>
            </w:pPr>
            <w:r>
              <w:rPr>
                <w:rFonts w:ascii="Arial" w:cs="Arial" w:eastAsia="Arial" w:hAnsi="Arial"/>
                <w:sz w:val="18"/>
                <w:szCs w:val="18"/>
                <w:color w:val="auto"/>
              </w:rPr>
              <w:t>Submission to Jurisdiction; Waivers</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9860" w:type="dxa"/>
            <w:vAlign w:val="bottom"/>
          </w:tcPr>
          <w:p>
            <w:pPr>
              <w:ind w:left="280"/>
              <w:spacing w:after="0"/>
              <w:rPr>
                <w:sz w:val="20"/>
                <w:szCs w:val="20"/>
                <w:color w:val="auto"/>
              </w:rPr>
            </w:pPr>
            <w:r>
              <w:rPr>
                <w:rFonts w:ascii="Arial" w:cs="Arial" w:eastAsia="Arial" w:hAnsi="Arial"/>
                <w:sz w:val="18"/>
                <w:szCs w:val="18"/>
                <w:color w:val="auto"/>
              </w:rPr>
              <w:t>Judgment</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9860" w:type="dxa"/>
            <w:vAlign w:val="bottom"/>
          </w:tcPr>
          <w:p>
            <w:pPr>
              <w:ind w:left="280"/>
              <w:spacing w:after="0"/>
              <w:rPr>
                <w:sz w:val="20"/>
                <w:szCs w:val="20"/>
                <w:color w:val="auto"/>
              </w:rPr>
            </w:pPr>
            <w:r>
              <w:rPr>
                <w:rFonts w:ascii="Arial" w:cs="Arial" w:eastAsia="Arial" w:hAnsi="Arial"/>
                <w:sz w:val="18"/>
                <w:szCs w:val="18"/>
                <w:color w:val="auto"/>
              </w:rPr>
              <w:t>Acknowledgments</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tcPr>
          <w:p>
            <w:pPr>
              <w:ind w:left="280"/>
              <w:spacing w:after="0"/>
              <w:rPr>
                <w:sz w:val="20"/>
                <w:szCs w:val="20"/>
                <w:color w:val="auto"/>
              </w:rPr>
            </w:pPr>
            <w:r>
              <w:rPr>
                <w:rFonts w:ascii="Arial" w:cs="Arial" w:eastAsia="Arial" w:hAnsi="Arial"/>
                <w:sz w:val="18"/>
                <w:szCs w:val="18"/>
                <w:color w:val="auto"/>
              </w:rPr>
              <w:t>Releases of Guarantees</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986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tcPr>
          <w:p>
            <w:pPr>
              <w:ind w:left="280"/>
              <w:spacing w:after="0"/>
              <w:rPr>
                <w:sz w:val="20"/>
                <w:szCs w:val="20"/>
                <w:color w:val="auto"/>
              </w:rPr>
            </w:pPr>
            <w:r>
              <w:rPr>
                <w:rFonts w:ascii="Arial" w:cs="Arial" w:eastAsia="Arial" w:hAnsi="Arial"/>
                <w:sz w:val="18"/>
                <w:szCs w:val="18"/>
                <w:color w:val="auto"/>
              </w:rPr>
              <w:t>WAIVERS OF JURY TRIAL</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9860" w:type="dxa"/>
            <w:vAlign w:val="bottom"/>
          </w:tcPr>
          <w:p>
            <w:pPr>
              <w:ind w:left="280"/>
              <w:spacing w:after="0"/>
              <w:rPr>
                <w:sz w:val="20"/>
                <w:szCs w:val="20"/>
                <w:color w:val="auto"/>
              </w:rPr>
            </w:pPr>
            <w:r>
              <w:rPr>
                <w:rFonts w:ascii="Arial" w:cs="Arial" w:eastAsia="Arial" w:hAnsi="Arial"/>
                <w:sz w:val="18"/>
                <w:szCs w:val="18"/>
                <w:color w:val="auto"/>
              </w:rPr>
              <w:t>USA Patriot Act</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9860" w:type="dxa"/>
            <w:vAlign w:val="bottom"/>
          </w:tcPr>
          <w:p>
            <w:pPr>
              <w:ind w:left="280"/>
              <w:spacing w:after="0"/>
              <w:rPr>
                <w:sz w:val="20"/>
                <w:szCs w:val="20"/>
                <w:color w:val="auto"/>
              </w:rPr>
            </w:pPr>
            <w:r>
              <w:rPr>
                <w:rFonts w:ascii="Arial" w:cs="Arial" w:eastAsia="Arial" w:hAnsi="Arial"/>
                <w:sz w:val="18"/>
                <w:szCs w:val="18"/>
                <w:color w:val="auto"/>
              </w:rPr>
              <w:t>No Novation</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9860" w:type="dxa"/>
            <w:vAlign w:val="bottom"/>
          </w:tcPr>
          <w:p>
            <w:pPr>
              <w:ind w:left="28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9860" w:type="dxa"/>
            <w:vAlign w:val="bottom"/>
          </w:tcPr>
          <w:p>
            <w:pPr>
              <w:ind w:left="280"/>
              <w:spacing w:after="0"/>
              <w:rPr>
                <w:sz w:val="20"/>
                <w:szCs w:val="20"/>
                <w:color w:val="auto"/>
              </w:rPr>
            </w:pPr>
            <w:r>
              <w:rPr>
                <w:rFonts w:ascii="Arial" w:cs="Arial" w:eastAsia="Arial" w:hAnsi="Arial"/>
                <w:sz w:val="18"/>
                <w:szCs w:val="18"/>
                <w:color w:val="auto"/>
              </w:rPr>
              <w:t>Acknowledgement Regarding Any Supported QFCs</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00"/>
          </w:cols>
          <w:pgMar w:left="440" w:top="273" w:right="45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color w:val="auto"/>
        </w:rPr>
        <w:t>SCHEDULES: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1.1A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Commitments; Scheme Reference Number and Jurisdiction of Tax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-406400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Initial Excluded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Pricing Grid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Subsidiary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Incremental Loan Activation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Borrower Joinder Agreement</w:t>
      </w:r>
    </w:p>
    <w:p>
      <w:pPr>
        <w:spacing w:after="0" w:line="9" w:lineRule="exact"/>
        <w:rPr>
          <w:sz w:val="20"/>
          <w:szCs w:val="20"/>
          <w:color w:val="auto"/>
        </w:rPr>
      </w:pPr>
    </w:p>
    <w:p>
      <w:pPr>
        <w:ind w:right="3639"/>
        <w:spacing w:after="0" w:line="281" w:lineRule="auto"/>
        <w:rPr>
          <w:sz w:val="20"/>
          <w:szCs w:val="20"/>
          <w:color w:val="auto"/>
        </w:rPr>
      </w:pPr>
      <w:r>
        <w:rPr>
          <w:rFonts w:ascii="Arial" w:cs="Arial" w:eastAsia="Arial" w:hAnsi="Arial"/>
          <w:sz w:val="16"/>
          <w:szCs w:val="16"/>
          <w:color w:val="auto"/>
        </w:rPr>
        <w:t>Form of Exemption Certificate for Non-Partnership Non-U.S. Lenders Form of Exemption Certificate for Partnership Non-U.S. Lenders</w:t>
      </w:r>
    </w:p>
    <w:p>
      <w:pPr>
        <w:spacing w:after="0"/>
        <w:rPr>
          <w:sz w:val="20"/>
          <w:szCs w:val="20"/>
          <w:color w:val="auto"/>
        </w:rPr>
      </w:pPr>
      <w:r>
        <w:rPr>
          <w:rFonts w:ascii="Arial" w:cs="Arial" w:eastAsia="Arial" w:hAnsi="Arial"/>
          <w:sz w:val="17"/>
          <w:szCs w:val="17"/>
          <w:color w:val="auto"/>
        </w:rPr>
        <w:t>Form of Exemption Certificate for Non-Partnership Non-U.S. Participants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Form of Exemption Certificate for Partnership Non-U.S. Participants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Borrowing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Company Consent</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ectPr>
          <w:pgSz w:w="11900" w:h="16838" w:orient="portrait"/>
          <w:cols w:equalWidth="0" w:num="2">
            <w:col w:w="1100" w:space="220"/>
            <w:col w:w="8699"/>
          </w:cols>
          <w:pgMar w:left="440" w:top="273" w:right="1440" w:bottom="1440" w:gutter="0" w:footer="0" w:header="0"/>
        </w:sectPr>
      </w:pPr>
    </w:p>
    <w:bookmarkStart w:id="245" w:name="page246"/>
    <w:bookmarkEnd w:id="245"/>
    <w:p>
      <w:pPr>
        <w:ind w:right="80" w:firstLine="98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AMENDED AND RESTATED 364-DAY REVOLVING CREDIT AGREEMENT, dated as of April 7,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w:t>
      </w:r>
      <w:r>
        <w:rPr>
          <w:rFonts w:ascii="Arial" w:cs="Arial" w:eastAsia="Arial" w:hAnsi="Arial"/>
          <w:sz w:val="18"/>
          <w:szCs w:val="18"/>
          <w:u w:val="single" w:color="auto"/>
          <w:color w:val="auto"/>
        </w:rPr>
        <w:t>GMF</w:t>
      </w:r>
      <w:r>
        <w:rPr>
          <w:rFonts w:ascii="Arial" w:cs="Arial" w:eastAsia="Arial" w:hAnsi="Arial"/>
          <w:sz w:val="18"/>
          <w:szCs w:val="18"/>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(and any of its branches and affiliates acting on its behalf in such capacity),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CITIBANK, 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 and BANK OF AMERICA, N.A., as co-syndication agent (in such capacity, the “</w:t>
      </w:r>
      <w:r>
        <w:rPr>
          <w:rFonts w:ascii="Arial" w:cs="Arial" w:eastAsia="Arial" w:hAnsi="Arial"/>
          <w:sz w:val="18"/>
          <w:szCs w:val="18"/>
          <w:u w:val="single" w:color="auto"/>
          <w:color w:val="auto"/>
        </w:rPr>
        <w:t>Co-Syndication Agent</w:t>
      </w:r>
      <w:r>
        <w:rPr>
          <w:rFonts w:ascii="Arial" w:cs="Arial" w:eastAsia="Arial" w:hAnsi="Arial"/>
          <w:sz w:val="18"/>
          <w:szCs w:val="18"/>
          <w:color w:val="auto"/>
        </w:rPr>
        <w:t>”).</w:t>
      </w:r>
    </w:p>
    <w:p>
      <w:pPr>
        <w:spacing w:after="0" w:line="191" w:lineRule="exact"/>
        <w:rPr>
          <w:sz w:val="20"/>
          <w:szCs w:val="20"/>
          <w:color w:val="auto"/>
        </w:rPr>
      </w:pPr>
    </w:p>
    <w:p>
      <w:pPr>
        <w:ind w:right="20" w:firstLine="989"/>
        <w:spacing w:after="0" w:line="311" w:lineRule="auto"/>
        <w:rPr>
          <w:sz w:val="20"/>
          <w:szCs w:val="20"/>
          <w:color w:val="auto"/>
        </w:rPr>
      </w:pPr>
      <w:r>
        <w:rPr>
          <w:rFonts w:ascii="Arial" w:cs="Arial" w:eastAsia="Arial" w:hAnsi="Arial"/>
          <w:sz w:val="16"/>
          <w:szCs w:val="16"/>
          <w:color w:val="auto"/>
        </w:rPr>
        <w:t>WHEREAS, the Company entered into that certain Second Amended and Restated 364-Day Revolving Credit Agreement, dated as of April 14, 2020 (the “</w:t>
      </w:r>
      <w:r>
        <w:rPr>
          <w:rFonts w:ascii="Arial" w:cs="Arial" w:eastAsia="Arial" w:hAnsi="Arial"/>
          <w:sz w:val="16"/>
          <w:szCs w:val="16"/>
          <w:u w:val="single" w:color="auto"/>
          <w:color w:val="auto"/>
        </w:rPr>
        <w:t>Existing 364-Day Credit Agreement</w:t>
      </w:r>
      <w:r>
        <w:rPr>
          <w:rFonts w:ascii="Arial" w:cs="Arial" w:eastAsia="Arial" w:hAnsi="Arial"/>
          <w:sz w:val="16"/>
          <w:szCs w:val="16"/>
          <w:color w:val="auto"/>
        </w:rPr>
        <w:t>”), with GMF, the other Subsidiary Borrowers (as defined therein) from time to time party thereto, the several lenders from time to time party thereto, JPMorgan Chase Bank, N.A., as administrative agent and the other agents party thereto; and</w:t>
      </w:r>
    </w:p>
    <w:p>
      <w:pPr>
        <w:spacing w:after="0" w:line="147" w:lineRule="exact"/>
        <w:rPr>
          <w:sz w:val="20"/>
          <w:szCs w:val="20"/>
          <w:color w:val="auto"/>
        </w:rPr>
      </w:pPr>
    </w:p>
    <w:p>
      <w:pPr>
        <w:ind w:right="120" w:firstLine="989"/>
        <w:spacing w:after="0" w:line="276" w:lineRule="auto"/>
        <w:rPr>
          <w:sz w:val="20"/>
          <w:szCs w:val="20"/>
          <w:color w:val="auto"/>
        </w:rPr>
      </w:pPr>
      <w:r>
        <w:rPr>
          <w:rFonts w:ascii="Arial" w:cs="Arial" w:eastAsia="Arial" w:hAnsi="Arial"/>
          <w:sz w:val="18"/>
          <w:szCs w:val="18"/>
          <w:color w:val="auto"/>
        </w:rPr>
        <w:t>WHEREAS, the parties hereto have agreed to amend and restate the Existing 364-Day Credit Agreement as provided in this Agreement, which Agreement shall become effective upon the satisfaction of the conditions set forth in Section 5.1;</w:t>
      </w:r>
    </w:p>
    <w:p>
      <w:pPr>
        <w:spacing w:after="0" w:line="170" w:lineRule="exact"/>
        <w:rPr>
          <w:sz w:val="20"/>
          <w:szCs w:val="20"/>
          <w:color w:val="auto"/>
        </w:rPr>
      </w:pPr>
    </w:p>
    <w:p>
      <w:pPr>
        <w:ind w:right="100" w:firstLine="989"/>
        <w:spacing w:after="0" w:line="263"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that on the Closing Date (as defined below), the Existing 364-Day Credit Agreement shall be amended and restated in its entirety as follows:</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SECTION 1. DEFINITIONS</w:t>
      </w:r>
    </w:p>
    <w:p>
      <w:pPr>
        <w:spacing w:after="0" w:line="2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10-K</w:t>
      </w:r>
      <w:r>
        <w:rPr>
          <w:rFonts w:ascii="Arial" w:cs="Arial" w:eastAsia="Arial" w:hAnsi="Arial"/>
          <w:sz w:val="18"/>
          <w:szCs w:val="18"/>
          <w:color w:val="auto"/>
        </w:rPr>
        <w:t>” has the meaning assigned to such term in Section 4.1.</w:t>
      </w:r>
    </w:p>
    <w:p>
      <w:pPr>
        <w:spacing w:after="0" w:line="224" w:lineRule="exact"/>
        <w:rPr>
          <w:sz w:val="20"/>
          <w:szCs w:val="20"/>
          <w:color w:val="auto"/>
        </w:rPr>
      </w:pPr>
    </w:p>
    <w:p>
      <w:pPr>
        <w:ind w:firstLine="98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3-Year Revolving Credit Agreement</w:t>
      </w:r>
      <w:r>
        <w:rPr>
          <w:rFonts w:ascii="Arial" w:cs="Arial" w:eastAsia="Arial" w:hAnsi="Arial"/>
          <w:sz w:val="17"/>
          <w:szCs w:val="17"/>
          <w:color w:val="auto"/>
        </w:rPr>
        <w:t>” means (i) that certain Three Year Revolving Credit Agreement, dated as of January 14, 2019, among the Company, the lenders from time to time party thereto, JPMorgan Chase Bank, N.A. as administrative agent and Citibank N.A. as syndication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2019 3-Year Revolving Credit Agreement referred to in clause (i) above or any other agreement or instrument referred to in this clause (ii) unless the Company notifies the Administrative Agent that it is not intended to be a “2019 3-Year Revolving Credit Agreement” hereunder. All references to the “2019 3-Year Revolving Credit Agreement” in this Agreement shall refer to any 2019 3-Year Revolving Credit Agreement then extant.</w:t>
      </w:r>
    </w:p>
    <w:p>
      <w:pPr>
        <w:spacing w:after="0" w:line="179"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2019 3-Year Total Available Commitments</w:t>
      </w:r>
      <w:r>
        <w:rPr>
          <w:rFonts w:ascii="Arial" w:cs="Arial" w:eastAsia="Arial" w:hAnsi="Arial"/>
          <w:sz w:val="18"/>
          <w:szCs w:val="18"/>
          <w:color w:val="auto"/>
        </w:rPr>
        <w:t>” means the “Total Available Commitments” (or equivalent term) under, and as defined in, the 2019 3-Year Revolving Credit Agreement.</w:t>
      </w:r>
    </w:p>
    <w:p>
      <w:pPr>
        <w:spacing w:after="0" w:line="170" w:lineRule="exact"/>
        <w:rPr>
          <w:sz w:val="20"/>
          <w:szCs w:val="20"/>
          <w:color w:val="auto"/>
        </w:rPr>
      </w:pPr>
    </w:p>
    <w:p>
      <w:pPr>
        <w:jc w:val="both"/>
        <w:ind w:right="3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Revolving Credit Agreement</w:t>
      </w:r>
      <w:r>
        <w:rPr>
          <w:rFonts w:ascii="Arial" w:cs="Arial" w:eastAsia="Arial" w:hAnsi="Arial"/>
          <w:sz w:val="18"/>
          <w:szCs w:val="18"/>
          <w:color w:val="auto"/>
        </w:rPr>
        <w:t>” means (i) that certain Fourth Amended and Restated Three Year Revolving Credit Agreement, dated as of the date hereof, among the Company, GMF, certain other subsidiaries of the Company from time to time party thereto as borrowers, the lenders from time to</w:t>
      </w:r>
    </w:p>
    <w:p>
      <w:pPr>
        <w:sectPr>
          <w:pgSz w:w="11900" w:h="16838" w:orient="portrait"/>
          <w:cols w:equalWidth="0" w:num="1">
            <w:col w:w="10920"/>
          </w:cols>
          <w:pgMar w:left="440" w:top="274" w:right="539" w:bottom="1440" w:gutter="0" w:footer="0" w:header="0"/>
        </w:sectPr>
      </w:pPr>
    </w:p>
    <w:bookmarkStart w:id="246" w:name="page247"/>
    <w:bookmarkEnd w:id="24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Fourth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80" w:lineRule="exact"/>
        <w:rPr>
          <w:sz w:val="20"/>
          <w:szCs w:val="20"/>
          <w:color w:val="auto"/>
        </w:rPr>
      </w:pPr>
    </w:p>
    <w:p>
      <w:pPr>
        <w:ind w:right="3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jc w:val="both"/>
        <w:ind w:right="60" w:firstLine="98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Commitments</w:t>
      </w:r>
      <w:r>
        <w:rPr>
          <w:rFonts w:ascii="Arial" w:cs="Arial" w:eastAsia="Arial" w:hAnsi="Arial"/>
          <w:sz w:val="16"/>
          <w:szCs w:val="16"/>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47"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Extensions of Credit</w:t>
      </w:r>
      <w:r>
        <w:rPr>
          <w:rFonts w:ascii="Arial" w:cs="Arial" w:eastAsia="Arial" w:hAnsi="Arial"/>
          <w:sz w:val="18"/>
          <w:szCs w:val="18"/>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87" w:lineRule="exact"/>
        <w:rPr>
          <w:sz w:val="20"/>
          <w:szCs w:val="20"/>
          <w:color w:val="auto"/>
        </w:rPr>
      </w:pPr>
    </w:p>
    <w:p>
      <w:pPr>
        <w:ind w:right="20" w:firstLine="9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Revolving Credit Agreement</w:t>
      </w:r>
      <w:r>
        <w:rPr>
          <w:rFonts w:ascii="Arial" w:cs="Arial" w:eastAsia="Arial" w:hAnsi="Arial"/>
          <w:sz w:val="17"/>
          <w:szCs w:val="17"/>
          <w:color w:val="auto"/>
        </w:rPr>
        <w:t>” means (i) that certain Third Amended and Restated Five Year Revolving Credit Agreement, dated as of April 18, 2018, among the Company, GMF, GMB certain other subsidiaries of the Company from time to time party thereto as borrowers, the lenders from time to time party thereto and JPMorgan Chase Bank, N.A. as administrative agent, as amended by Amendment No. 1 to 5-Year Revolving Credit Agreement, dated as of the date hereof and as the same may be further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85" w:lineRule="exact"/>
        <w:rPr>
          <w:sz w:val="20"/>
          <w:szCs w:val="20"/>
          <w:color w:val="auto"/>
        </w:rPr>
      </w:pPr>
    </w:p>
    <w:p>
      <w:pPr>
        <w:ind w:right="2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3" w:right="479" w:bottom="1440" w:gutter="0" w:footer="0" w:header="0"/>
        </w:sectPr>
      </w:pPr>
    </w:p>
    <w:bookmarkStart w:id="247" w:name="page248"/>
    <w:bookmarkEnd w:id="247"/>
    <w:p>
      <w:pPr>
        <w:jc w:val="both"/>
        <w:ind w:right="60" w:firstLine="98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47"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Extensions of Credit</w:t>
      </w:r>
      <w:r>
        <w:rPr>
          <w:rFonts w:ascii="Arial" w:cs="Arial" w:eastAsia="Arial" w:hAnsi="Arial"/>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7" w:lineRule="exact"/>
        <w:rPr>
          <w:sz w:val="20"/>
          <w:szCs w:val="20"/>
          <w:color w:val="auto"/>
        </w:rPr>
      </w:pPr>
    </w:p>
    <w:p>
      <w:pPr>
        <w:ind w:firstLine="989"/>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1.00% and (c) the Eurocurrency Rate, calculated as of such date (or if such day is not a Business Day, the immediately preceding Business Day) in respect of a proposed Eurocurrency Loan denominated in Dollars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purpose of this definition, the Eurocurrency Rate for any day shall be based on the LIBO Screen Rate (or if the LIBO Screen Rate is not available for such one month Interest Period, the LIBO Interpolated Rate) at approximately 11:00 a.m. London time on such day.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it in Section 10.8.</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4"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7" w:lineRule="exact"/>
        <w:rPr>
          <w:sz w:val="20"/>
          <w:szCs w:val="20"/>
          <w:color w:val="auto"/>
        </w:rPr>
      </w:pPr>
    </w:p>
    <w:p>
      <w:pPr>
        <w:ind w:right="6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for any day, with respect to any ABR Loan or Eurocurrency Loan, as the case may be, the applicable rate per annum set forth under the relevant column heading in the Applicable Pricing Grid, based upon the Applicable Rating in effect on such day.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3" w:right="479" w:bottom="1440" w:gutter="0" w:footer="0" w:header="0"/>
        </w:sectPr>
      </w:pPr>
    </w:p>
    <w:bookmarkStart w:id="248" w:name="page249"/>
    <w:bookmarkEnd w:id="248"/>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224" w:lineRule="exact"/>
        <w:rPr>
          <w:sz w:val="20"/>
          <w:szCs w:val="20"/>
          <w:color w:val="auto"/>
        </w:rPr>
      </w:pPr>
    </w:p>
    <w:p>
      <w:pPr>
        <w:ind w:right="14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Rating</w:t>
      </w:r>
      <w:r>
        <w:rPr>
          <w:rFonts w:ascii="Arial" w:cs="Arial" w:eastAsia="Arial" w:hAnsi="Arial"/>
          <w:sz w:val="17"/>
          <w:szCs w:val="17"/>
          <w:color w:val="auto"/>
        </w:rPr>
        <w:t xml:space="preserve">” means the Index Debt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the Company has obtained or maintained a Facility Rating from at least two of Moody’s, S&amp;P or Fitch, the “Applicable Rating” shall be the Facility Rating in effect at any time of determination.</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4" w:lineRule="exact"/>
        <w:rPr>
          <w:sz w:val="20"/>
          <w:szCs w:val="20"/>
          <w:color w:val="auto"/>
        </w:rPr>
      </w:pPr>
    </w:p>
    <w:p>
      <w:pPr>
        <w:ind w:right="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4" w:lineRule="exact"/>
        <w:rPr>
          <w:sz w:val="20"/>
          <w:szCs w:val="20"/>
          <w:color w:val="auto"/>
        </w:rPr>
      </w:pPr>
    </w:p>
    <w:p>
      <w:pPr>
        <w:ind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xml:space="preserve">” means, on any date of determination with respect to any Lender, (a) such Lender’s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Extensions of Credit on such date.</w:t>
      </w:r>
    </w:p>
    <w:p>
      <w:pPr>
        <w:spacing w:after="0" w:line="170" w:lineRule="exact"/>
        <w:rPr>
          <w:sz w:val="20"/>
          <w:szCs w:val="20"/>
          <w:color w:val="auto"/>
        </w:rPr>
      </w:pPr>
    </w:p>
    <w:p>
      <w:pPr>
        <w:ind w:right="4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2.18.</w:t>
      </w:r>
    </w:p>
    <w:p>
      <w:pPr>
        <w:spacing w:after="0" w:line="187" w:lineRule="exact"/>
        <w:rPr>
          <w:sz w:val="20"/>
          <w:szCs w:val="20"/>
          <w:color w:val="auto"/>
        </w:rPr>
      </w:pPr>
    </w:p>
    <w:p>
      <w:pPr>
        <w:ind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80" w:firstLine="9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ind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49" w:name="page250"/>
    <w:bookmarkEnd w:id="249"/>
    <w:p>
      <w:pPr>
        <w:ind w:right="60" w:firstLine="989"/>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Eurocurrency Base Rate; provided that if a Benchmark Transition Event, a Term SOFR Transition Event or an Early Opt-in Election, as applicable, and its related Benchmark Replacement Date have occurred with respect to Eurocurrency Base Rate or the then-current Benchmark, then “Benchmark” means the applicable Benchmark Replacement to the extent that such Benchmark Replacement has replaced such prior benchmark rate pursuant to clause (b) or clause (c) of Section 2.18.</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means, for any Available Tenor, the first alternative set forth in the order below that can be determined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210" w:lineRule="exact"/>
        <w:rPr>
          <w:sz w:val="20"/>
          <w:szCs w:val="20"/>
          <w:color w:val="auto"/>
        </w:rPr>
      </w:pPr>
    </w:p>
    <w:p>
      <w:pPr>
        <w:ind w:left="1260" w:hanging="262"/>
        <w:spacing w:after="0"/>
        <w:tabs>
          <w:tab w:leader="none" w:pos="1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224" w:lineRule="exact"/>
        <w:rPr>
          <w:rFonts w:ascii="Arial" w:cs="Arial" w:eastAsia="Arial" w:hAnsi="Arial"/>
          <w:sz w:val="18"/>
          <w:szCs w:val="18"/>
          <w:color w:val="auto"/>
        </w:rPr>
      </w:pPr>
    </w:p>
    <w:p>
      <w:pPr>
        <w:ind w:left="1260" w:hanging="262"/>
        <w:spacing w:after="0"/>
        <w:tabs>
          <w:tab w:leader="none" w:pos="1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223" w:lineRule="exact"/>
        <w:rPr>
          <w:rFonts w:ascii="Arial" w:cs="Arial" w:eastAsia="Arial" w:hAnsi="Arial"/>
          <w:sz w:val="18"/>
          <w:szCs w:val="18"/>
          <w:color w:val="auto"/>
        </w:rPr>
      </w:pPr>
    </w:p>
    <w:p>
      <w:pPr>
        <w:ind w:right="20" w:firstLine="998"/>
        <w:spacing w:after="0" w:line="256" w:lineRule="auto"/>
        <w:tabs>
          <w:tab w:leader="none" w:pos="124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89" w:lineRule="exact"/>
        <w:rPr>
          <w:sz w:val="20"/>
          <w:szCs w:val="20"/>
          <w:color w:val="auto"/>
        </w:rPr>
      </w:pPr>
    </w:p>
    <w:p>
      <w:pPr>
        <w:ind w:firstLine="989"/>
        <w:spacing w:after="0" w:line="296" w:lineRule="auto"/>
        <w:rPr>
          <w:sz w:val="20"/>
          <w:szCs w:val="20"/>
          <w:color w:val="auto"/>
        </w:rPr>
      </w:pP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58" w:lineRule="exact"/>
        <w:rPr>
          <w:sz w:val="20"/>
          <w:szCs w:val="20"/>
          <w:color w:val="auto"/>
        </w:rPr>
      </w:pPr>
    </w:p>
    <w:p>
      <w:pPr>
        <w:ind w:right="660" w:firstLine="989"/>
        <w:spacing w:after="0" w:line="276"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right="58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24" w:lineRule="exact"/>
        <w:rPr>
          <w:sz w:val="20"/>
          <w:szCs w:val="20"/>
          <w:color w:val="auto"/>
        </w:rPr>
      </w:pPr>
    </w:p>
    <w:p>
      <w:pPr>
        <w:ind w:right="120" w:firstLine="998"/>
        <w:spacing w:after="0" w:line="276" w:lineRule="auto"/>
        <w:tabs>
          <w:tab w:leader="none" w:pos="124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170" w:lineRule="exact"/>
        <w:rPr>
          <w:sz w:val="20"/>
          <w:szCs w:val="20"/>
          <w:color w:val="auto"/>
        </w:rPr>
      </w:pPr>
    </w:p>
    <w:p>
      <w:pPr>
        <w:jc w:val="both"/>
        <w:ind w:right="60" w:firstLine="998"/>
        <w:spacing w:after="0" w:line="258" w:lineRule="auto"/>
        <w:tabs>
          <w:tab w:leader="none" w:pos="123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50" w:name="page251"/>
    <w:bookmarkEnd w:id="250"/>
    <w:p>
      <w:pPr>
        <w:jc w:val="both"/>
        <w:ind w:right="180" w:firstLine="998"/>
        <w:spacing w:after="0" w:line="263" w:lineRule="auto"/>
        <w:tabs>
          <w:tab w:leader="none" w:pos="1243"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2" w:lineRule="exact"/>
        <w:rPr>
          <w:sz w:val="20"/>
          <w:szCs w:val="20"/>
          <w:color w:val="auto"/>
        </w:rPr>
      </w:pPr>
    </w:p>
    <w:p>
      <w:pPr>
        <w:ind w:right="20" w:firstLine="998"/>
        <w:spacing w:after="0" w:line="271" w:lineRule="auto"/>
        <w:tabs>
          <w:tab w:leader="none" w:pos="124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79" w:lineRule="exact"/>
        <w:rPr>
          <w:sz w:val="20"/>
          <w:szCs w:val="20"/>
          <w:color w:val="auto"/>
        </w:rPr>
      </w:pPr>
    </w:p>
    <w:p>
      <w:pPr>
        <w:ind w:right="300" w:firstLine="989"/>
        <w:spacing w:after="0" w:line="30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48" w:lineRule="exact"/>
        <w:rPr>
          <w:sz w:val="20"/>
          <w:szCs w:val="20"/>
          <w:color w:val="auto"/>
        </w:rPr>
      </w:pPr>
    </w:p>
    <w:p>
      <w:pPr>
        <w:ind w:firstLine="98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means the earliest to occur of the following events with respect to the then-current Benchmark:</w:t>
      </w:r>
    </w:p>
    <w:p>
      <w:pPr>
        <w:spacing w:after="0" w:line="236" w:lineRule="exact"/>
        <w:rPr>
          <w:sz w:val="20"/>
          <w:szCs w:val="20"/>
          <w:color w:val="auto"/>
        </w:rPr>
      </w:pPr>
    </w:p>
    <w:p>
      <w:pPr>
        <w:ind w:right="220" w:firstLine="998"/>
        <w:spacing w:after="0" w:line="311" w:lineRule="auto"/>
        <w:tabs>
          <w:tab w:leader="none" w:pos="124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46" w:lineRule="exact"/>
        <w:rPr>
          <w:rFonts w:ascii="Arial" w:cs="Arial" w:eastAsia="Arial" w:hAnsi="Arial"/>
          <w:sz w:val="16"/>
          <w:szCs w:val="16"/>
          <w:color w:val="auto"/>
        </w:rPr>
      </w:pPr>
    </w:p>
    <w:p>
      <w:pPr>
        <w:ind w:right="780" w:firstLine="998"/>
        <w:spacing w:after="0" w:line="276" w:lineRule="auto"/>
        <w:tabs>
          <w:tab w:leader="none" w:pos="124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70" w:lineRule="exact"/>
        <w:rPr>
          <w:rFonts w:ascii="Arial" w:cs="Arial" w:eastAsia="Arial" w:hAnsi="Arial"/>
          <w:sz w:val="18"/>
          <w:szCs w:val="18"/>
          <w:color w:val="auto"/>
        </w:rPr>
      </w:pPr>
    </w:p>
    <w:p>
      <w:pPr>
        <w:ind w:right="380" w:firstLine="998"/>
        <w:spacing w:after="0" w:line="276" w:lineRule="auto"/>
        <w:tabs>
          <w:tab w:leader="none" w:pos="124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2.18(c);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51" w:name="page252"/>
    <w:bookmarkEnd w:id="251"/>
    <w:p>
      <w:pPr>
        <w:ind w:right="180" w:firstLine="998"/>
        <w:spacing w:after="0" w:line="258" w:lineRule="auto"/>
        <w:tabs>
          <w:tab w:leader="none" w:pos="1243"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40" w:firstLine="989"/>
        <w:spacing w:after="0" w:line="256"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the occurrence of one or more of the following events with respect to the then-current Benchmark:</w:t>
      </w:r>
    </w:p>
    <w:p>
      <w:pPr>
        <w:spacing w:after="0" w:line="247" w:lineRule="exact"/>
        <w:rPr>
          <w:sz w:val="20"/>
          <w:szCs w:val="20"/>
          <w:color w:val="auto"/>
        </w:rPr>
      </w:pPr>
    </w:p>
    <w:p>
      <w:pPr>
        <w:ind w:right="80" w:firstLine="998"/>
        <w:spacing w:after="0" w:line="258" w:lineRule="auto"/>
        <w:tabs>
          <w:tab w:leader="none" w:pos="124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18"/>
          <w:szCs w:val="18"/>
          <w:color w:val="auto"/>
        </w:rPr>
      </w:pPr>
    </w:p>
    <w:p>
      <w:pPr>
        <w:ind w:firstLine="998"/>
        <w:spacing w:after="0" w:line="271" w:lineRule="auto"/>
        <w:tabs>
          <w:tab w:leader="none" w:pos="124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8" w:lineRule="exact"/>
        <w:rPr>
          <w:rFonts w:ascii="Arial" w:cs="Arial" w:eastAsia="Arial" w:hAnsi="Arial"/>
          <w:sz w:val="17"/>
          <w:szCs w:val="17"/>
          <w:color w:val="auto"/>
        </w:rPr>
      </w:pPr>
    </w:p>
    <w:p>
      <w:pPr>
        <w:ind w:firstLine="998"/>
        <w:spacing w:after="0" w:line="263" w:lineRule="auto"/>
        <w:tabs>
          <w:tab w:leader="none" w:pos="124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2" w:lineRule="exact"/>
        <w:rPr>
          <w:sz w:val="20"/>
          <w:szCs w:val="20"/>
          <w:color w:val="auto"/>
        </w:rPr>
      </w:pPr>
    </w:p>
    <w:p>
      <w:pPr>
        <w:ind w:right="180" w:firstLine="989"/>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2" w:lineRule="exact"/>
        <w:rPr>
          <w:sz w:val="20"/>
          <w:szCs w:val="20"/>
          <w:color w:val="auto"/>
        </w:rPr>
      </w:pPr>
    </w:p>
    <w:p>
      <w:pPr>
        <w:ind w:right="140" w:firstLine="98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2.18 and (y) ending at the time that a Benchmark Replacement has replaced the then-current Benchmark for all purposes hereunder and under any Loan Document in accordance with Section 2.18.</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52" w:name="page253"/>
    <w:bookmarkEnd w:id="252"/>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§1010.230.</w:t>
      </w:r>
    </w:p>
    <w:p>
      <w:pPr>
        <w:spacing w:after="0" w:line="224" w:lineRule="exact"/>
        <w:rPr>
          <w:sz w:val="20"/>
          <w:szCs w:val="20"/>
          <w:color w:val="auto"/>
        </w:rPr>
      </w:pPr>
    </w:p>
    <w:p>
      <w:pPr>
        <w:ind w:right="4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4" w:lineRule="exact"/>
        <w:rPr>
          <w:sz w:val="20"/>
          <w:szCs w:val="20"/>
          <w:color w:val="auto"/>
        </w:rPr>
      </w:pPr>
    </w:p>
    <w:p>
      <w:pPr>
        <w:ind w:right="14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GMF or any other Subsidiary Borrower designated from time to time by the Company until (in the case of any Subsidiary Borrower) such time as such Subsidiary Borrower is removed as a party hereto pursuant to Section 10.1(d).</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4" w:lineRule="exact"/>
        <w:rPr>
          <w:sz w:val="20"/>
          <w:szCs w:val="20"/>
          <w:color w:val="auto"/>
        </w:rPr>
      </w:pPr>
    </w:p>
    <w:p>
      <w:pPr>
        <w:ind w:right="3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Loan in substantially the form of Exhibit L.</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224" w:lineRule="exact"/>
        <w:rPr>
          <w:sz w:val="20"/>
          <w:szCs w:val="20"/>
          <w:color w:val="auto"/>
        </w:rPr>
      </w:pPr>
    </w:p>
    <w:p>
      <w:pPr>
        <w:jc w:val="both"/>
        <w:ind w:right="4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82" w:lineRule="exact"/>
        <w:rPr>
          <w:sz w:val="20"/>
          <w:szCs w:val="20"/>
          <w:color w:val="auto"/>
        </w:rPr>
      </w:pPr>
    </w:p>
    <w:p>
      <w:pPr>
        <w:ind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banks in New York City are permitted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a Eurocurrency Loan, the term “Business Day” shall also exclude any day on which banks are not open for dealings in Dollar deposits in the London interbank market.</w:t>
      </w:r>
    </w:p>
    <w:p>
      <w:pPr>
        <w:spacing w:after="0" w:line="182" w:lineRule="exact"/>
        <w:rPr>
          <w:sz w:val="20"/>
          <w:szCs w:val="20"/>
          <w:color w:val="auto"/>
        </w:rPr>
      </w:pPr>
    </w:p>
    <w:p>
      <w:pPr>
        <w:ind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2" w:lineRule="exact"/>
        <w:rPr>
          <w:sz w:val="20"/>
          <w:szCs w:val="20"/>
          <w:color w:val="auto"/>
        </w:rPr>
      </w:pPr>
    </w:p>
    <w:p>
      <w:pPr>
        <w:ind w:right="1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253" w:name="page254"/>
    <w:bookmarkEnd w:id="253"/>
    <w:p>
      <w:pPr>
        <w:ind w:firstLine="989"/>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2.21(a).</w:t>
      </w:r>
    </w:p>
    <w:p>
      <w:pPr>
        <w:spacing w:after="0" w:line="224" w:lineRule="exact"/>
        <w:rPr>
          <w:sz w:val="20"/>
          <w:szCs w:val="20"/>
          <w:color w:val="auto"/>
        </w:rPr>
      </w:pPr>
    </w:p>
    <w:p>
      <w:pPr>
        <w:ind w:right="40" w:firstLine="98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54" w:lineRule="exact"/>
        <w:rPr>
          <w:sz w:val="20"/>
          <w:szCs w:val="20"/>
          <w:color w:val="auto"/>
        </w:rPr>
      </w:pPr>
    </w:p>
    <w:p>
      <w:pPr>
        <w:ind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April 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4" w:lineRule="exact"/>
        <w:rPr>
          <w:sz w:val="20"/>
          <w:szCs w:val="20"/>
          <w:color w:val="auto"/>
        </w:rPr>
      </w:pPr>
    </w:p>
    <w:p>
      <w:pPr>
        <w:ind w:right="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 including pursuant to any Commitment Increase permitted pursuant to Section 2.27(a) hereof.</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4" w:lineRule="exact"/>
        <w:rPr>
          <w:sz w:val="20"/>
          <w:szCs w:val="20"/>
          <w:color w:val="auto"/>
        </w:rPr>
      </w:pPr>
    </w:p>
    <w:p>
      <w:pPr>
        <w:ind w:right="3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70" w:lineRule="exact"/>
        <w:rPr>
          <w:sz w:val="20"/>
          <w:szCs w:val="20"/>
          <w:color w:val="auto"/>
        </w:rPr>
      </w:pPr>
    </w:p>
    <w:p>
      <w:pPr>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3" w:right="479" w:bottom="1440" w:gutter="0" w:footer="0" w:header="0"/>
        </w:sectPr>
      </w:pPr>
    </w:p>
    <w:bookmarkStart w:id="254" w:name="page255"/>
    <w:bookmarkEnd w:id="254"/>
    <w:p>
      <w:pPr>
        <w:ind w:right="240" w:firstLine="98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2.9.</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2.9, substantially in the form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210" w:lineRule="exact"/>
        <w:rPr>
          <w:sz w:val="20"/>
          <w:szCs w:val="20"/>
          <w:color w:val="auto"/>
        </w:rPr>
      </w:pPr>
    </w:p>
    <w:p>
      <w:pPr>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2.9, substantially in the form of Exhibit B.</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2.9.</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4" w:lineRule="exact"/>
        <w:rPr>
          <w:sz w:val="20"/>
          <w:szCs w:val="20"/>
          <w:color w:val="auto"/>
        </w:rPr>
      </w:pPr>
    </w:p>
    <w:p>
      <w:pPr>
        <w:ind w:right="80" w:firstLine="9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xml:space="preserve">” means, as of any date of determination, the sum of (a) the 3-Year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2019 3-Year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total available commitments (after giving effect to any applicable borrowing base limitations) under other then-effective committed credit facilities of the Company or any Domestic Subsidiary, but excluding any warehouse facility of GMF </w:t>
      </w:r>
      <w:r>
        <w:rPr>
          <w:rFonts w:ascii="Arial" w:cs="Arial" w:eastAsia="Arial" w:hAnsi="Arial"/>
          <w:sz w:val="16"/>
          <w:szCs w:val="16"/>
          <w:u w:val="single" w:color="auto"/>
          <w:color w:val="auto"/>
        </w:rPr>
        <w:t>plus</w:t>
      </w:r>
    </w:p>
    <w:p>
      <w:pPr>
        <w:spacing w:after="0" w:line="3" w:lineRule="exact"/>
        <w:rPr>
          <w:sz w:val="20"/>
          <w:szCs w:val="20"/>
          <w:color w:val="auto"/>
        </w:rPr>
      </w:pPr>
    </w:p>
    <w:p>
      <w:pPr>
        <w:ind w:right="60" w:firstLine="9"/>
        <w:spacing w:after="0" w:line="253" w:lineRule="auto"/>
        <w:tabs>
          <w:tab w:leader="none" w:pos="22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0" w:lineRule="exact"/>
        <w:rPr>
          <w:sz w:val="20"/>
          <w:szCs w:val="20"/>
          <w:color w:val="auto"/>
        </w:rPr>
      </w:pPr>
    </w:p>
    <w:p>
      <w:pPr>
        <w:ind w:firstLine="9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3-Year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2019 3-Year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total available commitments (after giving effect to any applicable borrowing base limitations) under other then-effective committed credit facilities of the Company or any of its Subsidiaries, but excluding any warehouse facility of GMF </w:t>
      </w:r>
      <w:r>
        <w:rPr>
          <w:rFonts w:ascii="Arial" w:cs="Arial" w:eastAsia="Arial" w:hAnsi="Arial"/>
          <w:sz w:val="16"/>
          <w:szCs w:val="16"/>
          <w:u w:val="single" w:color="auto"/>
          <w:color w:val="auto"/>
        </w:rPr>
        <w:t>plus</w:t>
      </w:r>
    </w:p>
    <w:p>
      <w:pPr>
        <w:spacing w:after="0" w:line="3" w:lineRule="exact"/>
        <w:rPr>
          <w:sz w:val="20"/>
          <w:szCs w:val="20"/>
          <w:color w:val="auto"/>
        </w:rPr>
      </w:pPr>
    </w:p>
    <w:p>
      <w:pPr>
        <w:ind w:right="60" w:firstLine="9"/>
        <w:spacing w:after="0" w:line="254" w:lineRule="auto"/>
        <w:tabs>
          <w:tab w:leader="none" w:pos="2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55" w:name="page256"/>
    <w:bookmarkEnd w:id="255"/>
    <w:p>
      <w:pPr>
        <w:jc w:val="both"/>
        <w:ind w:right="20" w:firstLine="98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47" w:lineRule="exact"/>
        <w:rPr>
          <w:sz w:val="20"/>
          <w:szCs w:val="20"/>
          <w:color w:val="auto"/>
        </w:rPr>
      </w:pPr>
    </w:p>
    <w:p>
      <w:pPr>
        <w:jc w:val="both"/>
        <w:ind w:right="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82" w:lineRule="exact"/>
        <w:rPr>
          <w:sz w:val="20"/>
          <w:szCs w:val="20"/>
          <w:color w:val="auto"/>
        </w:rPr>
      </w:pPr>
    </w:p>
    <w:p>
      <w:pPr>
        <w:ind w:right="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58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30" w:lineRule="exact"/>
        <w:rPr>
          <w:sz w:val="20"/>
          <w:szCs w:val="20"/>
          <w:color w:val="auto"/>
        </w:rPr>
      </w:pPr>
    </w:p>
    <w:p>
      <w:pPr>
        <w:ind w:left="980" w:hanging="540"/>
        <w:spacing w:after="0"/>
        <w:tabs>
          <w:tab w:leader="none" w:pos="9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29" w:lineRule="exact"/>
        <w:rPr>
          <w:rFonts w:ascii="Arial" w:cs="Arial" w:eastAsia="Arial" w:hAnsi="Arial"/>
          <w:sz w:val="18"/>
          <w:szCs w:val="18"/>
          <w:color w:val="auto"/>
        </w:rPr>
      </w:pPr>
    </w:p>
    <w:p>
      <w:pPr>
        <w:ind w:left="980" w:hanging="540"/>
        <w:spacing w:after="0"/>
        <w:tabs>
          <w:tab w:leader="none" w:pos="9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29" w:lineRule="exact"/>
        <w:rPr>
          <w:rFonts w:ascii="Arial" w:cs="Arial" w:eastAsia="Arial" w:hAnsi="Arial"/>
          <w:sz w:val="18"/>
          <w:szCs w:val="18"/>
          <w:color w:val="auto"/>
        </w:rPr>
      </w:pPr>
    </w:p>
    <w:p>
      <w:pPr>
        <w:ind w:left="1000" w:right="2840" w:hanging="560"/>
        <w:spacing w:after="0" w:line="499" w:lineRule="auto"/>
        <w:tabs>
          <w:tab w:leader="none" w:pos="98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Loan</w:t>
      </w:r>
      <w:r>
        <w:rPr>
          <w:rFonts w:ascii="Arial" w:cs="Arial" w:eastAsia="Arial" w:hAnsi="Arial"/>
          <w:sz w:val="18"/>
          <w:szCs w:val="18"/>
          <w:color w:val="auto"/>
        </w:rPr>
        <w:t>” has the meaning assigned to such term in Section 2.28(a).</w:t>
      </w:r>
    </w:p>
    <w:p>
      <w:pPr>
        <w:spacing w:after="0" w:line="2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Loan Maturity Date</w:t>
      </w:r>
      <w:r>
        <w:rPr>
          <w:rFonts w:ascii="Arial" w:cs="Arial" w:eastAsia="Arial" w:hAnsi="Arial"/>
          <w:sz w:val="18"/>
          <w:szCs w:val="18"/>
          <w:color w:val="auto"/>
        </w:rPr>
        <w:t>” means April 6, 2023, which date is the first anniversary of the Termination Date.</w:t>
      </w:r>
    </w:p>
    <w:p>
      <w:pPr>
        <w:spacing w:after="0" w:line="224" w:lineRule="exact"/>
        <w:rPr>
          <w:sz w:val="20"/>
          <w:szCs w:val="20"/>
          <w:color w:val="auto"/>
        </w:rPr>
      </w:pPr>
    </w:p>
    <w:p>
      <w:pPr>
        <w:ind w:right="120" w:firstLine="98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4" w:lineRule="exact"/>
        <w:rPr>
          <w:sz w:val="20"/>
          <w:szCs w:val="20"/>
          <w:color w:val="auto"/>
        </w:rPr>
      </w:pPr>
    </w:p>
    <w:p>
      <w:pPr>
        <w:ind w:right="5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3" w:right="479" w:bottom="1440" w:gutter="0" w:footer="0" w:header="0"/>
        </w:sectPr>
      </w:pPr>
    </w:p>
    <w:bookmarkStart w:id="256" w:name="page257"/>
    <w:bookmarkEnd w:id="256"/>
    <w:p>
      <w:pPr>
        <w:ind w:right="36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0" w:lineRule="exact"/>
        <w:rPr>
          <w:sz w:val="20"/>
          <w:szCs w:val="20"/>
          <w:color w:val="auto"/>
        </w:rPr>
      </w:pPr>
    </w:p>
    <w:p>
      <w:pPr>
        <w:ind w:firstLine="98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80" w:lineRule="exact"/>
        <w:rPr>
          <w:sz w:val="20"/>
          <w:szCs w:val="20"/>
          <w:color w:val="auto"/>
        </w:rPr>
      </w:pPr>
    </w:p>
    <w:p>
      <w:pPr>
        <w:ind w:right="8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82" w:lineRule="exact"/>
        <w:rPr>
          <w:sz w:val="20"/>
          <w:szCs w:val="20"/>
          <w:color w:val="auto"/>
        </w:rPr>
      </w:pPr>
    </w:p>
    <w:p>
      <w:pPr>
        <w:jc w:val="both"/>
        <w:ind w:right="18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w:t>
      </w:r>
    </w:p>
    <w:p>
      <w:pPr>
        <w:spacing w:after="0" w:line="34" w:lineRule="exact"/>
        <w:rPr>
          <w:sz w:val="20"/>
          <w:szCs w:val="20"/>
          <w:color w:val="auto"/>
        </w:rPr>
      </w:pPr>
    </w:p>
    <w:p>
      <w:pPr>
        <w:ind w:right="140" w:firstLine="9"/>
        <w:spacing w:after="0" w:line="291" w:lineRule="auto"/>
        <w:tabs>
          <w:tab w:leader="none" w:pos="25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4" w:lineRule="exact"/>
        <w:rPr>
          <w:sz w:val="20"/>
          <w:szCs w:val="20"/>
          <w:color w:val="auto"/>
        </w:rPr>
      </w:pPr>
    </w:p>
    <w:p>
      <w:pPr>
        <w:jc w:val="both"/>
        <w:ind w:right="42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257" w:name="page258"/>
    <w:bookmarkEnd w:id="257"/>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Eurocurrency Base Rate, the occurrence of:</w:t>
      </w:r>
    </w:p>
    <w:p>
      <w:pPr>
        <w:spacing w:after="0" w:line="130" w:lineRule="exact"/>
        <w:rPr>
          <w:sz w:val="20"/>
          <w:szCs w:val="20"/>
          <w:color w:val="auto"/>
        </w:rPr>
      </w:pPr>
    </w:p>
    <w:p>
      <w:pPr>
        <w:ind w:left="980" w:right="420" w:hanging="540"/>
        <w:spacing w:after="0" w:line="301" w:lineRule="auto"/>
        <w:tabs>
          <w:tab w:leader="none" w:pos="9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60" w:lineRule="exact"/>
        <w:rPr>
          <w:rFonts w:ascii="Arial" w:cs="Arial" w:eastAsia="Arial" w:hAnsi="Arial"/>
          <w:sz w:val="16"/>
          <w:szCs w:val="16"/>
          <w:color w:val="auto"/>
        </w:rPr>
      </w:pPr>
    </w:p>
    <w:p>
      <w:pPr>
        <w:ind w:left="980" w:hanging="540"/>
        <w:spacing w:after="0" w:line="276"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Eurocurrency Base Rate and the provision by the Administrative Agent of written notice of such election to the Lenders.</w:t>
      </w:r>
    </w:p>
    <w:p>
      <w:pPr>
        <w:spacing w:after="0" w:line="170"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4"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symbol or process attached to a contract or other record and adopted by a Person with the intent to sign, authenticate or accept such contract or record.</w:t>
      </w:r>
    </w:p>
    <w:p>
      <w:pPr>
        <w:spacing w:after="0" w:line="170"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4" w:lineRule="exact"/>
        <w:rPr>
          <w:sz w:val="20"/>
          <w:szCs w:val="20"/>
          <w:color w:val="auto"/>
        </w:rPr>
      </w:pPr>
    </w:p>
    <w:p>
      <w:pPr>
        <w:ind w:right="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2" w:lineRule="exact"/>
        <w:rPr>
          <w:sz w:val="20"/>
          <w:szCs w:val="20"/>
          <w:color w:val="auto"/>
        </w:rPr>
      </w:pPr>
    </w:p>
    <w:p>
      <w:pPr>
        <w:jc w:val="both"/>
        <w:ind w:right="48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Default</w:t>
      </w:r>
      <w:r>
        <w:rPr>
          <w:rFonts w:ascii="Arial" w:cs="Arial" w:eastAsia="Arial" w:hAnsi="Arial"/>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8" w:name="page259"/>
    <w:bookmarkEnd w:id="25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79" w:lineRule="exact"/>
        <w:rPr>
          <w:sz w:val="20"/>
          <w:szCs w:val="20"/>
          <w:color w:val="auto"/>
        </w:rPr>
      </w:pPr>
    </w:p>
    <w:p>
      <w:pPr>
        <w:ind w:right="6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4" w:lineRule="exact"/>
        <w:rPr>
          <w:sz w:val="20"/>
          <w:szCs w:val="20"/>
          <w:color w:val="auto"/>
        </w:rPr>
      </w:pPr>
    </w:p>
    <w:p>
      <w:pPr>
        <w:ind w:right="2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Base Rate</w:t>
      </w:r>
      <w:r>
        <w:rPr>
          <w:rFonts w:ascii="Arial" w:cs="Arial" w:eastAsia="Arial" w:hAnsi="Arial"/>
          <w:sz w:val="18"/>
          <w:szCs w:val="18"/>
          <w:color w:val="auto"/>
        </w:rPr>
        <w:t xml:space="preserve">” means, with respect to each day during each Interest Period pertaining to a Eurocurrency Loan, the LIBO Screen Rate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shall not be available at such time for such Interest Period (an “</w:t>
      </w:r>
      <w:r>
        <w:rPr>
          <w:rFonts w:ascii="Arial" w:cs="Arial" w:eastAsia="Arial" w:hAnsi="Arial"/>
          <w:sz w:val="18"/>
          <w:szCs w:val="18"/>
          <w:u w:val="single" w:color="auto"/>
          <w:color w:val="auto"/>
        </w:rPr>
        <w:t>Impacted LIBO Rate Interest Period</w:t>
      </w:r>
      <w:r>
        <w:rPr>
          <w:rFonts w:ascii="Arial" w:cs="Arial" w:eastAsia="Arial" w:hAnsi="Arial"/>
          <w:sz w:val="18"/>
          <w:szCs w:val="18"/>
          <w:color w:val="auto"/>
        </w:rPr>
        <w:t>”) with respect to Dollars, then the Eurocurrency Base Rate shall be the LIBO Interpolated Rate.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4" w:lineRule="exact"/>
        <w:rPr>
          <w:sz w:val="20"/>
          <w:szCs w:val="20"/>
          <w:color w:val="auto"/>
        </w:rPr>
      </w:pPr>
    </w:p>
    <w:p>
      <w:pPr>
        <w:ind w:right="3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(rounded upward, if necessary, to the nearest 1/16th of 1%) equal to (a) the Eurocurrency Base Rate for such Interest Period multiplied by (b) the Statutory Reserve Rate.</w:t>
      </w:r>
    </w:p>
    <w:p>
      <w:pPr>
        <w:spacing w:after="0" w:line="182" w:lineRule="exact"/>
        <w:rPr>
          <w:sz w:val="20"/>
          <w:szCs w:val="20"/>
          <w:color w:val="auto"/>
        </w:rPr>
      </w:pPr>
    </w:p>
    <w:p>
      <w:pPr>
        <w:ind w:right="20" w:firstLine="98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9" w:name="page260"/>
    <w:bookmarkEnd w:id="259"/>
    <w:p>
      <w:pPr>
        <w:ind w:right="180" w:firstLine="989"/>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the Facility,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72" w:lineRule="exact"/>
        <w:rPr>
          <w:sz w:val="20"/>
          <w:szCs w:val="20"/>
          <w:color w:val="auto"/>
        </w:rPr>
      </w:pPr>
    </w:p>
    <w:p>
      <w:pPr>
        <w:ind w:right="3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4" w:lineRule="exact"/>
        <w:rPr>
          <w:sz w:val="20"/>
          <w:szCs w:val="20"/>
          <w:color w:val="auto"/>
        </w:rPr>
      </w:pPr>
    </w:p>
    <w:p>
      <w:pPr>
        <w:ind w:right="20" w:firstLine="98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 (ii) Brazilian Reais, the exchange rate (</w:t>
      </w:r>
      <w:r>
        <w:rPr>
          <w:rFonts w:ascii="Arial" w:cs="Arial" w:eastAsia="Arial" w:hAnsi="Arial"/>
          <w:sz w:val="16"/>
          <w:szCs w:val="16"/>
          <w:i w:val="1"/>
          <w:iCs w:val="1"/>
          <w:color w:val="auto"/>
        </w:rPr>
        <w:t>taxa de</w:t>
      </w:r>
      <w:r>
        <w:rPr>
          <w:rFonts w:ascii="Arial" w:cs="Arial" w:eastAsia="Arial" w:hAnsi="Arial"/>
          <w:sz w:val="16"/>
          <w:szCs w:val="16"/>
          <w:color w:val="auto"/>
        </w:rPr>
        <w:t xml:space="preserve"> câmbio) at which such currency may be exchanged into Dollars disclosed by the Central Bank of Brazil on its website (which, at the date hereof, is located at http://www.bcb.gov.br/estabilidadefinanceira/historicocotacoes), under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São Paulo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 GM Holdings, (b) each of the Initial Excluded Subsidiaries, (c) each Subsidiary of the Company that</w:t>
      </w:r>
    </w:p>
    <w:p>
      <w:pPr>
        <w:spacing w:after="0" w:line="46" w:lineRule="exact"/>
        <w:rPr>
          <w:sz w:val="20"/>
          <w:szCs w:val="20"/>
          <w:color w:val="auto"/>
        </w:rPr>
      </w:pPr>
    </w:p>
    <w:p>
      <w:pPr>
        <w:ind w:right="20" w:firstLine="9"/>
        <w:spacing w:after="0" w:line="281" w:lineRule="auto"/>
        <w:tabs>
          <w:tab w:leader="none" w:pos="21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ind w:firstLine="9"/>
        <w:spacing w:after="0" w:line="272" w:lineRule="auto"/>
        <w:tabs>
          <w:tab w:leader="none" w:pos="25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each Foreign Subsidiary, (e) each Unconsolidated Subsidiary, (f) each Finance Subsidiary of the Company, (g) each Subsidiary that is a dealership and (h) each Subsidiary acquired or formed after the Closing Date primarily to operate an Excluded Subsidiary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3" w:right="519" w:bottom="1440" w:gutter="0" w:footer="0" w:header="0"/>
        </w:sectPr>
      </w:pPr>
    </w:p>
    <w:bookmarkStart w:id="260" w:name="page261"/>
    <w:bookmarkEnd w:id="260"/>
    <w:p>
      <w:pPr>
        <w:ind w:left="1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364-Day Credit Agreement”</w:t>
      </w:r>
      <w:r>
        <w:rPr>
          <w:rFonts w:ascii="Arial" w:cs="Arial" w:eastAsia="Arial" w:hAnsi="Arial"/>
          <w:sz w:val="18"/>
          <w:szCs w:val="18"/>
          <w:color w:val="auto"/>
        </w:rPr>
        <w:t xml:space="preserve"> has the meaning assigned to such term in the recitals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364-Day Credit Agreement.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364-Day Credit Agreement.</w:t>
      </w:r>
    </w:p>
    <w:p>
      <w:pPr>
        <w:spacing w:after="0" w:line="224" w:lineRule="exact"/>
        <w:rPr>
          <w:sz w:val="20"/>
          <w:szCs w:val="20"/>
          <w:color w:val="auto"/>
        </w:rPr>
      </w:pPr>
    </w:p>
    <w:p>
      <w:pPr>
        <w:jc w:val="both"/>
        <w:ind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Commitments and the extensions of credit made thereunder.</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224" w:lineRule="exact"/>
        <w:rPr>
          <w:sz w:val="20"/>
          <w:szCs w:val="20"/>
          <w:color w:val="auto"/>
        </w:rPr>
      </w:pPr>
    </w:p>
    <w:p>
      <w:pPr>
        <w:jc w:val="both"/>
        <w:ind w:right="12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Fee Rate</w:t>
      </w:r>
      <w:r>
        <w:rPr>
          <w:rFonts w:ascii="Arial" w:cs="Arial" w:eastAsia="Arial" w:hAnsi="Arial"/>
          <w:sz w:val="16"/>
          <w:szCs w:val="16"/>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Facility provided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0" w:lineRule="exact"/>
        <w:rPr>
          <w:sz w:val="20"/>
          <w:szCs w:val="20"/>
          <w:color w:val="auto"/>
        </w:rPr>
      </w:pPr>
    </w:p>
    <w:p>
      <w:pPr>
        <w:ind w:right="16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has the meaning assigned to such term in Section 1.5.</w:t>
      </w:r>
    </w:p>
    <w:p>
      <w:pPr>
        <w:spacing w:after="0" w:line="224" w:lineRule="exact"/>
        <w:rPr>
          <w:sz w:val="20"/>
          <w:szCs w:val="20"/>
          <w:color w:val="auto"/>
        </w:rPr>
      </w:pPr>
    </w:p>
    <w:p>
      <w:pPr>
        <w:ind w:right="18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federal funds effective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Federal Funds Effective Rate shall be less than zero, such rate shall be deemed to be zero for purposes of this Agreement.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Reserve Bank of New York’s Website</w:t>
      </w:r>
      <w:r>
        <w:rPr>
          <w:rFonts w:ascii="Arial" w:cs="Arial" w:eastAsia="Arial" w:hAnsi="Arial"/>
          <w:sz w:val="16"/>
          <w:szCs w:val="16"/>
          <w:color w:val="auto"/>
        </w:rPr>
        <w:t>” means the website of the NYFRB at http://www.newyorkfed.org, or any successor source.</w:t>
      </w:r>
    </w:p>
    <w:p>
      <w:pPr>
        <w:spacing w:after="0" w:line="247" w:lineRule="exact"/>
        <w:rPr>
          <w:sz w:val="20"/>
          <w:szCs w:val="20"/>
          <w:color w:val="auto"/>
        </w:rPr>
      </w:pPr>
    </w:p>
    <w:p>
      <w:pPr>
        <w:ind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jc w:val="both"/>
        <w:ind w:right="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3" w:right="499" w:bottom="1440" w:gutter="0" w:footer="0" w:header="0"/>
        </w:sectPr>
      </w:pPr>
    </w:p>
    <w:bookmarkStart w:id="261" w:name="page262"/>
    <w:bookmarkEnd w:id="261"/>
    <w:p>
      <w:pPr>
        <w:ind w:right="20" w:firstLine="989"/>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Finance Subsidiary</w:t>
      </w:r>
      <w:r>
        <w:rPr>
          <w:rFonts w:ascii="Arial" w:cs="Arial" w:eastAsia="Arial" w:hAnsi="Arial"/>
          <w:sz w:val="16"/>
          <w:szCs w:val="16"/>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 Global Treasury Centre Limited shall not be considered a Finance Subsidiary.</w:t>
      </w:r>
    </w:p>
    <w:p>
      <w:pPr>
        <w:spacing w:after="0" w:line="154" w:lineRule="exact"/>
        <w:rPr>
          <w:sz w:val="20"/>
          <w:szCs w:val="20"/>
          <w:color w:val="auto"/>
        </w:rPr>
      </w:pPr>
    </w:p>
    <w:p>
      <w:pPr>
        <w:ind w:right="1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4" w:lineRule="exact"/>
        <w:rPr>
          <w:sz w:val="20"/>
          <w:szCs w:val="20"/>
          <w:color w:val="auto"/>
        </w:rPr>
      </w:pPr>
    </w:p>
    <w:p>
      <w:pPr>
        <w:ind w:right="1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right="8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Eurocurrency Base Rate.</w:t>
      </w:r>
    </w:p>
    <w:p>
      <w:pPr>
        <w:spacing w:after="0" w:line="170" w:lineRule="exact"/>
        <w:rPr>
          <w:sz w:val="20"/>
          <w:szCs w:val="20"/>
          <w:color w:val="auto"/>
        </w:rPr>
      </w:pPr>
    </w:p>
    <w:p>
      <w:pPr>
        <w:jc w:val="both"/>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2" w:lineRule="exact"/>
        <w:rPr>
          <w:sz w:val="20"/>
          <w:szCs w:val="20"/>
          <w:color w:val="auto"/>
        </w:rPr>
      </w:pPr>
    </w:p>
    <w:p>
      <w:pPr>
        <w:jc w:val="both"/>
        <w:ind w:right="18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2" w:lineRule="exact"/>
        <w:rPr>
          <w:sz w:val="20"/>
          <w:szCs w:val="20"/>
          <w:color w:val="auto"/>
        </w:rPr>
      </w:pPr>
    </w:p>
    <w:p>
      <w:pPr>
        <w:jc w:val="both"/>
        <w:ind w:right="3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means General Motors do Brasil Ltda, a Brazilian limited liability company.</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right="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62" w:name="page263"/>
    <w:bookmarkEnd w:id="262"/>
    <w:p>
      <w:pPr>
        <w:ind w:right="4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Third Amended and Restated Guarantee Agreement to be executed and delivered by the Company, substantially in the form of Exhibit 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4" w:lineRule="exact"/>
        <w:rPr>
          <w:sz w:val="20"/>
          <w:szCs w:val="20"/>
          <w:color w:val="auto"/>
        </w:rPr>
      </w:pPr>
    </w:p>
    <w:p>
      <w:pPr>
        <w:ind w:firstLine="9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4" w:lineRule="exact"/>
        <w:rPr>
          <w:sz w:val="20"/>
          <w:szCs w:val="20"/>
          <w:color w:val="auto"/>
        </w:rPr>
      </w:pPr>
    </w:p>
    <w:p>
      <w:pPr>
        <w:ind w:right="40" w:firstLine="9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Reinstatement Date</w:t>
      </w:r>
      <w:r>
        <w:rPr>
          <w:rFonts w:ascii="Arial" w:cs="Arial" w:eastAsia="Arial" w:hAnsi="Arial"/>
          <w:sz w:val="18"/>
          <w:szCs w:val="18"/>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91" w:lineRule="exact"/>
        <w:rPr>
          <w:sz w:val="20"/>
          <w:szCs w:val="20"/>
          <w:color w:val="auto"/>
        </w:rPr>
      </w:pPr>
    </w:p>
    <w:p>
      <w:pPr>
        <w:ind w:right="80" w:firstLine="98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63" w:name="page264"/>
    <w:bookmarkEnd w:id="263"/>
    <w:p>
      <w:pPr>
        <w:ind w:right="140"/>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66" w:lineRule="exact"/>
        <w:rPr>
          <w:sz w:val="20"/>
          <w:szCs w:val="20"/>
          <w:color w:val="auto"/>
        </w:rPr>
      </w:pPr>
    </w:p>
    <w:p>
      <w:pPr>
        <w:ind w:right="14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24" w:lineRule="exact"/>
        <w:rPr>
          <w:sz w:val="20"/>
          <w:szCs w:val="20"/>
          <w:color w:val="auto"/>
        </w:rPr>
      </w:pPr>
    </w:p>
    <w:p>
      <w:pPr>
        <w:ind w:firstLine="98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70" w:lineRule="exact"/>
        <w:rPr>
          <w:sz w:val="20"/>
          <w:szCs w:val="20"/>
          <w:color w:val="auto"/>
        </w:rPr>
      </w:pPr>
    </w:p>
    <w:p>
      <w:pPr>
        <w:ind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w:t>
      </w:r>
    </w:p>
    <w:p>
      <w:pPr>
        <w:spacing w:after="0" w:line="187" w:lineRule="exact"/>
        <w:rPr>
          <w:sz w:val="20"/>
          <w:szCs w:val="20"/>
          <w:color w:val="auto"/>
        </w:rPr>
      </w:pPr>
    </w:p>
    <w:p>
      <w:pPr>
        <w:ind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Lender</w:t>
      </w:r>
      <w:r>
        <w:rPr>
          <w:rFonts w:ascii="Arial" w:cs="Arial" w:eastAsia="Arial" w:hAnsi="Arial"/>
          <w:sz w:val="17"/>
          <w:szCs w:val="17"/>
          <w:color w:val="auto"/>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an Incremental Commitment.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2.27(b)</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LIBO Rate Interest Period</w:t>
      </w:r>
      <w:r>
        <w:rPr>
          <w:rFonts w:ascii="Arial" w:cs="Arial" w:eastAsia="Arial" w:hAnsi="Arial"/>
          <w:sz w:val="18"/>
          <w:szCs w:val="18"/>
          <w:color w:val="auto"/>
        </w:rPr>
        <w:t>” has the meaning set forth in the definition of Eurocurrency Base Rate.</w:t>
      </w:r>
    </w:p>
    <w:p>
      <w:pPr>
        <w:spacing w:after="0" w:line="224" w:lineRule="exact"/>
        <w:rPr>
          <w:sz w:val="20"/>
          <w:szCs w:val="20"/>
          <w:color w:val="auto"/>
        </w:rPr>
      </w:pPr>
    </w:p>
    <w:p>
      <w:pPr>
        <w:jc w:val="both"/>
        <w:ind w:right="38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3" w:right="519" w:bottom="1440" w:gutter="0" w:footer="0" w:header="0"/>
        </w:sectPr>
      </w:pPr>
    </w:p>
    <w:bookmarkStart w:id="264" w:name="page265"/>
    <w:bookmarkEnd w:id="264"/>
    <w:p>
      <w:pPr>
        <w:jc w:val="both"/>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w:t>
      </w:r>
    </w:p>
    <w:p>
      <w:pPr>
        <w:spacing w:after="0" w:line="1" w:lineRule="exact"/>
        <w:rPr>
          <w:sz w:val="20"/>
          <w:szCs w:val="20"/>
          <w:color w:val="auto"/>
        </w:rPr>
      </w:pPr>
    </w:p>
    <w:p>
      <w:pPr>
        <w:ind w:right="120" w:firstLine="9"/>
        <w:spacing w:after="0" w:line="251" w:lineRule="auto"/>
        <w:tabs>
          <w:tab w:leader="none" w:pos="24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4" w:lineRule="exact"/>
        <w:rPr>
          <w:sz w:val="20"/>
          <w:szCs w:val="20"/>
          <w:color w:val="auto"/>
        </w:rPr>
      </w:pPr>
    </w:p>
    <w:p>
      <w:pPr>
        <w:ind w:right="4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right="4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79" w:lineRule="exact"/>
        <w:rPr>
          <w:sz w:val="20"/>
          <w:szCs w:val="20"/>
          <w:color w:val="auto"/>
        </w:rPr>
      </w:pPr>
    </w:p>
    <w:p>
      <w:pPr>
        <w:ind w:right="20" w:firstLine="9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Participant</w:t>
      </w:r>
      <w:r>
        <w:rPr>
          <w:rFonts w:ascii="Arial" w:cs="Arial" w:eastAsia="Arial" w:hAnsi="Arial"/>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4" w:lineRule="exact"/>
        <w:rPr>
          <w:sz w:val="20"/>
          <w:szCs w:val="20"/>
          <w:color w:val="auto"/>
        </w:rPr>
      </w:pPr>
    </w:p>
    <w:p>
      <w:pPr>
        <w:ind w:right="20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3" w:right="479" w:bottom="1440" w:gutter="0" w:footer="0" w:header="0"/>
        </w:sectPr>
      </w:pPr>
    </w:p>
    <w:bookmarkStart w:id="265" w:name="page266"/>
    <w:bookmarkEnd w:id="265"/>
    <w:p>
      <w:pPr>
        <w:ind w:right="120" w:firstLine="989"/>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 as to any Eurocurrency Loan (i) initially, the period commencing on the borrowing or conversion date, as the case may be, with respect to such Loan and ending one, three or six (or, if agreed to by all Lenders under the Facility, twelve) months (or additionally,</w:t>
      </w:r>
    </w:p>
    <w:p>
      <w:pPr>
        <w:spacing w:after="0" w:line="1" w:lineRule="exact"/>
        <w:rPr>
          <w:sz w:val="20"/>
          <w:szCs w:val="20"/>
          <w:color w:val="auto"/>
        </w:rPr>
      </w:pPr>
    </w:p>
    <w:p>
      <w:pPr>
        <w:ind w:right="80" w:firstLine="9"/>
        <w:spacing w:after="0" w:line="285" w:lineRule="auto"/>
        <w:tabs>
          <w:tab w:leader="none" w:pos="25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in the case of any Interest Period ending on or prior to December 31, 2021, one week or two months and (y) in the case of any Eurocurrency Competitive Loan, one, two or three weeks) thereafter (or any other period of less than six months agreed to by all Lenders under the Facility),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three or six (or, if agreed to by all Lenders under the Facility, twelve) months (or additionally, (x) in the case of any Interest Period ending on or prior to December 31, 2021, one week or two months and (y) in the case of any Eurocurrency Competitive Loan, one, two or three weeks) thereafter (or any other period of less than six months agreed to by all Lenders under the Facility),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provided, that all of the foregoing provisions relating to Interest Periods are subject to the following:</w:t>
      </w:r>
    </w:p>
    <w:p>
      <w:pPr>
        <w:spacing w:after="0" w:line="60" w:lineRule="exact"/>
        <w:rPr>
          <w:rFonts w:ascii="Arial" w:cs="Arial" w:eastAsia="Arial" w:hAnsi="Arial"/>
          <w:sz w:val="16"/>
          <w:szCs w:val="16"/>
          <w:color w:val="auto"/>
        </w:rPr>
      </w:pPr>
    </w:p>
    <w:p>
      <w:pPr>
        <w:ind w:left="1000" w:right="200" w:firstLine="398"/>
        <w:spacing w:after="0" w:line="311" w:lineRule="auto"/>
        <w:tabs>
          <w:tab w:leader="none" w:pos="1694" w:val="left"/>
        </w:tabs>
        <w:numPr>
          <w:ilvl w:val="1"/>
          <w:numId w:val="244"/>
        </w:numPr>
        <w:rPr>
          <w:rFonts w:ascii="Arial" w:cs="Arial" w:eastAsia="Arial" w:hAnsi="Arial"/>
          <w:sz w:val="16"/>
          <w:szCs w:val="16"/>
          <w:color w:val="auto"/>
        </w:rPr>
      </w:pPr>
      <w:r>
        <w:rPr>
          <w:rFonts w:ascii="Arial" w:cs="Arial" w:eastAsia="Arial" w:hAnsi="Arial"/>
          <w:sz w:val="16"/>
          <w:szCs w:val="16"/>
          <w:color w:val="auto"/>
        </w:rPr>
        <w:t>if any Interest Period is one week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38" w:lineRule="exact"/>
        <w:rPr>
          <w:rFonts w:ascii="Arial" w:cs="Arial" w:eastAsia="Arial" w:hAnsi="Arial"/>
          <w:sz w:val="16"/>
          <w:szCs w:val="16"/>
          <w:color w:val="auto"/>
        </w:rPr>
      </w:pPr>
    </w:p>
    <w:p>
      <w:pPr>
        <w:ind w:left="1000" w:right="100" w:firstLine="398"/>
        <w:spacing w:after="0" w:line="290" w:lineRule="auto"/>
        <w:tabs>
          <w:tab w:leader="none" w:pos="1684"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Company or relevant Subsidiary Borrower may not select an Interest Period under the Facility that would extend beyond the earliest Termination Date then in effect for the Facility unless the Loans are converted into Converted Term Loans pursuant to</w:t>
      </w:r>
    </w:p>
    <w:p>
      <w:pPr>
        <w:ind w:left="1000" w:right="240"/>
        <w:spacing w:after="0" w:line="259" w:lineRule="auto"/>
        <w:rPr>
          <w:rFonts w:ascii="Arial" w:cs="Arial" w:eastAsia="Arial" w:hAnsi="Arial"/>
          <w:sz w:val="16"/>
          <w:szCs w:val="16"/>
          <w:color w:val="auto"/>
        </w:rPr>
      </w:pPr>
      <w:r>
        <w:rPr>
          <w:rFonts w:ascii="Arial" w:cs="Arial" w:eastAsia="Arial" w:hAnsi="Arial"/>
          <w:sz w:val="18"/>
          <w:szCs w:val="18"/>
          <w:color w:val="auto"/>
        </w:rPr>
        <w:t>Section 2.28, which case the applicable Borrower may not select an Interest Period that would extend beyond the Converted Term Loan Maturity Date; and</w:t>
      </w:r>
    </w:p>
    <w:p>
      <w:pPr>
        <w:spacing w:after="0" w:line="77" w:lineRule="exact"/>
        <w:rPr>
          <w:rFonts w:ascii="Arial" w:cs="Arial" w:eastAsia="Arial" w:hAnsi="Arial"/>
          <w:sz w:val="16"/>
          <w:szCs w:val="16"/>
          <w:color w:val="auto"/>
        </w:rPr>
      </w:pPr>
    </w:p>
    <w:p>
      <w:pPr>
        <w:ind w:left="1000" w:firstLine="398"/>
        <w:spacing w:after="0" w:line="263" w:lineRule="auto"/>
        <w:tabs>
          <w:tab w:leader="none" w:pos="168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Interest Period that is one week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4" w:lineRule="exact"/>
        <w:rPr>
          <w:sz w:val="20"/>
          <w:szCs w:val="20"/>
          <w:color w:val="auto"/>
        </w:rPr>
      </w:pPr>
    </w:p>
    <w:p>
      <w:pPr>
        <w:ind w:right="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3" w:right="479" w:bottom="1440" w:gutter="0" w:footer="0" w:header="0"/>
        </w:sectPr>
      </w:pPr>
    </w:p>
    <w:bookmarkStart w:id="266" w:name="page267"/>
    <w:bookmarkEnd w:id="266"/>
    <w:p>
      <w:pPr>
        <w:ind w:right="20" w:firstLine="98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interparty claims), demands, damages or labilities of any kind.</w:t>
      </w:r>
    </w:p>
    <w:p>
      <w:pPr>
        <w:spacing w:after="0" w:line="224" w:lineRule="exact"/>
        <w:rPr>
          <w:sz w:val="20"/>
          <w:szCs w:val="20"/>
          <w:color w:val="auto"/>
        </w:rPr>
      </w:pPr>
    </w:p>
    <w:p>
      <w:pPr>
        <w:ind w:right="140" w:firstLine="9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Interpolated Rate</w:t>
      </w:r>
      <w:r>
        <w:rPr>
          <w:rFonts w:ascii="Arial" w:cs="Arial" w:eastAsia="Arial" w:hAnsi="Arial"/>
          <w:sz w:val="18"/>
          <w:szCs w:val="18"/>
          <w:color w:val="auto"/>
        </w:rPr>
        <w:t xml:space="preserve">” means, at any time, with respect to any Eurocurrency Borrowing, the rate per annum (rounded to the same number of decimal places as the Eurocurrency Base Rate) determined by the Administrative Agent (which determination shall be conclusive and binding absent manifest error) to be equal to the rate that results from interpolating on a linear basis between: (a) the LIBO Screen Rate for the longest period (for which that LIBO Screen Rate is available for Dollars) that is shorter than the Impacted LIBO Rate Interest Period and (b) the LIBO Screen Rate for the shortest period (for which that LIBO Screen Rate is available for Dollars) that exceeds the Impacted LIBO Rate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LIBO Interpolated Rate shall be less than 0.0%, such rate shall be deemed to be 0.0% for purposes of this Agreement.</w:t>
      </w:r>
    </w:p>
    <w:p>
      <w:pPr>
        <w:spacing w:after="0" w:line="191" w:lineRule="exact"/>
        <w:rPr>
          <w:sz w:val="20"/>
          <w:szCs w:val="20"/>
          <w:color w:val="auto"/>
        </w:rPr>
      </w:pPr>
    </w:p>
    <w:p>
      <w:pPr>
        <w:ind w:firstLine="9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means, for any day and time, with respect to any Eurocurrency Borrowing and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be zero for the purposes of this Agreement.</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assigned to such term in Section 1.5.</w:t>
      </w:r>
    </w:p>
    <w:p>
      <w:pPr>
        <w:spacing w:after="0" w:line="224"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Guarantee, the Notes, each Borrower Joinder Agreement, each Guarantee Joinder and any amendment, waiver, supplement or other modification to any of the foregoing.</w:t>
      </w:r>
    </w:p>
    <w:p>
      <w:pPr>
        <w:spacing w:after="0" w:line="170" w:lineRule="exact"/>
        <w:rPr>
          <w:sz w:val="20"/>
          <w:szCs w:val="20"/>
          <w:color w:val="auto"/>
        </w:rPr>
      </w:pPr>
    </w:p>
    <w:p>
      <w:pPr>
        <w:ind w:right="6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3" w:right="499" w:bottom="1440" w:gutter="0" w:footer="0" w:header="0"/>
        </w:sectPr>
      </w:pPr>
    </w:p>
    <w:bookmarkStart w:id="267" w:name="page268"/>
    <w:bookmarkEnd w:id="267"/>
    <w:p>
      <w:pPr>
        <w:ind w:right="640" w:firstLine="989"/>
        <w:spacing w:after="0" w:line="30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Margin</w:t>
      </w:r>
      <w:r>
        <w:rPr>
          <w:rFonts w:ascii="Arial" w:cs="Arial" w:eastAsia="Arial" w:hAnsi="Arial"/>
          <w:sz w:val="17"/>
          <w:szCs w:val="17"/>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48" w:lineRule="exact"/>
        <w:rPr>
          <w:sz w:val="20"/>
          <w:szCs w:val="20"/>
          <w:color w:val="auto"/>
        </w:rPr>
      </w:pPr>
    </w:p>
    <w:p>
      <w:pPr>
        <w:ind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79" w:lineRule="exact"/>
        <w:rPr>
          <w:sz w:val="20"/>
          <w:szCs w:val="20"/>
          <w:color w:val="auto"/>
        </w:rPr>
      </w:pPr>
    </w:p>
    <w:p>
      <w:pPr>
        <w:jc w:val="both"/>
        <w:ind w:right="2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2" w:lineRule="exact"/>
        <w:rPr>
          <w:sz w:val="20"/>
          <w:szCs w:val="20"/>
          <w:color w:val="auto"/>
        </w:rPr>
      </w:pPr>
    </w:p>
    <w:p>
      <w:pPr>
        <w:jc w:val="both"/>
        <w:ind w:right="2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right="14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2020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4" w:lineRule="exact"/>
        <w:rPr>
          <w:sz w:val="20"/>
          <w:szCs w:val="20"/>
          <w:color w:val="auto"/>
        </w:rPr>
      </w:pPr>
    </w:p>
    <w:p>
      <w:pPr>
        <w:ind w:right="8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2" w:lineRule="exact"/>
        <w:rPr>
          <w:sz w:val="20"/>
          <w:szCs w:val="20"/>
          <w:color w:val="auto"/>
        </w:rPr>
      </w:pPr>
    </w:p>
    <w:p>
      <w:pPr>
        <w:jc w:val="both"/>
        <w:ind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2.21(a).</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2.21(d).</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68" w:name="page269"/>
    <w:bookmarkEnd w:id="268"/>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4" w:lineRule="exact"/>
        <w:rPr>
          <w:sz w:val="20"/>
          <w:szCs w:val="20"/>
          <w:color w:val="auto"/>
        </w:rPr>
      </w:pPr>
    </w:p>
    <w:p>
      <w:pPr>
        <w:ind w:right="8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4" w:lineRule="exact"/>
        <w:rPr>
          <w:sz w:val="20"/>
          <w:szCs w:val="20"/>
          <w:color w:val="auto"/>
        </w:rPr>
      </w:pPr>
    </w:p>
    <w:p>
      <w:pPr>
        <w:ind w:right="20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indebtedness for borrowed money, the aggregate outstanding principal amount thereof,</w:t>
      </w:r>
    </w:p>
    <w:p>
      <w:pPr>
        <w:spacing w:after="0" w:line="46" w:lineRule="exact"/>
        <w:rPr>
          <w:sz w:val="20"/>
          <w:szCs w:val="20"/>
          <w:color w:val="auto"/>
        </w:rPr>
      </w:pPr>
    </w:p>
    <w:p>
      <w:pPr>
        <w:ind w:right="360" w:firstLine="9"/>
        <w:spacing w:after="0" w:line="259" w:lineRule="auto"/>
        <w:tabs>
          <w:tab w:leader="none" w:pos="25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85" w:lineRule="exact"/>
        <w:rPr>
          <w:sz w:val="20"/>
          <w:szCs w:val="20"/>
          <w:color w:val="auto"/>
        </w:rPr>
      </w:pPr>
    </w:p>
    <w:p>
      <w:pPr>
        <w:ind w:right="240"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xml:space="preserve">” means, for any day, the rate comprised of both overnight federal funds and overnight eurocurrency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Overnight Bank Funding Rate shall be less than zero, such rate shall be deemed to be zero for purposes of this Agreement.</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3" w:right="479" w:bottom="1440" w:gutter="0" w:footer="0" w:header="0"/>
        </w:sectPr>
      </w:pPr>
    </w:p>
    <w:bookmarkStart w:id="269" w:name="page270"/>
    <w:bookmarkEnd w:id="269"/>
    <w:p>
      <w:pPr>
        <w:ind w:right="12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it in Section 9.13(c).</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it in Section 9.13(c).</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4"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and Competitive Loans of such Lender then outstanding constitutes of the aggregate Outstanding Amount of Extensions of Credit and Competitive Loans of the Lenders then outstanding.</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6" w:lineRule="exact"/>
        <w:rPr>
          <w:sz w:val="20"/>
          <w:szCs w:val="20"/>
          <w:color w:val="auto"/>
        </w:rPr>
      </w:pPr>
    </w:p>
    <w:p>
      <w:pPr>
        <w:ind w:left="1000" w:firstLine="398"/>
        <w:spacing w:after="0" w:line="301" w:lineRule="auto"/>
        <w:tabs>
          <w:tab w:leader="none" w:pos="16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46" w:lineRule="exact"/>
        <w:rPr>
          <w:rFonts w:ascii="Arial" w:cs="Arial" w:eastAsia="Arial" w:hAnsi="Arial"/>
          <w:sz w:val="16"/>
          <w:szCs w:val="16"/>
          <w:color w:val="auto"/>
        </w:rPr>
      </w:pPr>
    </w:p>
    <w:p>
      <w:pPr>
        <w:ind w:left="1000" w:right="100" w:firstLine="398"/>
        <w:spacing w:after="0" w:line="285" w:lineRule="auto"/>
        <w:tabs>
          <w:tab w:leader="none" w:pos="165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57" w:lineRule="exact"/>
        <w:rPr>
          <w:rFonts w:ascii="Arial" w:cs="Arial" w:eastAsia="Arial" w:hAnsi="Arial"/>
          <w:sz w:val="17"/>
          <w:szCs w:val="17"/>
          <w:color w:val="auto"/>
        </w:rPr>
      </w:pPr>
    </w:p>
    <w:p>
      <w:pPr>
        <w:ind w:left="1640" w:hanging="242"/>
        <w:spacing w:after="0"/>
        <w:tabs>
          <w:tab w:leader="none" w:pos="16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6" w:lineRule="exact"/>
        <w:rPr>
          <w:rFonts w:ascii="Arial" w:cs="Arial" w:eastAsia="Arial" w:hAnsi="Arial"/>
          <w:sz w:val="18"/>
          <w:szCs w:val="18"/>
          <w:color w:val="auto"/>
        </w:rPr>
      </w:pPr>
    </w:p>
    <w:p>
      <w:pPr>
        <w:jc w:val="both"/>
        <w:ind w:left="1000" w:right="140" w:firstLine="398"/>
        <w:spacing w:after="0" w:line="263" w:lineRule="auto"/>
        <w:tabs>
          <w:tab w:leader="none" w:pos="165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left="1000" w:firstLine="398"/>
        <w:spacing w:after="0" w:line="275" w:lineRule="auto"/>
        <w:tabs>
          <w:tab w:leader="none" w:pos="164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3" w:right="459" w:bottom="1440" w:gutter="0" w:footer="0" w:header="0"/>
        </w:sectPr>
      </w:pPr>
    </w:p>
    <w:bookmarkStart w:id="270" w:name="page271"/>
    <w:bookmarkEnd w:id="270"/>
    <w:p>
      <w:pPr>
        <w:ind w:right="620" w:firstLine="398"/>
        <w:spacing w:after="0" w:line="341" w:lineRule="auto"/>
        <w:tabs>
          <w:tab w:leader="none" w:pos="624" w:val="left"/>
        </w:tabs>
        <w:numPr>
          <w:ilvl w:val="0"/>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5" w:lineRule="exact"/>
        <w:rPr>
          <w:rFonts w:ascii="Arial" w:cs="Arial" w:eastAsia="Arial" w:hAnsi="Arial"/>
          <w:sz w:val="16"/>
          <w:szCs w:val="16"/>
          <w:color w:val="auto"/>
        </w:rPr>
      </w:pPr>
    </w:p>
    <w:p>
      <w:pPr>
        <w:ind w:firstLine="398"/>
        <w:spacing w:after="0" w:line="255" w:lineRule="auto"/>
        <w:tabs>
          <w:tab w:leader="none" w:pos="65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1" w:lineRule="exact"/>
        <w:rPr>
          <w:rFonts w:ascii="Arial" w:cs="Arial" w:eastAsia="Arial" w:hAnsi="Arial"/>
          <w:sz w:val="18"/>
          <w:szCs w:val="18"/>
          <w:color w:val="auto"/>
        </w:rPr>
      </w:pPr>
    </w:p>
    <w:p>
      <w:pPr>
        <w:ind w:right="40" w:firstLine="398"/>
        <w:spacing w:after="0" w:line="263" w:lineRule="auto"/>
        <w:tabs>
          <w:tab w:leader="none" w:pos="65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3" w:lineRule="exact"/>
        <w:rPr>
          <w:rFonts w:ascii="Arial" w:cs="Arial" w:eastAsia="Arial" w:hAnsi="Arial"/>
          <w:sz w:val="18"/>
          <w:szCs w:val="18"/>
          <w:color w:val="auto"/>
        </w:rPr>
      </w:pPr>
    </w:p>
    <w:p>
      <w:pPr>
        <w:ind w:right="300" w:firstLine="398"/>
        <w:spacing w:after="0" w:line="271" w:lineRule="auto"/>
        <w:tabs>
          <w:tab w:leader="none" w:pos="61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71" w:lineRule="exact"/>
        <w:rPr>
          <w:rFonts w:ascii="Arial" w:cs="Arial" w:eastAsia="Arial" w:hAnsi="Arial"/>
          <w:sz w:val="17"/>
          <w:szCs w:val="17"/>
          <w:color w:val="auto"/>
        </w:rPr>
      </w:pPr>
    </w:p>
    <w:p>
      <w:pPr>
        <w:ind w:right="180" w:firstLine="398"/>
        <w:spacing w:after="0" w:line="285" w:lineRule="auto"/>
        <w:tabs>
          <w:tab w:leader="none" w:pos="61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57" w:lineRule="exact"/>
        <w:rPr>
          <w:rFonts w:ascii="Arial" w:cs="Arial" w:eastAsia="Arial" w:hAnsi="Arial"/>
          <w:sz w:val="17"/>
          <w:szCs w:val="17"/>
          <w:color w:val="auto"/>
        </w:rPr>
      </w:pPr>
    </w:p>
    <w:p>
      <w:pPr>
        <w:jc w:val="both"/>
        <w:ind w:right="40" w:firstLine="398"/>
        <w:spacing w:after="0" w:line="258" w:lineRule="auto"/>
        <w:tabs>
          <w:tab w:leader="none" w:pos="65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79" w:lineRule="exact"/>
        <w:rPr>
          <w:rFonts w:ascii="Arial" w:cs="Arial" w:eastAsia="Arial" w:hAnsi="Arial"/>
          <w:sz w:val="18"/>
          <w:szCs w:val="18"/>
          <w:color w:val="auto"/>
        </w:rPr>
      </w:pPr>
    </w:p>
    <w:p>
      <w:pPr>
        <w:ind w:right="120" w:firstLine="398"/>
        <w:spacing w:after="0" w:line="301" w:lineRule="auto"/>
        <w:tabs>
          <w:tab w:leader="none" w:pos="61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acquisition;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the Company or any Principal Domestic Subsidiary;</w:t>
      </w:r>
    </w:p>
    <w:p>
      <w:pPr>
        <w:spacing w:after="0" w:line="46" w:lineRule="exact"/>
        <w:rPr>
          <w:rFonts w:ascii="Arial" w:cs="Arial" w:eastAsia="Arial" w:hAnsi="Arial"/>
          <w:sz w:val="16"/>
          <w:szCs w:val="16"/>
          <w:color w:val="auto"/>
        </w:rPr>
      </w:pPr>
    </w:p>
    <w:p>
      <w:pPr>
        <w:ind w:right="20" w:firstLine="398"/>
        <w:spacing w:after="0" w:line="263" w:lineRule="auto"/>
        <w:tabs>
          <w:tab w:leader="none" w:pos="7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00"/>
          </w:cols>
          <w:pgMar w:left="1440" w:top="274" w:right="459" w:bottom="1440" w:gutter="0" w:footer="0" w:header="0"/>
        </w:sectPr>
      </w:pPr>
    </w:p>
    <w:bookmarkStart w:id="271" w:name="page272"/>
    <w:bookmarkEnd w:id="271"/>
    <w:p>
      <w:pPr>
        <w:ind w:left="2" w:right="140" w:firstLine="398"/>
        <w:spacing w:after="0" w:line="276" w:lineRule="auto"/>
        <w:tabs>
          <w:tab w:leader="none" w:pos="656" w:val="left"/>
        </w:tabs>
        <w:numPr>
          <w:ilvl w:val="1"/>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62" w:hanging="262"/>
        <w:spacing w:after="0"/>
        <w:tabs>
          <w:tab w:leader="none" w:pos="66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6" w:lineRule="exact"/>
        <w:rPr>
          <w:rFonts w:ascii="Arial" w:cs="Arial" w:eastAsia="Arial" w:hAnsi="Arial"/>
          <w:sz w:val="18"/>
          <w:szCs w:val="18"/>
          <w:color w:val="auto"/>
        </w:rPr>
      </w:pPr>
    </w:p>
    <w:p>
      <w:pPr>
        <w:ind w:left="662" w:hanging="262"/>
        <w:spacing w:after="0"/>
        <w:tabs>
          <w:tab w:leader="none" w:pos="66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6" w:lineRule="exact"/>
        <w:rPr>
          <w:rFonts w:ascii="Arial" w:cs="Arial" w:eastAsia="Arial" w:hAnsi="Arial"/>
          <w:sz w:val="18"/>
          <w:szCs w:val="18"/>
          <w:color w:val="auto"/>
        </w:rPr>
      </w:pPr>
    </w:p>
    <w:p>
      <w:pPr>
        <w:ind w:left="2" w:right="120" w:firstLine="398"/>
        <w:spacing w:after="0" w:line="284" w:lineRule="auto"/>
        <w:tabs>
          <w:tab w:leader="none" w:pos="656" w:val="left"/>
        </w:tabs>
        <w:numPr>
          <w:ilvl w:val="1"/>
          <w:numId w:val="248"/>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w:t>
      </w:r>
    </w:p>
    <w:p>
      <w:pPr>
        <w:spacing w:after="0" w:line="1" w:lineRule="exact"/>
        <w:rPr>
          <w:rFonts w:ascii="Arial" w:cs="Arial" w:eastAsia="Arial" w:hAnsi="Arial"/>
          <w:sz w:val="16"/>
          <w:szCs w:val="16"/>
          <w:color w:val="auto"/>
        </w:rPr>
      </w:pPr>
    </w:p>
    <w:p>
      <w:pPr>
        <w:ind w:left="402" w:hanging="402"/>
        <w:spacing w:after="0"/>
        <w:tabs>
          <w:tab w:leader="none" w:pos="40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rental deposits, (ix) judicial appeals and (x) service contracts;</w:t>
      </w:r>
    </w:p>
    <w:p>
      <w:pPr>
        <w:spacing w:after="0" w:line="101" w:lineRule="exact"/>
        <w:rPr>
          <w:rFonts w:ascii="Arial" w:cs="Arial" w:eastAsia="Arial" w:hAnsi="Arial"/>
          <w:sz w:val="18"/>
          <w:szCs w:val="18"/>
          <w:color w:val="auto"/>
        </w:rPr>
      </w:pPr>
    </w:p>
    <w:p>
      <w:pPr>
        <w:ind w:left="622" w:hanging="222"/>
        <w:spacing w:after="0"/>
        <w:tabs>
          <w:tab w:leader="none" w:pos="62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owing to the Company or any Principal Domestic Subsidiary;</w:t>
      </w:r>
    </w:p>
    <w:p>
      <w:pPr>
        <w:spacing w:after="0" w:line="139" w:lineRule="exact"/>
        <w:rPr>
          <w:rFonts w:ascii="Arial" w:cs="Arial" w:eastAsia="Arial" w:hAnsi="Arial"/>
          <w:sz w:val="16"/>
          <w:szCs w:val="16"/>
          <w:color w:val="auto"/>
        </w:rPr>
      </w:pPr>
    </w:p>
    <w:p>
      <w:pPr>
        <w:ind w:left="2" w:right="20" w:firstLine="398"/>
        <w:spacing w:after="0" w:line="263" w:lineRule="auto"/>
        <w:tabs>
          <w:tab w:leader="none" w:pos="63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3" w:lineRule="exact"/>
        <w:rPr>
          <w:rFonts w:ascii="Arial" w:cs="Arial" w:eastAsia="Arial" w:hAnsi="Arial"/>
          <w:sz w:val="18"/>
          <w:szCs w:val="18"/>
          <w:color w:val="auto"/>
        </w:rPr>
      </w:pPr>
    </w:p>
    <w:p>
      <w:pPr>
        <w:ind w:left="2" w:right="200" w:firstLine="398"/>
        <w:spacing w:after="0" w:line="301" w:lineRule="auto"/>
        <w:tabs>
          <w:tab w:leader="none" w:pos="61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46" w:lineRule="exact"/>
        <w:rPr>
          <w:rFonts w:ascii="Arial" w:cs="Arial" w:eastAsia="Arial" w:hAnsi="Arial"/>
          <w:sz w:val="16"/>
          <w:szCs w:val="16"/>
          <w:color w:val="auto"/>
        </w:rPr>
      </w:pPr>
    </w:p>
    <w:p>
      <w:pPr>
        <w:ind w:left="662" w:hanging="262"/>
        <w:spacing w:after="0"/>
        <w:tabs>
          <w:tab w:leader="none" w:pos="66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6" w:lineRule="exact"/>
        <w:rPr>
          <w:rFonts w:ascii="Arial" w:cs="Arial" w:eastAsia="Arial" w:hAnsi="Arial"/>
          <w:sz w:val="18"/>
          <w:szCs w:val="18"/>
          <w:color w:val="auto"/>
        </w:rPr>
      </w:pPr>
    </w:p>
    <w:p>
      <w:pPr>
        <w:ind w:left="2" w:right="160" w:firstLine="398"/>
        <w:spacing w:after="0" w:line="263" w:lineRule="auto"/>
        <w:tabs>
          <w:tab w:leader="none" w:pos="65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2" w:firstLine="398"/>
        <w:spacing w:after="0" w:line="306" w:lineRule="auto"/>
        <w:tabs>
          <w:tab w:leader="none" w:pos="696" w:val="left"/>
        </w:tabs>
        <w:numPr>
          <w:ilvl w:val="1"/>
          <w:numId w:val="249"/>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81" w:lineRule="exact"/>
        <w:rPr>
          <w:sz w:val="20"/>
          <w:szCs w:val="20"/>
          <w:color w:val="auto"/>
        </w:rPr>
      </w:pPr>
    </w:p>
    <w:p>
      <w:pPr>
        <w:ind w:left="442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982"/>
          </w:cols>
          <w:pgMar w:left="1438" w:top="274" w:right="479" w:bottom="1440" w:gutter="0" w:footer="0" w:header="0"/>
        </w:sectPr>
      </w:pPr>
    </w:p>
    <w:bookmarkStart w:id="272" w:name="page273"/>
    <w:bookmarkEnd w:id="272"/>
    <w:p>
      <w:pPr>
        <w:ind w:left="1000" w:right="120" w:firstLine="398"/>
        <w:spacing w:after="0" w:line="276" w:lineRule="auto"/>
        <w:tabs>
          <w:tab w:leader="none" w:pos="1654"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1000" w:right="460" w:firstLine="398"/>
        <w:spacing w:after="0" w:line="276" w:lineRule="auto"/>
        <w:tabs>
          <w:tab w:leader="none" w:pos="165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1000" w:firstLine="398"/>
        <w:spacing w:after="0" w:line="258" w:lineRule="auto"/>
        <w:tabs>
          <w:tab w:leader="none" w:pos="164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7" w:lineRule="exact"/>
        <w:rPr>
          <w:sz w:val="20"/>
          <w:szCs w:val="20"/>
          <w:color w:val="auto"/>
        </w:rPr>
      </w:pPr>
    </w:p>
    <w:p>
      <w:pPr>
        <w:ind w:right="8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1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at a particular time, an employee pension benefit plan covered by Title IV of ERISA or Section 412 of the Code 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ERISA, but excluding any Multiemployer Plan, (a) which is sponsored, established, contributed to or maintained by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ERISA Affiliate, (b) for which the Company or any ERISA Affiliate could have any liability, whether actual or contingent (whether pursuant to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4062 or Section 4069 of ERISA be deemed to be) an “employer” as defined in Section 3(5) of ERISA.</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of 29 CFR § 2510.3-101 et seq., as modified by Section 3(42) of ERISA, as amended from time to time.</w:t>
      </w:r>
    </w:p>
    <w:p>
      <w:pPr>
        <w:spacing w:after="0" w:line="247" w:lineRule="exact"/>
        <w:rPr>
          <w:sz w:val="20"/>
          <w:szCs w:val="20"/>
          <w:color w:val="auto"/>
        </w:rPr>
      </w:pPr>
    </w:p>
    <w:p>
      <w:pPr>
        <w:ind w:right="180" w:firstLine="98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Post-Petition Interest</w:t>
      </w:r>
      <w:r>
        <w:rPr>
          <w:rFonts w:ascii="Arial" w:cs="Arial" w:eastAsia="Arial" w:hAnsi="Arial"/>
          <w:sz w:val="16"/>
          <w:szCs w:val="16"/>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47" w:lineRule="exact"/>
        <w:rPr>
          <w:sz w:val="20"/>
          <w:szCs w:val="20"/>
          <w:color w:val="auto"/>
        </w:rPr>
      </w:pPr>
    </w:p>
    <w:p>
      <w:pPr>
        <w:ind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73" w:lineRule="exact"/>
        <w:rPr>
          <w:sz w:val="20"/>
          <w:szCs w:val="20"/>
          <w:color w:val="auto"/>
        </w:rPr>
      </w:pPr>
    </w:p>
    <w:p>
      <w:pPr>
        <w:ind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3" w:right="459" w:bottom="1440" w:gutter="0" w:footer="0" w:header="0"/>
        </w:sectPr>
      </w:pPr>
    </w:p>
    <w:bookmarkStart w:id="273" w:name="page274"/>
    <w:bookmarkEnd w:id="273"/>
    <w:p>
      <w:pPr>
        <w:ind w:right="60" w:firstLine="989"/>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2020 10-K), (B) at least 80% or more of the Capital Stock or Voting Stock of such Domestic Subsidiary is owned, directly or indirectly, by the Company and (C) none of the Capital Stock of such Domestic Subsidiary is publicly held.</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4" w:lineRule="exact"/>
        <w:rPr>
          <w:sz w:val="20"/>
          <w:szCs w:val="20"/>
          <w:color w:val="auto"/>
        </w:rPr>
      </w:pPr>
    </w:p>
    <w:p>
      <w:pPr>
        <w:ind w:right="1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4" w:lineRule="exact"/>
        <w:rPr>
          <w:sz w:val="20"/>
          <w:szCs w:val="20"/>
          <w:color w:val="auto"/>
        </w:rPr>
      </w:pPr>
    </w:p>
    <w:p>
      <w:pPr>
        <w:jc w:val="both"/>
        <w:ind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jc w:val="both"/>
        <w:ind w:right="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for deposits in Dollars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(1) if such Benchmark is Eurocurrency Base Rate,</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11:00 a.m. (London time) on the day that is two London banking days preceding the date of such setting, and (2) if such Benchmark is not Eurocurrency Base Rate, the time determined by the Administrative Agent in its reasonable discretion.</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4" w:lineRule="exact"/>
        <w:rPr>
          <w:sz w:val="20"/>
          <w:szCs w:val="20"/>
          <w:color w:val="auto"/>
        </w:rPr>
      </w:pPr>
    </w:p>
    <w:p>
      <w:pPr>
        <w:ind w:right="1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30th day after any Guarantee Reinstatement Date to but excluding the following Guarantee Release Date, if 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274" w:name="page275"/>
    <w:bookmarkEnd w:id="274"/>
    <w:p>
      <w:pPr>
        <w:ind w:right="22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ind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NYFRB, or a committee officially endorsed or convened by the Federal Reserve Board and/or the NYFRB or, in each case, any successor thereto.</w:t>
      </w:r>
    </w:p>
    <w:p>
      <w:pPr>
        <w:spacing w:after="0" w:line="170" w:lineRule="exact"/>
        <w:rPr>
          <w:sz w:val="20"/>
          <w:szCs w:val="20"/>
          <w:color w:val="auto"/>
        </w:rPr>
      </w:pPr>
    </w:p>
    <w:p>
      <w:pPr>
        <w:ind w:right="8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48" w:lineRule="exact"/>
        <w:rPr>
          <w:sz w:val="20"/>
          <w:szCs w:val="20"/>
          <w:color w:val="auto"/>
        </w:rPr>
      </w:pPr>
    </w:p>
    <w:p>
      <w:pPr>
        <w:jc w:val="both"/>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6" w:lineRule="exact"/>
        <w:rPr>
          <w:sz w:val="20"/>
          <w:szCs w:val="20"/>
          <w:color w:val="auto"/>
        </w:rPr>
      </w:pPr>
    </w:p>
    <w:p>
      <w:pPr>
        <w:ind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 and its successors.</w:t>
      </w:r>
    </w:p>
    <w:p>
      <w:pPr>
        <w:spacing w:after="0" w:line="224" w:lineRule="exact"/>
        <w:rPr>
          <w:sz w:val="20"/>
          <w:szCs w:val="20"/>
          <w:color w:val="auto"/>
        </w:rPr>
      </w:pPr>
    </w:p>
    <w:p>
      <w:pPr>
        <w:jc w:val="both"/>
        <w:ind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4" w:lineRule="exact"/>
        <w:rPr>
          <w:sz w:val="20"/>
          <w:szCs w:val="20"/>
          <w:color w:val="auto"/>
        </w:rPr>
      </w:pPr>
    </w:p>
    <w:p>
      <w:pPr>
        <w:ind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4" w:lineRule="exact"/>
        <w:rPr>
          <w:sz w:val="20"/>
          <w:szCs w:val="20"/>
          <w:color w:val="auto"/>
        </w:rPr>
      </w:pPr>
    </w:p>
    <w:p>
      <w:pPr>
        <w:ind w:right="2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275" w:name="page276"/>
    <w:bookmarkEnd w:id="275"/>
    <w:p>
      <w:pPr>
        <w:ind w:right="18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right="10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79" w:lineRule="exact"/>
        <w:rPr>
          <w:sz w:val="20"/>
          <w:szCs w:val="20"/>
          <w:color w:val="auto"/>
        </w:rPr>
      </w:pPr>
    </w:p>
    <w:p>
      <w:pPr>
        <w:ind w:right="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means GMF and any other Domestic Subsidiary that becomes a party hereto pursuant to Section 10.1(d) until such time as such Subsidiary Borrower is removed as a party hereto pursuant to Section 10.1(d).</w:t>
      </w:r>
    </w:p>
    <w:p>
      <w:pPr>
        <w:spacing w:after="0" w:line="170" w:lineRule="exact"/>
        <w:rPr>
          <w:sz w:val="20"/>
          <w:szCs w:val="20"/>
          <w:color w:val="auto"/>
        </w:rPr>
      </w:pPr>
    </w:p>
    <w:p>
      <w:pPr>
        <w:ind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Section 6.6(b) or Section 10.1(b);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it in Section 10.21.</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82"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right="8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2.18 that is not Term SOFR.</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April 6, 2022 which is the date which is 364 calendar days following the Closing Date.</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276" w:name="page277"/>
    <w:bookmarkEnd w:id="276"/>
    <w:p>
      <w:pPr>
        <w:ind w:right="28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4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$2.0 billion.</w:t>
      </w:r>
    </w:p>
    <w:p>
      <w:pPr>
        <w:spacing w:after="0" w:line="170" w:lineRule="exact"/>
        <w:rPr>
          <w:sz w:val="20"/>
          <w:szCs w:val="20"/>
          <w:color w:val="auto"/>
        </w:rPr>
      </w:pPr>
    </w:p>
    <w:p>
      <w:pPr>
        <w:ind w:right="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4" w:lineRule="exact"/>
        <w:rPr>
          <w:sz w:val="20"/>
          <w:szCs w:val="20"/>
          <w:color w:val="auto"/>
        </w:rPr>
      </w:pPr>
    </w:p>
    <w:p>
      <w:pPr>
        <w:ind w:right="2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or a Eurocurrency Loan and (b) as to any Competitive Loan, its nature as a Eurocurrency Competitive Loan or a Fixed Rate Loan.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4" w:lineRule="exact"/>
        <w:rPr>
          <w:sz w:val="20"/>
          <w:szCs w:val="20"/>
          <w:color w:val="auto"/>
        </w:rPr>
      </w:pPr>
    </w:p>
    <w:p>
      <w:pPr>
        <w:ind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7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Kingdom</w:t>
      </w:r>
      <w:r>
        <w:rPr>
          <w:rFonts w:ascii="Arial" w:cs="Arial" w:eastAsia="Arial" w:hAnsi="Arial"/>
          <w:sz w:val="18"/>
          <w:szCs w:val="18"/>
          <w:color w:val="auto"/>
        </w:rPr>
        <w:t>” means the United Kingdom of Great Britain and Northern Ireland.</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4"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it in Section 10.21.</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4" w:lineRule="exact"/>
        <w:rPr>
          <w:sz w:val="20"/>
          <w:szCs w:val="20"/>
          <w:color w:val="auto"/>
        </w:rPr>
      </w:pPr>
    </w:p>
    <w:p>
      <w:pPr>
        <w:ind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12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3" w:right="499" w:bottom="1440" w:gutter="0" w:footer="0" w:header="0"/>
        </w:sectPr>
      </w:pPr>
    </w:p>
    <w:bookmarkStart w:id="277" w:name="page278"/>
    <w:bookmarkEnd w:id="277"/>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ind w:right="640" w:firstLine="989"/>
        <w:spacing w:after="0" w:line="34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i) Unless otherwise specified therein, all terms defined in this Agreement shall have the defined meanings when used in the other Loan Documents or any certificate or other document made or delivered pursuant hereto or thereto.</w:t>
      </w:r>
    </w:p>
    <w:p>
      <w:pPr>
        <w:spacing w:after="0" w:line="124" w:lineRule="exact"/>
        <w:rPr>
          <w:sz w:val="20"/>
          <w:szCs w:val="20"/>
          <w:color w:val="auto"/>
        </w:rPr>
      </w:pPr>
    </w:p>
    <w:p>
      <w:pPr>
        <w:ind w:left="1240" w:hanging="242"/>
        <w:spacing w:after="0"/>
        <w:tabs>
          <w:tab w:leader="none" w:pos="124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45" w:lineRule="exact"/>
        <w:rPr>
          <w:rFonts w:ascii="Arial" w:cs="Arial" w:eastAsia="Arial" w:hAnsi="Arial"/>
          <w:sz w:val="16"/>
          <w:szCs w:val="16"/>
          <w:color w:val="auto"/>
        </w:rPr>
      </w:pPr>
    </w:p>
    <w:p>
      <w:pPr>
        <w:ind w:right="100" w:firstLine="9"/>
        <w:spacing w:after="0" w:line="267" w:lineRule="auto"/>
        <w:tabs>
          <w:tab w:leader="none" w:pos="21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79" w:lineRule="exact"/>
        <w:rPr>
          <w:rFonts w:ascii="Arial" w:cs="Arial" w:eastAsia="Arial" w:hAnsi="Arial"/>
          <w:sz w:val="17"/>
          <w:szCs w:val="17"/>
          <w:color w:val="auto"/>
        </w:rPr>
      </w:pPr>
    </w:p>
    <w:p>
      <w:pPr>
        <w:ind w:firstLine="998"/>
        <w:spacing w:after="0" w:line="263" w:lineRule="auto"/>
        <w:tabs>
          <w:tab w:leader="none" w:pos="124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240" w:hanging="242"/>
        <w:spacing w:after="0"/>
        <w:tabs>
          <w:tab w:leader="none" w:pos="124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4" w:lineRule="exact"/>
        <w:rPr>
          <w:sz w:val="20"/>
          <w:szCs w:val="20"/>
          <w:color w:val="auto"/>
        </w:rPr>
      </w:pPr>
    </w:p>
    <w:p>
      <w:pPr>
        <w:jc w:val="both"/>
        <w:ind w:right="60" w:firstLine="998"/>
        <w:spacing w:after="0" w:line="258" w:lineRule="auto"/>
        <w:tabs>
          <w:tab w:leader="none" w:pos="123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7" w:lineRule="exact"/>
        <w:rPr>
          <w:rFonts w:ascii="Arial" w:cs="Arial" w:eastAsia="Arial" w:hAnsi="Arial"/>
          <w:sz w:val="18"/>
          <w:szCs w:val="18"/>
          <w:color w:val="auto"/>
        </w:rPr>
      </w:pPr>
    </w:p>
    <w:p>
      <w:pPr>
        <w:ind w:right="180" w:firstLine="998"/>
        <w:spacing w:after="0" w:line="263" w:lineRule="auto"/>
        <w:tabs>
          <w:tab w:leader="none" w:pos="124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81" w:lineRule="exact"/>
        <w:rPr>
          <w:rFonts w:ascii="Arial" w:cs="Arial" w:eastAsia="Arial" w:hAnsi="Arial"/>
          <w:sz w:val="18"/>
          <w:szCs w:val="18"/>
          <w:color w:val="auto"/>
        </w:rPr>
      </w:pPr>
    </w:p>
    <w:p>
      <w:pPr>
        <w:ind w:right="200" w:firstLine="998"/>
        <w:spacing w:after="0" w:line="263" w:lineRule="auto"/>
        <w:tabs>
          <w:tab w:leader="none" w:pos="123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3" w:right="479" w:bottom="1440" w:gutter="0" w:footer="0" w:header="0"/>
        </w:sectPr>
      </w:pPr>
    </w:p>
    <w:bookmarkStart w:id="278" w:name="page279"/>
    <w:bookmarkEnd w:id="278"/>
    <w:p>
      <w:pPr>
        <w:ind w:right="160" w:firstLine="98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82" w:lineRule="exact"/>
        <w:rPr>
          <w:sz w:val="20"/>
          <w:szCs w:val="20"/>
          <w:color w:val="auto"/>
        </w:rPr>
      </w:pPr>
    </w:p>
    <w:p>
      <w:pPr>
        <w:ind w:firstLine="989"/>
        <w:spacing w:after="0" w:line="282"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Interest Rates; LIBOR Notification.</w:t>
      </w:r>
      <w:r>
        <w:rPr>
          <w:rFonts w:ascii="Arial" w:cs="Arial" w:eastAsia="Arial" w:hAnsi="Arial"/>
          <w:sz w:val="16"/>
          <w:szCs w:val="16"/>
          <w:color w:val="auto"/>
        </w:rPr>
        <w:t xml:space="preserve"> The interest rate on a Loan denominated in Dollars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is intended to represent the rate at which contributing banks may obtain short-term borrowings from each other in the London interbank market. On March 5, 2021, the U.K.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publicly announced that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w:t>
      </w:r>
    </w:p>
    <w:p>
      <w:pPr>
        <w:spacing w:after="0" w:line="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or an Early Opt-in Election, Section 2.18(b) and</w:t>
      </w:r>
    </w:p>
    <w:p>
      <w:pPr>
        <w:spacing w:after="0" w:line="1" w:lineRule="exact"/>
        <w:rPr>
          <w:sz w:val="20"/>
          <w:szCs w:val="20"/>
          <w:color w:val="auto"/>
        </w:rPr>
      </w:pPr>
    </w:p>
    <w:p>
      <w:pPr>
        <w:ind w:right="40" w:firstLine="9"/>
        <w:spacing w:after="0" w:line="267" w:lineRule="auto"/>
        <w:tabs>
          <w:tab w:leader="none" w:pos="244" w:val="left"/>
        </w:tabs>
        <w:numPr>
          <w:ilvl w:val="0"/>
          <w:numId w:val="254"/>
        </w:numPr>
        <w:rPr>
          <w:rFonts w:ascii="Arial" w:cs="Arial" w:eastAsia="Arial" w:hAnsi="Arial"/>
          <w:sz w:val="17"/>
          <w:szCs w:val="17"/>
          <w:color w:val="auto"/>
        </w:rPr>
      </w:pPr>
      <w:r>
        <w:rPr>
          <w:rFonts w:ascii="Arial" w:cs="Arial" w:eastAsia="Arial" w:hAnsi="Arial"/>
          <w:sz w:val="17"/>
          <w:szCs w:val="17"/>
          <w:color w:val="auto"/>
        </w:rPr>
        <w:t>provide the mechanism for determining an alternative rate of interest. The Administrative Agent will promptly notify the Company, pursuant to Section 2.18(e),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LIBOR or other rates in the definition of “Eurocurrency Base Rate” or with respect to any alternative or successor rate thereto, or replacement rate thereof, (including, without limitation, (i) any such alternative, successor or replacement rate implemented pursuant to Section 2.18(b) or (c), whether upon the occurrence of a Benchmark Transition Event, a Term SOFR Transition Event or an Early Opt-in Election, and (ii) the implementation of any Benchmark Replacement Conforming Changes pursuant to Section 2.18(d)), including without limitation, whether the composition or characteristics of any such alternative, successor or replacement reference rate will be similar to, or produce the same value or economic equivalence of, the Eurocurrency Rate or have the same volume or liquidity as did LIBOR (or the euro interbank offered rate, as applicable) prior to its discontinuance or unavailability.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3" w:right="479" w:bottom="1440" w:gutter="0" w:footer="0" w:header="0"/>
        </w:sectPr>
      </w:pPr>
    </w:p>
    <w:bookmarkStart w:id="279" w:name="page280"/>
    <w:bookmarkEnd w:id="279"/>
    <w:p>
      <w:pPr>
        <w:ind w:right="40" w:firstLine="98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2. AMOUNT AND TERMS OF COMMITMENTS</w:t>
      </w:r>
    </w:p>
    <w:p>
      <w:pPr>
        <w:spacing w:after="0" w:line="217" w:lineRule="exact"/>
        <w:rPr>
          <w:sz w:val="20"/>
          <w:szCs w:val="20"/>
          <w:color w:val="auto"/>
        </w:rPr>
      </w:pPr>
    </w:p>
    <w:p>
      <w:pPr>
        <w:ind w:right="80" w:firstLine="989"/>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Commitments</w:t>
      </w:r>
      <w:r>
        <w:rPr>
          <w:rFonts w:ascii="Arial" w:cs="Arial" w:eastAsia="Arial" w:hAnsi="Arial"/>
          <w:sz w:val="17"/>
          <w:szCs w:val="17"/>
          <w:color w:val="auto"/>
        </w:rPr>
        <w:t>. ii) Subject to the terms and conditions hereof, each Lender severally agrees to make (or cause its Applicable Lending Office to make) revolving loans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in Dollars to the Company or any Subsidiary Borrower from time to time during the Commitment Period of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Eurocurrency Loans, ABR Loans or any combination of the foregoing, as determined by the Company or the relevant Subsidiary Borrower and notified to the Administrative Agent in accordance with Section 2.2 and 2.14.</w:t>
      </w:r>
    </w:p>
    <w:p>
      <w:pPr>
        <w:spacing w:after="0" w:line="180" w:lineRule="exact"/>
        <w:rPr>
          <w:sz w:val="20"/>
          <w:szCs w:val="20"/>
          <w:color w:val="auto"/>
        </w:rPr>
      </w:pPr>
    </w:p>
    <w:p>
      <w:pPr>
        <w:jc w:val="both"/>
        <w:ind w:right="100" w:firstLine="998"/>
        <w:spacing w:after="0" w:line="258" w:lineRule="auto"/>
        <w:tabs>
          <w:tab w:leader="none" w:pos="123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Loans of a Lender on the Termination Date for such Lender under the Facility unless Loans are converted into Converted Term Loans pursuant to Section 2.28, in which case the Company and, to the extent of its borrowings, any relevant Subsidiary Borrower shall repay all outstanding Converted Term Loans of a Lender on the Converted Term Loan Maturity Date.</w:t>
      </w:r>
    </w:p>
    <w:p>
      <w:pPr>
        <w:spacing w:after="0" w:line="187" w:lineRule="exact"/>
        <w:rPr>
          <w:sz w:val="20"/>
          <w:szCs w:val="20"/>
          <w:color w:val="auto"/>
        </w:rPr>
      </w:pPr>
    </w:p>
    <w:p>
      <w:pPr>
        <w:ind w:firstLine="989"/>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and any Subsidiary Borrower may borrow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or the relevant Subsidiary Borrower shall give the Administrative Agent a written Borrowing Request (or telephonic notice promptly confirmed with a written Borrowing Request) prior to (a) in the case of Eurocurrency Loans, 1:00 P.M., New York City time, three Business Days prior to the requested Borrowing Date or (b) in the case of ABR Loans, 1:00 P.M., New York City time, on the date of the proposed borrowing, specifying (i) the amount and Type of Loans to be borrowed, (ii) the requested Borrowing Date and (iii) in the case of Eurocurrency Loans, the respective lengths of the initial Interest Period(s)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Subsidiary Borrower shall include the written consent of the Company. If no election as to the Type of a Loan is specified in any such notice, then the requested borrowing shall be an ABR Loan. If no Interest Period with respect to a Eurocurrency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Subsidiary Borrower 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80" w:name="page281"/>
    <w:bookmarkEnd w:id="280"/>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right="20" w:firstLine="989"/>
        <w:spacing w:after="0" w:line="26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iii) Subject to the terms and conditions set forth herein, from time to time during the Commitment Period, the Company or any Subsidiary Borrower may request Competitive Bids under the Facility and may (but shall not have any obligation to) accept Competitive Bids and borrow Competitive Loans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the Total Extensions of Credit shall not exceed the Total Commitments then in effect. To request Competitive Bids under the Facility, the Company or the relevant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Facility, (2) the amount (which shall be a minimum of $50 million) and Type of the requested Competitive Loans, (3) the requested Borrowing Date and (4)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Subsidiary Borrower may request offers to make Competitive Loans under the Facility for more than one Interest Period or for multiple Types of Competitive Loans under the Facility in a single Competitive Bid Request.</w:t>
      </w:r>
    </w:p>
    <w:p>
      <w:pPr>
        <w:spacing w:after="0" w:line="185" w:lineRule="exact"/>
        <w:rPr>
          <w:sz w:val="20"/>
          <w:szCs w:val="20"/>
          <w:color w:val="auto"/>
        </w:rPr>
      </w:pPr>
    </w:p>
    <w:p>
      <w:pPr>
        <w:jc w:val="both"/>
        <w:ind w:right="40" w:firstLine="998"/>
        <w:spacing w:after="0" w:line="263" w:lineRule="auto"/>
        <w:tabs>
          <w:tab w:leader="none" w:pos="123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2.9 (but, in any event, no later than 3:00 P.M. New York City time on the date of receipt thereof), the Administrative Agent shall notify the Lenders of the details thereof, inviting such Lenders to submit Competitive Bids.</w:t>
      </w:r>
    </w:p>
    <w:p>
      <w:pPr>
        <w:spacing w:after="0" w:line="181" w:lineRule="exact"/>
        <w:rPr>
          <w:rFonts w:ascii="Arial" w:cs="Arial" w:eastAsia="Arial" w:hAnsi="Arial"/>
          <w:sz w:val="18"/>
          <w:szCs w:val="18"/>
          <w:color w:val="auto"/>
        </w:rPr>
      </w:pPr>
    </w:p>
    <w:p>
      <w:pPr>
        <w:ind w:firstLine="998"/>
        <w:spacing w:after="0" w:line="268" w:lineRule="auto"/>
        <w:tabs>
          <w:tab w:leader="none" w:pos="1243" w:val="left"/>
        </w:tabs>
        <w:numPr>
          <w:ilvl w:val="0"/>
          <w:numId w:val="256"/>
        </w:numPr>
        <w:rPr>
          <w:rFonts w:ascii="Arial" w:cs="Arial" w:eastAsia="Arial" w:hAnsi="Arial"/>
          <w:sz w:val="17"/>
          <w:szCs w:val="17"/>
          <w:color w:val="auto"/>
        </w:rPr>
      </w:pPr>
      <w:r>
        <w:rPr>
          <w:rFonts w:ascii="Arial" w:cs="Arial" w:eastAsia="Arial" w:hAnsi="Arial"/>
          <w:sz w:val="17"/>
          <w:szCs w:val="17"/>
          <w:color w:val="auto"/>
        </w:rPr>
        <w:t>Each Lender under the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9:30 A.M., New York City time, three Business Days before the proposed Borrowing Date, in the case of Eurocurrency Competitive Loans, or 9:30 A.M., New York City time, on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and which may equal the entire principal amount of the Competitive Loans requested by the Company or the relevant Subsidiary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3" w:right="459" w:bottom="1440" w:gutter="0" w:footer="0" w:header="0"/>
        </w:sectPr>
      </w:pPr>
    </w:p>
    <w:bookmarkStart w:id="281" w:name="page282"/>
    <w:bookmarkEnd w:id="281"/>
    <w:p>
      <w:pPr>
        <w:ind w:left="-20" w:right="100" w:firstLine="998"/>
        <w:spacing w:after="0" w:line="256" w:lineRule="auto"/>
        <w:tabs>
          <w:tab w:leader="none" w:pos="1213"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promptly (and, in any event, by no later than 10:00 A.M., New York City time (i) three Business Days before the proposed Borrowing Date, in the case of Eurocurrency Competitive Loans, and (ii) on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89" w:lineRule="exact"/>
        <w:rPr>
          <w:rFonts w:ascii="Arial" w:cs="Arial" w:eastAsia="Arial" w:hAnsi="Arial"/>
          <w:sz w:val="18"/>
          <w:szCs w:val="18"/>
          <w:color w:val="auto"/>
        </w:rPr>
      </w:pPr>
    </w:p>
    <w:p>
      <w:pPr>
        <w:ind w:left="-20" w:firstLine="998"/>
        <w:spacing w:after="0" w:line="267" w:lineRule="auto"/>
        <w:tabs>
          <w:tab w:leader="none" w:pos="122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10:30 A.M., New York City time (i) three Business Days before the proposed Borrowing Date, in the case of Eurocurrency Competitive Loans, and (ii) on the proposed Borrowing Date, in the case of Fixed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 each such Competitive Bid with such amounts rounded (as nearly as possible) to integral multiples of $1 million, in a manner determined by the Company or the relevant Subsidiary Borrower, and (E) except pursuant to clause (D) above, no Competitive Bid shall be accepted for a Competitive Loan made by a Lender unless such Competitive Loan is in a minimum principal amount of $5 million. A notice given by the Company or the relevant Subsidiary Borrower pursuant to this paragraph shall be irrevocable.</w:t>
      </w:r>
    </w:p>
    <w:p>
      <w:pPr>
        <w:spacing w:after="0" w:line="183" w:lineRule="exact"/>
        <w:rPr>
          <w:rFonts w:ascii="Arial" w:cs="Arial" w:eastAsia="Arial" w:hAnsi="Arial"/>
          <w:sz w:val="17"/>
          <w:szCs w:val="17"/>
          <w:color w:val="auto"/>
        </w:rPr>
      </w:pPr>
    </w:p>
    <w:p>
      <w:pPr>
        <w:ind w:left="-20" w:right="200" w:firstLine="998"/>
        <w:spacing w:after="0" w:line="256" w:lineRule="auto"/>
        <w:tabs>
          <w:tab w:leader="none" w:pos="121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11:00 A.M., New York City time (i) three Business Days before the proposed Borrowing Date, in the case of Eurocurrency Competitive Loans, and (ii) on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9" w:lineRule="exact"/>
        <w:rPr>
          <w:rFonts w:ascii="Arial" w:cs="Arial" w:eastAsia="Arial" w:hAnsi="Arial"/>
          <w:sz w:val="18"/>
          <w:szCs w:val="18"/>
          <w:color w:val="auto"/>
        </w:rPr>
      </w:pPr>
    </w:p>
    <w:p>
      <w:pPr>
        <w:ind w:left="-20" w:right="80" w:firstLine="998"/>
        <w:spacing w:after="0" w:line="263" w:lineRule="auto"/>
        <w:tabs>
          <w:tab w:leader="none" w:pos="119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181" w:lineRule="exact"/>
        <w:rPr>
          <w:rFonts w:ascii="Arial" w:cs="Arial" w:eastAsia="Arial" w:hAnsi="Arial"/>
          <w:sz w:val="18"/>
          <w:szCs w:val="18"/>
          <w:color w:val="auto"/>
        </w:rPr>
      </w:pPr>
    </w:p>
    <w:p>
      <w:pPr>
        <w:ind w:left="-20" w:right="120" w:firstLine="998"/>
        <w:spacing w:after="0" w:line="276" w:lineRule="auto"/>
        <w:tabs>
          <w:tab w:leader="none" w:pos="122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60" w:top="273" w:right="459" w:bottom="1440" w:gutter="0" w:footer="0" w:header="0"/>
        </w:sectPr>
      </w:pPr>
    </w:p>
    <w:bookmarkStart w:id="282" w:name="page283"/>
    <w:bookmarkEnd w:id="282"/>
    <w:p>
      <w:pPr>
        <w:ind w:right="60" w:firstLine="98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iv)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and Competitive Loans of such Lender under the Facility during the related Fee Payment Period for which payment is made, payable in arrears on each Fee Payment Date, commencing on the first such date to occur after the Closing Date.</w:t>
      </w:r>
    </w:p>
    <w:p>
      <w:pPr>
        <w:spacing w:after="0" w:line="191" w:lineRule="exact"/>
        <w:rPr>
          <w:sz w:val="20"/>
          <w:szCs w:val="20"/>
          <w:color w:val="auto"/>
        </w:rPr>
      </w:pPr>
    </w:p>
    <w:p>
      <w:pPr>
        <w:ind w:right="500" w:firstLine="998"/>
        <w:spacing w:after="0" w:line="276" w:lineRule="auto"/>
        <w:tabs>
          <w:tab w:leader="none" w:pos="123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Arranger Fee Letter, dated as of February 8, 2021, between the Company and the Administrative Agent.</w:t>
      </w:r>
    </w:p>
    <w:p>
      <w:pPr>
        <w:spacing w:after="0" w:line="170" w:lineRule="exact"/>
        <w:rPr>
          <w:sz w:val="20"/>
          <w:szCs w:val="20"/>
          <w:color w:val="auto"/>
        </w:rPr>
      </w:pPr>
    </w:p>
    <w:p>
      <w:pPr>
        <w:ind w:firstLine="989"/>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70" w:lineRule="exact"/>
        <w:rPr>
          <w:sz w:val="20"/>
          <w:szCs w:val="20"/>
          <w:color w:val="auto"/>
        </w:rPr>
      </w:pPr>
    </w:p>
    <w:p>
      <w:pPr>
        <w:ind w:right="20" w:firstLine="989"/>
        <w:spacing w:after="0" w:line="26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Company and any relevant Subsidiary Borrower may at any time and from time to time prepay the Loans, in whole or in part, without premium or penalty, upon irrevocable notice delivered to the Administrative Agent no later than 1:00 P.M., New York City time, three Business Days prior thereto, in the case of Eurocurrency Loans, and no later than 1:00 P.M., New York City time, on the day of such prepayment, in the case of ABR Loans, in each case which notice shall specify the date and amount of prepayment and whether the prepayment is of Eurocurrency Loans or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 Eurocurrency Loan is prepaid on any day other than the last day of the Interest Period applicable thereto, the Company or the relevant Subsidiary Borrower shall also pay any amounts owing 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83" w:name="page284"/>
    <w:bookmarkEnd w:id="283"/>
    <w:p>
      <w:pPr>
        <w:jc w:val="both"/>
        <w:ind w:right="120"/>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firstLine="989"/>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Conversion and Continuation Options</w:t>
      </w:r>
      <w:r>
        <w:rPr>
          <w:rFonts w:ascii="Arial" w:cs="Arial" w:eastAsia="Arial" w:hAnsi="Arial"/>
          <w:sz w:val="17"/>
          <w:szCs w:val="17"/>
          <w:color w:val="auto"/>
        </w:rPr>
        <w:t xml:space="preserve">. v)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Eurocurrency Loans that is not made on the last day of an Interest Period with respect thereto shall be subject to Section 2.22. The Company or any Subsidiary Borrower may elect from time to time to convert ABR Loans to Eurocurrency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ABR Loan may be converted into a Eurocurrency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85" w:lineRule="exact"/>
        <w:rPr>
          <w:sz w:val="20"/>
          <w:szCs w:val="20"/>
          <w:color w:val="auto"/>
        </w:rPr>
      </w:pPr>
    </w:p>
    <w:p>
      <w:pPr>
        <w:ind w:right="60" w:firstLine="998"/>
        <w:spacing w:after="0" w:line="268" w:lineRule="auto"/>
        <w:tabs>
          <w:tab w:leader="none" w:pos="1233"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Eurocurrency Loan under the Facility shall be converted to an ABR Loan at the end of the Interest Period applicable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85" w:lineRule="exact"/>
        <w:rPr>
          <w:sz w:val="20"/>
          <w:szCs w:val="20"/>
          <w:color w:val="auto"/>
        </w:rPr>
      </w:pPr>
    </w:p>
    <w:p>
      <w:pPr>
        <w:ind w:right="80" w:firstLine="989"/>
        <w:spacing w:after="0" w:line="26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ten (10) Eurocurrency Tranches shall be outstanding at any one time.</w:t>
      </w:r>
    </w:p>
    <w:p>
      <w:pPr>
        <w:spacing w:after="0" w:line="182" w:lineRule="exact"/>
        <w:rPr>
          <w:sz w:val="20"/>
          <w:szCs w:val="20"/>
          <w:color w:val="auto"/>
        </w:rPr>
      </w:pPr>
    </w:p>
    <w:p>
      <w:pPr>
        <w:ind w:right="500" w:firstLine="989"/>
        <w:spacing w:after="0" w:line="341"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Interest Rates and Payment Dates</w:t>
      </w:r>
      <w:r>
        <w:rPr>
          <w:rFonts w:ascii="Arial" w:cs="Arial" w:eastAsia="Arial" w:hAnsi="Arial"/>
          <w:sz w:val="16"/>
          <w:szCs w:val="16"/>
          <w:color w:val="auto"/>
        </w:rPr>
        <w:t xml:space="preserve">. vi) Each Eurocurrency Loan shall bear interest for each day during each Interest Period with respect thereto at a rate per annum equal to the Eurocurrency Rate determined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w:t>
      </w:r>
    </w:p>
    <w:p>
      <w:pPr>
        <w:spacing w:after="0" w:line="124" w:lineRule="exact"/>
        <w:rPr>
          <w:sz w:val="20"/>
          <w:szCs w:val="20"/>
          <w:color w:val="auto"/>
        </w:rPr>
      </w:pPr>
    </w:p>
    <w:p>
      <w:pPr>
        <w:ind w:right="240" w:firstLine="998"/>
        <w:spacing w:after="0" w:line="276" w:lineRule="auto"/>
        <w:tabs>
          <w:tab w:leader="none" w:pos="123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284" w:name="page285"/>
    <w:bookmarkEnd w:id="284"/>
    <w:p>
      <w:pPr>
        <w:ind w:left="1260" w:hanging="262"/>
        <w:spacing w:after="0"/>
        <w:tabs>
          <w:tab w:leader="none" w:pos="1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3" w:lineRule="exact"/>
        <w:rPr>
          <w:rFonts w:ascii="Arial" w:cs="Arial" w:eastAsia="Arial" w:hAnsi="Arial"/>
          <w:sz w:val="18"/>
          <w:szCs w:val="18"/>
          <w:color w:val="auto"/>
        </w:rPr>
      </w:pPr>
    </w:p>
    <w:p>
      <w:pPr>
        <w:ind w:left="1240" w:hanging="242"/>
        <w:spacing w:after="0"/>
        <w:tabs>
          <w:tab w:leader="none" w:pos="12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24" w:lineRule="exact"/>
        <w:rPr>
          <w:rFonts w:ascii="Arial" w:cs="Arial" w:eastAsia="Arial" w:hAnsi="Arial"/>
          <w:sz w:val="18"/>
          <w:szCs w:val="18"/>
          <w:color w:val="auto"/>
        </w:rPr>
      </w:pPr>
    </w:p>
    <w:p>
      <w:pPr>
        <w:ind w:right="80" w:firstLine="998"/>
        <w:spacing w:after="0" w:line="273" w:lineRule="auto"/>
        <w:tabs>
          <w:tab w:leader="none" w:pos="124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(as well after as before judgment).</w:t>
      </w:r>
    </w:p>
    <w:p>
      <w:pPr>
        <w:spacing w:after="0" w:line="174" w:lineRule="exact"/>
        <w:rPr>
          <w:rFonts w:ascii="Arial" w:cs="Arial" w:eastAsia="Arial" w:hAnsi="Arial"/>
          <w:sz w:val="17"/>
          <w:szCs w:val="17"/>
          <w:color w:val="auto"/>
        </w:rPr>
      </w:pPr>
    </w:p>
    <w:p>
      <w:pPr>
        <w:ind w:right="160" w:firstLine="998"/>
        <w:spacing w:after="0" w:line="276" w:lineRule="auto"/>
        <w:tabs>
          <w:tab w:leader="none" w:pos="123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interest accruing pursuant to Section 2.16(e) shall be payable from time to time on demand.</w:t>
      </w:r>
    </w:p>
    <w:p>
      <w:pPr>
        <w:spacing w:after="0" w:line="170" w:lineRule="exact"/>
        <w:rPr>
          <w:rFonts w:ascii="Arial" w:cs="Arial" w:eastAsia="Arial" w:hAnsi="Arial"/>
          <w:sz w:val="18"/>
          <w:szCs w:val="18"/>
          <w:color w:val="auto"/>
        </w:rPr>
      </w:pPr>
    </w:p>
    <w:p>
      <w:pPr>
        <w:ind w:left="1220" w:hanging="222"/>
        <w:spacing w:after="0"/>
        <w:tabs>
          <w:tab w:leader="none" w:pos="12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4" w:lineRule="exact"/>
        <w:rPr>
          <w:rFonts w:ascii="Arial" w:cs="Arial" w:eastAsia="Arial" w:hAnsi="Arial"/>
          <w:sz w:val="18"/>
          <w:szCs w:val="18"/>
          <w:color w:val="auto"/>
        </w:rPr>
      </w:pPr>
    </w:p>
    <w:p>
      <w:pPr>
        <w:ind w:left="1260" w:hanging="262"/>
        <w:spacing w:after="0"/>
        <w:tabs>
          <w:tab w:leader="none" w:pos="1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All interest hereunder shall be paid in Dollars.</w:t>
      </w:r>
    </w:p>
    <w:p>
      <w:pPr>
        <w:spacing w:after="0" w:line="224" w:lineRule="exact"/>
        <w:rPr>
          <w:sz w:val="20"/>
          <w:szCs w:val="20"/>
          <w:color w:val="auto"/>
        </w:rPr>
      </w:pPr>
    </w:p>
    <w:p>
      <w:pPr>
        <w:ind w:right="100" w:firstLine="989"/>
        <w:spacing w:after="0" w:line="29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vii)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The Administrative Agent shall as soon as practicable notify the Company or relevant Subsidiary Borrower and the Lenders of each determination of a Eurocurrency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62" w:lineRule="exact"/>
        <w:rPr>
          <w:sz w:val="20"/>
          <w:szCs w:val="20"/>
          <w:color w:val="auto"/>
        </w:rPr>
      </w:pPr>
    </w:p>
    <w:p>
      <w:pPr>
        <w:ind w:right="20" w:firstLine="998"/>
        <w:spacing w:after="0" w:line="278" w:lineRule="auto"/>
        <w:tabs>
          <w:tab w:leader="none" w:pos="1233" w:val="left"/>
        </w:tabs>
        <w:numPr>
          <w:ilvl w:val="0"/>
          <w:numId w:val="262"/>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pursuant to any provision of this Agreement or any other Loan Document shall be conclusive and binding on the Company, any Subsidiary Borrower and the Lenders in the absence of manifest error. The Administrative Agent shall, at the request of the Company or any Subsidiary Borrower, deliver to the Company or such Subsidiary Borrower a statement showing the quotations used by the Administrative Agent in determining any interest rate pursuant to Section 2.17(a).</w:t>
      </w:r>
    </w:p>
    <w:p>
      <w:pPr>
        <w:spacing w:after="0" w:line="172" w:lineRule="exact"/>
        <w:rPr>
          <w:sz w:val="20"/>
          <w:szCs w:val="20"/>
          <w:color w:val="auto"/>
        </w:rPr>
      </w:pPr>
    </w:p>
    <w:p>
      <w:pPr>
        <w:ind w:right="280" w:firstLine="989"/>
        <w:spacing w:after="0" w:line="276"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viii) Subject to clauses (b), (c), (d), (e), (f) and (g) of this Section 2.18, if prior to the commencement of any Interest Period for a Eurocurrency Borrowing:</w:t>
      </w:r>
    </w:p>
    <w:p>
      <w:pPr>
        <w:spacing w:after="0" w:line="63" w:lineRule="exact"/>
        <w:rPr>
          <w:sz w:val="20"/>
          <w:szCs w:val="20"/>
          <w:color w:val="auto"/>
        </w:rPr>
      </w:pPr>
    </w:p>
    <w:p>
      <w:pPr>
        <w:ind w:firstLine="998"/>
        <w:spacing w:after="0" w:line="263" w:lineRule="auto"/>
        <w:tabs>
          <w:tab w:leader="none" w:pos="120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Borrower) that adequate and reasonable means do not exist for ascertaining the Eurocurrency Rate or the Eurocurrency Base Rate, as applicable (including because the LIBO Screen Rate is not available or published on a current basis), for such Interest Period; or</w:t>
      </w:r>
    </w:p>
    <w:p>
      <w:pPr>
        <w:spacing w:after="0" w:line="181" w:lineRule="exact"/>
        <w:rPr>
          <w:rFonts w:ascii="Arial" w:cs="Arial" w:eastAsia="Arial" w:hAnsi="Arial"/>
          <w:sz w:val="18"/>
          <w:szCs w:val="18"/>
          <w:color w:val="auto"/>
        </w:rPr>
      </w:pPr>
    </w:p>
    <w:p>
      <w:pPr>
        <w:jc w:val="both"/>
        <w:ind w:right="180" w:firstLine="998"/>
        <w:spacing w:after="0" w:line="258" w:lineRule="auto"/>
        <w:tabs>
          <w:tab w:leader="none" w:pos="125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(or, in the case of a Eurocurrency Competitive Loan, the Lender that is required to make such Loan) that the Eurocurrency Rate or the Eurocurrency Base Rate, as applicable, for such Interest Period will not adequately and fairly reflect the cost to such Lenders (or Lender) of making or maintaining their Loans (or its Loan) included in such Borrowing for such Interest Period;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85" w:name="page286"/>
    <w:bookmarkEnd w:id="285"/>
    <w:p>
      <w:pPr>
        <w:ind w:firstLine="989"/>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 the Administrative Agent shall give notice thereof to the Company and any relevant Subsidiary Borrower and the relevant Lenders by telephone, telecopy or electronic mail as promptly as practicable thereafter and, until the Administrative Agent notifies the Company and the Lenders that the circumstances giving rise to such notice no longer exist, (A) any Interest Election Request that requests the conversion of any Borrowing to, or continuation of any Borrowing as, a Eurocurrency Borrowing shall be ineffective, (B) if any Borrowing Request requests a Eurocurrency Borrowing in Dollars, such Borrowing shall be made as an ABR Borrowing and (C) any request by the Borrower for a Eurocurrency Competitive Borrowing shall be ineffective;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if the circumstances giving rise to such notice do not affect all the Lenders, then requests by the Borrower for Eurocurrency Competitive Borrowings may be made to Lenders that are not affected thereby and (y) if the circumstances giving rise to such notice affect only one Type of Borrowings, then all other Types of Borrowings shall be permitted.</w:t>
      </w:r>
    </w:p>
    <w:p>
      <w:pPr>
        <w:spacing w:after="0" w:line="180" w:lineRule="exact"/>
        <w:rPr>
          <w:sz w:val="20"/>
          <w:szCs w:val="20"/>
          <w:color w:val="auto"/>
        </w:rPr>
      </w:pPr>
    </w:p>
    <w:p>
      <w:pPr>
        <w:ind w:firstLine="998"/>
        <w:spacing w:after="0" w:line="268" w:lineRule="auto"/>
        <w:tabs>
          <w:tab w:leader="none" w:pos="1243" w:val="left"/>
        </w:tabs>
        <w:numPr>
          <w:ilvl w:val="1"/>
          <w:numId w:val="264"/>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4" w:lineRule="exact"/>
        <w:rPr>
          <w:rFonts w:ascii="Arial" w:cs="Arial" w:eastAsia="Arial" w:hAnsi="Arial"/>
          <w:sz w:val="17"/>
          <w:szCs w:val="17"/>
          <w:color w:val="auto"/>
        </w:rPr>
      </w:pPr>
    </w:p>
    <w:p>
      <w:pPr>
        <w:ind w:right="60" w:firstLine="998"/>
        <w:spacing w:after="0" w:line="291" w:lineRule="auto"/>
        <w:tabs>
          <w:tab w:leader="none" w:pos="1233"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(c) shall not be effective unless the Administrative Agent has delivered to the Lenders and the Company a Term SOFR Notice. For the avoidance of doubt, the Administrative Agent shall not be required to deliver a Term SOFR Notice after a Term SOFR Transition Event and may do so in its sole discretion.</w:t>
      </w:r>
    </w:p>
    <w:p>
      <w:pPr>
        <w:spacing w:after="0" w:line="162" w:lineRule="exact"/>
        <w:rPr>
          <w:rFonts w:ascii="Arial" w:cs="Arial" w:eastAsia="Arial" w:hAnsi="Arial"/>
          <w:sz w:val="16"/>
          <w:szCs w:val="16"/>
          <w:color w:val="auto"/>
        </w:rPr>
      </w:pPr>
    </w:p>
    <w:p>
      <w:pPr>
        <w:ind w:right="20" w:firstLine="998"/>
        <w:spacing w:after="0" w:line="258" w:lineRule="auto"/>
        <w:tabs>
          <w:tab w:leader="none" w:pos="1243"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Arial" w:cs="Arial" w:eastAsia="Arial" w:hAnsi="Arial"/>
          <w:sz w:val="18"/>
          <w:szCs w:val="18"/>
          <w:color w:val="auto"/>
        </w:rPr>
      </w:pPr>
    </w:p>
    <w:p>
      <w:pPr>
        <w:ind w:right="20" w:firstLine="998"/>
        <w:spacing w:after="0" w:line="287" w:lineRule="auto"/>
        <w:tabs>
          <w:tab w:leader="none" w:pos="1233"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Company and the Lenders of (i) any occurrence of a Benchmark Transition Event, a Term SOFR Transition Event or an Early Opt-in Election, as applicable, (ii) the implementation of any Benchmark Replacement, (iii) the effectiveness of any Benchmark Replacement Conforming Changes, (iv) the removal or reinstatement of any tenor of a Benchmark pursuant to clause (d) below and</w:t>
      </w:r>
    </w:p>
    <w:p>
      <w:pPr>
        <w:ind w:left="260" w:hanging="251"/>
        <w:spacing w:after="0"/>
        <w:tabs>
          <w:tab w:leader="none" w:pos="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commencement or conclusion of any Benchmark</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86" w:name="page287"/>
    <w:bookmarkEnd w:id="286"/>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73" w:lineRule="exact"/>
        <w:rPr>
          <w:sz w:val="20"/>
          <w:szCs w:val="20"/>
          <w:color w:val="auto"/>
        </w:rPr>
      </w:pPr>
    </w:p>
    <w:p>
      <w:pPr>
        <w:ind w:right="60" w:firstLine="998"/>
        <w:spacing w:after="0" w:line="269" w:lineRule="auto"/>
        <w:tabs>
          <w:tab w:leader="none" w:pos="1213" w:val="left"/>
        </w:tabs>
        <w:numPr>
          <w:ilvl w:val="0"/>
          <w:numId w:val="266"/>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(i) if the then-current Benchmark is a term rate (including Term SOFR or Eurocurrency Base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9" w:lineRule="exact"/>
        <w:rPr>
          <w:rFonts w:ascii="Arial" w:cs="Arial" w:eastAsia="Arial" w:hAnsi="Arial"/>
          <w:sz w:val="17"/>
          <w:szCs w:val="17"/>
          <w:color w:val="auto"/>
        </w:rPr>
      </w:pPr>
    </w:p>
    <w:p>
      <w:pPr>
        <w:ind w:right="40" w:firstLine="998"/>
        <w:spacing w:after="0" w:line="255" w:lineRule="auto"/>
        <w:tabs>
          <w:tab w:leader="none" w:pos="124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Eurocurrency Borrowing of, conversion to or continuation of Eurocurrency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89" w:lineRule="exact"/>
        <w:rPr>
          <w:sz w:val="20"/>
          <w:szCs w:val="20"/>
          <w:color w:val="auto"/>
        </w:rPr>
      </w:pPr>
    </w:p>
    <w:p>
      <w:pPr>
        <w:ind w:firstLine="989"/>
        <w:spacing w:after="0" w:line="278"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Pro Rata Treatment and Payments; Evidence of Debt</w:t>
      </w:r>
      <w:r>
        <w:rPr>
          <w:rFonts w:ascii="Arial" w:cs="Arial" w:eastAsia="Arial" w:hAnsi="Arial"/>
          <w:sz w:val="17"/>
          <w:szCs w:val="17"/>
          <w:color w:val="auto"/>
        </w:rPr>
        <w:t xml:space="preserve">. ix)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Percentages under the Facility, of the relevant Lenders in the Facility except to the extent required or permitted pursuant to Sections 2.9, 2.11, 2.24 and 2.25.</w:t>
      </w:r>
    </w:p>
    <w:p>
      <w:pPr>
        <w:spacing w:after="0" w:line="172" w:lineRule="exact"/>
        <w:rPr>
          <w:sz w:val="20"/>
          <w:szCs w:val="20"/>
          <w:color w:val="auto"/>
        </w:rPr>
      </w:pPr>
    </w:p>
    <w:p>
      <w:pPr>
        <w:jc w:val="both"/>
        <w:ind w:right="60" w:firstLine="998"/>
        <w:spacing w:after="0" w:line="287" w:lineRule="auto"/>
        <w:tabs>
          <w:tab w:leader="none" w:pos="1233"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the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the Facility according to the respective outstanding principal amounts of the Loans under the Facility then held by the Lenders under the Facility except to the extent required or permitted pursuant to Sections 2.9, 2.11, 2.24 and 2.25.</w:t>
      </w:r>
    </w:p>
    <w:p>
      <w:pPr>
        <w:spacing w:after="0"/>
        <w:rPr>
          <w:rFonts w:ascii="Arial" w:cs="Arial" w:eastAsia="Arial" w:hAnsi="Arial"/>
          <w:sz w:val="16"/>
          <w:szCs w:val="16"/>
          <w:color w:val="auto"/>
        </w:rPr>
      </w:pPr>
      <w:r>
        <w:rPr>
          <w:rFonts w:ascii="Arial" w:cs="Arial" w:eastAsia="Arial" w:hAnsi="Arial"/>
          <w:sz w:val="18"/>
          <w:szCs w:val="18"/>
          <w:color w:val="auto"/>
        </w:rPr>
        <w:t>Each such payment shall be paid in Dollars.</w:t>
      </w:r>
    </w:p>
    <w:p>
      <w:pPr>
        <w:spacing w:after="0" w:line="209" w:lineRule="exact"/>
        <w:rPr>
          <w:rFonts w:ascii="Arial" w:cs="Arial" w:eastAsia="Arial" w:hAnsi="Arial"/>
          <w:sz w:val="16"/>
          <w:szCs w:val="16"/>
          <w:color w:val="auto"/>
        </w:rPr>
      </w:pPr>
    </w:p>
    <w:p>
      <w:pPr>
        <w:ind w:right="20" w:firstLine="998"/>
        <w:spacing w:after="0" w:line="256" w:lineRule="auto"/>
        <w:tabs>
          <w:tab w:leader="none" w:pos="124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3" w:right="479" w:bottom="1440" w:gutter="0" w:footer="0" w:header="0"/>
        </w:sectPr>
      </w:pPr>
    </w:p>
    <w:bookmarkStart w:id="287" w:name="page288"/>
    <w:bookmarkEnd w:id="287"/>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1" w:lineRule="exact"/>
        <w:rPr>
          <w:sz w:val="20"/>
          <w:szCs w:val="20"/>
          <w:color w:val="auto"/>
        </w:rPr>
      </w:pPr>
    </w:p>
    <w:p>
      <w:pPr>
        <w:ind w:right="40" w:firstLine="998"/>
        <w:spacing w:after="0" w:line="287" w:lineRule="auto"/>
        <w:tabs>
          <w:tab w:leader="none" w:pos="123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165" w:lineRule="exact"/>
        <w:rPr>
          <w:rFonts w:ascii="Arial" w:cs="Arial" w:eastAsia="Arial" w:hAnsi="Arial"/>
          <w:sz w:val="16"/>
          <w:szCs w:val="16"/>
          <w:color w:val="auto"/>
        </w:rPr>
      </w:pPr>
    </w:p>
    <w:p>
      <w:pPr>
        <w:ind w:firstLine="998"/>
        <w:spacing w:after="0" w:line="269" w:lineRule="auto"/>
        <w:tabs>
          <w:tab w:leader="none" w:pos="124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183" w:lineRule="exact"/>
        <w:rPr>
          <w:rFonts w:ascii="Arial" w:cs="Arial" w:eastAsia="Arial" w:hAnsi="Arial"/>
          <w:sz w:val="17"/>
          <w:szCs w:val="17"/>
          <w:color w:val="auto"/>
        </w:rPr>
      </w:pPr>
    </w:p>
    <w:p>
      <w:pPr>
        <w:ind w:right="120" w:firstLine="998"/>
        <w:spacing w:after="0" w:line="285" w:lineRule="auto"/>
        <w:tabs>
          <w:tab w:leader="none" w:pos="123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65" w:lineRule="exact"/>
        <w:rPr>
          <w:rFonts w:ascii="Arial" w:cs="Arial" w:eastAsia="Arial" w:hAnsi="Arial"/>
          <w:sz w:val="17"/>
          <w:szCs w:val="17"/>
          <w:color w:val="auto"/>
        </w:rPr>
      </w:pPr>
    </w:p>
    <w:p>
      <w:pPr>
        <w:jc w:val="both"/>
        <w:ind w:right="100" w:firstLine="998"/>
        <w:spacing w:after="0" w:line="258" w:lineRule="auto"/>
        <w:tabs>
          <w:tab w:leader="none" w:pos="121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8"/>
          <w:szCs w:val="18"/>
          <w:u w:val="single" w:color="auto"/>
          <w:color w:val="auto"/>
        </w:rPr>
        <w:t>Note</w:t>
      </w:r>
      <w:r>
        <w:rPr>
          <w:rFonts w:ascii="Arial" w:cs="Arial" w:eastAsia="Arial" w:hAnsi="Arial"/>
          <w:sz w:val="18"/>
          <w:szCs w:val="18"/>
          <w:color w:val="auto"/>
        </w:rPr>
        <w:t>”), with appropriate insertions as to date and principal amount.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88" w:name="page289"/>
    <w:bookmarkEnd w:id="288"/>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Except with respect to Competitive Loans to which this Section 2.20 shall not apply:</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If any Change in Law shall:</w:t>
      </w:r>
    </w:p>
    <w:p>
      <w:pPr>
        <w:spacing w:after="0" w:line="116" w:lineRule="exact"/>
        <w:rPr>
          <w:sz w:val="20"/>
          <w:szCs w:val="20"/>
          <w:color w:val="auto"/>
        </w:rPr>
      </w:pPr>
    </w:p>
    <w:p>
      <w:pPr>
        <w:ind w:right="100" w:firstLine="998"/>
        <w:spacing w:after="0" w:line="263" w:lineRule="auto"/>
        <w:tabs>
          <w:tab w:leader="none" w:pos="120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81" w:lineRule="exact"/>
        <w:rPr>
          <w:rFonts w:ascii="Arial" w:cs="Arial" w:eastAsia="Arial" w:hAnsi="Arial"/>
          <w:sz w:val="18"/>
          <w:szCs w:val="18"/>
          <w:color w:val="auto"/>
        </w:rPr>
      </w:pPr>
    </w:p>
    <w:p>
      <w:pPr>
        <w:ind w:left="1260" w:hanging="262"/>
        <w:spacing w:after="0"/>
        <w:tabs>
          <w:tab w:leader="none" w:pos="1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24" w:lineRule="exact"/>
        <w:rPr>
          <w:sz w:val="20"/>
          <w:szCs w:val="20"/>
          <w:color w:val="auto"/>
        </w:rPr>
      </w:pPr>
    </w:p>
    <w:p>
      <w:pPr>
        <w:ind w:firstLine="989"/>
        <w:spacing w:after="0" w:line="288" w:lineRule="auto"/>
        <w:rPr>
          <w:sz w:val="20"/>
          <w:szCs w:val="20"/>
          <w:color w:val="auto"/>
        </w:rPr>
      </w:pPr>
      <w:r>
        <w:rPr>
          <w:rFonts w:ascii="Arial" w:cs="Arial" w:eastAsia="Arial" w:hAnsi="Arial"/>
          <w:sz w:val="16"/>
          <w:szCs w:val="16"/>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Eurocurrency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68" w:lineRule="exact"/>
        <w:rPr>
          <w:sz w:val="20"/>
          <w:szCs w:val="20"/>
          <w:color w:val="auto"/>
        </w:rPr>
      </w:pPr>
    </w:p>
    <w:p>
      <w:pPr>
        <w:ind w:right="20" w:firstLine="998"/>
        <w:spacing w:after="0" w:line="289" w:lineRule="auto"/>
        <w:tabs>
          <w:tab w:leader="none" w:pos="124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67" w:lineRule="exact"/>
        <w:rPr>
          <w:rFonts w:ascii="Arial" w:cs="Arial" w:eastAsia="Arial" w:hAnsi="Arial"/>
          <w:sz w:val="16"/>
          <w:szCs w:val="16"/>
          <w:color w:val="auto"/>
        </w:rPr>
      </w:pPr>
    </w:p>
    <w:p>
      <w:pPr>
        <w:ind w:right="20" w:firstLine="998"/>
        <w:spacing w:after="0" w:line="254" w:lineRule="auto"/>
        <w:tabs>
          <w:tab w:leader="none" w:pos="123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Administrative Agent shall not be under any obligation to verify any such request of a Lender) and (ii) the Company and any relevant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289" w:name="page290"/>
    <w:bookmarkEnd w:id="289"/>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91" w:lineRule="exact"/>
        <w:rPr>
          <w:sz w:val="20"/>
          <w:szCs w:val="20"/>
          <w:color w:val="auto"/>
        </w:rPr>
      </w:pPr>
    </w:p>
    <w:p>
      <w:pPr>
        <w:ind w:right="40" w:firstLine="989"/>
        <w:spacing w:after="0" w:line="283"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Taxes</w:t>
      </w:r>
      <w:r>
        <w:rPr>
          <w:rFonts w:ascii="Arial" w:cs="Arial" w:eastAsia="Arial" w:hAnsi="Arial"/>
          <w:sz w:val="16"/>
          <w:szCs w:val="16"/>
          <w:color w:val="auto"/>
        </w:rPr>
        <w:t>. x)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w:t>
      </w:r>
    </w:p>
    <w:p>
      <w:pPr>
        <w:spacing w:after="0" w:line="3" w:lineRule="exact"/>
        <w:rPr>
          <w:sz w:val="20"/>
          <w:szCs w:val="20"/>
          <w:color w:val="auto"/>
        </w:rPr>
      </w:pPr>
    </w:p>
    <w:p>
      <w:pPr>
        <w:ind w:firstLine="9"/>
        <w:spacing w:after="0" w:line="266" w:lineRule="auto"/>
        <w:tabs>
          <w:tab w:leader="none" w:pos="214"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above and (iii) any Taxes imposed by reason of FATCA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If any Taxes are required to be deducted or withheld from any amounts payable to the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or withholdings and shall pay the full amount deducted or withheld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Loan 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7"/>
          <w:szCs w:val="17"/>
          <w:u w:val="single" w:color="auto"/>
          <w:color w:val="auto"/>
        </w:rPr>
        <w:t>Change in Tax Law</w:t>
      </w:r>
      <w:r>
        <w:rPr>
          <w:rFonts w:ascii="Arial" w:cs="Arial" w:eastAsia="Arial" w:hAnsi="Arial"/>
          <w:sz w:val="17"/>
          <w:szCs w:val="17"/>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181" w:lineRule="exact"/>
        <w:rPr>
          <w:rFonts w:ascii="Arial" w:cs="Arial" w:eastAsia="Arial" w:hAnsi="Arial"/>
          <w:sz w:val="17"/>
          <w:szCs w:val="17"/>
          <w:color w:val="auto"/>
        </w:rPr>
      </w:pPr>
    </w:p>
    <w:p>
      <w:pPr>
        <w:ind w:left="5420" w:right="40" w:hanging="4422"/>
        <w:spacing w:after="0" w:line="448" w:lineRule="auto"/>
        <w:tabs>
          <w:tab w:leader="none" w:pos="124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In addition, each Loan Party shall pay any Other Taxes over to the relevant Governmental Authority in accordance with applicable law. 45</w:t>
      </w:r>
    </w:p>
    <w:p>
      <w:pPr>
        <w:sectPr>
          <w:pgSz w:w="11900" w:h="16838" w:orient="portrait"/>
          <w:cols w:equalWidth="0" w:num="1">
            <w:col w:w="11000"/>
          </w:cols>
          <w:pgMar w:left="440" w:top="274" w:right="459" w:bottom="1440" w:gutter="0" w:footer="0" w:header="0"/>
        </w:sectPr>
      </w:pPr>
    </w:p>
    <w:bookmarkStart w:id="290" w:name="page291"/>
    <w:bookmarkEnd w:id="290"/>
    <w:p>
      <w:pPr>
        <w:jc w:val="both"/>
        <w:ind w:left="-9" w:right="340" w:firstLine="998"/>
        <w:spacing w:after="0" w:line="285" w:lineRule="auto"/>
        <w:tabs>
          <w:tab w:leader="none" w:pos="1234" w:val="left"/>
        </w:tabs>
        <w:numPr>
          <w:ilvl w:val="1"/>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w:t>
      </w:r>
    </w:p>
    <w:p>
      <w:pPr>
        <w:spacing w:after="0" w:line="2" w:lineRule="exact"/>
        <w:rPr>
          <w:rFonts w:ascii="Arial" w:cs="Arial" w:eastAsia="Arial" w:hAnsi="Arial"/>
          <w:sz w:val="16"/>
          <w:szCs w:val="16"/>
          <w:color w:val="auto"/>
        </w:rPr>
      </w:pPr>
    </w:p>
    <w:p>
      <w:pPr>
        <w:ind w:left="-9" w:right="40" w:firstLine="9"/>
        <w:spacing w:after="0" w:line="289" w:lineRule="auto"/>
        <w:tabs>
          <w:tab w:leader="none" w:pos="25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w:t>
      </w:r>
    </w:p>
    <w:p>
      <w:pPr>
        <w:spacing w:after="0" w:line="164" w:lineRule="exact"/>
        <w:rPr>
          <w:rFonts w:ascii="Arial" w:cs="Arial" w:eastAsia="Arial" w:hAnsi="Arial"/>
          <w:sz w:val="16"/>
          <w:szCs w:val="16"/>
          <w:color w:val="auto"/>
        </w:rPr>
      </w:pPr>
    </w:p>
    <w:p>
      <w:pPr>
        <w:ind w:left="-9" w:firstLine="998"/>
        <w:spacing w:after="0" w:line="283" w:lineRule="auto"/>
        <w:tabs>
          <w:tab w:leader="none" w:pos="1224" w:val="left"/>
        </w:tabs>
        <w:numPr>
          <w:ilvl w:val="1"/>
          <w:numId w:val="273"/>
        </w:numPr>
        <w:rPr>
          <w:rFonts w:ascii="Arial" w:cs="Arial" w:eastAsia="Arial" w:hAnsi="Arial"/>
          <w:sz w:val="16"/>
          <w:szCs w:val="16"/>
          <w:color w:val="auto"/>
        </w:rPr>
      </w:pPr>
      <w:r>
        <w:rPr>
          <w:rFonts w:ascii="Arial" w:cs="Arial" w:eastAsia="Arial" w:hAnsi="Arial"/>
          <w:sz w:val="16"/>
          <w:szCs w:val="16"/>
          <w:color w:val="auto"/>
        </w:rPr>
        <w:t>Each Lender (or Transferee) (i) that is not a “United States person” as defined in Section 7701(a)(30) of the Code (a “</w:t>
      </w:r>
      <w:r>
        <w:rPr>
          <w:rFonts w:ascii="Arial" w:cs="Arial" w:eastAsia="Arial" w:hAnsi="Arial"/>
          <w:sz w:val="16"/>
          <w:szCs w:val="16"/>
          <w:u w:val="single" w:color="auto"/>
          <w:color w:val="auto"/>
        </w:rPr>
        <w:t>Non-U.S.</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w:t>
      </w:r>
    </w:p>
    <w:p>
      <w:pPr>
        <w:spacing w:after="0" w:line="326"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91"/>
          </w:cols>
          <w:pgMar w:left="449" w:top="273" w:right="459" w:bottom="1440" w:gutter="0" w:footer="0" w:header="0"/>
        </w:sectPr>
      </w:pPr>
    </w:p>
    <w:bookmarkStart w:id="291" w:name="page292"/>
    <w:bookmarkEnd w:id="291"/>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154" w:lineRule="exact"/>
        <w:rPr>
          <w:sz w:val="20"/>
          <w:szCs w:val="20"/>
          <w:color w:val="auto"/>
        </w:rPr>
      </w:pPr>
    </w:p>
    <w:p>
      <w:pPr>
        <w:ind w:firstLine="998"/>
        <w:spacing w:after="0" w:line="285" w:lineRule="auto"/>
        <w:tabs>
          <w:tab w:leader="none" w:pos="124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73" w:lineRule="exact"/>
        <w:rPr>
          <w:rFonts w:ascii="Arial" w:cs="Arial" w:eastAsia="Arial" w:hAnsi="Arial"/>
          <w:sz w:val="16"/>
          <w:szCs w:val="16"/>
          <w:color w:val="auto"/>
        </w:rPr>
      </w:pPr>
    </w:p>
    <w:p>
      <w:pPr>
        <w:ind w:right="60" w:firstLine="998"/>
        <w:spacing w:after="0" w:line="273" w:lineRule="auto"/>
        <w:tabs>
          <w:tab w:leader="none" w:pos="123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74" w:lineRule="exact"/>
        <w:rPr>
          <w:rFonts w:ascii="Arial" w:cs="Arial" w:eastAsia="Arial" w:hAnsi="Arial"/>
          <w:sz w:val="17"/>
          <w:szCs w:val="17"/>
          <w:color w:val="auto"/>
        </w:rPr>
      </w:pPr>
    </w:p>
    <w:p>
      <w:pPr>
        <w:ind w:left="1220" w:hanging="222"/>
        <w:spacing w:after="0"/>
        <w:tabs>
          <w:tab w:leader="none" w:pos="12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224" w:lineRule="exact"/>
        <w:rPr>
          <w:rFonts w:ascii="Arial" w:cs="Arial" w:eastAsia="Arial" w:hAnsi="Arial"/>
          <w:sz w:val="18"/>
          <w:szCs w:val="18"/>
          <w:color w:val="auto"/>
        </w:rPr>
      </w:pPr>
    </w:p>
    <w:p>
      <w:pPr>
        <w:ind w:right="620" w:firstLine="998"/>
        <w:spacing w:after="0" w:line="276" w:lineRule="auto"/>
        <w:tabs>
          <w:tab w:leader="none" w:pos="124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termination of this Agreement and the payment of the Loans and all other amounts payable hereunder and the other Loan Documents.</w:t>
      </w:r>
    </w:p>
    <w:p>
      <w:pPr>
        <w:spacing w:after="0" w:line="170" w:lineRule="exact"/>
        <w:rPr>
          <w:sz w:val="20"/>
          <w:szCs w:val="20"/>
          <w:color w:val="auto"/>
        </w:rPr>
      </w:pPr>
    </w:p>
    <w:p>
      <w:pPr>
        <w:ind w:right="40" w:firstLine="989"/>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Indemnity</w:t>
      </w:r>
      <w:r>
        <w:rPr>
          <w:rFonts w:ascii="Arial" w:cs="Arial" w:eastAsia="Arial" w:hAnsi="Arial"/>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292" w:name="page293"/>
    <w:bookmarkEnd w:id="29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2" w:lineRule="exact"/>
        <w:rPr>
          <w:sz w:val="20"/>
          <w:szCs w:val="20"/>
          <w:color w:val="auto"/>
        </w:rPr>
      </w:pPr>
    </w:p>
    <w:p>
      <w:pPr>
        <w:ind w:right="20" w:firstLine="989"/>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2.23 shall affect or postpone any of the obligations of the Company or the rights of any Lender pursuant to Section 2.20 or 2.21(a).</w:t>
      </w:r>
    </w:p>
    <w:p>
      <w:pPr>
        <w:spacing w:after="0" w:line="191" w:lineRule="exact"/>
        <w:rPr>
          <w:sz w:val="20"/>
          <w:szCs w:val="20"/>
          <w:color w:val="auto"/>
        </w:rPr>
      </w:pPr>
    </w:p>
    <w:p>
      <w:pPr>
        <w:ind w:firstLine="989"/>
        <w:spacing w:after="0" w:line="267"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Replacement/Termination of Lenders</w:t>
      </w:r>
      <w:r>
        <w:rPr>
          <w:rFonts w:ascii="Arial" w:cs="Arial" w:eastAsia="Arial" w:hAnsi="Arial"/>
          <w:sz w:val="17"/>
          <w:szCs w:val="17"/>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293" w:name="page294"/>
    <w:bookmarkEnd w:id="293"/>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4" w:lineRule="exact"/>
        <w:rPr>
          <w:sz w:val="20"/>
          <w:szCs w:val="20"/>
          <w:color w:val="auto"/>
        </w:rPr>
      </w:pPr>
    </w:p>
    <w:p>
      <w:pPr>
        <w:ind w:right="740" w:firstLine="989"/>
        <w:spacing w:after="0" w:line="276"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3" w:lineRule="exact"/>
        <w:rPr>
          <w:sz w:val="20"/>
          <w:szCs w:val="20"/>
          <w:color w:val="auto"/>
        </w:rPr>
      </w:pPr>
    </w:p>
    <w:p>
      <w:pPr>
        <w:ind w:left="1240" w:hanging="242"/>
        <w:spacing w:after="0"/>
        <w:tabs>
          <w:tab w:leader="none" w:pos="12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Facility Fees, if any, shall cease to accrue on the unfunded Commitment of such Defaulting Lender pursuant to Section 2.10; and</w:t>
      </w:r>
    </w:p>
    <w:p>
      <w:pPr>
        <w:spacing w:after="0" w:line="235" w:lineRule="exact"/>
        <w:rPr>
          <w:rFonts w:ascii="Arial" w:cs="Arial" w:eastAsia="Arial" w:hAnsi="Arial"/>
          <w:sz w:val="17"/>
          <w:szCs w:val="17"/>
          <w:color w:val="auto"/>
        </w:rPr>
      </w:pPr>
    </w:p>
    <w:p>
      <w:pPr>
        <w:ind w:right="80" w:firstLine="998"/>
        <w:spacing w:after="0" w:line="253" w:lineRule="auto"/>
        <w:tabs>
          <w:tab w:leader="none" w:pos="124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91" w:lineRule="exact"/>
        <w:rPr>
          <w:sz w:val="20"/>
          <w:szCs w:val="20"/>
          <w:color w:val="auto"/>
        </w:rPr>
      </w:pPr>
    </w:p>
    <w:p>
      <w:pPr>
        <w:ind w:firstLine="989"/>
        <w:spacing w:after="0" w:line="267"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Reallocation of Payments for the Account of Defaulting Lenders</w:t>
      </w:r>
      <w:r>
        <w:rPr>
          <w:rFonts w:ascii="Arial" w:cs="Arial" w:eastAsia="Arial" w:hAnsi="Arial"/>
          <w:sz w:val="17"/>
          <w:szCs w:val="17"/>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to the payment of any amounts owing by such Defaulting Lender to the Administrative Agent hereunder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amounts owed by such Defaulting Lender to the Administrative Agent);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294" w:name="page295"/>
    <w:bookmarkEnd w:id="294"/>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82" w:lineRule="exact"/>
        <w:rPr>
          <w:sz w:val="20"/>
          <w:szCs w:val="20"/>
          <w:color w:val="auto"/>
        </w:rPr>
      </w:pPr>
    </w:p>
    <w:p>
      <w:pPr>
        <w:ind w:right="40" w:firstLine="989"/>
        <w:spacing w:after="0" w:line="25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increasing the existing Commitments under the Facility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by executing and delivering to the Administrative Agent an Incremental Loan Activation Notice signed by such Lenders or such additional lenders and specifying (i) the respective Incremental Commitments of such Incremental Lenders and (ii) the applicable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such 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 billion.</w:t>
      </w:r>
    </w:p>
    <w:p>
      <w:pPr>
        <w:spacing w:after="0" w:line="194" w:lineRule="exact"/>
        <w:rPr>
          <w:sz w:val="20"/>
          <w:szCs w:val="20"/>
          <w:color w:val="auto"/>
        </w:rPr>
      </w:pPr>
    </w:p>
    <w:p>
      <w:pPr>
        <w:ind w:right="40" w:firstLine="998"/>
        <w:spacing w:after="0" w:line="273" w:lineRule="auto"/>
        <w:tabs>
          <w:tab w:leader="none" w:pos="1243" w:val="left"/>
        </w:tabs>
        <w:numPr>
          <w:ilvl w:val="0"/>
          <w:numId w:val="276"/>
        </w:numPr>
        <w:rPr>
          <w:rFonts w:ascii="Arial" w:cs="Arial" w:eastAsia="Arial" w:hAnsi="Arial"/>
          <w:sz w:val="17"/>
          <w:szCs w:val="17"/>
          <w:color w:val="auto"/>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xml:space="preserve">”) to the Company and/or the applicable Subsidiary Borrowers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shall be construed to obligate any Lender to execute an Incremental Loan Activation Notice.</w:t>
      </w:r>
    </w:p>
    <w:p>
      <w:pPr>
        <w:spacing w:after="0" w:line="174" w:lineRule="exact"/>
        <w:rPr>
          <w:rFonts w:ascii="Arial" w:cs="Arial" w:eastAsia="Arial" w:hAnsi="Arial"/>
          <w:sz w:val="17"/>
          <w:szCs w:val="17"/>
          <w:color w:val="auto"/>
        </w:rPr>
      </w:pPr>
    </w:p>
    <w:p>
      <w:pPr>
        <w:ind w:firstLine="998"/>
        <w:spacing w:after="0" w:line="271" w:lineRule="auto"/>
        <w:tabs>
          <w:tab w:leader="none" w:pos="1233" w:val="left"/>
        </w:tabs>
        <w:numPr>
          <w:ilvl w:val="0"/>
          <w:numId w:val="276"/>
        </w:numPr>
        <w:rPr>
          <w:rFonts w:ascii="Arial" w:cs="Arial" w:eastAsia="Arial" w:hAnsi="Arial"/>
          <w:sz w:val="17"/>
          <w:szCs w:val="17"/>
          <w:color w:val="auto"/>
        </w:rPr>
      </w:pPr>
      <w:r>
        <w:rPr>
          <w:rFonts w:ascii="Arial" w:cs="Arial" w:eastAsia="Arial" w:hAnsi="Arial"/>
          <w:sz w:val="17"/>
          <w:szCs w:val="17"/>
          <w:color w:val="auto"/>
        </w:rPr>
        <w:t>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Term Loan Conversion; Repayment of Converted Term Loans</w:t>
      </w:r>
      <w:r>
        <w:rPr>
          <w:rFonts w:ascii="Arial" w:cs="Arial" w:eastAsia="Arial" w:hAnsi="Arial"/>
          <w:sz w:val="18"/>
          <w:szCs w:val="18"/>
          <w:color w:val="auto"/>
        </w:rPr>
        <w:t>.</w:t>
      </w:r>
    </w:p>
    <w:p>
      <w:pPr>
        <w:spacing w:after="0" w:line="224" w:lineRule="exact"/>
        <w:rPr>
          <w:sz w:val="20"/>
          <w:szCs w:val="20"/>
          <w:color w:val="auto"/>
        </w:rPr>
      </w:pPr>
    </w:p>
    <w:p>
      <w:pPr>
        <w:ind w:right="40" w:firstLine="998"/>
        <w:spacing w:after="0" w:line="269" w:lineRule="auto"/>
        <w:tabs>
          <w:tab w:leader="none" w:pos="123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 the event that there are any Loans outstanding on the Termination Date, at the option of the applicable Borrower or the Company, all or a portion of such Loans may be converted to term loans (each, a “</w:t>
      </w:r>
      <w:r>
        <w:rPr>
          <w:rFonts w:ascii="Arial" w:cs="Arial" w:eastAsia="Arial" w:hAnsi="Arial"/>
          <w:sz w:val="17"/>
          <w:szCs w:val="17"/>
          <w:u w:val="single" w:color="auto"/>
          <w:color w:val="auto"/>
        </w:rPr>
        <w:t>Converted Term Loan</w:t>
      </w:r>
      <w:r>
        <w:rPr>
          <w:rFonts w:ascii="Arial" w:cs="Arial" w:eastAsia="Arial" w:hAnsi="Arial"/>
          <w:sz w:val="17"/>
          <w:szCs w:val="17"/>
          <w:color w:val="auto"/>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3" w:right="459" w:bottom="1440" w:gutter="0" w:footer="0" w:header="0"/>
        </w:sectPr>
      </w:pPr>
    </w:p>
    <w:bookmarkStart w:id="295" w:name="page296"/>
    <w:bookmarkEnd w:id="295"/>
    <w:p>
      <w:pPr>
        <w:ind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w:t>
      </w:r>
    </w:p>
    <w:p>
      <w:pPr>
        <w:spacing w:after="0" w:line="147" w:lineRule="exact"/>
        <w:rPr>
          <w:sz w:val="20"/>
          <w:szCs w:val="20"/>
          <w:color w:val="auto"/>
        </w:rPr>
      </w:pPr>
    </w:p>
    <w:p>
      <w:pPr>
        <w:ind w:firstLine="998"/>
        <w:spacing w:after="0" w:line="255" w:lineRule="auto"/>
        <w:tabs>
          <w:tab w:leader="none" w:pos="124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Each Converted Term Loan shall continue to bear interest at the same rate as, and contain such other terms that are identical to, the Loan from which such Converted Term Loan was converted (including, in the case of a Converted Term Loan that was converted from a Loan that was a Eurocurrency Loan at the time of conversion, the same Interest Period applicable to such Loan at the time of conversion) each reference herein to “Loans” shall be deemed to be a reference to “Converted Term Loans” as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amounts paid or prepaid in respect of Converted Term Loans may not be reborrowed. To the extent not previously paid, all Converted Term Loans shall be due and payable on the Converted Term Loan Maturity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[RESERVED]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4. REPRESENTATIONS AND WARRANTIES</w:t>
      </w:r>
    </w:p>
    <w:p>
      <w:pPr>
        <w:spacing w:after="0" w:line="2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 induce the Lenders to enter into this Agreement and to make the Loans the Company hereby represents and warrants to each Lender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2" w:lineRule="exact"/>
        <w:rPr>
          <w:sz w:val="20"/>
          <w:szCs w:val="20"/>
          <w:color w:val="auto"/>
        </w:rPr>
      </w:pPr>
    </w:p>
    <w:p>
      <w:pPr>
        <w:ind w:firstLine="989"/>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consolidated financial statements of the Company included in its Annual Report on Form 10-K, for the twelve-month period ended December 31, 2020 (the “</w:t>
      </w:r>
      <w:r>
        <w:rPr>
          <w:rFonts w:ascii="Arial" w:cs="Arial" w:eastAsia="Arial" w:hAnsi="Arial"/>
          <w:sz w:val="18"/>
          <w:szCs w:val="18"/>
          <w:u w:val="single" w:color="auto"/>
          <w:color w:val="auto"/>
        </w:rPr>
        <w:t>2020 10-K</w:t>
      </w:r>
      <w:r>
        <w:rPr>
          <w:rFonts w:ascii="Arial" w:cs="Arial" w:eastAsia="Arial" w:hAnsi="Arial"/>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2020;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91" w:lineRule="exact"/>
        <w:rPr>
          <w:sz w:val="20"/>
          <w:szCs w:val="20"/>
          <w:color w:val="auto"/>
        </w:rPr>
      </w:pPr>
    </w:p>
    <w:p>
      <w:pPr>
        <w:ind w:right="840" w:firstLine="989"/>
        <w:spacing w:after="0" w:line="27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2020 10-K and the Closing Date, there has been no development or event which has had a Material Adverse Effect.</w:t>
      </w:r>
    </w:p>
    <w:p>
      <w:pPr>
        <w:spacing w:after="0" w:line="170" w:lineRule="exact"/>
        <w:rPr>
          <w:sz w:val="20"/>
          <w:szCs w:val="20"/>
          <w:color w:val="auto"/>
        </w:rPr>
      </w:pPr>
    </w:p>
    <w:p>
      <w:pPr>
        <w:ind w:right="20" w:firstLine="989"/>
        <w:spacing w:after="0" w:line="25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7" w:lineRule="exact"/>
        <w:rPr>
          <w:sz w:val="20"/>
          <w:szCs w:val="20"/>
          <w:color w:val="auto"/>
        </w:rPr>
      </w:pPr>
    </w:p>
    <w:p>
      <w:pPr>
        <w:ind w:right="100" w:firstLine="989"/>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right="160" w:firstLine="9"/>
        <w:spacing w:after="0" w:line="301" w:lineRule="auto"/>
        <w:tabs>
          <w:tab w:leader="none" w:pos="25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3" w:right="459" w:bottom="1440" w:gutter="0" w:footer="0" w:header="0"/>
        </w:sectPr>
      </w:pPr>
    </w:p>
    <w:bookmarkStart w:id="296" w:name="page297"/>
    <w:bookmarkEnd w:id="296"/>
    <w:p>
      <w:pPr>
        <w:ind w:right="160" w:firstLine="989"/>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72" w:lineRule="exact"/>
        <w:rPr>
          <w:sz w:val="20"/>
          <w:szCs w:val="20"/>
          <w:color w:val="auto"/>
        </w:rPr>
      </w:pPr>
    </w:p>
    <w:p>
      <w:pPr>
        <w:ind w:firstLine="989"/>
        <w:spacing w:after="0" w:line="25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2020 10-K or on any Current Report on Form 8-K of the Company filed with the SEC after December 31, 2020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4" w:lineRule="exact"/>
        <w:rPr>
          <w:sz w:val="20"/>
          <w:szCs w:val="20"/>
          <w:color w:val="auto"/>
        </w:rPr>
      </w:pPr>
    </w:p>
    <w:p>
      <w:pPr>
        <w:ind w:right="40" w:firstLine="989"/>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80" w:lineRule="exact"/>
        <w:rPr>
          <w:sz w:val="20"/>
          <w:szCs w:val="20"/>
          <w:color w:val="auto"/>
        </w:rPr>
      </w:pPr>
    </w:p>
    <w:p>
      <w:pPr>
        <w:jc w:val="both"/>
        <w:ind w:right="240" w:firstLine="989"/>
        <w:spacing w:after="0" w:line="28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6" w:lineRule="exact"/>
        <w:rPr>
          <w:sz w:val="20"/>
          <w:szCs w:val="20"/>
          <w:color w:val="auto"/>
        </w:rPr>
      </w:pPr>
    </w:p>
    <w:p>
      <w:pPr>
        <w:ind w:right="80" w:firstLine="989"/>
        <w:spacing w:after="0" w:line="27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4" w:lineRule="exact"/>
        <w:rPr>
          <w:sz w:val="20"/>
          <w:szCs w:val="20"/>
          <w:color w:val="auto"/>
        </w:rPr>
      </w:pPr>
    </w:p>
    <w:p>
      <w:pPr>
        <w:ind w:right="360" w:firstLine="989"/>
        <w:spacing w:after="0" w:line="27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0" w:lineRule="exact"/>
        <w:rPr>
          <w:sz w:val="20"/>
          <w:szCs w:val="20"/>
          <w:color w:val="auto"/>
        </w:rPr>
      </w:pPr>
    </w:p>
    <w:p>
      <w:pPr>
        <w:jc w:val="both"/>
        <w:ind w:right="180" w:firstLine="989"/>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4" w:right="499" w:bottom="1440" w:gutter="0" w:footer="0" w:header="0"/>
        </w:sectPr>
      </w:pPr>
    </w:p>
    <w:bookmarkStart w:id="297" w:name="page298"/>
    <w:bookmarkEnd w:id="297"/>
    <w:p>
      <w:pPr>
        <w:ind w:right="100" w:firstLine="98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Her Majesty’s Treasury of the United Kingdom or the U.S. Department of State or the European Union (collectively, the “Sanctions Lists”). Neither the Company nor any of its Subsidiaries has a physical place of business, or is organized or resident, in</w:t>
      </w:r>
    </w:p>
    <w:p>
      <w:pPr>
        <w:spacing w:after="0" w:line="1" w:lineRule="exact"/>
        <w:rPr>
          <w:sz w:val="20"/>
          <w:szCs w:val="20"/>
          <w:color w:val="auto"/>
        </w:rPr>
      </w:pPr>
    </w:p>
    <w:p>
      <w:pPr>
        <w:ind w:firstLine="9"/>
        <w:spacing w:after="0" w:line="268" w:lineRule="auto"/>
        <w:tabs>
          <w:tab w:leader="none" w:pos="24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Cuba, Iran, North Korea, Syria or Crimea or (b) in any other Sanctioned Country. The Company and its Subsidiary Borrowers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5. CONDITIONS PRECEDENT</w:t>
      </w:r>
    </w:p>
    <w:p>
      <w:pPr>
        <w:spacing w:after="0" w:line="217" w:lineRule="exact"/>
        <w:rPr>
          <w:sz w:val="20"/>
          <w:szCs w:val="20"/>
          <w:color w:val="auto"/>
        </w:rPr>
      </w:pPr>
    </w:p>
    <w:p>
      <w:pPr>
        <w:ind w:right="60" w:firstLine="989"/>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81" w:lineRule="exact"/>
        <w:rPr>
          <w:sz w:val="20"/>
          <w:szCs w:val="20"/>
          <w:color w:val="auto"/>
        </w:rPr>
      </w:pPr>
    </w:p>
    <w:p>
      <w:pPr>
        <w:ind w:left="1240" w:hanging="242"/>
        <w:spacing w:after="0"/>
        <w:tabs>
          <w:tab w:leader="none" w:pos="1240"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Company shall have executed and delivered the Guarantee.</w:t>
      </w:r>
    </w:p>
    <w:p>
      <w:pPr>
        <w:spacing w:after="0" w:line="224" w:lineRule="exact"/>
        <w:rPr>
          <w:rFonts w:ascii="Arial" w:cs="Arial" w:eastAsia="Arial" w:hAnsi="Arial"/>
          <w:sz w:val="18"/>
          <w:szCs w:val="18"/>
          <w:color w:val="auto"/>
        </w:rPr>
      </w:pPr>
    </w:p>
    <w:p>
      <w:pPr>
        <w:ind w:right="140" w:firstLine="998"/>
        <w:spacing w:after="0" w:line="276" w:lineRule="auto"/>
        <w:tabs>
          <w:tab w:leader="none" w:pos="1243"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70" w:lineRule="exact"/>
        <w:rPr>
          <w:rFonts w:ascii="Arial" w:cs="Arial" w:eastAsia="Arial" w:hAnsi="Arial"/>
          <w:sz w:val="18"/>
          <w:szCs w:val="18"/>
          <w:color w:val="auto"/>
        </w:rPr>
      </w:pPr>
    </w:p>
    <w:p>
      <w:pPr>
        <w:ind w:left="1240" w:hanging="242"/>
        <w:spacing w:after="0"/>
        <w:tabs>
          <w:tab w:leader="none" w:pos="1240"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w:t>
      </w:r>
    </w:p>
    <w:p>
      <w:pPr>
        <w:spacing w:after="0" w:line="45" w:lineRule="exact"/>
        <w:rPr>
          <w:rFonts w:ascii="Arial" w:cs="Arial" w:eastAsia="Arial" w:hAnsi="Arial"/>
          <w:sz w:val="16"/>
          <w:szCs w:val="16"/>
          <w:color w:val="auto"/>
        </w:rPr>
      </w:pPr>
    </w:p>
    <w:p>
      <w:pPr>
        <w:jc w:val="both"/>
        <w:ind w:right="120" w:firstLine="9"/>
        <w:spacing w:after="0" w:line="291" w:lineRule="auto"/>
        <w:tabs>
          <w:tab w:leader="none" w:pos="21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63" w:lineRule="exact"/>
        <w:rPr>
          <w:rFonts w:ascii="Arial" w:cs="Arial" w:eastAsia="Arial" w:hAnsi="Arial"/>
          <w:sz w:val="16"/>
          <w:szCs w:val="16"/>
          <w:color w:val="auto"/>
        </w:rPr>
      </w:pPr>
    </w:p>
    <w:p>
      <w:pPr>
        <w:ind w:right="260" w:firstLine="998"/>
        <w:spacing w:after="0" w:line="306" w:lineRule="auto"/>
        <w:tabs>
          <w:tab w:leader="none" w:pos="1243"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the executed legal opinion of (i) in house counsel to the Loan Parties and (ii) Mayer Brown LLP, counsel to the Loan Parties, each in form and substance reasonably acceptable to the Administrative Agent.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3" w:right="459" w:bottom="1440" w:gutter="0" w:footer="0" w:header="0"/>
        </w:sectPr>
      </w:pPr>
    </w:p>
    <w:bookmarkStart w:id="298" w:name="page299"/>
    <w:bookmarkEnd w:id="298"/>
    <w:p>
      <w:pPr>
        <w:ind w:right="40" w:firstLine="998"/>
        <w:spacing w:after="0" w:line="301" w:lineRule="auto"/>
        <w:tabs>
          <w:tab w:leader="none" w:pos="1233"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364-Day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Schedule 1.1(A)) and all accrued interest and fees under the Existing 364-Day Credit Agreement shall have been paid, or arrangements satisfactory to the Administrative Agent in respect thereof shall have been made.</w:t>
      </w:r>
    </w:p>
    <w:p>
      <w:pPr>
        <w:spacing w:after="0" w:line="154" w:lineRule="exact"/>
        <w:rPr>
          <w:rFonts w:ascii="Arial" w:cs="Arial" w:eastAsia="Arial" w:hAnsi="Arial"/>
          <w:sz w:val="16"/>
          <w:szCs w:val="16"/>
          <w:color w:val="auto"/>
        </w:rPr>
      </w:pPr>
    </w:p>
    <w:p>
      <w:pPr>
        <w:ind w:firstLine="998"/>
        <w:spacing w:after="0" w:line="285" w:lineRule="auto"/>
        <w:tabs>
          <w:tab w:leader="none" w:pos="1213"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165" w:lineRule="exact"/>
        <w:rPr>
          <w:rFonts w:ascii="Arial" w:cs="Arial" w:eastAsia="Arial" w:hAnsi="Arial"/>
          <w:sz w:val="17"/>
          <w:szCs w:val="17"/>
          <w:color w:val="auto"/>
        </w:rPr>
      </w:pPr>
    </w:p>
    <w:p>
      <w:pPr>
        <w:ind w:right="140" w:firstLine="998"/>
        <w:spacing w:after="0" w:line="301" w:lineRule="auto"/>
        <w:tabs>
          <w:tab w:leader="none" w:pos="1243"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Termination of Existing 364-Day Credit Agreement</w:t>
      </w:r>
      <w:r>
        <w:rPr>
          <w:rFonts w:ascii="Arial" w:cs="Arial" w:eastAsia="Arial" w:hAnsi="Arial"/>
          <w:sz w:val="16"/>
          <w:szCs w:val="16"/>
          <w:color w:val="auto"/>
        </w:rPr>
        <w:t>. The Administrative Agent shall have received reasonably satisfactory evidence that the 364-Day Revolving Credit Facility, dated as of May 13, 2020, by and between the Company, the Administrative Agent, the Syndication Agent and the Co-Syndication Agent and the several banks and other financial institutions or entities party thereto, shall be repaid and all accrued interest and fees shall have been paid, or arrangements satisfactory to the Administrative Agent in respect thereof shall have been made.</w:t>
      </w:r>
    </w:p>
    <w:p>
      <w:pPr>
        <w:spacing w:after="0" w:line="154"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187" w:lineRule="exact"/>
        <w:rPr>
          <w:sz w:val="20"/>
          <w:szCs w:val="20"/>
          <w:color w:val="auto"/>
        </w:rPr>
      </w:pPr>
    </w:p>
    <w:p>
      <w:pPr>
        <w:jc w:val="both"/>
        <w:ind w:right="380" w:firstLine="998"/>
        <w:spacing w:after="0" w:line="278" w:lineRule="auto"/>
        <w:tabs>
          <w:tab w:leader="none" w:pos="1233"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1" w:lineRule="exact"/>
        <w:rPr>
          <w:rFonts w:ascii="Arial" w:cs="Arial" w:eastAsia="Arial" w:hAnsi="Arial"/>
          <w:sz w:val="17"/>
          <w:szCs w:val="17"/>
          <w:color w:val="auto"/>
        </w:rPr>
      </w:pPr>
    </w:p>
    <w:p>
      <w:pPr>
        <w:ind w:right="100" w:firstLine="998"/>
        <w:spacing w:after="0" w:line="276" w:lineRule="auto"/>
        <w:tabs>
          <w:tab w:leader="none" w:pos="1243"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rFonts w:ascii="Arial" w:cs="Arial" w:eastAsia="Arial" w:hAnsi="Arial"/>
          <w:sz w:val="18"/>
          <w:szCs w:val="18"/>
          <w:color w:val="auto"/>
        </w:rPr>
      </w:pPr>
    </w:p>
    <w:p>
      <w:pPr>
        <w:ind w:right="20" w:firstLine="998"/>
        <w:spacing w:after="0" w:line="289" w:lineRule="auto"/>
        <w:tabs>
          <w:tab w:leader="none" w:pos="1233"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67" w:lineRule="exact"/>
        <w:rPr>
          <w:sz w:val="20"/>
          <w:szCs w:val="20"/>
          <w:color w:val="auto"/>
        </w:rPr>
      </w:pPr>
    </w:p>
    <w:p>
      <w:pPr>
        <w:ind w:right="200" w:firstLine="989"/>
        <w:spacing w:after="0" w:line="306" w:lineRule="auto"/>
        <w:rPr>
          <w:sz w:val="20"/>
          <w:szCs w:val="20"/>
          <w:color w:val="auto"/>
        </w:rPr>
      </w:pPr>
      <w:r>
        <w:rPr>
          <w:rFonts w:ascii="Arial" w:cs="Arial" w:eastAsia="Arial" w:hAnsi="Arial"/>
          <w:sz w:val="17"/>
          <w:szCs w:val="17"/>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AFFIRMATIVE COVENANTS</w:t>
      </w:r>
    </w:p>
    <w:p>
      <w:pPr>
        <w:spacing w:after="0" w:line="217"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3" w:lineRule="exact"/>
        <w:rPr>
          <w:sz w:val="20"/>
          <w:szCs w:val="20"/>
          <w:color w:val="auto"/>
        </w:rPr>
      </w:pPr>
    </w:p>
    <w:p>
      <w:pPr>
        <w:ind w:firstLine="989"/>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83" w:lineRule="exact"/>
        <w:rPr>
          <w:sz w:val="20"/>
          <w:szCs w:val="20"/>
          <w:color w:val="auto"/>
        </w:rPr>
      </w:pPr>
    </w:p>
    <w:p>
      <w:pPr>
        <w:ind w:right="20" w:firstLine="989"/>
        <w:spacing w:after="0" w:line="25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9" w:lineRule="exact"/>
        <w:rPr>
          <w:sz w:val="20"/>
          <w:szCs w:val="20"/>
          <w:color w:val="auto"/>
        </w:rPr>
      </w:pPr>
    </w:p>
    <w:p>
      <w:pPr>
        <w:ind w:right="60" w:firstLine="989"/>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40" w:firstLine="989"/>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4" w:lineRule="exact"/>
        <w:rPr>
          <w:sz w:val="20"/>
          <w:szCs w:val="20"/>
          <w:color w:val="auto"/>
        </w:rPr>
      </w:pPr>
    </w:p>
    <w:p>
      <w:pPr>
        <w:ind w:firstLine="989"/>
        <w:spacing w:after="0" w:line="25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1" w:right="479" w:bottom="1440" w:gutter="0" w:footer="0" w:header="0"/>
        </w:sectPr>
      </w:pPr>
    </w:p>
    <w:bookmarkStart w:id="300" w:name="page301"/>
    <w:bookmarkEnd w:id="300"/>
    <w:p>
      <w:pPr>
        <w:ind w:right="40" w:firstLine="989"/>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 (a)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provided, that the foregoing requirements shall not apply to GM Holdings.</w:t>
      </w:r>
    </w:p>
    <w:p>
      <w:pPr>
        <w:spacing w:after="0" w:line="187" w:lineRule="exact"/>
        <w:rPr>
          <w:sz w:val="20"/>
          <w:szCs w:val="20"/>
          <w:color w:val="auto"/>
        </w:rPr>
      </w:pPr>
    </w:p>
    <w:p>
      <w:pPr>
        <w:ind w:left="1260" w:hanging="262"/>
        <w:spacing w:after="0"/>
        <w:tabs>
          <w:tab w:leader="none" w:pos="126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w:t>
      </w:r>
    </w:p>
    <w:p>
      <w:pPr>
        <w:spacing w:after="0" w:line="45" w:lineRule="exact"/>
        <w:rPr>
          <w:rFonts w:ascii="Arial" w:cs="Arial" w:eastAsia="Arial" w:hAnsi="Arial"/>
          <w:sz w:val="16"/>
          <w:szCs w:val="16"/>
          <w:color w:val="auto"/>
        </w:rPr>
      </w:pPr>
    </w:p>
    <w:p>
      <w:pPr>
        <w:ind w:right="20" w:firstLine="9"/>
        <w:spacing w:after="0" w:line="267" w:lineRule="auto"/>
        <w:tabs>
          <w:tab w:leader="none" w:pos="29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81" w:lineRule="exact"/>
        <w:rPr>
          <w:rFonts w:ascii="Arial" w:cs="Arial" w:eastAsia="Arial" w:hAnsi="Arial"/>
          <w:sz w:val="17"/>
          <w:szCs w:val="17"/>
          <w:color w:val="auto"/>
        </w:rPr>
      </w:pPr>
    </w:p>
    <w:p>
      <w:pPr>
        <w:ind w:right="680" w:firstLine="998"/>
        <w:spacing w:after="0" w:line="276" w:lineRule="auto"/>
        <w:tabs>
          <w:tab w:leader="none" w:pos="1233" w:val="left"/>
        </w:tabs>
        <w:numPr>
          <w:ilvl w:val="1"/>
          <w:numId w:val="286"/>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right="160" w:firstLine="989"/>
        <w:spacing w:after="0" w:line="285"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66" w:lineRule="exact"/>
        <w:rPr>
          <w:sz w:val="20"/>
          <w:szCs w:val="20"/>
          <w:color w:val="auto"/>
        </w:rPr>
      </w:pPr>
    </w:p>
    <w:p>
      <w:pPr>
        <w:jc w:val="both"/>
        <w:ind w:right="80" w:firstLine="989"/>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obtain or maintain, as applicable, a specific Index Debt Rating.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7. NEGATIVE COVENANTS</w:t>
      </w:r>
    </w:p>
    <w:p>
      <w:pPr>
        <w:spacing w:after="0" w:line="217"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3" w:lineRule="exact"/>
        <w:rPr>
          <w:sz w:val="20"/>
          <w:szCs w:val="20"/>
          <w:color w:val="auto"/>
        </w:rPr>
      </w:pPr>
    </w:p>
    <w:p>
      <w:pPr>
        <w:ind w:right="380" w:firstLine="989"/>
        <w:spacing w:after="0" w:line="27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0" w:lineRule="exact"/>
        <w:rPr>
          <w:sz w:val="20"/>
          <w:szCs w:val="20"/>
          <w:color w:val="auto"/>
        </w:rPr>
      </w:pPr>
    </w:p>
    <w:p>
      <w:pPr>
        <w:ind w:right="20" w:firstLine="989"/>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Indebtedness</w:t>
      </w:r>
      <w:r>
        <w:rPr>
          <w:rFonts w:ascii="Arial" w:cs="Arial" w:eastAsia="Arial" w:hAnsi="Arial"/>
          <w:sz w:val="16"/>
          <w:szCs w:val="16"/>
          <w:color w:val="auto"/>
        </w:rPr>
        <w:t>. The Company shall not, and shall not permit any Principal Domestic Subsidiary to, incur Indebtedness that is secured by a Lien on any Previously Pledged Assets other than (A) Indebtedness secured by Permitted Liens on such Previously Pledged Assets and</w:t>
      </w:r>
    </w:p>
    <w:p>
      <w:pPr>
        <w:spacing w:after="0" w:line="1" w:lineRule="exact"/>
        <w:rPr>
          <w:sz w:val="20"/>
          <w:szCs w:val="20"/>
          <w:color w:val="auto"/>
        </w:rPr>
      </w:pPr>
    </w:p>
    <w:p>
      <w:pPr>
        <w:ind w:right="140" w:firstLine="9"/>
        <w:spacing w:after="0" w:line="259" w:lineRule="auto"/>
        <w:tabs>
          <w:tab w:leader="none" w:pos="28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Indebtedness secured by Liens on such Previously Pledged Assets, in an aggregate principal amount, the Dollar Equivalent of which, at the time of the incurrence thereof, does not exceed 7.5% of Consolidated Tangible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301" w:name="page302"/>
    <w:bookmarkEnd w:id="30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4" w:lineRule="exact"/>
        <w:rPr>
          <w:sz w:val="20"/>
          <w:szCs w:val="20"/>
          <w:color w:val="auto"/>
        </w:rPr>
      </w:pPr>
    </w:p>
    <w:p>
      <w:pPr>
        <w:ind w:left="-20" w:firstLine="998"/>
        <w:spacing w:after="0" w:line="271" w:lineRule="auto"/>
        <w:tabs>
          <w:tab w:leader="none" w:pos="1213"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Reinstated Guarantee Period, any such transfer from a Subsidiary Guarantor shall be to another Subsidiary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 Company or any of its Principal Domestic Subsidiaries may Dispose of all or any portion of an Excluded Subsidiary Business to one or more Excluded Subsidiaries.</w:t>
      </w:r>
    </w:p>
    <w:p>
      <w:pPr>
        <w:spacing w:after="0" w:line="178" w:lineRule="exact"/>
        <w:rPr>
          <w:rFonts w:ascii="Arial" w:cs="Arial" w:eastAsia="Arial" w:hAnsi="Arial"/>
          <w:sz w:val="17"/>
          <w:szCs w:val="17"/>
          <w:color w:val="auto"/>
        </w:rPr>
      </w:pPr>
    </w:p>
    <w:p>
      <w:pPr>
        <w:ind w:left="-20" w:right="40" w:firstLine="998"/>
        <w:spacing w:after="0" w:line="273" w:lineRule="auto"/>
        <w:tabs>
          <w:tab w:leader="none" w:pos="1223"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Principal Trade Names</w:t>
      </w:r>
      <w:r>
        <w:rPr>
          <w:rFonts w:ascii="Arial" w:cs="Arial" w:eastAsia="Arial" w:hAnsi="Arial"/>
          <w:sz w:val="17"/>
          <w:szCs w:val="17"/>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4" w:lineRule="exact"/>
        <w:rPr>
          <w:sz w:val="20"/>
          <w:szCs w:val="20"/>
          <w:color w:val="auto"/>
        </w:rPr>
      </w:pPr>
    </w:p>
    <w:p>
      <w:pPr>
        <w:ind w:left="-20" w:right="40" w:firstLine="998"/>
        <w:spacing w:after="0" w:line="268" w:lineRule="auto"/>
        <w:tabs>
          <w:tab w:leader="none" w:pos="1213"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84" w:lineRule="exact"/>
        <w:rPr>
          <w:rFonts w:ascii="Arial" w:cs="Arial" w:eastAsia="Arial" w:hAnsi="Arial"/>
          <w:sz w:val="17"/>
          <w:szCs w:val="17"/>
          <w:color w:val="auto"/>
        </w:rPr>
      </w:pPr>
    </w:p>
    <w:p>
      <w:pPr>
        <w:ind w:left="-20" w:right="20" w:firstLine="998"/>
        <w:spacing w:after="0" w:line="288" w:lineRule="auto"/>
        <w:tabs>
          <w:tab w:leader="none" w:pos="122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60" w:top="274" w:right="459" w:bottom="1440" w:gutter="0" w:footer="0" w:header="0"/>
        </w:sectPr>
      </w:pPr>
    </w:p>
    <w:bookmarkStart w:id="302" w:name="page303"/>
    <w:bookmarkEnd w:id="302"/>
    <w:p>
      <w:pPr>
        <w:ind w:firstLine="98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SECTION 8. EVENTS OF DEFAULT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16" w:lineRule="exact"/>
        <w:rPr>
          <w:sz w:val="20"/>
          <w:szCs w:val="20"/>
          <w:color w:val="auto"/>
        </w:rPr>
      </w:pPr>
    </w:p>
    <w:p>
      <w:pPr>
        <w:jc w:val="both"/>
        <w:ind w:right="200" w:firstLine="998"/>
        <w:spacing w:after="0" w:line="301" w:lineRule="auto"/>
        <w:tabs>
          <w:tab w:leader="none" w:pos="1233"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54" w:lineRule="exact"/>
        <w:rPr>
          <w:rFonts w:ascii="Arial" w:cs="Arial" w:eastAsia="Arial" w:hAnsi="Arial"/>
          <w:sz w:val="16"/>
          <w:szCs w:val="16"/>
          <w:color w:val="auto"/>
        </w:rPr>
      </w:pPr>
    </w:p>
    <w:p>
      <w:pPr>
        <w:ind w:right="40" w:firstLine="998"/>
        <w:spacing w:after="0" w:line="341" w:lineRule="auto"/>
        <w:tabs>
          <w:tab w:leader="none" w:pos="1243"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firstLine="998"/>
        <w:spacing w:after="0" w:line="278" w:lineRule="auto"/>
        <w:tabs>
          <w:tab w:leader="none" w:pos="1233"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71" w:lineRule="exact"/>
        <w:rPr>
          <w:rFonts w:ascii="Arial" w:cs="Arial" w:eastAsia="Arial" w:hAnsi="Arial"/>
          <w:sz w:val="17"/>
          <w:szCs w:val="17"/>
          <w:color w:val="auto"/>
        </w:rPr>
      </w:pPr>
    </w:p>
    <w:p>
      <w:pPr>
        <w:ind w:right="100" w:firstLine="998"/>
        <w:spacing w:after="0" w:line="271" w:lineRule="auto"/>
        <w:tabs>
          <w:tab w:leader="none" w:pos="1243"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78" w:lineRule="exact"/>
        <w:rPr>
          <w:rFonts w:ascii="Arial" w:cs="Arial" w:eastAsia="Arial" w:hAnsi="Arial"/>
          <w:sz w:val="17"/>
          <w:szCs w:val="17"/>
          <w:color w:val="auto"/>
        </w:rPr>
      </w:pPr>
    </w:p>
    <w:p>
      <w:pPr>
        <w:ind w:right="320" w:firstLine="998"/>
        <w:spacing w:after="0" w:line="285" w:lineRule="auto"/>
        <w:tabs>
          <w:tab w:leader="none" w:pos="1233"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303" w:name="page304"/>
    <w:bookmarkEnd w:id="303"/>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w:t>
      </w:r>
    </w:p>
    <w:p>
      <w:pPr>
        <w:spacing w:after="0" w:line="1" w:lineRule="exact"/>
        <w:rPr>
          <w:sz w:val="20"/>
          <w:szCs w:val="20"/>
          <w:color w:val="auto"/>
        </w:rPr>
      </w:pPr>
    </w:p>
    <w:p>
      <w:pPr>
        <w:ind w:right="640" w:firstLine="9"/>
        <w:spacing w:after="0" w:line="259" w:lineRule="auto"/>
        <w:tabs>
          <w:tab w:leader="none" w:pos="21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above that (A) results in the entry of an order for relief or any such adjudication or appointment or (B) remains undismissed, undischarged or unbonded for a period of 90 days; or</w:t>
      </w:r>
    </w:p>
    <w:p>
      <w:pPr>
        <w:spacing w:after="0" w:line="185" w:lineRule="exact"/>
        <w:rPr>
          <w:rFonts w:ascii="Arial" w:cs="Arial" w:eastAsia="Arial" w:hAnsi="Arial"/>
          <w:sz w:val="18"/>
          <w:szCs w:val="18"/>
          <w:color w:val="auto"/>
        </w:rPr>
      </w:pPr>
    </w:p>
    <w:p>
      <w:pPr>
        <w:ind w:left="1220" w:hanging="222"/>
        <w:spacing w:after="0"/>
        <w:tabs>
          <w:tab w:leader="none" w:pos="12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24" w:lineRule="exact"/>
        <w:rPr>
          <w:rFonts w:ascii="Arial" w:cs="Arial" w:eastAsia="Arial" w:hAnsi="Arial"/>
          <w:sz w:val="18"/>
          <w:szCs w:val="18"/>
          <w:color w:val="auto"/>
        </w:rPr>
      </w:pPr>
    </w:p>
    <w:p>
      <w:pPr>
        <w:ind w:firstLine="998"/>
        <w:spacing w:after="0" w:line="258" w:lineRule="auto"/>
        <w:tabs>
          <w:tab w:leader="none" w:pos="124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7" w:lineRule="exact"/>
        <w:rPr>
          <w:rFonts w:ascii="Arial" w:cs="Arial" w:eastAsia="Arial" w:hAnsi="Arial"/>
          <w:sz w:val="18"/>
          <w:szCs w:val="18"/>
          <w:color w:val="auto"/>
        </w:rPr>
      </w:pPr>
    </w:p>
    <w:p>
      <w:pPr>
        <w:ind w:right="20" w:firstLine="998"/>
        <w:spacing w:after="0" w:line="276" w:lineRule="auto"/>
        <w:tabs>
          <w:tab w:leader="none" w:pos="124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220" w:hanging="222"/>
        <w:spacing w:after="0"/>
        <w:tabs>
          <w:tab w:leader="none" w:pos="12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 THE AGENTS</w:t>
      </w:r>
    </w:p>
    <w:p>
      <w:pPr>
        <w:spacing w:after="0" w:line="224" w:lineRule="exact"/>
        <w:rPr>
          <w:sz w:val="20"/>
          <w:szCs w:val="20"/>
          <w:color w:val="auto"/>
        </w:rPr>
      </w:pPr>
    </w:p>
    <w:p>
      <w:pPr>
        <w:ind w:right="120" w:firstLine="989"/>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3" w:right="479" w:bottom="1440" w:gutter="0" w:footer="0" w:header="0"/>
        </w:sectPr>
      </w:pPr>
    </w:p>
    <w:bookmarkStart w:id="304" w:name="page305"/>
    <w:bookmarkEnd w:id="304"/>
    <w:p>
      <w:pPr>
        <w:ind w:firstLine="98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7" w:lineRule="exact"/>
        <w:rPr>
          <w:sz w:val="20"/>
          <w:szCs w:val="20"/>
          <w:color w:val="auto"/>
        </w:rPr>
      </w:pPr>
    </w:p>
    <w:p>
      <w:pPr>
        <w:ind w:right="160" w:firstLine="989"/>
        <w:spacing w:after="0" w:line="28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spacing w:after="0" w:line="1" w:lineRule="exact"/>
        <w:rPr>
          <w:sz w:val="20"/>
          <w:szCs w:val="20"/>
          <w:color w:val="auto"/>
        </w:rPr>
      </w:pPr>
    </w:p>
    <w:p>
      <w:pPr>
        <w:ind w:firstLine="9"/>
        <w:spacing w:after="0" w:line="268" w:lineRule="auto"/>
        <w:tabs>
          <w:tab w:leader="none" w:pos="26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82" w:lineRule="exact"/>
        <w:rPr>
          <w:sz w:val="20"/>
          <w:szCs w:val="20"/>
          <w:color w:val="auto"/>
        </w:rPr>
      </w:pPr>
    </w:p>
    <w:p>
      <w:pPr>
        <w:ind w:firstLine="989"/>
        <w:spacing w:after="0" w:line="28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xml:space="preserve"> .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67" w:lineRule="exact"/>
        <w:rPr>
          <w:sz w:val="20"/>
          <w:szCs w:val="20"/>
          <w:color w:val="auto"/>
        </w:rPr>
      </w:pPr>
    </w:p>
    <w:p>
      <w:pPr>
        <w:ind w:firstLine="989"/>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40" w:top="274" w:right="499" w:bottom="1440" w:gutter="0" w:footer="0" w:header="0"/>
        </w:sectPr>
      </w:pPr>
    </w:p>
    <w:bookmarkStart w:id="305" w:name="page306"/>
    <w:bookmarkEnd w:id="305"/>
    <w:p>
      <w:pPr>
        <w:ind w:firstLine="98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71" w:lineRule="exact"/>
        <w:rPr>
          <w:sz w:val="20"/>
          <w:szCs w:val="20"/>
          <w:color w:val="auto"/>
        </w:rPr>
      </w:pPr>
    </w:p>
    <w:p>
      <w:pPr>
        <w:ind w:right="20" w:firstLine="989"/>
        <w:spacing w:after="0" w:line="286"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70" w:lineRule="exact"/>
        <w:rPr>
          <w:sz w:val="20"/>
          <w:szCs w:val="20"/>
          <w:color w:val="auto"/>
        </w:rPr>
      </w:pPr>
    </w:p>
    <w:p>
      <w:pPr>
        <w:ind w:right="100" w:firstLine="989"/>
        <w:spacing w:after="0" w:line="275"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440" w:top="273" w:right="499" w:bottom="1440" w:gutter="0" w:footer="0" w:header="0"/>
        </w:sectPr>
      </w:pPr>
    </w:p>
    <w:bookmarkStart w:id="306" w:name="page307"/>
    <w:bookmarkEnd w:id="306"/>
    <w:p>
      <w:pPr>
        <w:ind w:right="20" w:firstLine="98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4" w:lineRule="exact"/>
        <w:rPr>
          <w:sz w:val="20"/>
          <w:szCs w:val="20"/>
          <w:color w:val="auto"/>
        </w:rPr>
      </w:pPr>
    </w:p>
    <w:p>
      <w:pPr>
        <w:ind w:right="40" w:firstLine="989"/>
        <w:spacing w:after="0" w:line="296"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Bookrunners, Lead Arrangers, Global and Regional Coordinators, Documentation Agents, Syndication Agent and Co-Syndication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6"/>
          <w:szCs w:val="16"/>
          <w:u w:val="single" w:color="auto"/>
          <w:color w:val="auto"/>
        </w:rPr>
        <w:t>Arrangers</w:t>
      </w:r>
      <w:r>
        <w:rPr>
          <w:rFonts w:ascii="Arial" w:cs="Arial" w:eastAsia="Arial" w:hAnsi="Arial"/>
          <w:sz w:val="16"/>
          <w:szCs w:val="16"/>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xi) Each Lender (x) represents and warrants, as of the date such Person became a Lender party hereto, to, and</w:t>
      </w:r>
    </w:p>
    <w:p>
      <w:pPr>
        <w:spacing w:after="0" w:line="46" w:lineRule="exact"/>
        <w:rPr>
          <w:sz w:val="20"/>
          <w:szCs w:val="20"/>
          <w:color w:val="auto"/>
        </w:rPr>
      </w:pPr>
    </w:p>
    <w:p>
      <w:pPr>
        <w:ind w:right="20" w:firstLine="9"/>
        <w:spacing w:after="0" w:line="254" w:lineRule="auto"/>
        <w:tabs>
          <w:tab w:leader="none" w:pos="25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82" w:lineRule="exact"/>
        <w:rPr>
          <w:rFonts w:ascii="Arial" w:cs="Arial" w:eastAsia="Arial" w:hAnsi="Arial"/>
          <w:sz w:val="18"/>
          <w:szCs w:val="18"/>
          <w:color w:val="auto"/>
        </w:rPr>
      </w:pPr>
    </w:p>
    <w:p>
      <w:pPr>
        <w:ind w:left="1000" w:right="620" w:firstLine="398"/>
        <w:spacing w:after="0" w:line="276" w:lineRule="auto"/>
        <w:tabs>
          <w:tab w:leader="none" w:pos="161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62" w:lineRule="exact"/>
        <w:rPr>
          <w:rFonts w:ascii="Arial" w:cs="Arial" w:eastAsia="Arial" w:hAnsi="Arial"/>
          <w:sz w:val="18"/>
          <w:szCs w:val="18"/>
          <w:color w:val="auto"/>
        </w:rPr>
      </w:pPr>
    </w:p>
    <w:p>
      <w:pPr>
        <w:ind w:left="1000" w:right="100" w:firstLine="398"/>
        <w:spacing w:after="0" w:line="273" w:lineRule="auto"/>
        <w:tabs>
          <w:tab w:leader="none" w:pos="166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3" w:right="479" w:bottom="1440" w:gutter="0" w:footer="0" w:header="0"/>
        </w:sectPr>
      </w:pPr>
    </w:p>
    <w:bookmarkStart w:id="307" w:name="page308"/>
    <w:bookmarkEnd w:id="307"/>
    <w:p>
      <w:pPr>
        <w:ind w:left="991" w:right="100" w:firstLine="398"/>
        <w:spacing w:after="0" w:line="269" w:lineRule="auto"/>
        <w:tabs>
          <w:tab w:leader="none" w:pos="1705" w:val="left"/>
        </w:tabs>
        <w:numPr>
          <w:ilvl w:val="1"/>
          <w:numId w:val="2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ind w:left="991" w:right="220" w:hanging="2"/>
        <w:spacing w:after="0" w:line="254" w:lineRule="auto"/>
        <w:tabs>
          <w:tab w:leader="none" w:pos="124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83" w:lineRule="exact"/>
        <w:rPr>
          <w:sz w:val="20"/>
          <w:szCs w:val="20"/>
          <w:color w:val="auto"/>
        </w:rPr>
      </w:pPr>
    </w:p>
    <w:p>
      <w:pPr>
        <w:ind w:left="991" w:right="440" w:firstLine="398"/>
        <w:spacing w:after="0" w:line="276" w:lineRule="auto"/>
        <w:tabs>
          <w:tab w:leader="none" w:pos="1695" w:val="left"/>
        </w:tabs>
        <w:numPr>
          <w:ilvl w:val="2"/>
          <w:numId w:val="29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9" w:right="160" w:firstLine="998"/>
        <w:spacing w:after="0" w:line="290" w:lineRule="auto"/>
        <w:tabs>
          <w:tab w:leader="none" w:pos="122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9" w:right="40" w:firstLine="9"/>
        <w:spacing w:after="0" w:line="269" w:lineRule="auto"/>
        <w:tabs>
          <w:tab w:leader="none" w:pos="245" w:val="left"/>
        </w:tabs>
        <w:numPr>
          <w:ilvl w:val="0"/>
          <w:numId w:val="298"/>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none of the Agents,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Agents under this Agreement, any Loan Document or any documents related to hereto or thereto).</w:t>
      </w:r>
    </w:p>
    <w:p>
      <w:pPr>
        <w:spacing w:after="0" w:line="179" w:lineRule="exact"/>
        <w:rPr>
          <w:sz w:val="20"/>
          <w:szCs w:val="20"/>
          <w:color w:val="auto"/>
        </w:rPr>
      </w:pPr>
    </w:p>
    <w:p>
      <w:pPr>
        <w:ind w:left="991"/>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Acknowledgements of Lenders</w:t>
      </w:r>
      <w:r>
        <w:rPr>
          <w:rFonts w:ascii="Arial" w:cs="Arial" w:eastAsia="Arial" w:hAnsi="Arial"/>
          <w:sz w:val="18"/>
          <w:szCs w:val="18"/>
          <w:color w:val="auto"/>
        </w:rPr>
        <w:t>.</w:t>
      </w:r>
    </w:p>
    <w:p>
      <w:pPr>
        <w:spacing w:after="0" w:line="224" w:lineRule="exact"/>
        <w:rPr>
          <w:sz w:val="20"/>
          <w:szCs w:val="20"/>
          <w:color w:val="auto"/>
        </w:rPr>
      </w:pPr>
    </w:p>
    <w:p>
      <w:pPr>
        <w:ind w:left="-9" w:right="100" w:firstLine="998"/>
        <w:spacing w:after="0" w:line="285" w:lineRule="auto"/>
        <w:tabs>
          <w:tab w:leader="none" w:pos="122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purchasing, acquiring or holding any other type of financial instrument (and each Lender agrees not to assert a claim in contravention of the foregoing),</w:t>
      </w:r>
    </w:p>
    <w:p>
      <w:pPr>
        <w:spacing w:after="0" w:line="2" w:lineRule="exact"/>
        <w:rPr>
          <w:rFonts w:ascii="Arial" w:cs="Arial" w:eastAsia="Arial" w:hAnsi="Arial"/>
          <w:sz w:val="16"/>
          <w:szCs w:val="16"/>
          <w:color w:val="auto"/>
        </w:rPr>
      </w:pPr>
    </w:p>
    <w:p>
      <w:pPr>
        <w:ind w:left="-9" w:firstLine="9"/>
        <w:spacing w:after="0" w:line="267" w:lineRule="auto"/>
        <w:tabs>
          <w:tab w:leader="none" w:pos="30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it has, independently and without reliance upon the Administrative Agent, any Arranger, any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2"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91"/>
          </w:cols>
          <w:pgMar w:left="449" w:top="273" w:right="459" w:bottom="1440" w:gutter="0" w:footer="0" w:header="0"/>
        </w:sectPr>
      </w:pPr>
    </w:p>
    <w:bookmarkStart w:id="308" w:name="page309"/>
    <w:bookmarkEnd w:id="308"/>
    <w:p>
      <w:pPr>
        <w:ind w:firstLine="998"/>
        <w:spacing w:after="0" w:line="258" w:lineRule="auto"/>
        <w:tabs>
          <w:tab w:leader="none" w:pos="1243"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7" w:lineRule="exact"/>
        <w:rPr>
          <w:rFonts w:ascii="Arial" w:cs="Arial" w:eastAsia="Arial" w:hAnsi="Arial"/>
          <w:sz w:val="18"/>
          <w:szCs w:val="18"/>
          <w:color w:val="auto"/>
        </w:rPr>
      </w:pPr>
    </w:p>
    <w:p>
      <w:pPr>
        <w:ind w:left="1240" w:hanging="242"/>
        <w:spacing w:after="0"/>
        <w:tabs>
          <w:tab w:leader="none" w:pos="12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(1) Each Lender hereby agrees that (x) if the Administrative Agent notifies such Lender that the Administrative Agent has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79" w:lineRule="exact"/>
        <w:rPr>
          <w:sz w:val="20"/>
          <w:szCs w:val="20"/>
          <w:color w:val="auto"/>
        </w:rPr>
      </w:pPr>
    </w:p>
    <w:p>
      <w:pPr>
        <w:ind w:right="20" w:firstLine="998"/>
        <w:spacing w:after="0" w:line="269" w:lineRule="auto"/>
        <w:tabs>
          <w:tab w:leader="none" w:pos="1203" w:val="left"/>
        </w:tabs>
        <w:numPr>
          <w:ilvl w:val="0"/>
          <w:numId w:val="302"/>
        </w:numPr>
        <w:rPr>
          <w:rFonts w:ascii="Arial" w:cs="Arial" w:eastAsia="Arial" w:hAnsi="Arial"/>
          <w:sz w:val="17"/>
          <w:szCs w:val="17"/>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b w:val="1"/>
          <w:bCs w:val="1"/>
          <w:i w:val="1"/>
          <w:iCs w:val="1"/>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79" w:lineRule="exact"/>
        <w:rPr>
          <w:rFonts w:ascii="Arial" w:cs="Arial" w:eastAsia="Arial" w:hAnsi="Arial"/>
          <w:sz w:val="17"/>
          <w:szCs w:val="17"/>
          <w:color w:val="auto"/>
        </w:rPr>
      </w:pPr>
    </w:p>
    <w:p>
      <w:pPr>
        <w:ind w:right="120" w:firstLine="998"/>
        <w:spacing w:after="0" w:line="273" w:lineRule="auto"/>
        <w:tabs>
          <w:tab w:leader="none" w:pos="1253"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Payment is, and solely with respect to the amount of such Payment that is, comprised of funds of the Borrower or any other Loan Party (including, for the avoidance of doubt, the proceeds of any financing or contribution incurred or obtained by the Borrower or any Loan Party).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3" w:right="459" w:bottom="1440" w:gutter="0" w:footer="0" w:header="0"/>
        </w:sectPr>
      </w:pPr>
    </w:p>
    <w:bookmarkStart w:id="309" w:name="page310"/>
    <w:bookmarkEnd w:id="309"/>
    <w:p>
      <w:pPr>
        <w:ind w:right="200" w:firstLine="998"/>
        <w:spacing w:after="0" w:line="263" w:lineRule="auto"/>
        <w:tabs>
          <w:tab w:leader="none" w:pos="1303"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10. MISCELLANEOUS</w:t>
      </w:r>
    </w:p>
    <w:p>
      <w:pPr>
        <w:spacing w:after="0" w:line="217" w:lineRule="exact"/>
        <w:rPr>
          <w:sz w:val="20"/>
          <w:szCs w:val="20"/>
          <w:color w:val="auto"/>
        </w:rPr>
      </w:pPr>
    </w:p>
    <w:p>
      <w:pPr>
        <w:ind w:firstLine="989"/>
        <w:spacing w:after="0" w:line="26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xii) Subject to Section 2.18(b), (c), (d) and Section 10.1(e),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waiver and no such amendment, supplement or modification shall:</w:t>
      </w:r>
    </w:p>
    <w:p>
      <w:pPr>
        <w:spacing w:after="0" w:line="80" w:lineRule="exact"/>
        <w:rPr>
          <w:sz w:val="20"/>
          <w:szCs w:val="20"/>
          <w:color w:val="auto"/>
        </w:rPr>
      </w:pPr>
    </w:p>
    <w:p>
      <w:pPr>
        <w:ind w:left="1000" w:firstLine="398"/>
        <w:spacing w:after="0" w:line="296" w:lineRule="auto"/>
        <w:tabs>
          <w:tab w:leader="none" w:pos="169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50" w:lineRule="exact"/>
        <w:rPr>
          <w:rFonts w:ascii="Arial" w:cs="Arial" w:eastAsia="Arial" w:hAnsi="Arial"/>
          <w:sz w:val="16"/>
          <w:szCs w:val="16"/>
          <w:color w:val="auto"/>
        </w:rPr>
      </w:pPr>
    </w:p>
    <w:p>
      <w:pPr>
        <w:ind w:left="1680" w:hanging="282"/>
        <w:spacing w:after="0"/>
        <w:tabs>
          <w:tab w:leader="none" w:pos="16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eliminate or reduce the voting rights of any Lender under this Section 10.1 without the written consent of such Lender;</w:t>
      </w:r>
    </w:p>
    <w:p>
      <w:pPr>
        <w:spacing w:after="0" w:line="127" w:lineRule="exact"/>
        <w:rPr>
          <w:rFonts w:ascii="Arial" w:cs="Arial" w:eastAsia="Arial" w:hAnsi="Arial"/>
          <w:sz w:val="17"/>
          <w:szCs w:val="17"/>
          <w:color w:val="auto"/>
        </w:rPr>
      </w:pPr>
    </w:p>
    <w:p>
      <w:pPr>
        <w:ind w:left="1000" w:firstLine="398"/>
        <w:spacing w:after="0" w:line="256" w:lineRule="auto"/>
        <w:tabs>
          <w:tab w:leader="none" w:pos="168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81" w:lineRule="exact"/>
        <w:rPr>
          <w:rFonts w:ascii="Arial" w:cs="Arial" w:eastAsia="Arial" w:hAnsi="Arial"/>
          <w:sz w:val="18"/>
          <w:szCs w:val="18"/>
          <w:color w:val="auto"/>
        </w:rPr>
      </w:pPr>
    </w:p>
    <w:p>
      <w:pPr>
        <w:ind w:left="1700" w:hanging="302"/>
        <w:spacing w:after="0"/>
        <w:tabs>
          <w:tab w:leader="none" w:pos="17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3" w:right="479" w:bottom="1440" w:gutter="0" w:footer="0" w:header="0"/>
        </w:sectPr>
      </w:pPr>
    </w:p>
    <w:bookmarkStart w:id="310" w:name="page311"/>
    <w:bookmarkEnd w:id="310"/>
    <w:p>
      <w:pPr>
        <w:ind w:left="1680" w:hanging="282"/>
        <w:spacing w:after="0"/>
        <w:tabs>
          <w:tab w:leader="none" w:pos="16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6" w:lineRule="exact"/>
        <w:rPr>
          <w:rFonts w:ascii="Arial" w:cs="Arial" w:eastAsia="Arial" w:hAnsi="Arial"/>
          <w:sz w:val="18"/>
          <w:szCs w:val="18"/>
          <w:color w:val="auto"/>
        </w:rPr>
      </w:pPr>
    </w:p>
    <w:p>
      <w:pPr>
        <w:ind w:left="1000" w:right="100" w:firstLine="398"/>
        <w:spacing w:after="0" w:line="276" w:lineRule="auto"/>
        <w:tabs>
          <w:tab w:leader="none" w:pos="16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the Administrative Agent without the written consent of the Administrative Agent;</w:t>
      </w:r>
    </w:p>
    <w:p>
      <w:pPr>
        <w:spacing w:after="0" w:line="62" w:lineRule="exact"/>
        <w:rPr>
          <w:rFonts w:ascii="Arial" w:cs="Arial" w:eastAsia="Arial" w:hAnsi="Arial"/>
          <w:sz w:val="18"/>
          <w:szCs w:val="18"/>
          <w:color w:val="auto"/>
        </w:rPr>
      </w:pPr>
    </w:p>
    <w:p>
      <w:pPr>
        <w:ind w:left="1700" w:hanging="302"/>
        <w:spacing w:after="0"/>
        <w:tabs>
          <w:tab w:leader="none" w:pos="17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6" w:lineRule="exact"/>
        <w:rPr>
          <w:rFonts w:ascii="Arial" w:cs="Arial" w:eastAsia="Arial" w:hAnsi="Arial"/>
          <w:sz w:val="18"/>
          <w:szCs w:val="18"/>
          <w:color w:val="auto"/>
        </w:rPr>
      </w:pPr>
    </w:p>
    <w:p>
      <w:pPr>
        <w:ind w:left="1700" w:hanging="302"/>
        <w:spacing w:after="0"/>
        <w:tabs>
          <w:tab w:leader="none" w:pos="17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amend, modify or waive any provision of Section 2.19(a) or (b) without the written consent of each Lender adversely affected</w:t>
      </w:r>
    </w:p>
    <w:p>
      <w:pPr>
        <w:spacing w:after="0" w:line="45"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thereby;</w:t>
      </w:r>
    </w:p>
    <w:p>
      <w:pPr>
        <w:spacing w:after="0" w:line="101" w:lineRule="exact"/>
        <w:rPr>
          <w:rFonts w:ascii="Arial" w:cs="Arial" w:eastAsia="Arial" w:hAnsi="Arial"/>
          <w:sz w:val="16"/>
          <w:szCs w:val="16"/>
          <w:color w:val="auto"/>
        </w:rPr>
      </w:pPr>
    </w:p>
    <w:p>
      <w:pPr>
        <w:ind w:left="1620" w:hanging="222"/>
        <w:spacing w:after="0"/>
        <w:tabs>
          <w:tab w:leader="none" w:pos="16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6" w:lineRule="exact"/>
        <w:rPr>
          <w:rFonts w:ascii="Arial" w:cs="Arial" w:eastAsia="Arial" w:hAnsi="Arial"/>
          <w:sz w:val="18"/>
          <w:szCs w:val="18"/>
          <w:color w:val="auto"/>
        </w:rPr>
      </w:pPr>
    </w:p>
    <w:p>
      <w:pPr>
        <w:ind w:left="1640" w:hanging="242"/>
        <w:spacing w:after="0"/>
        <w:tabs>
          <w:tab w:leader="none" w:pos="16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add additional available currencies to the Facility without the written consent of each Lender directly affected thereby.</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9" w:lineRule="exact"/>
        <w:rPr>
          <w:sz w:val="20"/>
          <w:szCs w:val="20"/>
          <w:color w:val="auto"/>
        </w:rPr>
      </w:pPr>
    </w:p>
    <w:p>
      <w:pPr>
        <w:ind w:right="40" w:firstLine="998"/>
        <w:spacing w:after="0" w:line="287" w:lineRule="auto"/>
        <w:tabs>
          <w:tab w:leader="none" w:pos="124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notify the Lenders of any such amendment, modification, supplement or waiver consummated in accordance with this clause (ii) promptly after consummation thereof.</w:t>
      </w:r>
    </w:p>
    <w:p>
      <w:pPr>
        <w:spacing w:after="0" w:line="170" w:lineRule="exact"/>
        <w:rPr>
          <w:rFonts w:ascii="Arial" w:cs="Arial" w:eastAsia="Arial" w:hAnsi="Arial"/>
          <w:sz w:val="16"/>
          <w:szCs w:val="16"/>
          <w:color w:val="auto"/>
        </w:rPr>
      </w:pPr>
    </w:p>
    <w:p>
      <w:pPr>
        <w:ind w:firstLine="998"/>
        <w:spacing w:after="0" w:line="255" w:lineRule="auto"/>
        <w:tabs>
          <w:tab w:leader="none" w:pos="123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3" w:right="459" w:bottom="1440" w:gutter="0" w:footer="0" w:header="0"/>
        </w:sectPr>
      </w:pPr>
    </w:p>
    <w:bookmarkStart w:id="311" w:name="page312"/>
    <w:bookmarkEnd w:id="311"/>
    <w:p>
      <w:pPr>
        <w:ind w:right="100" w:firstLine="998"/>
        <w:spacing w:after="0" w:line="276" w:lineRule="auto"/>
        <w:tabs>
          <w:tab w:leader="none" w:pos="1243"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notwithstanding the foregoing, this Agreement may be amended after the Closing Date without consent of the Lenders, so long as no Default or Event of Default shall have occurred and be continuing, as follows:</w:t>
      </w:r>
    </w:p>
    <w:p>
      <w:pPr>
        <w:spacing w:after="0" w:line="170" w:lineRule="exact"/>
        <w:rPr>
          <w:sz w:val="20"/>
          <w:szCs w:val="20"/>
          <w:color w:val="auto"/>
        </w:rPr>
      </w:pPr>
    </w:p>
    <w:p>
      <w:pPr>
        <w:ind w:right="60" w:firstLine="998"/>
        <w:spacing w:after="0" w:line="288" w:lineRule="auto"/>
        <w:tabs>
          <w:tab w:leader="none" w:pos="1203"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to designate any Domestic Subsidiary of the Company as a Subsidiary Borrower upon (A) ten Business Days’ prior notice to the Administrative Agent (such notice to contain the name, primary business address and taxpayer identification number of such Domestic Subsidiary), (B) the execution and delivery by the Company, such Domestic Subsidiary and the Administrative Agent of a Borrower Joinder Agreement, providing for such Domestic Subsidiary to become a Subsidiary Borrower, (C) the agreement and acknowledgment by the Company and, during any Reinstated Guarantee Period, each Subsidiary Guarantor, that the Guarantee covers the Obligations of such Domestic Subsidiary, (D) the delivery to the Administrative Agent of corporate or other applicable resolutions, other corporate or other applicable documents, certificates and legal opinions in respect of such Domestic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w:t>
      </w:r>
    </w:p>
    <w:p>
      <w:pPr>
        <w:spacing w:after="0" w:line="167" w:lineRule="exact"/>
        <w:rPr>
          <w:rFonts w:ascii="Arial" w:cs="Arial" w:eastAsia="Arial" w:hAnsi="Arial"/>
          <w:sz w:val="16"/>
          <w:szCs w:val="16"/>
          <w:color w:val="auto"/>
        </w:rPr>
      </w:pPr>
    </w:p>
    <w:p>
      <w:pPr>
        <w:ind w:right="40" w:firstLine="998"/>
        <w:spacing w:after="0" w:line="296" w:lineRule="auto"/>
        <w:tabs>
          <w:tab w:leader="none" w:pos="1253"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58" w:lineRule="exact"/>
        <w:rPr>
          <w:sz w:val="20"/>
          <w:szCs w:val="20"/>
          <w:color w:val="auto"/>
        </w:rPr>
      </w:pPr>
    </w:p>
    <w:p>
      <w:pPr>
        <w:ind w:right="840" w:firstLine="998"/>
        <w:spacing w:after="0" w:line="276" w:lineRule="auto"/>
        <w:tabs>
          <w:tab w:leader="none" w:pos="123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other Loan Document to the contrary, this Agreement may be amended, supplemented or otherwise modified as set forth in Section 2.18.</w:t>
      </w:r>
    </w:p>
    <w:p>
      <w:pPr>
        <w:spacing w:after="0" w:line="170" w:lineRule="exact"/>
        <w:rPr>
          <w:sz w:val="20"/>
          <w:szCs w:val="20"/>
          <w:color w:val="auto"/>
        </w:rPr>
      </w:pPr>
    </w:p>
    <w:p>
      <w:pPr>
        <w:ind w:firstLine="989"/>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xiii)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0980"/>
          </w:cols>
          <w:pgMar w:left="440" w:top="273" w:right="47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Any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Assistant Treasurer</w:t>
      </w:r>
    </w:p>
    <w:p>
      <w:pPr>
        <w:spacing w:after="0" w:line="142"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67</w:t>
      </w:r>
    </w:p>
    <w:p>
      <w:pPr>
        <w:sectPr>
          <w:pgSz w:w="11900" w:h="16838" w:orient="portrait"/>
          <w:cols w:equalWidth="0" w:num="2">
            <w:col w:w="2980" w:space="220"/>
            <w:col w:w="7780"/>
          </w:cols>
          <w:pgMar w:left="440" w:top="273" w:right="479" w:bottom="1440" w:gutter="0" w:footer="0" w:header="0"/>
          <w:type w:val="continuous"/>
        </w:sectPr>
      </w:pPr>
    </w:p>
    <w:bookmarkStart w:id="312" w:name="page313"/>
    <w:bookmarkEnd w:id="312"/>
    <w:p>
      <w:pPr>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-283845</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125" w:lineRule="exact"/>
        <w:rPr>
          <w:sz w:val="20"/>
          <w:szCs w:val="20"/>
          <w:color w:val="auto"/>
        </w:rPr>
      </w:pPr>
    </w:p>
    <w:p>
      <w:pPr>
        <w:sectPr>
          <w:pgSz w:w="11900" w:h="16838" w:orient="portrait"/>
          <w:cols w:equalWidth="0" w:num="2">
            <w:col w:w="2760" w:space="440"/>
            <w:col w:w="6819"/>
          </w:cols>
          <w:pgMar w:left="440" w:top="381" w:right="1440" w:bottom="1440" w:gutter="0" w:footer="0" w:header="0"/>
        </w:sectPr>
      </w:pPr>
    </w:p>
    <w:p>
      <w:pPr>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125" w:lineRule="exact"/>
        <w:rPr>
          <w:sz w:val="20"/>
          <w:szCs w:val="20"/>
          <w:color w:val="auto"/>
        </w:rPr>
      </w:pPr>
    </w:p>
    <w:p>
      <w:pPr>
        <w:sectPr>
          <w:pgSz w:w="11900" w:h="16838" w:orient="portrait"/>
          <w:cols w:equalWidth="0" w:num="2">
            <w:col w:w="2760" w:space="440"/>
            <w:col w:w="6819"/>
          </w:cols>
          <w:pgMar w:left="440" w:top="381" w:right="1440" w:bottom="1440" w:gutter="0" w:footer="0" w:header="0"/>
          <w:type w:val="continuous"/>
        </w:sectPr>
      </w:pPr>
    </w:p>
    <w:p>
      <w:pPr>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125" w:lineRule="exact"/>
        <w:rPr>
          <w:sz w:val="20"/>
          <w:szCs w:val="20"/>
          <w:color w:val="auto"/>
        </w:rPr>
      </w:pPr>
    </w:p>
    <w:p>
      <w:pPr>
        <w:sectPr>
          <w:pgSz w:w="11900" w:h="16838" w:orient="portrait"/>
          <w:cols w:equalWidth="0" w:num="2">
            <w:col w:w="2760" w:space="440"/>
            <w:col w:w="6819"/>
          </w:cols>
          <w:pgMar w:left="440" w:top="381" w:right="1440" w:bottom="1440" w:gutter="0" w:footer="0" w:header="0"/>
          <w:type w:val="continuous"/>
        </w:sectPr>
      </w:pPr>
    </w:p>
    <w:p>
      <w:pPr>
        <w:spacing w:after="0" w:line="276"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482-C23-A68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General Counsel, Corporate Finance &amp; Global Innovation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elena.centeio@gm.com</w:t>
      </w:r>
    </w:p>
    <w:p>
      <w:pPr>
        <w:spacing w:after="0" w:line="102" w:lineRule="exact"/>
        <w:rPr>
          <w:sz w:val="20"/>
          <w:szCs w:val="20"/>
          <w:color w:val="auto"/>
        </w:rPr>
      </w:pPr>
    </w:p>
    <w:p>
      <w:pPr>
        <w:sectPr>
          <w:pgSz w:w="11900" w:h="16838" w:orient="portrait"/>
          <w:cols w:equalWidth="0" w:num="2">
            <w:col w:w="2760" w:space="440"/>
            <w:col w:w="6819"/>
          </w:cols>
          <w:pgMar w:left="440" w:top="381"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Investment Bank Loan Operations North America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156" w:lineRule="exact"/>
        <w:rPr>
          <w:sz w:val="20"/>
          <w:szCs w:val="20"/>
          <w:color w:val="auto"/>
        </w:rPr>
      </w:pPr>
    </w:p>
    <w:p>
      <w:pPr>
        <w:sectPr>
          <w:pgSz w:w="11900" w:h="16838" w:orient="portrait"/>
          <w:cols w:equalWidth="0" w:num="2">
            <w:col w:w="2660" w:space="540"/>
            <w:col w:w="6819"/>
          </w:cols>
          <w:pgMar w:left="440" w:top="381" w:right="1440" w:bottom="1440" w:gutter="0" w:footer="0" w:header="0"/>
          <w:type w:val="continuous"/>
        </w:sectPr>
      </w:pPr>
    </w:p>
    <w:p>
      <w:pPr>
        <w:ind w:left="542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019"/>
          </w:cols>
          <w:pgMar w:left="440" w:top="381" w:right="1440"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-269240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02" w:lineRule="exact"/>
        <w:rPr>
          <w:sz w:val="20"/>
          <w:szCs w:val="20"/>
          <w:color w:val="auto"/>
        </w:rPr>
      </w:pPr>
    </w:p>
    <w:p>
      <w:pPr>
        <w:sectPr>
          <w:pgSz w:w="11900" w:h="16838" w:orient="portrait"/>
          <w:cols w:equalWidth="0" w:num="2">
            <w:col w:w="2480" w:space="720"/>
            <w:col w:w="7780"/>
          </w:cols>
          <w:pgMar w:left="440" w:top="381" w:right="479" w:bottom="1440" w:gutter="0" w:footer="0" w:header="0"/>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8181 Communications Pkwy, Bldg B, Floor 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Plano, TX, 75024,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Sean.Bodkin@jpmorgan.com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972-324-1749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Sean Bodkin</w:t>
      </w:r>
    </w:p>
    <w:p>
      <w:pPr>
        <w:spacing w:after="0" w:line="200" w:lineRule="exact"/>
        <w:rPr>
          <w:sz w:val="20"/>
          <w:szCs w:val="20"/>
          <w:color w:val="auto"/>
        </w:rPr>
      </w:pPr>
    </w:p>
    <w:p>
      <w:pPr>
        <w:sectPr>
          <w:pgSz w:w="11900" w:h="16838" w:orient="portrait"/>
          <w:cols w:equalWidth="0" w:num="2">
            <w:col w:w="2480" w:space="720"/>
            <w:col w:w="7780"/>
          </w:cols>
          <w:pgMar w:left="440" w:top="381" w:right="479" w:bottom="1440" w:gutter="0" w:footer="0" w:header="0"/>
          <w:type w:val="continuous"/>
        </w:sectPr>
      </w:pPr>
    </w:p>
    <w:p>
      <w:pPr>
        <w:spacing w:after="0" w:line="23" w:lineRule="exact"/>
        <w:rPr>
          <w:sz w:val="20"/>
          <w:szCs w:val="20"/>
          <w:color w:val="auto"/>
        </w:rPr>
      </w:pPr>
    </w:p>
    <w:p>
      <w:pPr>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or the Lenders pursuant to Section 2.2, 2.9, 2.11, 2.12 or 2.14 shall not be effective until received.</w:t>
      </w:r>
    </w:p>
    <w:p>
      <w:pPr>
        <w:spacing w:after="0" w:line="170" w:lineRule="exact"/>
        <w:rPr>
          <w:sz w:val="20"/>
          <w:szCs w:val="20"/>
          <w:color w:val="auto"/>
        </w:rPr>
      </w:pPr>
    </w:p>
    <w:p>
      <w:pPr>
        <w:ind w:right="100" w:firstLine="998"/>
        <w:spacing w:after="0" w:line="263" w:lineRule="auto"/>
        <w:tabs>
          <w:tab w:leader="none" w:pos="123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Arial" w:cs="Arial" w:eastAsia="Arial" w:hAnsi="Arial"/>
          <w:sz w:val="15"/>
          <w:szCs w:val="15"/>
          <w:color w:val="auto"/>
        </w:rPr>
        <w:t>™</w:t>
      </w:r>
      <w:r>
        <w:rPr>
          <w:rFonts w:ascii="Arial" w:cs="Arial" w:eastAsia="Arial" w:hAnsi="Arial"/>
          <w:sz w:val="18"/>
          <w:szCs w:val="18"/>
          <w:color w:val="auto"/>
        </w:rPr>
        <w:t xml:space="preserve"> or a substantially similar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60" w:firstLine="998"/>
        <w:spacing w:after="0" w:line="270" w:lineRule="auto"/>
        <w:tabs>
          <w:tab w:leader="none" w:pos="1243"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80" w:lineRule="exact"/>
        <w:rPr>
          <w:rFonts w:ascii="Arial" w:cs="Arial" w:eastAsia="Arial" w:hAnsi="Arial"/>
          <w:sz w:val="17"/>
          <w:szCs w:val="17"/>
          <w:color w:val="auto"/>
        </w:rPr>
      </w:pPr>
    </w:p>
    <w:p>
      <w:pPr>
        <w:ind w:right="100" w:firstLine="998"/>
        <w:spacing w:after="0" w:line="253" w:lineRule="auto"/>
        <w:tabs>
          <w:tab w:leader="none" w:pos="123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3" w:lineRule="exact"/>
        <w:rPr>
          <w:rFonts w:ascii="Arial" w:cs="Arial" w:eastAsia="Arial" w:hAnsi="Arial"/>
          <w:sz w:val="18"/>
          <w:szCs w:val="18"/>
          <w:color w:val="auto"/>
        </w:rPr>
      </w:pPr>
    </w:p>
    <w:p>
      <w:pPr>
        <w:ind w:right="320" w:firstLine="998"/>
        <w:spacing w:after="0" w:line="263" w:lineRule="auto"/>
        <w:tabs>
          <w:tab w:leader="none" w:pos="124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381" w:right="479" w:bottom="1440" w:gutter="0" w:footer="0" w:header="0"/>
          <w:type w:val="continuous"/>
        </w:sectPr>
      </w:pPr>
    </w:p>
    <w:bookmarkStart w:id="314" w:name="page315"/>
    <w:bookmarkEnd w:id="314"/>
    <w:p>
      <w:pPr>
        <w:ind w:firstLine="98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9" w:lineRule="exact"/>
        <w:rPr>
          <w:sz w:val="20"/>
          <w:szCs w:val="20"/>
          <w:color w:val="auto"/>
        </w:rPr>
      </w:pPr>
    </w:p>
    <w:p>
      <w:pPr>
        <w:ind w:right="120" w:firstLine="989"/>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 of Expenses; Limitation of Liability; Indemnity</w:t>
      </w:r>
      <w:r>
        <w:rPr>
          <w:rFonts w:ascii="Arial" w:cs="Arial" w:eastAsia="Arial" w:hAnsi="Arial"/>
          <w:sz w:val="18"/>
          <w:szCs w:val="18"/>
          <w:color w:val="auto"/>
        </w:rPr>
        <w:t>(a) .</w:t>
      </w:r>
    </w:p>
    <w:p>
      <w:pPr>
        <w:spacing w:after="0" w:line="224" w:lineRule="exact"/>
        <w:rPr>
          <w:sz w:val="20"/>
          <w:szCs w:val="20"/>
          <w:color w:val="auto"/>
        </w:rPr>
      </w:pPr>
    </w:p>
    <w:p>
      <w:pPr>
        <w:ind w:right="260" w:firstLine="998"/>
        <w:spacing w:after="0" w:line="285" w:lineRule="auto"/>
        <w:tabs>
          <w:tab w:leader="none" w:pos="1233" w:val="left"/>
        </w:tabs>
        <w:numPr>
          <w:ilvl w:val="1"/>
          <w:numId w:val="311"/>
        </w:numPr>
        <w:rPr>
          <w:rFonts w:ascii="Arial" w:cs="Arial" w:eastAsia="Arial" w:hAnsi="Arial"/>
          <w:sz w:val="16"/>
          <w:szCs w:val="16"/>
          <w:color w:val="auto"/>
        </w:rPr>
      </w:pPr>
      <w:r>
        <w:rPr>
          <w:rFonts w:ascii="Arial" w:cs="Arial" w:eastAsia="Arial" w:hAnsi="Arial"/>
          <w:sz w:val="16"/>
          <w:szCs w:val="16"/>
          <w:color w:val="auto"/>
        </w:rPr>
        <w:t>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w:t>
      </w:r>
    </w:p>
    <w:p>
      <w:pPr>
        <w:spacing w:after="0" w:line="2" w:lineRule="exact"/>
        <w:rPr>
          <w:rFonts w:ascii="Arial" w:cs="Arial" w:eastAsia="Arial" w:hAnsi="Arial"/>
          <w:sz w:val="16"/>
          <w:szCs w:val="16"/>
          <w:color w:val="auto"/>
        </w:rPr>
      </w:pPr>
    </w:p>
    <w:p>
      <w:pPr>
        <w:ind w:right="40" w:firstLine="9"/>
        <w:spacing w:after="0" w:line="285" w:lineRule="auto"/>
        <w:tabs>
          <w:tab w:leader="none" w:pos="21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68" w:lineRule="exact"/>
        <w:rPr>
          <w:rFonts w:ascii="Arial" w:cs="Arial" w:eastAsia="Arial" w:hAnsi="Arial"/>
          <w:sz w:val="16"/>
          <w:szCs w:val="16"/>
          <w:color w:val="auto"/>
        </w:rPr>
      </w:pPr>
    </w:p>
    <w:p>
      <w:pPr>
        <w:ind w:right="60" w:firstLine="998"/>
        <w:spacing w:after="0" w:line="255" w:lineRule="auto"/>
        <w:tabs>
          <w:tab w:leader="none" w:pos="1243"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of the proposed use of proceeds thereof and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8" w:lineRule="exact"/>
        <w:rPr>
          <w:rFonts w:ascii="Arial" w:cs="Arial" w:eastAsia="Arial" w:hAnsi="Arial"/>
          <w:sz w:val="18"/>
          <w:szCs w:val="18"/>
          <w:color w:val="auto"/>
        </w:rPr>
      </w:pPr>
    </w:p>
    <w:p>
      <w:pPr>
        <w:ind w:right="40" w:firstLine="998"/>
        <w:spacing w:after="0" w:line="285" w:lineRule="auto"/>
        <w:tabs>
          <w:tab w:leader="none" w:pos="1233"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The Company shall pay, indemnify or reimburse each Lender, the Administrative Agent, their respective affiliates, and their respective officers, directors, partners, employees, advisors, agents, controlling persons and trustees (each, an “</w:t>
      </w:r>
      <w:r>
        <w:rPr>
          <w:rFonts w:ascii="Arial" w:cs="Arial" w:eastAsia="Arial" w:hAnsi="Arial"/>
          <w:sz w:val="17"/>
          <w:szCs w:val="17"/>
          <w:u w:val="single" w:color="auto"/>
          <w:color w:val="auto"/>
        </w:rPr>
        <w:t>Indemnitee</w:t>
      </w:r>
      <w:r>
        <w:rPr>
          <w:rFonts w:ascii="Arial" w:cs="Arial" w:eastAsia="Arial" w:hAnsi="Arial"/>
          <w:sz w:val="17"/>
          <w:szCs w:val="17"/>
          <w:color w:val="auto"/>
        </w:rPr>
        <w:t>”) for, and hold each Indemnitee harmless from and against any and all liabilities, obligations, losses, damages, penalties, actions,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3" w:right="459" w:bottom="1440" w:gutter="0" w:footer="0" w:header="0"/>
        </w:sectPr>
      </w:pPr>
    </w:p>
    <w:bookmarkStart w:id="315" w:name="page316"/>
    <w:bookmarkEnd w:id="31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70" w:lineRule="exact"/>
        <w:rPr>
          <w:sz w:val="20"/>
          <w:szCs w:val="20"/>
          <w:color w:val="auto"/>
        </w:rPr>
      </w:pPr>
    </w:p>
    <w:p>
      <w:pPr>
        <w:ind w:right="40" w:firstLine="998"/>
        <w:spacing w:after="0" w:line="287" w:lineRule="auto"/>
        <w:tabs>
          <w:tab w:leader="none" w:pos="1243" w:val="left"/>
        </w:tabs>
        <w:numPr>
          <w:ilvl w:val="0"/>
          <w:numId w:val="313"/>
        </w:numPr>
        <w:rPr>
          <w:rFonts w:ascii="Arial" w:cs="Arial" w:eastAsia="Arial" w:hAnsi="Arial"/>
          <w:sz w:val="16"/>
          <w:szCs w:val="16"/>
          <w:color w:val="auto"/>
        </w:rPr>
      </w:pPr>
      <w:r>
        <w:rPr>
          <w:rFonts w:ascii="Arial" w:cs="Arial" w:eastAsia="Arial" w:hAnsi="Arial"/>
          <w:sz w:val="16"/>
          <w:szCs w:val="16"/>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65" w:lineRule="exact"/>
        <w:rPr>
          <w:rFonts w:ascii="Arial" w:cs="Arial" w:eastAsia="Arial" w:hAnsi="Arial"/>
          <w:sz w:val="16"/>
          <w:szCs w:val="16"/>
          <w:color w:val="auto"/>
        </w:rPr>
      </w:pPr>
    </w:p>
    <w:p>
      <w:pPr>
        <w:ind w:right="40" w:firstLine="998"/>
        <w:spacing w:after="0" w:line="253" w:lineRule="auto"/>
        <w:tabs>
          <w:tab w:leader="none" w:pos="123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94" w:lineRule="exact"/>
        <w:rPr>
          <w:sz w:val="20"/>
          <w:szCs w:val="20"/>
          <w:color w:val="auto"/>
        </w:rPr>
      </w:pPr>
    </w:p>
    <w:p>
      <w:pPr>
        <w:jc w:val="both"/>
        <w:ind w:right="40" w:firstLine="989"/>
        <w:spacing w:after="0" w:line="285"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xiv)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w:t>
      </w:r>
    </w:p>
    <w:p>
      <w:pPr>
        <w:spacing w:after="0" w:line="3" w:lineRule="exact"/>
        <w:rPr>
          <w:sz w:val="20"/>
          <w:szCs w:val="20"/>
          <w:color w:val="auto"/>
        </w:rPr>
      </w:pPr>
    </w:p>
    <w:p>
      <w:pPr>
        <w:ind w:left="5420" w:right="1920" w:hanging="5411"/>
        <w:spacing w:after="0" w:line="431" w:lineRule="auto"/>
        <w:tabs>
          <w:tab w:leader="none" w:pos="27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Lender may assign or otherwise transfer its rights or obligations hereunder except in accordance with this Section 10.6. 71</w:t>
      </w:r>
    </w:p>
    <w:p>
      <w:pPr>
        <w:sectPr>
          <w:pgSz w:w="11900" w:h="16838" w:orient="portrait"/>
          <w:cols w:equalWidth="0" w:num="1">
            <w:col w:w="10980"/>
          </w:cols>
          <w:pgMar w:left="440" w:top="273" w:right="479" w:bottom="1440" w:gutter="0" w:footer="0" w:header="0"/>
        </w:sectPr>
      </w:pPr>
    </w:p>
    <w:bookmarkStart w:id="316" w:name="page317"/>
    <w:bookmarkEnd w:id="316"/>
    <w:p>
      <w:pPr>
        <w:ind w:right="80" w:firstLine="998"/>
        <w:spacing w:after="0" w:line="258" w:lineRule="auto"/>
        <w:tabs>
          <w:tab w:leader="none" w:pos="1233"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9" w:lineRule="exact"/>
        <w:rPr>
          <w:rFonts w:ascii="Arial" w:cs="Arial" w:eastAsia="Arial" w:hAnsi="Arial"/>
          <w:sz w:val="18"/>
          <w:szCs w:val="18"/>
          <w:color w:val="auto"/>
        </w:rPr>
      </w:pPr>
    </w:p>
    <w:p>
      <w:pPr>
        <w:jc w:val="both"/>
        <w:ind w:left="1000" w:right="140" w:firstLine="398"/>
        <w:spacing w:after="0" w:line="263" w:lineRule="auto"/>
        <w:tabs>
          <w:tab w:leader="none" w:pos="165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73" w:lineRule="exact"/>
        <w:rPr>
          <w:rFonts w:ascii="Arial" w:cs="Arial" w:eastAsia="Arial" w:hAnsi="Arial"/>
          <w:sz w:val="18"/>
          <w:szCs w:val="18"/>
          <w:color w:val="auto"/>
        </w:rPr>
      </w:pPr>
    </w:p>
    <w:p>
      <w:pPr>
        <w:ind w:left="1660" w:hanging="262"/>
        <w:spacing w:after="0"/>
        <w:tabs>
          <w:tab w:leader="none" w:pos="16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w:t>
      </w:r>
    </w:p>
    <w:p>
      <w:pPr>
        <w:spacing w:after="0" w:line="46" w:lineRule="exact"/>
        <w:rPr>
          <w:sz w:val="20"/>
          <w:szCs w:val="20"/>
          <w:color w:val="auto"/>
        </w:rPr>
      </w:pPr>
    </w:p>
    <w:p>
      <w:pPr>
        <w:ind w:left="1000" w:right="460" w:hanging="2"/>
        <w:spacing w:after="0" w:line="259" w:lineRule="auto"/>
        <w:tabs>
          <w:tab w:leader="none" w:pos="125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 consent of the Company provided for in clause (1) above shall be required if an Event of Default under Section 8(a) or (e) has occurred and is continuing.</w:t>
      </w:r>
    </w:p>
    <w:p>
      <w:pPr>
        <w:spacing w:after="0" w:line="185" w:lineRule="exact"/>
        <w:rPr>
          <w:sz w:val="20"/>
          <w:szCs w:val="20"/>
          <w:color w:val="auto"/>
        </w:rPr>
      </w:pPr>
    </w:p>
    <w:p>
      <w:pPr>
        <w:ind w:right="20" w:firstLine="989"/>
        <w:spacing w:after="0" w:line="263"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4" w:lineRule="exact"/>
        <w:rPr>
          <w:sz w:val="20"/>
          <w:szCs w:val="20"/>
          <w:color w:val="auto"/>
        </w:rPr>
      </w:pPr>
    </w:p>
    <w:p>
      <w:pPr>
        <w:ind w:left="1080" w:hanging="210"/>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6" w:lineRule="exact"/>
        <w:rPr>
          <w:rFonts w:ascii="Arial" w:cs="Arial" w:eastAsia="Arial" w:hAnsi="Arial"/>
          <w:sz w:val="18"/>
          <w:szCs w:val="18"/>
          <w:color w:val="auto"/>
        </w:rPr>
      </w:pPr>
    </w:p>
    <w:p>
      <w:pPr>
        <w:ind w:left="1000" w:firstLine="398"/>
        <w:spacing w:after="0" w:line="293" w:lineRule="auto"/>
        <w:tabs>
          <w:tab w:leader="none" w:pos="1694" w:val="left"/>
        </w:tabs>
        <w:numPr>
          <w:ilvl w:val="1"/>
          <w:numId w:val="317"/>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53" w:lineRule="exact"/>
        <w:rPr>
          <w:rFonts w:ascii="Arial" w:cs="Arial" w:eastAsia="Arial" w:hAnsi="Arial"/>
          <w:sz w:val="16"/>
          <w:szCs w:val="16"/>
          <w:color w:val="auto"/>
        </w:rPr>
      </w:pPr>
    </w:p>
    <w:p>
      <w:pPr>
        <w:ind w:left="1000" w:right="220" w:firstLine="398"/>
        <w:spacing w:after="0" w:line="256" w:lineRule="auto"/>
        <w:tabs>
          <w:tab w:leader="none" w:pos="168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81" w:lineRule="exact"/>
        <w:rPr>
          <w:rFonts w:ascii="Arial" w:cs="Arial" w:eastAsia="Arial" w:hAnsi="Arial"/>
          <w:sz w:val="18"/>
          <w:szCs w:val="18"/>
          <w:color w:val="auto"/>
        </w:rPr>
      </w:pPr>
    </w:p>
    <w:p>
      <w:pPr>
        <w:ind w:left="1000" w:right="860" w:firstLine="398"/>
        <w:spacing w:after="0" w:line="276" w:lineRule="auto"/>
        <w:tabs>
          <w:tab w:leader="none" w:pos="168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3" w:right="479" w:bottom="1440" w:gutter="0" w:footer="0" w:header="0"/>
        </w:sectPr>
      </w:pPr>
    </w:p>
    <w:bookmarkStart w:id="317" w:name="page318"/>
    <w:bookmarkEnd w:id="317"/>
    <w:p>
      <w:pPr>
        <w:ind w:left="420" w:right="100" w:firstLine="430"/>
        <w:spacing w:after="0" w:line="269" w:lineRule="auto"/>
        <w:tabs>
          <w:tab w:leader="none" w:pos="1106" w:val="left"/>
        </w:tabs>
        <w:numPr>
          <w:ilvl w:val="0"/>
          <w:numId w:val="3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75" w:lineRule="exact"/>
        <w:rPr>
          <w:rFonts w:ascii="Arial" w:cs="Arial" w:eastAsia="Arial" w:hAnsi="Arial"/>
          <w:sz w:val="17"/>
          <w:szCs w:val="17"/>
          <w:color w:val="auto"/>
        </w:rPr>
      </w:pPr>
    </w:p>
    <w:p>
      <w:pPr>
        <w:ind w:left="420" w:right="20" w:firstLine="430"/>
        <w:spacing w:after="0" w:line="270" w:lineRule="auto"/>
        <w:tabs>
          <w:tab w:leader="none" w:pos="1156"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Administrative Agent shall provide a copy of the Register to the Company upon its request at any time and from time to time by electronic communication.</w:t>
      </w:r>
    </w:p>
    <w:p>
      <w:pPr>
        <w:spacing w:after="0" w:line="72" w:lineRule="exact"/>
        <w:rPr>
          <w:rFonts w:ascii="Arial" w:cs="Arial" w:eastAsia="Arial" w:hAnsi="Arial"/>
          <w:sz w:val="17"/>
          <w:szCs w:val="17"/>
          <w:color w:val="auto"/>
        </w:rPr>
      </w:pPr>
    </w:p>
    <w:p>
      <w:pPr>
        <w:ind w:left="420" w:firstLine="430"/>
        <w:spacing w:after="0" w:line="293" w:lineRule="auto"/>
        <w:tabs>
          <w:tab w:leader="none" w:pos="1146" w:val="left"/>
        </w:tabs>
        <w:numPr>
          <w:ilvl w:val="0"/>
          <w:numId w:val="318"/>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0" w:lineRule="exact"/>
        <w:rPr>
          <w:rFonts w:ascii="Arial" w:cs="Arial" w:eastAsia="Arial" w:hAnsi="Arial"/>
          <w:sz w:val="16"/>
          <w:szCs w:val="16"/>
          <w:color w:val="auto"/>
        </w:rPr>
      </w:pPr>
    </w:p>
    <w:p>
      <w:pPr>
        <w:ind w:left="-20" w:right="20" w:firstLine="998"/>
        <w:spacing w:after="0" w:line="287" w:lineRule="auto"/>
        <w:tabs>
          <w:tab w:leader="none" w:pos="1223" w:val="left"/>
        </w:tabs>
        <w:numPr>
          <w:ilvl w:val="1"/>
          <w:numId w:val="318"/>
        </w:numPr>
        <w:rPr>
          <w:rFonts w:ascii="Arial" w:cs="Arial" w:eastAsia="Arial" w:hAnsi="Arial"/>
          <w:sz w:val="16"/>
          <w:szCs w:val="16"/>
          <w:color w:val="auto"/>
        </w:rPr>
      </w:pPr>
      <w:r>
        <w:rPr>
          <w:rFonts w:ascii="Arial" w:cs="Arial" w:eastAsia="Arial" w:hAnsi="Arial"/>
          <w:sz w:val="16"/>
          <w:szCs w:val="16"/>
          <w:color w:val="auto"/>
        </w:rPr>
        <w:t>(2) Any Lender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60" w:top="273" w:right="479" w:bottom="1440" w:gutter="0" w:footer="0" w:header="0"/>
        </w:sectPr>
      </w:pPr>
    </w:p>
    <w:bookmarkStart w:id="318" w:name="page319"/>
    <w:bookmarkEnd w:id="31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w:t>
      </w:r>
    </w:p>
    <w:p>
      <w:pPr>
        <w:spacing w:after="0" w:line="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48" w:lineRule="exact"/>
        <w:rPr>
          <w:sz w:val="20"/>
          <w:szCs w:val="20"/>
          <w:color w:val="auto"/>
        </w:rPr>
      </w:pPr>
    </w:p>
    <w:p>
      <w:pPr>
        <w:ind w:left="440" w:right="80" w:firstLine="430"/>
        <w:spacing w:after="0" w:line="273" w:lineRule="auto"/>
        <w:tabs>
          <w:tab w:leader="none" w:pos="107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74" w:lineRule="exact"/>
        <w:rPr>
          <w:rFonts w:ascii="Arial" w:cs="Arial" w:eastAsia="Arial" w:hAnsi="Arial"/>
          <w:sz w:val="17"/>
          <w:szCs w:val="17"/>
          <w:color w:val="auto"/>
        </w:rPr>
      </w:pPr>
    </w:p>
    <w:p>
      <w:pPr>
        <w:ind w:right="20" w:firstLine="998"/>
        <w:spacing w:after="0" w:line="275" w:lineRule="auto"/>
        <w:tabs>
          <w:tab w:leader="none" w:pos="1233" w:val="left"/>
        </w:tabs>
        <w:numPr>
          <w:ilvl w:val="1"/>
          <w:numId w:val="319"/>
        </w:numPr>
        <w:rPr>
          <w:rFonts w:ascii="Arial" w:cs="Arial" w:eastAsia="Arial" w:hAnsi="Arial"/>
          <w:sz w:val="17"/>
          <w:szCs w:val="17"/>
          <w:color w:val="auto"/>
        </w:rPr>
      </w:pPr>
      <w:r>
        <w:rPr>
          <w:rFonts w:ascii="Arial" w:cs="Arial" w:eastAsia="Arial" w:hAnsi="Arial"/>
          <w:sz w:val="17"/>
          <w:szCs w:val="17"/>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173" w:lineRule="exact"/>
        <w:rPr>
          <w:rFonts w:ascii="Arial" w:cs="Arial" w:eastAsia="Arial" w:hAnsi="Arial"/>
          <w:sz w:val="17"/>
          <w:szCs w:val="17"/>
          <w:color w:val="auto"/>
        </w:rPr>
      </w:pPr>
    </w:p>
    <w:p>
      <w:pPr>
        <w:ind w:right="20" w:firstLine="998"/>
        <w:spacing w:after="0" w:line="255" w:lineRule="auto"/>
        <w:tabs>
          <w:tab w:leader="none" w:pos="124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9" w:lineRule="exact"/>
        <w:rPr>
          <w:sz w:val="20"/>
          <w:szCs w:val="20"/>
          <w:color w:val="auto"/>
        </w:rPr>
      </w:pPr>
    </w:p>
    <w:p>
      <w:pPr>
        <w:ind w:right="80" w:firstLine="989"/>
        <w:spacing w:after="0" w:line="25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Adjustments</w:t>
      </w:r>
      <w:r>
        <w:rPr>
          <w:rFonts w:ascii="Arial" w:cs="Arial" w:eastAsia="Arial" w:hAnsi="Arial"/>
          <w:sz w:val="18"/>
          <w:szCs w:val="18"/>
          <w:color w:val="auto"/>
        </w:rPr>
        <w:t>. If any Lender (a “</w:t>
      </w:r>
      <w:r>
        <w:rPr>
          <w:rFonts w:ascii="Arial" w:cs="Arial" w:eastAsia="Arial" w:hAnsi="Arial"/>
          <w:sz w:val="18"/>
          <w:szCs w:val="18"/>
          <w:u w:val="single" w:color="auto"/>
          <w:color w:val="auto"/>
        </w:rPr>
        <w:t>Benefitted Lender</w:t>
      </w:r>
      <w:r>
        <w:rPr>
          <w:rFonts w:ascii="Arial" w:cs="Arial" w:eastAsia="Arial" w:hAnsi="Arial"/>
          <w:sz w:val="18"/>
          <w:szCs w:val="18"/>
          <w:color w:val="auto"/>
        </w:rPr>
        <w:t>”)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3" w:right="459" w:bottom="1440" w:gutter="0" w:footer="0" w:header="0"/>
        </w:sectPr>
      </w:pPr>
    </w:p>
    <w:bookmarkStart w:id="319" w:name="page320"/>
    <w:bookmarkEnd w:id="31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 Electronic Execution.</w:t>
      </w:r>
    </w:p>
    <w:p>
      <w:pPr>
        <w:spacing w:after="0" w:line="224" w:lineRule="exact"/>
        <w:rPr>
          <w:sz w:val="20"/>
          <w:szCs w:val="20"/>
          <w:color w:val="auto"/>
        </w:rPr>
      </w:pPr>
    </w:p>
    <w:p>
      <w:pPr>
        <w:ind w:right="20" w:firstLine="998"/>
        <w:spacing w:after="0" w:line="278" w:lineRule="auto"/>
        <w:tabs>
          <w:tab w:leader="none" w:pos="1233"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1" w:lineRule="exact"/>
        <w:rPr>
          <w:rFonts w:ascii="Arial" w:cs="Arial" w:eastAsia="Arial" w:hAnsi="Arial"/>
          <w:sz w:val="17"/>
          <w:szCs w:val="17"/>
          <w:color w:val="auto"/>
        </w:rPr>
      </w:pPr>
    </w:p>
    <w:p>
      <w:pPr>
        <w:ind w:firstLine="998"/>
        <w:spacing w:after="0" w:line="283" w:lineRule="auto"/>
        <w:tabs>
          <w:tab w:leader="none" w:pos="124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that is an Electronic Signature transmitted by be telecopy, emailed pdf. or any other electronic means that reproduces an image of the actual executed signature page shall be effective as delivery of a manually executed counterpart of this Agreement, such other Loan Documents or such Ancillary,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3" w:right="459" w:bottom="1440" w:gutter="0" w:footer="0" w:header="0"/>
        </w:sectPr>
      </w:pPr>
    </w:p>
    <w:bookmarkStart w:id="320" w:name="page321"/>
    <w:bookmarkEnd w:id="320"/>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any Issuing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83" w:lineRule="exact"/>
        <w:rPr>
          <w:sz w:val="20"/>
          <w:szCs w:val="20"/>
          <w:color w:val="auto"/>
        </w:rPr>
      </w:pPr>
    </w:p>
    <w:p>
      <w:pPr>
        <w:ind w:right="120" w:firstLine="989"/>
        <w:spacing w:after="0" w:line="285"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firstLine="989"/>
        <w:spacing w:after="0" w:line="311"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47" w:lineRule="exact"/>
        <w:rPr>
          <w:sz w:val="20"/>
          <w:szCs w:val="20"/>
          <w:color w:val="auto"/>
        </w:rPr>
      </w:pPr>
    </w:p>
    <w:p>
      <w:pPr>
        <w:ind w:right="240" w:firstLine="989"/>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82" w:lineRule="exact"/>
        <w:rPr>
          <w:sz w:val="20"/>
          <w:szCs w:val="20"/>
          <w:color w:val="auto"/>
        </w:rPr>
      </w:pPr>
    </w:p>
    <w:p>
      <w:pPr>
        <w:ind w:right="220" w:firstLine="989"/>
        <w:spacing w:after="0" w:line="276"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xv) Each of the Administrative Agent, the Lenders, the Company, each Subsidiary Borrower and each other Loan Party hereby irrevocably and unconditionally:</w:t>
      </w:r>
    </w:p>
    <w:p>
      <w:pPr>
        <w:spacing w:after="0" w:line="63" w:lineRule="exact"/>
        <w:rPr>
          <w:sz w:val="20"/>
          <w:szCs w:val="20"/>
          <w:color w:val="auto"/>
        </w:rPr>
      </w:pPr>
    </w:p>
    <w:p>
      <w:pPr>
        <w:jc w:val="both"/>
        <w:ind w:left="440" w:right="100" w:firstLine="430"/>
        <w:spacing w:after="0" w:line="258" w:lineRule="auto"/>
        <w:tabs>
          <w:tab w:leader="none" w:pos="107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79" w:lineRule="exact"/>
        <w:rPr>
          <w:rFonts w:ascii="Arial" w:cs="Arial" w:eastAsia="Arial" w:hAnsi="Arial"/>
          <w:sz w:val="18"/>
          <w:szCs w:val="18"/>
          <w:color w:val="auto"/>
        </w:rPr>
      </w:pPr>
    </w:p>
    <w:p>
      <w:pPr>
        <w:ind w:left="440" w:right="20" w:firstLine="430"/>
        <w:spacing w:after="0" w:line="263" w:lineRule="auto"/>
        <w:tabs>
          <w:tab w:leader="none" w:pos="112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440" w:right="560" w:firstLine="430"/>
        <w:spacing w:after="0" w:line="276" w:lineRule="auto"/>
        <w:tabs>
          <w:tab w:leader="none" w:pos="117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3" w:right="479" w:bottom="1440" w:gutter="0" w:footer="0" w:header="0"/>
        </w:sectPr>
      </w:pPr>
    </w:p>
    <w:bookmarkStart w:id="321" w:name="page322"/>
    <w:bookmarkEnd w:id="321"/>
    <w:p>
      <w:pPr>
        <w:ind w:right="100" w:firstLine="998"/>
        <w:spacing w:after="0" w:line="256" w:lineRule="auto"/>
        <w:tabs>
          <w:tab w:leader="none" w:pos="1243"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9" w:lineRule="exact"/>
        <w:rPr>
          <w:sz w:val="20"/>
          <w:szCs w:val="20"/>
          <w:color w:val="auto"/>
        </w:rPr>
      </w:pPr>
    </w:p>
    <w:p>
      <w:pPr>
        <w:ind w:right="60" w:firstLine="989"/>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116" w:lineRule="exact"/>
        <w:rPr>
          <w:sz w:val="20"/>
          <w:szCs w:val="20"/>
          <w:color w:val="auto"/>
        </w:rPr>
      </w:pPr>
    </w:p>
    <w:p>
      <w:pPr>
        <w:ind w:left="1240" w:hanging="242"/>
        <w:spacing w:after="0"/>
        <w:tabs>
          <w:tab w:leader="none" w:pos="124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35" w:lineRule="exact"/>
        <w:rPr>
          <w:rFonts w:ascii="Arial" w:cs="Arial" w:eastAsia="Arial" w:hAnsi="Arial"/>
          <w:sz w:val="17"/>
          <w:szCs w:val="17"/>
          <w:color w:val="auto"/>
        </w:rPr>
      </w:pPr>
    </w:p>
    <w:p>
      <w:pPr>
        <w:jc w:val="both"/>
        <w:ind w:right="160" w:firstLine="998"/>
        <w:spacing w:after="0" w:line="311" w:lineRule="auto"/>
        <w:tabs>
          <w:tab w:leader="none" w:pos="1243" w:val="left"/>
        </w:tabs>
        <w:numPr>
          <w:ilvl w:val="0"/>
          <w:numId w:val="323"/>
        </w:numPr>
        <w:rPr>
          <w:rFonts w:ascii="Arial" w:cs="Arial" w:eastAsia="Arial" w:hAnsi="Arial"/>
          <w:sz w:val="16"/>
          <w:szCs w:val="16"/>
          <w:color w:val="auto"/>
        </w:rPr>
      </w:pPr>
      <w:r>
        <w:rPr>
          <w:rFonts w:ascii="Arial" w:cs="Arial" w:eastAsia="Arial" w:hAnsi="Arial"/>
          <w:sz w:val="16"/>
          <w:szCs w:val="16"/>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46" w:lineRule="exact"/>
        <w:rPr>
          <w:rFonts w:ascii="Arial" w:cs="Arial" w:eastAsia="Arial" w:hAnsi="Arial"/>
          <w:sz w:val="16"/>
          <w:szCs w:val="16"/>
          <w:color w:val="auto"/>
        </w:rPr>
      </w:pPr>
    </w:p>
    <w:p>
      <w:pPr>
        <w:ind w:firstLine="998"/>
        <w:spacing w:after="0" w:line="276" w:lineRule="auto"/>
        <w:tabs>
          <w:tab w:leader="none" w:pos="123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p>
    <w:p>
      <w:pPr>
        <w:spacing w:after="0" w:line="224" w:lineRule="exact"/>
        <w:rPr>
          <w:sz w:val="20"/>
          <w:szCs w:val="20"/>
          <w:color w:val="auto"/>
        </w:rPr>
      </w:pPr>
    </w:p>
    <w:p>
      <w:pPr>
        <w:ind w:right="100" w:firstLine="998"/>
        <w:spacing w:after="0" w:line="296" w:lineRule="auto"/>
        <w:tabs>
          <w:tab w:leader="none" w:pos="1233" w:val="left"/>
        </w:tabs>
        <w:numPr>
          <w:ilvl w:val="0"/>
          <w:numId w:val="32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58" w:lineRule="exact"/>
        <w:rPr>
          <w:rFonts w:ascii="Arial" w:cs="Arial" w:eastAsia="Arial" w:hAnsi="Arial"/>
          <w:sz w:val="16"/>
          <w:szCs w:val="16"/>
          <w:color w:val="auto"/>
        </w:rPr>
      </w:pPr>
    </w:p>
    <w:p>
      <w:pPr>
        <w:ind w:right="140" w:firstLine="998"/>
        <w:spacing w:after="0" w:line="263" w:lineRule="auto"/>
        <w:tabs>
          <w:tab w:leader="none" w:pos="124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3" w:right="459" w:bottom="1440" w:gutter="0" w:footer="0" w:header="0"/>
        </w:sectPr>
      </w:pPr>
    </w:p>
    <w:bookmarkStart w:id="322" w:name="page323"/>
    <w:bookmarkEnd w:id="322"/>
    <w:p>
      <w:pPr>
        <w:ind w:right="20" w:firstLine="998"/>
        <w:spacing w:after="0" w:line="255" w:lineRule="auto"/>
        <w:tabs>
          <w:tab w:leader="none" w:pos="1233"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(without requirement of notice to or consent of any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188" w:lineRule="exact"/>
        <w:rPr>
          <w:rFonts w:ascii="Arial" w:cs="Arial" w:eastAsia="Arial" w:hAnsi="Arial"/>
          <w:sz w:val="18"/>
          <w:szCs w:val="18"/>
          <w:color w:val="auto"/>
        </w:rPr>
      </w:pPr>
    </w:p>
    <w:p>
      <w:pPr>
        <w:ind w:right="380" w:firstLine="998"/>
        <w:spacing w:after="0" w:line="263" w:lineRule="auto"/>
        <w:tabs>
          <w:tab w:leader="none" w:pos="124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82" w:lineRule="exact"/>
        <w:rPr>
          <w:sz w:val="20"/>
          <w:szCs w:val="20"/>
          <w:color w:val="auto"/>
        </w:rPr>
      </w:pPr>
    </w:p>
    <w:p>
      <w:pPr>
        <w:ind w:right="20" w:firstLine="989"/>
        <w:spacing w:after="0" w:line="267"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each Lender and each Transferee (each a “</w:t>
      </w:r>
      <w:r>
        <w:rPr>
          <w:rFonts w:ascii="Arial" w:cs="Arial" w:eastAsia="Arial" w:hAnsi="Arial"/>
          <w:sz w:val="17"/>
          <w:szCs w:val="17"/>
          <w:u w:val="single" w:color="auto"/>
          <w:color w:val="auto"/>
        </w:rPr>
        <w:t>Receiving Party</w:t>
      </w:r>
      <w:r>
        <w:rPr>
          <w:rFonts w:ascii="Arial" w:cs="Arial" w:eastAsia="Arial" w:hAnsi="Arial"/>
          <w:sz w:val="17"/>
          <w:szCs w:val="17"/>
          <w:color w:val="auto"/>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Borrower.</w:t>
      </w:r>
    </w:p>
    <w:p>
      <w:pPr>
        <w:spacing w:after="0" w:line="180" w:lineRule="exact"/>
        <w:rPr>
          <w:sz w:val="20"/>
          <w:szCs w:val="20"/>
          <w:color w:val="auto"/>
        </w:rPr>
      </w:pPr>
    </w:p>
    <w:p>
      <w:pPr>
        <w:ind w:right="60" w:firstLine="989"/>
        <w:spacing w:after="0" w:line="263"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AND THE LENDERS HEREBY IRREVOCABLY AND UNCONDITIONALLY WAIVE TRIAL BY JURY IN ANY LEGAL ACTION OR PROCEEDING RELATING TO THIS AGREEMENT OR ANY OTHER LOAN DOCUMENT AND FOR ANY COUNTERCLAIM THEREIN.</w:t>
      </w:r>
    </w:p>
    <w:p>
      <w:pPr>
        <w:spacing w:after="0" w:line="182" w:lineRule="exact"/>
        <w:rPr>
          <w:sz w:val="20"/>
          <w:szCs w:val="20"/>
          <w:color w:val="auto"/>
        </w:rPr>
      </w:pPr>
    </w:p>
    <w:p>
      <w:pPr>
        <w:ind w:firstLine="989"/>
        <w:spacing w:after="0" w:line="296"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 and the Beneficial Ownership Regulation</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3" w:right="459" w:bottom="1440" w:gutter="0" w:footer="0" w:header="0"/>
        </w:sectPr>
      </w:pPr>
    </w:p>
    <w:bookmarkStart w:id="323" w:name="page324"/>
    <w:bookmarkEnd w:id="323"/>
    <w:p>
      <w:pPr>
        <w:ind w:firstLine="98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10.19 </w:t>
      </w:r>
      <w:r>
        <w:rPr>
          <w:rFonts w:ascii="Arial" w:cs="Arial" w:eastAsia="Arial" w:hAnsi="Arial"/>
          <w:sz w:val="16"/>
          <w:szCs w:val="16"/>
          <w:u w:val="single" w:color="auto"/>
          <w:color w:val="auto"/>
        </w:rPr>
        <w:t>No Novation</w:t>
      </w:r>
      <w:r>
        <w:rPr>
          <w:rFonts w:ascii="Arial" w:cs="Arial" w:eastAsia="Arial" w:hAnsi="Arial"/>
          <w:sz w:val="16"/>
          <w:szCs w:val="16"/>
          <w:color w:val="auto"/>
        </w:rPr>
        <w:t>. The terms and conditions of the Existing 364-Day Credit Agreement are amended as set forth in, and restated in their entirety and 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w:t>
      </w:r>
    </w:p>
    <w:p>
      <w:pPr>
        <w:spacing w:after="0" w:line="162" w:lineRule="exact"/>
        <w:rPr>
          <w:sz w:val="20"/>
          <w:szCs w:val="20"/>
          <w:color w:val="auto"/>
        </w:rPr>
      </w:pPr>
    </w:p>
    <w:p>
      <w:pPr>
        <w:ind w:right="120" w:firstLine="989"/>
        <w:spacing w:after="0" w:line="258"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an Affected Financial Institution and agrees and consents to, and acknowledges and agrees to be bound by:</w:t>
      </w:r>
    </w:p>
    <w:p>
      <w:pPr>
        <w:spacing w:after="0" w:line="187" w:lineRule="exact"/>
        <w:rPr>
          <w:sz w:val="20"/>
          <w:szCs w:val="20"/>
          <w:color w:val="auto"/>
        </w:rPr>
      </w:pPr>
    </w:p>
    <w:p>
      <w:pPr>
        <w:ind w:right="540" w:firstLine="998"/>
        <w:spacing w:after="0" w:line="276" w:lineRule="auto"/>
        <w:tabs>
          <w:tab w:leader="none" w:pos="1233"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260" w:hanging="262"/>
        <w:spacing w:after="0"/>
        <w:tabs>
          <w:tab w:leader="none" w:pos="12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6" w:lineRule="exact"/>
        <w:rPr>
          <w:rFonts w:ascii="Arial" w:cs="Arial" w:eastAsia="Arial" w:hAnsi="Arial"/>
          <w:sz w:val="18"/>
          <w:szCs w:val="18"/>
          <w:color w:val="auto"/>
        </w:rPr>
      </w:pPr>
    </w:p>
    <w:p>
      <w:pPr>
        <w:ind w:left="1080" w:hanging="210"/>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6" w:lineRule="exact"/>
        <w:rPr>
          <w:rFonts w:ascii="Arial" w:cs="Arial" w:eastAsia="Arial" w:hAnsi="Arial"/>
          <w:sz w:val="18"/>
          <w:szCs w:val="18"/>
          <w:color w:val="auto"/>
        </w:rPr>
      </w:pPr>
    </w:p>
    <w:p>
      <w:pPr>
        <w:ind w:left="440" w:right="100" w:firstLine="430"/>
        <w:spacing w:after="0" w:line="311" w:lineRule="auto"/>
        <w:tabs>
          <w:tab w:leader="none" w:pos="112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440" w:right="260" w:firstLine="430"/>
        <w:spacing w:after="0" w:line="276" w:lineRule="auto"/>
        <w:tabs>
          <w:tab w:leader="none" w:pos="117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“U</w:t>
      </w:r>
      <w:r>
        <w:rPr>
          <w:rFonts w:ascii="Arial" w:cs="Arial" w:eastAsia="Arial" w:hAnsi="Arial"/>
          <w:sz w:val="16"/>
          <w:szCs w:val="16"/>
          <w:u w:val="single" w:color="auto"/>
          <w:color w:val="auto"/>
        </w:rPr>
        <w:t>.S.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Loan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3" w:right="479" w:bottom="1440" w:gutter="0" w:footer="0" w:header="0"/>
        </w:sectPr>
      </w:pPr>
    </w:p>
    <w:bookmarkStart w:id="324" w:name="page325"/>
    <w:bookmarkEnd w:id="324"/>
    <w:p>
      <w:pPr>
        <w:ind w:firstLine="43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3" w:right="479" w:bottom="1440" w:gutter="0" w:footer="0" w:header="0"/>
        </w:sectPr>
      </w:pPr>
    </w:p>
    <w:bookmarkStart w:id="325" w:name="page326"/>
    <w:bookmarkEnd w:id="325"/>
    <w:p>
      <w:pPr>
        <w:ind w:right="6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Rakesh K. Gupta</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GENERAL MOTORS FINANCIAL COMPANY, INC.</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A. Gokenbach, Jr.</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 and Treasurer</w:t>
      </w:r>
    </w:p>
    <w:p>
      <w:pPr>
        <w:spacing w:after="0" w:line="206"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10600"/>
          </w:cols>
          <w:pgMar w:left="440" w:top="273" w:right="859" w:bottom="1440" w:gutter="0" w:footer="0" w:header="0"/>
        </w:sectPr>
      </w:pPr>
    </w:p>
    <w:bookmarkStart w:id="326" w:name="page327"/>
    <w:bookmarkEnd w:id="326"/>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Administrative</w:t>
      </w:r>
    </w:p>
    <w:p>
      <w:pPr>
        <w:spacing w:after="0" w:line="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Agent and as Lender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Jonathan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Jonathan Bennett</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560"/>
          </w:cols>
          <w:pgMar w:left="1440" w:top="273" w:right="899" w:bottom="1440" w:gutter="0" w:footer="0" w:header="0"/>
        </w:sectPr>
      </w:pPr>
    </w:p>
    <w:bookmarkStart w:id="327" w:name="page328"/>
    <w:bookmarkEnd w:id="327"/>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Lukehart</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28" w:name="page329"/>
    <w:bookmarkEnd w:id="328"/>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w:t>
      </w:r>
    </w:p>
    <w:p>
      <w:pPr>
        <w:spacing w:after="0" w:line="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YORK BRANCH, as Lender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Crowley</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Miriam Trautmann</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820"/>
          </w:cols>
          <w:pgMar w:left="1440" w:top="274" w:right="639" w:bottom="1440" w:gutter="0" w:footer="0" w:header="0"/>
        </w:sectPr>
      </w:pPr>
    </w:p>
    <w:bookmarkStart w:id="329" w:name="page330"/>
    <w:bookmarkEnd w:id="329"/>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T. Smathers</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380"/>
          </w:cols>
          <w:pgMar w:left="1440" w:top="273" w:right="1079" w:bottom="1440" w:gutter="0" w:footer="0" w:header="0"/>
        </w:sectPr>
      </w:pPr>
    </w:p>
    <w:bookmarkStart w:id="330" w:name="page331"/>
    <w:bookmarkEnd w:id="330"/>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Michelle C.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Michelle C. Phillips</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31" w:name="page332"/>
    <w:bookmarkEnd w:id="331"/>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Craig Malloy</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32" w:name="page333"/>
    <w:bookmarkEnd w:id="332"/>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Lender</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 Christopher Sked</w:t>
      </w:r>
    </w:p>
    <w:p>
      <w:pPr>
        <w:spacing w:after="0" w:line="4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Managing Director</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Karim Remtoula</w:t>
      </w:r>
    </w:p>
    <w:p>
      <w:pPr>
        <w:spacing w:after="0" w:line="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33" w:name="page334"/>
    <w:bookmarkEnd w:id="333"/>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 INVESTMENT</w:t>
      </w:r>
    </w:p>
    <w:p>
      <w:pPr>
        <w:spacing w:after="0" w:line="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BANK, as Lender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Jill Wong</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Gordon Yip</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920"/>
          </w:cols>
          <w:pgMar w:left="1440" w:top="273" w:right="539" w:bottom="1440" w:gutter="0" w:footer="0" w:header="0"/>
        </w:sectPr>
      </w:pPr>
    </w:p>
    <w:bookmarkStart w:id="334" w:name="page335"/>
    <w:bookmarkEnd w:id="334"/>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w:t>
      </w:r>
    </w:p>
    <w:p>
      <w:pPr>
        <w:spacing w:after="0" w:line="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YORK BRANCH, as Lender</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Farhad Merali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Farhad Merali</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860"/>
          </w:cols>
          <w:pgMar w:left="1440" w:top="273" w:right="599" w:bottom="1440" w:gutter="0" w:footer="0" w:header="0"/>
        </w:sectPr>
      </w:pPr>
    </w:p>
    <w:bookmarkStart w:id="335" w:name="page336"/>
    <w:bookmarkEnd w:id="335"/>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Ravelo</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Sullivan</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140"/>
          </w:cols>
          <w:pgMar w:left="1440" w:top="273" w:right="1319" w:bottom="1440" w:gutter="0" w:footer="0" w:header="0"/>
        </w:sectPr>
      </w:pPr>
    </w:p>
    <w:bookmarkStart w:id="336" w:name="page337"/>
    <w:bookmarkEnd w:id="336"/>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Lender</w:t>
      </w:r>
    </w:p>
    <w:p>
      <w:pPr>
        <w:spacing w:after="0" w:line="236"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14605</wp:posOffset>
            </wp:positionV>
            <wp:extent cx="248031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Ming K. Chu</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ming.k.chu@db.com</w:t>
      </w:r>
    </w:p>
    <w:p>
      <w:pPr>
        <w:spacing w:after="0" w:line="9"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+1-212-250-5451</w:t>
      </w:r>
    </w:p>
    <w:p>
      <w:pPr>
        <w:spacing w:after="0" w:line="210"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14605</wp:posOffset>
            </wp:positionV>
            <wp:extent cx="248031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Marko Lukin</w:t>
      </w:r>
    </w:p>
    <w:p>
      <w:pPr>
        <w:spacing w:after="0" w:line="22" w:lineRule="exact"/>
        <w:rPr>
          <w:sz w:val="20"/>
          <w:szCs w:val="20"/>
          <w:color w:val="auto"/>
        </w:rPr>
      </w:pPr>
    </w:p>
    <w:p>
      <w:pPr>
        <w:ind w:left="6240"/>
        <w:spacing w:after="0"/>
        <w:rPr>
          <w:sz w:val="20"/>
          <w:szCs w:val="20"/>
          <w:color w:val="auto"/>
        </w:rPr>
      </w:pPr>
      <w:r>
        <w:rPr>
          <w:rFonts w:ascii="Arial" w:cs="Arial" w:eastAsia="Arial" w:hAnsi="Arial"/>
          <w:sz w:val="18"/>
          <w:szCs w:val="18"/>
          <w:u w:val="single" w:color="auto"/>
          <w:color w:val="auto"/>
        </w:rPr>
        <w:t>marko.lukin@db.com</w:t>
      </w:r>
    </w:p>
    <w:p>
      <w:pPr>
        <w:spacing w:after="0" w:line="9"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+1-212-250-7283</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10000"/>
          </w:cols>
          <w:pgMar w:left="1440" w:top="273" w:right="459" w:bottom="1440" w:gutter="0" w:footer="0" w:header="0"/>
        </w:sectPr>
      </w:pPr>
    </w:p>
    <w:bookmarkStart w:id="337" w:name="page338"/>
    <w:bookmarkEnd w:id="337"/>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Lender</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Josephine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Josephine Lim</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4" w:right="1440" w:bottom="1440" w:gutter="0" w:footer="0" w:header="0"/>
        </w:sectPr>
      </w:pPr>
    </w:p>
    <w:bookmarkStart w:id="338" w:name="page339"/>
    <w:bookmarkEnd w:id="338"/>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 Clark</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39" w:name="page340"/>
    <w:bookmarkEnd w:id="339"/>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Lender</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Susan Olsen</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0" w:name="page341"/>
    <w:bookmarkEnd w:id="340"/>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Ryan Durkin</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1" w:name="page342"/>
    <w:bookmarkEnd w:id="341"/>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Sean Hassett</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Ciaran Dunne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Ciaran Dunne</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2" w:name="page343"/>
    <w:bookmarkEnd w:id="342"/>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Intesa Sanpaolo S.p.A.,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Jordan Schweon</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Anne Culver</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3" w:name="page344"/>
    <w:bookmarkEnd w:id="343"/>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 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 Zell</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280"/>
          </w:cols>
          <w:pgMar w:left="1440" w:top="273" w:right="1179" w:bottom="1440" w:gutter="0" w:footer="0" w:header="0"/>
        </w:sectPr>
      </w:pPr>
    </w:p>
    <w:bookmarkStart w:id="344" w:name="page345"/>
    <w:bookmarkEnd w:id="344"/>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Corporate Markets plc,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Kamala Basdeo</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Assistant Vice President</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Tina Wong</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Assistant Vice President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5" w:name="page346"/>
    <w:bookmarkEnd w:id="345"/>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Donna DeMagistris</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6" w:name="page347"/>
    <w:bookmarkEnd w:id="346"/>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Michael King</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Authorized Signatory</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80"/>
          </w:cols>
          <w:pgMar w:left="1440" w:top="274" w:right="1379" w:bottom="1440" w:gutter="0" w:footer="0" w:header="0"/>
        </w:sectPr>
      </w:pPr>
    </w:p>
    <w:bookmarkStart w:id="347" w:name="page348"/>
    <w:bookmarkEnd w:id="347"/>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John Margetanski</w:t>
      </w:r>
    </w:p>
    <w:p>
      <w:pPr>
        <w:spacing w:after="0" w:line="3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8" w:name="page349"/>
    <w:bookmarkEnd w:id="348"/>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Benjamin Lennon</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Authorized Signatory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49" w:name="page350"/>
    <w:bookmarkEnd w:id="349"/>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Santander Bank, N.A.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Xavi Ruiz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Xavi Ruiz Sena</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Managing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50" w:name="page351"/>
    <w:bookmarkEnd w:id="350"/>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SOCIETE GENERALE,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John Hogan</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364-Day Revolving Credit Agreement</w:t>
      </w:r>
    </w:p>
    <w:p>
      <w:pPr>
        <w:sectPr>
          <w:pgSz w:w="11900" w:h="16838" w:orient="portrait"/>
          <w:cols w:equalWidth="0" w:num="1">
            <w:col w:w="9019"/>
          </w:cols>
          <w:pgMar w:left="1440" w:top="273" w:right="1440" w:bottom="1440" w:gutter="0" w:footer="0" w:header="0"/>
        </w:sectPr>
      </w:pPr>
    </w:p>
    <w:bookmarkStart w:id="351" w:name="page352"/>
    <w:bookmarkEnd w:id="351"/>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Michael Maguire</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Managing Director</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220"/>
          </w:cols>
          <w:pgMar w:left="1440" w:top="273" w:right="1239" w:bottom="1440" w:gutter="0" w:footer="0" w:header="0"/>
        </w:sectPr>
      </w:pPr>
    </w:p>
    <w:bookmarkStart w:id="352" w:name="page353"/>
    <w:bookmarkEnd w:id="352"/>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Brian MacFarlane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Brian MacFarlane</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Authorized Signatory</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900"/>
          </w:cols>
          <w:pgMar w:left="1440" w:top="273" w:right="559" w:bottom="1440" w:gutter="0" w:footer="0" w:header="0"/>
        </w:sectPr>
      </w:pPr>
    </w:p>
    <w:bookmarkStart w:id="353" w:name="page354"/>
    <w:bookmarkEnd w:id="353"/>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AG, NEW YORK BRANCH as a</w:t>
      </w:r>
    </w:p>
    <w:p>
      <w:pPr>
        <w:spacing w:after="0" w:line="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Edward Herko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Edward Herko</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Thomas Petz</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600"/>
          </w:cols>
          <w:pgMar w:left="1440" w:top="273" w:right="859" w:bottom="1440" w:gutter="0" w:footer="0" w:header="0"/>
        </w:sectPr>
      </w:pPr>
    </w:p>
    <w:bookmarkStart w:id="354" w:name="page355"/>
    <w:bookmarkEnd w:id="354"/>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Lender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Jeffrey S. Johnson</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Senior Vice President</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 Page to Third Amended and Restated 364-Day Revolving Credit Agreement</w:t>
      </w:r>
    </w:p>
    <w:p>
      <w:pPr>
        <w:sectPr>
          <w:pgSz w:w="11900" w:h="16838" w:orient="portrait"/>
          <w:cols w:equalWidth="0" w:num="1">
            <w:col w:w="9440"/>
          </w:cols>
          <w:pgMar w:left="1440" w:top="274" w:right="101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SCHEDULE 1.1A</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tcPr>
          <w:p>
            <w:pPr>
              <w:jc w:val="right"/>
              <w:ind w:right="453"/>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Credit Agreement</w:t>
            </w:r>
          </w:p>
        </w:tc>
        <w:tc>
          <w:tcPr>
            <w:tcW w:w="0" w:type="dxa"/>
            <w:vAlign w:val="bottom"/>
          </w:tcPr>
          <w:p>
            <w:pPr>
              <w:spacing w:after="0"/>
              <w:rPr>
                <w:sz w:val="1"/>
                <w:szCs w:val="1"/>
                <w:color w:val="auto"/>
              </w:rPr>
            </w:pPr>
          </w:p>
        </w:tc>
      </w:tr>
      <w:tr>
        <w:trPr>
          <w:trHeight w:val="606"/>
        </w:trPr>
        <w:tc>
          <w:tcPr>
            <w:tcW w:w="40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/DTTP I</w:t>
            </w:r>
            <w:r>
              <w:rPr>
                <w:rFonts w:ascii="Arial" w:cs="Arial" w:eastAsia="Arial" w:hAnsi="Arial"/>
                <w:sz w:val="14"/>
                <w:szCs w:val="14"/>
                <w:b w:val="1"/>
                <w:bCs w:val="1"/>
                <w:color w:val="auto"/>
              </w:rPr>
              <w:t>NFORMATION</w:t>
            </w:r>
          </w:p>
        </w:tc>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06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Scheme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0" w:type="dxa"/>
            <w:vAlign w:val="bottom"/>
          </w:tcPr>
          <w:p>
            <w:pPr>
              <w:spacing w:after="0"/>
              <w:rPr>
                <w:sz w:val="1"/>
                <w:szCs w:val="1"/>
                <w:color w:val="auto"/>
              </w:rPr>
            </w:pPr>
          </w:p>
        </w:tc>
      </w:tr>
      <w:tr>
        <w:trPr>
          <w:trHeight w:val="148"/>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1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8"/>
              </w:rPr>
              <w:t>Commitment</w:t>
            </w:r>
          </w:p>
        </w:tc>
        <w:tc>
          <w:tcPr>
            <w:tcW w:w="1960" w:type="dxa"/>
            <w:vAlign w:val="bottom"/>
            <w:vMerge w:val="continue"/>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of Tax</w:t>
            </w:r>
          </w:p>
        </w:tc>
        <w:tc>
          <w:tcPr>
            <w:tcW w:w="0" w:type="dxa"/>
            <w:vAlign w:val="bottom"/>
          </w:tcPr>
          <w:p>
            <w:pPr>
              <w:spacing w:after="0"/>
              <w:rPr>
                <w:sz w:val="1"/>
                <w:szCs w:val="1"/>
                <w:color w:val="auto"/>
              </w:rPr>
            </w:pPr>
          </w:p>
        </w:tc>
      </w:tr>
      <w:tr>
        <w:trPr>
          <w:trHeight w:val="171"/>
        </w:trPr>
        <w:tc>
          <w:tcPr>
            <w:tcW w:w="702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960" w:type="dxa"/>
            <w:vAlign w:val="bottom"/>
          </w:tcPr>
          <w:p>
            <w:pPr>
              <w:jc w:val="right"/>
              <w:ind w:right="672"/>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Residence</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13/M/0268710/DTTP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Citibank, N.A.</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13/C/62301/DTTP</w:t>
            </w:r>
          </w:p>
        </w:tc>
        <w:tc>
          <w:tcPr>
            <w:tcW w:w="9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9/B/75354/DTTP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Bank of America, N.A.</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13/B/7418/DTTP</w:t>
            </w:r>
          </w:p>
        </w:tc>
        <w:tc>
          <w:tcPr>
            <w:tcW w:w="9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BNP Paribas</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5/B/255139/DTTP</w:t>
            </w:r>
          </w:p>
        </w:tc>
        <w:tc>
          <w:tcPr>
            <w:tcW w:w="90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Intesa Sanpaolo S.p.A.—New York Branch</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Commerzbank AG New York Branch</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7/C/25382/DTTP</w:t>
            </w:r>
          </w:p>
        </w:tc>
        <w:tc>
          <w:tcPr>
            <w:tcW w:w="9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Agricole Corporate and Investment Bank</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5/C/0222082/DTTP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Deutsche Bank AG New York Branch</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07/D/70006/DTTP</w:t>
            </w:r>
          </w:p>
        </w:tc>
        <w:tc>
          <w:tcPr>
            <w:tcW w:w="9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13/G/0351779/DTTP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Lloyds Bank Corporate Markets plc</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43/M/274822/DTTP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Morgan Stanley Senior Funding, Inc.</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13/M/227953/DTTP</w:t>
            </w:r>
          </w:p>
        </w:tc>
        <w:tc>
          <w:tcPr>
            <w:tcW w:w="9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3/R/70780/DTTP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Societe Generale</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5/S/70085/DTTP</w:t>
            </w:r>
          </w:p>
        </w:tc>
        <w:tc>
          <w:tcPr>
            <w:tcW w:w="90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43/S/274647/DTTP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5"/>
        </w:trPr>
        <w:tc>
          <w:tcPr>
            <w:tcW w:w="7020" w:type="dxa"/>
            <w:vAlign w:val="bottom"/>
            <w:gridSpan w:val="3"/>
          </w:tcPr>
          <w:p>
            <w:pPr>
              <w:spacing w:after="0"/>
              <w:rPr>
                <w:sz w:val="20"/>
                <w:szCs w:val="20"/>
                <w:color w:val="auto"/>
              </w:rPr>
            </w:pPr>
            <w:r>
              <w:rPr>
                <w:rFonts w:ascii="Arial" w:cs="Arial" w:eastAsia="Arial" w:hAnsi="Arial"/>
                <w:sz w:val="18"/>
                <w:szCs w:val="18"/>
                <w:color w:val="auto"/>
              </w:rPr>
              <w:t>The Bank of Nova Scotia</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003/T/0366714/DTTP</w:t>
            </w:r>
          </w:p>
        </w:tc>
        <w:tc>
          <w:tcPr>
            <w:tcW w:w="9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Toronto-Dominion Bank, New York Branch</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3/T/80000/DTTP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00"/>
          </w:cols>
          <w:pgMar w:left="440" w:top="273"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6" w:name="page357"/>
    <w:bookmarkEnd w:id="356"/>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0" w:type="dxa"/>
            <w:vAlign w:val="bottom"/>
          </w:tcPr>
          <w:p>
            <w:pPr>
              <w:spacing w:after="0"/>
              <w:rPr>
                <w:sz w:val="1"/>
                <w:szCs w:val="1"/>
                <w:color w:val="auto"/>
              </w:rPr>
            </w:pPr>
          </w:p>
        </w:tc>
      </w:tr>
      <w:tr>
        <w:trPr>
          <w:trHeight w:val="157"/>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Commitment</w:t>
            </w:r>
          </w:p>
        </w:tc>
        <w:tc>
          <w:tcPr>
            <w:tcW w:w="2100" w:type="dxa"/>
            <w:vAlign w:val="bottom"/>
          </w:tcPr>
          <w:p>
            <w:pPr>
              <w:jc w:val="right"/>
              <w:ind w:right="312"/>
              <w:spacing w:after="0" w:line="157" w:lineRule="exact"/>
              <w:rPr>
                <w:sz w:val="20"/>
                <w:szCs w:val="20"/>
                <w:color w:val="auto"/>
              </w:rPr>
            </w:pPr>
            <w:r>
              <w:rPr>
                <w:rFonts w:ascii="Arial" w:cs="Arial" w:eastAsia="Arial" w:hAnsi="Arial"/>
                <w:sz w:val="14"/>
                <w:szCs w:val="14"/>
                <w:b w:val="1"/>
                <w:bCs w:val="1"/>
                <w:color w:val="auto"/>
              </w:rPr>
              <w:t>Scheme Reference</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of Tax</w:t>
            </w:r>
          </w:p>
        </w:tc>
        <w:tc>
          <w:tcPr>
            <w:tcW w:w="0" w:type="dxa"/>
            <w:vAlign w:val="bottom"/>
          </w:tcPr>
          <w:p>
            <w:pPr>
              <w:spacing w:after="0"/>
              <w:rPr>
                <w:sz w:val="1"/>
                <w:szCs w:val="1"/>
                <w:color w:val="auto"/>
              </w:rPr>
            </w:pPr>
          </w:p>
        </w:tc>
      </w:tr>
      <w:tr>
        <w:trPr>
          <w:trHeight w:val="175"/>
        </w:trPr>
        <w:tc>
          <w:tcPr>
            <w:tcW w:w="7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100" w:type="dxa"/>
            <w:vAlign w:val="bottom"/>
          </w:tcPr>
          <w:p>
            <w:pPr>
              <w:jc w:val="right"/>
              <w:ind w:right="612"/>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Residence</w:t>
            </w:r>
          </w:p>
        </w:tc>
        <w:tc>
          <w:tcPr>
            <w:tcW w:w="0" w:type="dxa"/>
            <w:vAlign w:val="bottom"/>
          </w:tcPr>
          <w:p>
            <w:pPr>
              <w:spacing w:after="0"/>
              <w:rPr>
                <w:sz w:val="1"/>
                <w:szCs w:val="1"/>
                <w:color w:val="auto"/>
              </w:rPr>
            </w:pPr>
          </w:p>
        </w:tc>
      </w:tr>
      <w:tr>
        <w:trPr>
          <w:trHeight w:val="215"/>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3/C/80001/DTTP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Arial" w:cs="Arial" w:eastAsia="Arial" w:hAnsi="Arial"/>
                <w:sz w:val="18"/>
                <w:szCs w:val="18"/>
                <w:color w:val="auto"/>
              </w:rPr>
              <w:t>Bank of Montreal,</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3/M/270436/DTTP</w:t>
            </w:r>
          </w:p>
        </w:tc>
        <w:tc>
          <w:tcPr>
            <w:tcW w:w="9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DBS Bank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67/D/363894/DTTP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Arial" w:cs="Arial" w:eastAsia="Arial" w:hAnsi="Arial"/>
                <w:sz w:val="18"/>
                <w:szCs w:val="18"/>
                <w:color w:val="auto"/>
              </w:rPr>
              <w:t>MUFG Bank, Ltd.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43/B/322072/DTTP</w:t>
            </w:r>
          </w:p>
        </w:tc>
        <w:tc>
          <w:tcPr>
            <w:tcW w:w="90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5"/>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Santander Bank, 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013/S/357603/DTTP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Arial" w:cs="Arial" w:eastAsia="Arial" w:hAnsi="Arial"/>
                <w:sz w:val="18"/>
                <w:szCs w:val="18"/>
                <w:color w:val="auto"/>
              </w:rPr>
              <w:t>UniCredit Bank AG, New York Branch</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7/U/237605/DTTP</w:t>
            </w:r>
          </w:p>
        </w:tc>
        <w:tc>
          <w:tcPr>
            <w:tcW w:w="9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13/U/62184/DTTP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Arial" w:cs="Arial" w:eastAsia="Arial" w:hAnsi="Arial"/>
                <w:sz w:val="18"/>
                <w:szCs w:val="18"/>
                <w:color w:val="auto"/>
              </w:rPr>
              <w:t>ING Bank N.V., Dublin Branch</w:t>
            </w:r>
          </w:p>
        </w:tc>
        <w:tc>
          <w:tcPr>
            <w:tcW w:w="820" w:type="dxa"/>
            <w:vAlign w:val="bottom"/>
          </w:tcPr>
          <w:p>
            <w:pPr>
              <w:spacing w:after="0"/>
              <w:rPr>
                <w:sz w:val="17"/>
                <w:szCs w:val="17"/>
                <w:color w:val="auto"/>
              </w:rPr>
            </w:pPr>
          </w:p>
        </w:tc>
        <w:tc>
          <w:tcPr>
            <w:tcW w:w="2100" w:type="dxa"/>
            <w:vAlign w:val="bottom"/>
          </w:tcPr>
          <w:p>
            <w:pPr>
              <w:jc w:val="right"/>
              <w:spacing w:after="0" w:line="201" w:lineRule="exact"/>
              <w:rPr>
                <w:sz w:val="20"/>
                <w:szCs w:val="20"/>
                <w:color w:val="auto"/>
              </w:rPr>
            </w:pPr>
            <w:r>
              <w:rPr>
                <w:rFonts w:ascii="Arial" w:cs="Arial" w:eastAsia="Arial" w:hAnsi="Arial"/>
                <w:sz w:val="18"/>
                <w:szCs w:val="18"/>
                <w:color w:val="auto"/>
              </w:rPr>
              <w:t>12-I-371270-DTTP</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(with respect to ING</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Ireland DAC as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applicable lending</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office)</w:t>
            </w:r>
          </w:p>
        </w:tc>
        <w:tc>
          <w:tcPr>
            <w:tcW w:w="900" w:type="dxa"/>
            <w:vAlign w:val="bottom"/>
          </w:tcPr>
          <w:p>
            <w:pPr>
              <w:jc w:val="right"/>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5"/>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13/B/357401/DTTP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Wells Fargo Bank, N.A.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13/W/61173/DTTP</w:t>
            </w:r>
          </w:p>
        </w:tc>
        <w:tc>
          <w:tcPr>
            <w:tcW w:w="9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00"/>
          </w:cols>
          <w:pgMar w:left="440" w:top="252"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7" w:name="page358"/>
    <w:bookmarkEnd w:id="357"/>
    <w:tbl>
      <w:tblPr>
        <w:tblLayout w:type="fixed"/>
        <w:tblInd w:w="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SCHEDULE 1.1B</w:t>
            </w:r>
          </w:p>
        </w:tc>
      </w:tr>
      <w:tr>
        <w:trPr>
          <w:trHeight w:val="215"/>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ind w:left="1280"/>
              <w:spacing w:after="0"/>
              <w:rPr>
                <w:sz w:val="20"/>
                <w:szCs w:val="20"/>
                <w:color w:val="auto"/>
              </w:rPr>
            </w:pPr>
            <w:r>
              <w:rPr>
                <w:rFonts w:ascii="Arial" w:cs="Arial" w:eastAsia="Arial" w:hAnsi="Arial"/>
                <w:sz w:val="18"/>
                <w:szCs w:val="18"/>
                <w:color w:val="auto"/>
              </w:rPr>
              <w:t>to</w:t>
            </w:r>
          </w:p>
        </w:tc>
      </w:tr>
      <w:tr>
        <w:trPr>
          <w:trHeight w:val="230"/>
        </w:trPr>
        <w:tc>
          <w:tcPr>
            <w:tcW w:w="9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Credit Agreement</w:t>
            </w:r>
          </w:p>
        </w:tc>
      </w:tr>
      <w:tr>
        <w:trPr>
          <w:trHeight w:val="390"/>
        </w:trPr>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20" w:type="dxa"/>
            <w:vAlign w:val="bottom"/>
            <w:gridSpan w:val="4"/>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UBSIDIARIES</w:t>
            </w:r>
          </w:p>
        </w:tc>
      </w:tr>
      <w:tr>
        <w:trPr>
          <w:trHeight w:val="43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262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1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188"/>
        </w:trPr>
        <w:tc>
          <w:tcPr>
            <w:tcW w:w="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Cruise LLC</w:t>
            </w:r>
          </w:p>
        </w:tc>
        <w:tc>
          <w:tcPr>
            <w:tcW w:w="3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BrightDrop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BD Motors Solutions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BrightDrop Vehicle Distribution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Equip Insurance Holdings LLC</w:t>
            </w:r>
          </w:p>
        </w:tc>
        <w:tc>
          <w:tcPr>
            <w:tcW w:w="2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OnStar Insurance Services, Inc.</w:t>
            </w:r>
          </w:p>
        </w:tc>
        <w:tc>
          <w:tcPr>
            <w:tcW w:w="2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9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r>
      <w:tr>
        <w:trPr>
          <w:trHeight w:val="431"/>
        </w:trPr>
        <w:tc>
          <w:tcPr>
            <w:tcW w:w="420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2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3"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8" w:name="page359"/>
    <w:bookmarkEnd w:id="358"/>
    <w:tbl>
      <w:tblPr>
        <w:tblLayout w:type="fixed"/>
        <w:tblInd w:w="460" w:type="dxa"/>
        <w:tblCellMar>
          <w:top w:w="0" w:type="dxa"/>
          <w:left w:w="0" w:type="dxa"/>
          <w:bottom w:w="0" w:type="dxa"/>
          <w:right w:w="0" w:type="dxa"/>
        </w:tblCellMar>
      </w:tblPr>
      <w:tr>
        <w:trPr>
          <w:trHeight w:val="215"/>
        </w:trPr>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SCHEDULE 1.1C</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90"/>
              </w:rPr>
              <w:t>Credit Agreement</w:t>
            </w:r>
          </w:p>
        </w:tc>
        <w:tc>
          <w:tcPr>
            <w:tcW w:w="0" w:type="dxa"/>
            <w:vAlign w:val="bottom"/>
          </w:tcPr>
          <w:p>
            <w:pPr>
              <w:spacing w:after="0"/>
              <w:rPr>
                <w:sz w:val="1"/>
                <w:szCs w:val="1"/>
                <w:color w:val="auto"/>
              </w:rPr>
            </w:pPr>
          </w:p>
        </w:tc>
      </w:tr>
      <w:tr>
        <w:trPr>
          <w:trHeight w:val="390"/>
        </w:trPr>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gridSpan w:val="4"/>
          </w:tcPr>
          <w:p>
            <w:pPr>
              <w:ind w:left="4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RID</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6"/>
              </w:rPr>
              <w:t>Applicable Margin</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7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All-in Spread</w:t>
            </w:r>
          </w:p>
        </w:tc>
        <w:tc>
          <w:tcPr>
            <w:tcW w:w="0" w:type="dxa"/>
            <w:vAlign w:val="bottom"/>
          </w:tcPr>
          <w:p>
            <w:pPr>
              <w:spacing w:after="0"/>
              <w:rPr>
                <w:sz w:val="1"/>
                <w:szCs w:val="1"/>
                <w:color w:val="auto"/>
              </w:rPr>
            </w:pPr>
          </w:p>
        </w:tc>
      </w:tr>
      <w:tr>
        <w:trPr>
          <w:trHeight w:val="148"/>
        </w:trPr>
        <w:tc>
          <w:tcPr>
            <w:tcW w:w="404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5"/>
              </w:rPr>
              <w:t>S&amp;P / Moody’s / Fitch</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4"/>
        </w:trPr>
        <w:tc>
          <w:tcPr>
            <w:tcW w:w="4040" w:type="dxa"/>
            <w:vAlign w:val="bottom"/>
            <w:gridSpan w:val="3"/>
            <w:vMerge w:val="continue"/>
          </w:tcPr>
          <w:p>
            <w:pPr>
              <w:spacing w:after="0"/>
              <w:rPr>
                <w:sz w:val="12"/>
                <w:szCs w:val="12"/>
                <w:color w:val="auto"/>
              </w:rPr>
            </w:pPr>
          </w:p>
        </w:tc>
        <w:tc>
          <w:tcPr>
            <w:tcW w:w="1720" w:type="dxa"/>
            <w:vAlign w:val="bottom"/>
            <w:gridSpan w:val="4"/>
            <w:vMerge w:val="restart"/>
          </w:tcPr>
          <w:p>
            <w:pPr>
              <w:jc w:val="center"/>
              <w:ind w:right="680"/>
              <w:spacing w:after="0"/>
              <w:rPr>
                <w:sz w:val="20"/>
                <w:szCs w:val="20"/>
                <w:color w:val="auto"/>
              </w:rPr>
            </w:pPr>
            <w:r>
              <w:rPr>
                <w:rFonts w:ascii="Arial" w:cs="Arial" w:eastAsia="Arial" w:hAnsi="Arial"/>
                <w:sz w:val="14"/>
                <w:szCs w:val="14"/>
                <w:b w:val="1"/>
                <w:bCs w:val="1"/>
                <w:color w:val="auto"/>
                <w:w w:val="94"/>
              </w:rPr>
              <w:t>Facility Fee Rate</w:t>
            </w:r>
          </w:p>
        </w:tc>
        <w:tc>
          <w:tcPr>
            <w:tcW w:w="1860" w:type="dxa"/>
            <w:vAlign w:val="bottom"/>
            <w:gridSpan w:val="2"/>
          </w:tcPr>
          <w:p>
            <w:pPr>
              <w:jc w:val="center"/>
              <w:ind w:right="700"/>
              <w:spacing w:after="0" w:line="144" w:lineRule="exact"/>
              <w:rPr>
                <w:sz w:val="20"/>
                <w:szCs w:val="20"/>
                <w:color w:val="auto"/>
              </w:rPr>
            </w:pPr>
            <w:r>
              <w:rPr>
                <w:rFonts w:ascii="Arial" w:cs="Arial" w:eastAsia="Arial" w:hAnsi="Arial"/>
                <w:sz w:val="14"/>
                <w:szCs w:val="14"/>
                <w:b w:val="1"/>
                <w:bCs w:val="1"/>
                <w:color w:val="auto"/>
                <w:w w:val="95"/>
              </w:rPr>
              <w:t>for Eurocurrency</w:t>
            </w: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Margin</w:t>
            </w:r>
          </w:p>
        </w:tc>
        <w:tc>
          <w:tcPr>
            <w:tcW w:w="700" w:type="dxa"/>
            <w:vAlign w:val="bottom"/>
          </w:tcPr>
          <w:p>
            <w:pPr>
              <w:spacing w:after="0"/>
              <w:rPr>
                <w:sz w:val="12"/>
                <w:szCs w:val="12"/>
                <w:color w:val="auto"/>
              </w:rPr>
            </w:pPr>
          </w:p>
        </w:tc>
        <w:tc>
          <w:tcPr>
            <w:tcW w:w="130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4"/>
              </w:rPr>
              <w:t>Eurocurrency</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Company’s Rating</w:t>
            </w:r>
          </w:p>
        </w:tc>
        <w:tc>
          <w:tcPr>
            <w:tcW w:w="182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Loans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for ABR Loans</w:t>
            </w:r>
          </w:p>
        </w:tc>
        <w:tc>
          <w:tcPr>
            <w:tcW w:w="70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02"/>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gridSpan w:val="2"/>
            <w:shd w:val="clear" w:color="auto" w:fill="CCEEFF"/>
          </w:tcPr>
          <w:p>
            <w:pPr>
              <w:jc w:val="center"/>
              <w:ind w:right="1820"/>
              <w:spacing w:after="0" w:line="202" w:lineRule="exact"/>
              <w:rPr>
                <w:sz w:val="20"/>
                <w:szCs w:val="20"/>
                <w:color w:val="auto"/>
              </w:rPr>
            </w:pPr>
            <w:r>
              <w:rPr>
                <w:rFonts w:ascii="Arial" w:cs="Arial" w:eastAsia="Arial" w:hAnsi="Arial"/>
                <w:sz w:val="18"/>
                <w:szCs w:val="18"/>
                <w:color w:val="auto"/>
              </w:rPr>
              <w:t>³ A/A2/A</w:t>
            </w:r>
          </w:p>
        </w:tc>
        <w:tc>
          <w:tcPr>
            <w:tcW w:w="1040" w:type="dxa"/>
            <w:vAlign w:val="bottom"/>
            <w:tcBorders>
              <w:top w:val="single" w:sz="8" w:color="auto"/>
            </w:tcBorders>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2980" w:type="dxa"/>
            <w:vAlign w:val="bottom"/>
            <w:gridSpan w:val="2"/>
          </w:tcPr>
          <w:p>
            <w:pPr>
              <w:jc w:val="center"/>
              <w:ind w:right="1840"/>
              <w:spacing w:after="0"/>
              <w:rPr>
                <w:sz w:val="20"/>
                <w:szCs w:val="20"/>
                <w:color w:val="auto"/>
              </w:rPr>
            </w:pPr>
            <w:r>
              <w:rPr>
                <w:rFonts w:ascii="Arial" w:cs="Arial" w:eastAsia="Arial" w:hAnsi="Arial"/>
                <w:sz w:val="18"/>
                <w:szCs w:val="18"/>
                <w:color w:val="auto"/>
              </w:rPr>
              <w:t>A-/A3/A-</w:t>
            </w:r>
          </w:p>
        </w:tc>
        <w:tc>
          <w:tcPr>
            <w:tcW w:w="1040" w:type="dxa"/>
            <w:vAlign w:val="bottom"/>
            <w:gridSpan w:val="2"/>
          </w:tcPr>
          <w:p>
            <w:pPr>
              <w:jc w:val="center"/>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94"/>
              </w:rPr>
              <w:t>BBB+ / Baa1 / BBB+</w:t>
            </w: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3"/>
          </w:tcPr>
          <w:p>
            <w:pPr>
              <w:jc w:val="center"/>
              <w:ind w:right="760"/>
              <w:spacing w:after="0"/>
              <w:rPr>
                <w:sz w:val="20"/>
                <w:szCs w:val="20"/>
                <w:color w:val="auto"/>
              </w:rPr>
            </w:pPr>
            <w:r>
              <w:rPr>
                <w:rFonts w:ascii="Arial" w:cs="Arial" w:eastAsia="Arial" w:hAnsi="Arial"/>
                <w:sz w:val="18"/>
                <w:szCs w:val="18"/>
                <w:color w:val="auto"/>
                <w:w w:val="94"/>
              </w:rPr>
              <w:t>BBB / Baa2 / BBB</w:t>
            </w:r>
          </w:p>
        </w:tc>
        <w:tc>
          <w:tcPr>
            <w:tcW w:w="1040" w:type="dxa"/>
            <w:vAlign w:val="bottom"/>
            <w:gridSpan w:val="2"/>
          </w:tcPr>
          <w:p>
            <w:pPr>
              <w:jc w:val="center"/>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94"/>
              </w:rPr>
              <w:t>BBB- / Baa3 / BBB-</w:t>
            </w: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3"/>
          </w:tcPr>
          <w:p>
            <w:pPr>
              <w:jc w:val="center"/>
              <w:ind w:right="760"/>
              <w:spacing w:after="0"/>
              <w:rPr>
                <w:sz w:val="20"/>
                <w:szCs w:val="20"/>
                <w:color w:val="auto"/>
              </w:rPr>
            </w:pPr>
            <w:r>
              <w:rPr>
                <w:rFonts w:ascii="Arial" w:cs="Arial" w:eastAsia="Arial" w:hAnsi="Arial"/>
                <w:sz w:val="18"/>
                <w:szCs w:val="18"/>
                <w:color w:val="auto"/>
                <w:w w:val="94"/>
              </w:rPr>
              <w:t xml:space="preserve">BB+ / Ba1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BB+</w:t>
            </w:r>
          </w:p>
        </w:tc>
        <w:tc>
          <w:tcPr>
            <w:tcW w:w="1040" w:type="dxa"/>
            <w:vAlign w:val="bottom"/>
            <w:gridSpan w:val="2"/>
          </w:tcPr>
          <w:p>
            <w:pPr>
              <w:jc w:val="center"/>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94"/>
              </w:rPr>
              <w:t>£ BB / Ba2 / BB</w:t>
            </w: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60"/>
        <w:spacing w:after="0" w:line="288" w:lineRule="auto"/>
        <w:rPr>
          <w:sz w:val="20"/>
          <w:szCs w:val="20"/>
          <w:color w:val="auto"/>
        </w:rPr>
      </w:pPr>
      <w:r>
        <w:rPr>
          <w:rFonts w:ascii="Arial" w:cs="Arial" w:eastAsia="Arial" w:hAnsi="Arial"/>
          <w:sz w:val="16"/>
          <w:szCs w:val="16"/>
          <w:color w:val="auto"/>
        </w:rPr>
        <w:t>Changes in the Applicable Margin and Facility Fee Rate set forth in the pricing grid above shall become effective on the date on which S&amp;P, Moody’s and/or Fitch changes the rating it has issued with respect to the applicable facility rating (as determined in the manner set forth in the last sentence of this paragraph) or, in the absence of any such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ectPr>
          <w:pgSz w:w="11900" w:h="16838" w:orient="portrait"/>
          <w:cols w:equalWidth="0" w:num="1">
            <w:col w:w="11000"/>
          </w:cols>
          <w:pgMar w:left="440" w:top="273" w:right="459" w:bottom="1440" w:gutter="0" w:footer="0" w:header="0"/>
        </w:sectPr>
      </w:pPr>
    </w:p>
    <w:bookmarkStart w:id="359" w:name="page360"/>
    <w:bookmarkEnd w:id="359"/>
    <w:p>
      <w:pPr>
        <w:jc w:val="center"/>
        <w:ind w:left="8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D</w:t>
      </w:r>
    </w:p>
    <w:p>
      <w:pPr>
        <w:spacing w:after="0" w:line="34"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7"/>
          <w:szCs w:val="17"/>
          <w:color w:val="auto"/>
        </w:rPr>
        <w:t>Credit Agreement</w:t>
      </w:r>
    </w:p>
    <w:p>
      <w:pPr>
        <w:spacing w:after="0" w:line="231" w:lineRule="exact"/>
        <w:rPr>
          <w:sz w:val="20"/>
          <w:szCs w:val="20"/>
          <w:color w:val="auto"/>
        </w:rPr>
      </w:pPr>
    </w:p>
    <w:p>
      <w:pPr>
        <w:ind w:left="4880"/>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IENS</w:t>
      </w:r>
    </w:p>
    <w:p>
      <w:pPr>
        <w:spacing w:after="0" w:line="228" w:lineRule="exact"/>
        <w:rPr>
          <w:sz w:val="20"/>
          <w:szCs w:val="20"/>
          <w:color w:val="auto"/>
        </w:rPr>
      </w:pPr>
    </w:p>
    <w:p>
      <w:pPr>
        <w:ind w:right="1060"/>
        <w:spacing w:after="0" w:line="448" w:lineRule="auto"/>
        <w:rPr>
          <w:sz w:val="20"/>
          <w:szCs w:val="20"/>
          <w:color w:val="auto"/>
        </w:rPr>
      </w:pPr>
      <w:r>
        <w:rPr>
          <w:rFonts w:ascii="Arial" w:cs="Arial" w:eastAsia="Arial" w:hAnsi="Arial"/>
          <w:sz w:val="18"/>
          <w:szCs w:val="18"/>
          <w:color w:val="auto"/>
        </w:rPr>
        <w:t>Liens reflected in the lien search results, dated as of April 4, 2021 delivered to the Administrative Agent prior to the Closing Date. Credit Agreement Schedule 1.1D</w:t>
      </w:r>
    </w:p>
    <w:p>
      <w:pPr>
        <w:sectPr>
          <w:pgSz w:w="11900" w:h="16838" w:orient="portrait"/>
          <w:cols w:equalWidth="0" w:num="1">
            <w:col w:w="10440"/>
          </w:cols>
          <w:pgMar w:left="440" w:top="273" w:right="1019" w:bottom="1440" w:gutter="0" w:footer="0" w:header="0"/>
        </w:sectPr>
      </w:pPr>
    </w:p>
    <w:bookmarkStart w:id="360" w:name="page361"/>
    <w:bookmarkEnd w:id="360"/>
    <w:p>
      <w:pPr>
        <w:jc w:val="center"/>
        <w:ind w:left="8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E</w:t>
      </w:r>
    </w:p>
    <w:p>
      <w:pPr>
        <w:spacing w:after="0" w:line="46"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7"/>
          <w:szCs w:val="17"/>
          <w:color w:val="auto"/>
        </w:rPr>
        <w:t>Credit Agreement</w:t>
      </w:r>
    </w:p>
    <w:p>
      <w:pPr>
        <w:spacing w:after="0" w:line="231"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4"/>
          <w:szCs w:val="14"/>
          <w:b w:val="1"/>
          <w:bCs w:val="1"/>
          <w:u w:val="single" w:color="auto"/>
          <w:color w:val="auto"/>
        </w:rPr>
        <w:t>USINESSES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ectPr>
          <w:pgSz w:w="11900" w:h="16838" w:orient="portrait"/>
          <w:cols w:equalWidth="0" w:num="1">
            <w:col w:w="10420"/>
          </w:cols>
          <w:pgMar w:left="440" w:top="273" w:right="1039" w:bottom="1440" w:gutter="0" w:footer="0" w:header="0"/>
        </w:sectPr>
      </w:pPr>
    </w:p>
    <w:bookmarkStart w:id="361" w:name="page362"/>
    <w:bookmarkEnd w:id="361"/>
    <w:p>
      <w:pPr>
        <w:jc w:val="center"/>
        <w:ind w:left="8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34"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6"/>
          <w:szCs w:val="16"/>
          <w:color w:val="auto"/>
        </w:rPr>
        <w:t>Credit Agreement</w:t>
      </w:r>
    </w:p>
    <w:p>
      <w:pPr>
        <w:spacing w:after="0" w:line="242"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ITIGATION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0380"/>
          </w:cols>
          <w:pgMar w:left="440" w:top="273" w:right="1079" w:bottom="1440" w:gutter="0" w:footer="0" w:header="0"/>
        </w:sectPr>
      </w:pPr>
    </w:p>
    <w:bookmarkStart w:id="362" w:name="page363"/>
    <w:bookmarkEnd w:id="362"/>
    <w:p>
      <w:pPr>
        <w:jc w:val="center"/>
        <w:ind w:left="8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191135</wp:posOffset>
            </wp:positionV>
            <wp:extent cx="69786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233680</wp:posOffset>
            </wp:positionV>
            <wp:extent cx="69786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FORM OF</w:t>
      </w: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THIRD AMENDED AND RESTATED GUARANTEE AGREEMENT</w:t>
      </w: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made by</w:t>
      </w: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4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in favor of</w:t>
      </w: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4"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177165</wp:posOffset>
            </wp:positionV>
            <wp:extent cx="697865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219710</wp:posOffset>
            </wp:positionV>
            <wp:extent cx="697865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ectPr>
          <w:pgSz w:w="11900" w:h="16838" w:orient="portrait"/>
          <w:cols w:equalWidth="0" w:num="1">
            <w:col w:w="9420"/>
          </w:cols>
          <w:pgMar w:left="1440" w:top="269" w:right="103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958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108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580" w:type="dxa"/>
            <w:vAlign w:val="bottom"/>
            <w:vMerge w:val="restart"/>
          </w:tcPr>
          <w:p>
            <w:pPr>
              <w:ind w:left="12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3"/>
        </w:trPr>
        <w:tc>
          <w:tcPr>
            <w:tcW w:w="1080" w:type="dxa"/>
            <w:vAlign w:val="bottom"/>
            <w:vMerge w:val="continue"/>
          </w:tcPr>
          <w:p>
            <w:pPr>
              <w:spacing w:after="0"/>
              <w:rPr>
                <w:sz w:val="19"/>
                <w:szCs w:val="19"/>
                <w:color w:val="auto"/>
              </w:rPr>
            </w:pPr>
          </w:p>
        </w:tc>
        <w:tc>
          <w:tcPr>
            <w:tcW w:w="958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080" w:type="dxa"/>
            <w:vAlign w:val="bottom"/>
          </w:tcPr>
          <w:p>
            <w:pPr>
              <w:ind w:left="360"/>
              <w:spacing w:after="0"/>
              <w:rPr>
                <w:sz w:val="20"/>
                <w:szCs w:val="20"/>
                <w:color w:val="auto"/>
              </w:rPr>
            </w:pPr>
            <w:r>
              <w:rPr>
                <w:rFonts w:ascii="Arial" w:cs="Arial" w:eastAsia="Arial" w:hAnsi="Arial"/>
                <w:sz w:val="18"/>
                <w:szCs w:val="18"/>
                <w:color w:val="auto"/>
              </w:rPr>
              <w:t>1.1</w:t>
            </w:r>
          </w:p>
        </w:tc>
        <w:tc>
          <w:tcPr>
            <w:tcW w:w="95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1.2</w:t>
            </w:r>
          </w:p>
        </w:tc>
        <w:tc>
          <w:tcPr>
            <w:tcW w:w="958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3"/>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 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9"/>
        </w:trPr>
        <w:tc>
          <w:tcPr>
            <w:tcW w:w="1080" w:type="dxa"/>
            <w:vAlign w:val="bottom"/>
          </w:tcPr>
          <w:p>
            <w:pPr>
              <w:ind w:left="360"/>
              <w:spacing w:after="0"/>
              <w:rPr>
                <w:sz w:val="20"/>
                <w:szCs w:val="20"/>
                <w:color w:val="auto"/>
              </w:rPr>
            </w:pPr>
            <w:r>
              <w:rPr>
                <w:rFonts w:ascii="Arial" w:cs="Arial" w:eastAsia="Arial" w:hAnsi="Arial"/>
                <w:sz w:val="18"/>
                <w:szCs w:val="18"/>
                <w:color w:val="auto"/>
              </w:rPr>
              <w:t>2.1</w:t>
            </w:r>
          </w:p>
        </w:tc>
        <w:tc>
          <w:tcPr>
            <w:tcW w:w="958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2.2</w:t>
            </w:r>
          </w:p>
        </w:tc>
        <w:tc>
          <w:tcPr>
            <w:tcW w:w="9580" w:type="dxa"/>
            <w:vAlign w:val="bottom"/>
          </w:tcPr>
          <w:p>
            <w:pPr>
              <w:ind w:left="120"/>
              <w:spacing w:after="0"/>
              <w:rPr>
                <w:sz w:val="20"/>
                <w:szCs w:val="20"/>
                <w:color w:val="auto"/>
              </w:rPr>
            </w:pPr>
            <w:r>
              <w:rPr>
                <w:rFonts w:ascii="Arial" w:cs="Arial" w:eastAsia="Arial" w:hAnsi="Arial"/>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2.3</w:t>
            </w:r>
          </w:p>
        </w:tc>
        <w:tc>
          <w:tcPr>
            <w:tcW w:w="9580" w:type="dxa"/>
            <w:vAlign w:val="bottom"/>
          </w:tcPr>
          <w:p>
            <w:pPr>
              <w:ind w:left="120"/>
              <w:spacing w:after="0"/>
              <w:rPr>
                <w:sz w:val="20"/>
                <w:szCs w:val="20"/>
                <w:color w:val="auto"/>
              </w:rPr>
            </w:pPr>
            <w:r>
              <w:rPr>
                <w:rFonts w:ascii="Arial" w:cs="Arial" w:eastAsia="Arial" w:hAnsi="Arial"/>
                <w:sz w:val="18"/>
                <w:szCs w:val="18"/>
                <w:color w:val="auto"/>
              </w:rPr>
              <w:t>No 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2.4</w:t>
            </w:r>
          </w:p>
        </w:tc>
        <w:tc>
          <w:tcPr>
            <w:tcW w:w="9580" w:type="dxa"/>
            <w:vAlign w:val="bottom"/>
          </w:tcPr>
          <w:p>
            <w:pPr>
              <w:ind w:left="120"/>
              <w:spacing w:after="0"/>
              <w:rPr>
                <w:sz w:val="20"/>
                <w:szCs w:val="20"/>
                <w:color w:val="auto"/>
              </w:rPr>
            </w:pPr>
            <w:r>
              <w:rPr>
                <w:rFonts w:ascii="Arial" w:cs="Arial" w:eastAsia="Arial" w:hAnsi="Arial"/>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2.5</w:t>
            </w:r>
          </w:p>
        </w:tc>
        <w:tc>
          <w:tcPr>
            <w:tcW w:w="9580" w:type="dxa"/>
            <w:vAlign w:val="bottom"/>
          </w:tcPr>
          <w:p>
            <w:pPr>
              <w:ind w:left="120"/>
              <w:spacing w:after="0"/>
              <w:rPr>
                <w:sz w:val="20"/>
                <w:szCs w:val="20"/>
                <w:color w:val="auto"/>
              </w:rPr>
            </w:pPr>
            <w:r>
              <w:rPr>
                <w:rFonts w:ascii="Arial" w:cs="Arial" w:eastAsia="Arial" w:hAnsi="Arial"/>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2.6</w:t>
            </w:r>
          </w:p>
        </w:tc>
        <w:tc>
          <w:tcPr>
            <w:tcW w:w="958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2.7</w:t>
            </w:r>
          </w:p>
        </w:tc>
        <w:tc>
          <w:tcPr>
            <w:tcW w:w="9580" w:type="dxa"/>
            <w:vAlign w:val="bottom"/>
          </w:tcPr>
          <w:p>
            <w:pPr>
              <w:ind w:left="12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3"/>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 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9"/>
        </w:trPr>
        <w:tc>
          <w:tcPr>
            <w:tcW w:w="1080" w:type="dxa"/>
            <w:vAlign w:val="bottom"/>
          </w:tcPr>
          <w:p>
            <w:pPr>
              <w:ind w:left="360"/>
              <w:spacing w:after="0"/>
              <w:rPr>
                <w:sz w:val="20"/>
                <w:szCs w:val="20"/>
                <w:color w:val="auto"/>
              </w:rPr>
            </w:pPr>
            <w:r>
              <w:rPr>
                <w:rFonts w:ascii="Arial" w:cs="Arial" w:eastAsia="Arial" w:hAnsi="Arial"/>
                <w:sz w:val="18"/>
                <w:szCs w:val="18"/>
                <w:color w:val="auto"/>
              </w:rPr>
              <w:t>3.1</w:t>
            </w:r>
          </w:p>
        </w:tc>
        <w:tc>
          <w:tcPr>
            <w:tcW w:w="9580" w:type="dxa"/>
            <w:vAlign w:val="bottom"/>
          </w:tcPr>
          <w:p>
            <w:pPr>
              <w:ind w:left="120"/>
              <w:spacing w:after="0"/>
              <w:rPr>
                <w:sz w:val="20"/>
                <w:szCs w:val="20"/>
                <w:color w:val="auto"/>
              </w:rPr>
            </w:pPr>
            <w:r>
              <w:rPr>
                <w:rFonts w:ascii="Arial" w:cs="Arial" w:eastAsia="Arial" w:hAnsi="Arial"/>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3.2</w:t>
            </w:r>
          </w:p>
        </w:tc>
        <w:tc>
          <w:tcPr>
            <w:tcW w:w="9580" w:type="dxa"/>
            <w:vAlign w:val="bottom"/>
          </w:tcPr>
          <w:p>
            <w:pPr>
              <w:ind w:left="120"/>
              <w:spacing w:after="0"/>
              <w:rPr>
                <w:sz w:val="20"/>
                <w:szCs w:val="20"/>
                <w:color w:val="auto"/>
              </w:rPr>
            </w:pPr>
            <w:r>
              <w:rPr>
                <w:rFonts w:ascii="Arial" w:cs="Arial" w:eastAsia="Arial" w:hAnsi="Arial"/>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3.3</w:t>
            </w:r>
          </w:p>
        </w:tc>
        <w:tc>
          <w:tcPr>
            <w:tcW w:w="9580" w:type="dxa"/>
            <w:vAlign w:val="bottom"/>
          </w:tcPr>
          <w:p>
            <w:pPr>
              <w:ind w:left="12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3.4</w:t>
            </w:r>
          </w:p>
        </w:tc>
        <w:tc>
          <w:tcPr>
            <w:tcW w:w="9580" w:type="dxa"/>
            <w:vAlign w:val="bottom"/>
          </w:tcPr>
          <w:p>
            <w:pPr>
              <w:ind w:left="120"/>
              <w:spacing w:after="0"/>
              <w:rPr>
                <w:sz w:val="20"/>
                <w:szCs w:val="20"/>
                <w:color w:val="auto"/>
              </w:rPr>
            </w:pPr>
            <w:r>
              <w:rPr>
                <w:rFonts w:ascii="Arial" w:cs="Arial" w:eastAsia="Arial" w:hAnsi="Arial"/>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3.5</w:t>
            </w:r>
          </w:p>
        </w:tc>
        <w:tc>
          <w:tcPr>
            <w:tcW w:w="9580" w:type="dxa"/>
            <w:vAlign w:val="bottom"/>
          </w:tcPr>
          <w:p>
            <w:pPr>
              <w:ind w:left="120"/>
              <w:spacing w:after="0"/>
              <w:rPr>
                <w:sz w:val="20"/>
                <w:szCs w:val="20"/>
                <w:color w:val="auto"/>
              </w:rPr>
            </w:pPr>
            <w:r>
              <w:rPr>
                <w:rFonts w:ascii="Arial" w:cs="Arial" w:eastAsia="Arial" w:hAnsi="Arial"/>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3.6</w:t>
            </w:r>
          </w:p>
        </w:tc>
        <w:tc>
          <w:tcPr>
            <w:tcW w:w="958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3.7</w:t>
            </w:r>
          </w:p>
        </w:tc>
        <w:tc>
          <w:tcPr>
            <w:tcW w:w="9580" w:type="dxa"/>
            <w:vAlign w:val="bottom"/>
          </w:tcPr>
          <w:p>
            <w:pPr>
              <w:ind w:left="120"/>
              <w:spacing w:after="0"/>
              <w:rPr>
                <w:sz w:val="20"/>
                <w:szCs w:val="20"/>
                <w:color w:val="auto"/>
              </w:rPr>
            </w:pPr>
            <w:r>
              <w:rPr>
                <w:rFonts w:ascii="Arial" w:cs="Arial" w:eastAsia="Arial" w:hAnsi="Arial"/>
                <w:sz w:val="18"/>
                <w:szCs w:val="18"/>
                <w:color w:val="auto"/>
              </w:rPr>
              <w:t>Counterparts; Electronic Signature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3.8</w:t>
            </w:r>
          </w:p>
        </w:tc>
        <w:tc>
          <w:tcPr>
            <w:tcW w:w="95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3.9</w:t>
            </w:r>
          </w:p>
        </w:tc>
        <w:tc>
          <w:tcPr>
            <w:tcW w:w="9580" w:type="dxa"/>
            <w:vAlign w:val="bottom"/>
          </w:tcPr>
          <w:p>
            <w:pPr>
              <w:ind w:left="120"/>
              <w:spacing w:after="0"/>
              <w:rPr>
                <w:sz w:val="20"/>
                <w:szCs w:val="20"/>
                <w:color w:val="auto"/>
              </w:rPr>
            </w:pPr>
            <w:r>
              <w:rPr>
                <w:rFonts w:ascii="Arial" w:cs="Arial" w:eastAsia="Arial" w:hAnsi="Arial"/>
                <w:sz w:val="18"/>
                <w:szCs w:val="18"/>
                <w:color w:val="auto"/>
              </w:rPr>
              <w:t>Section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3.10</w:t>
            </w:r>
          </w:p>
        </w:tc>
        <w:tc>
          <w:tcPr>
            <w:tcW w:w="958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3.11</w:t>
            </w:r>
          </w:p>
        </w:tc>
        <w:tc>
          <w:tcPr>
            <w:tcW w:w="95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3.12</w:t>
            </w:r>
          </w:p>
        </w:tc>
        <w:tc>
          <w:tcPr>
            <w:tcW w:w="958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3.13</w:t>
            </w:r>
          </w:p>
        </w:tc>
        <w:tc>
          <w:tcPr>
            <w:tcW w:w="9580" w:type="dxa"/>
            <w:vAlign w:val="bottom"/>
          </w:tcPr>
          <w:p>
            <w:pPr>
              <w:ind w:left="120"/>
              <w:spacing w:after="0"/>
              <w:rPr>
                <w:sz w:val="20"/>
                <w:szCs w:val="20"/>
                <w:color w:val="auto"/>
              </w:rPr>
            </w:pPr>
            <w:r>
              <w:rPr>
                <w:rFonts w:ascii="Arial" w:cs="Arial" w:eastAsia="Arial" w:hAnsi="Arial"/>
                <w:sz w:val="18"/>
                <w:szCs w:val="18"/>
                <w:color w:val="auto"/>
              </w:rPr>
              <w:t>Judgment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3.14</w:t>
            </w:r>
          </w:p>
        </w:tc>
        <w:tc>
          <w:tcPr>
            <w:tcW w:w="9580" w:type="dxa"/>
            <w:vAlign w:val="bottom"/>
          </w:tcPr>
          <w:p>
            <w:pPr>
              <w:ind w:left="120"/>
              <w:spacing w:after="0"/>
              <w:rPr>
                <w:sz w:val="20"/>
                <w:szCs w:val="20"/>
                <w:color w:val="auto"/>
              </w:rPr>
            </w:pPr>
            <w:r>
              <w:rPr>
                <w:rFonts w:ascii="Arial" w:cs="Arial" w:eastAsia="Arial" w:hAnsi="Arial"/>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1080" w:type="dxa"/>
            <w:vAlign w:val="bottom"/>
          </w:tcPr>
          <w:p>
            <w:pPr>
              <w:ind w:left="360"/>
              <w:spacing w:after="0"/>
              <w:rPr>
                <w:sz w:val="20"/>
                <w:szCs w:val="20"/>
                <w:color w:val="auto"/>
              </w:rPr>
            </w:pPr>
            <w:r>
              <w:rPr>
                <w:rFonts w:ascii="Arial" w:cs="Arial" w:eastAsia="Arial" w:hAnsi="Arial"/>
                <w:sz w:val="18"/>
                <w:szCs w:val="18"/>
                <w:color w:val="auto"/>
              </w:rPr>
              <w:t>3.15</w:t>
            </w:r>
          </w:p>
        </w:tc>
        <w:tc>
          <w:tcPr>
            <w:tcW w:w="9580" w:type="dxa"/>
            <w:vAlign w:val="bottom"/>
          </w:tcPr>
          <w:p>
            <w:pPr>
              <w:ind w:left="120"/>
              <w:spacing w:after="0"/>
              <w:rPr>
                <w:sz w:val="20"/>
                <w:szCs w:val="20"/>
                <w:color w:val="auto"/>
              </w:rPr>
            </w:pPr>
            <w:r>
              <w:rPr>
                <w:rFonts w:ascii="Arial" w:cs="Arial" w:eastAsia="Arial" w:hAnsi="Arial"/>
                <w:sz w:val="18"/>
                <w:szCs w:val="18"/>
                <w:color w:val="auto"/>
              </w:rPr>
              <w:t>Releases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3.16</w:t>
            </w:r>
          </w:p>
        </w:tc>
        <w:tc>
          <w:tcPr>
            <w:tcW w:w="958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ANNEX</w:t>
      </w:r>
    </w:p>
    <w:p>
      <w:pPr>
        <w:spacing w:after="0" w:line="1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40" w:top="274" w:right="519" w:bottom="1440" w:gutter="0" w:footer="0" w:header="0"/>
        </w:sectPr>
      </w:pPr>
    </w:p>
    <w:bookmarkStart w:id="364" w:name="page365"/>
    <w:bookmarkEnd w:id="364"/>
    <w:p>
      <w:pPr>
        <w:ind w:firstLine="98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AMENDED AND RESTATED GUARANTEE AGREEMENT, dated as of [•], 2021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by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Company and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Third Amended and Restated</w:t>
      </w:r>
    </w:p>
    <w:p>
      <w:pPr>
        <w:spacing w:after="0" w:line="3"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364-Day Revolving Credit Agreement, dated as of the date hereof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 Bank of America, N.A., as co-syndication agent (in such capacity, the “</w:t>
      </w:r>
      <w:r>
        <w:rPr>
          <w:rFonts w:ascii="Arial" w:cs="Arial" w:eastAsia="Arial" w:hAnsi="Arial"/>
          <w:sz w:val="18"/>
          <w:szCs w:val="18"/>
          <w:u w:val="single" w:color="auto"/>
          <w:color w:val="auto"/>
        </w:rPr>
        <w:t>Co-Syndication Agent</w:t>
      </w:r>
      <w:r>
        <w:rPr>
          <w:rFonts w:ascii="Arial" w:cs="Arial" w:eastAsia="Arial" w:hAnsi="Arial"/>
          <w:sz w:val="18"/>
          <w:szCs w:val="18"/>
          <w:color w:val="auto"/>
        </w:rPr>
        <w:t>”), and the other agents named therein.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4" w:lineRule="exact"/>
        <w:rPr>
          <w:sz w:val="20"/>
          <w:szCs w:val="20"/>
          <w:color w:val="auto"/>
        </w:rPr>
      </w:pPr>
    </w:p>
    <w:p>
      <w:pPr>
        <w:ind w:right="40" w:firstLine="989"/>
        <w:spacing w:after="0" w:line="276"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WHEREAS, each of the Company and the Subsidiary Borrowers is a member of an affiliated group of companies that includes each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10" w:lineRule="exact"/>
        <w:rPr>
          <w:sz w:val="20"/>
          <w:szCs w:val="20"/>
          <w:color w:val="auto"/>
        </w:rPr>
      </w:pPr>
    </w:p>
    <w:p>
      <w:pPr>
        <w:ind w:right="300" w:firstLine="989"/>
        <w:spacing w:after="0" w:line="306" w:lineRule="auto"/>
        <w:rPr>
          <w:sz w:val="20"/>
          <w:szCs w:val="20"/>
          <w:color w:val="auto"/>
        </w:rPr>
      </w:pPr>
      <w:r>
        <w:rPr>
          <w:rFonts w:ascii="Arial" w:cs="Arial" w:eastAsia="Arial" w:hAnsi="Arial"/>
          <w:sz w:val="17"/>
          <w:szCs w:val="17"/>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48" w:lineRule="exact"/>
        <w:rPr>
          <w:sz w:val="20"/>
          <w:szCs w:val="20"/>
          <w:color w:val="auto"/>
        </w:rPr>
      </w:pPr>
    </w:p>
    <w:p>
      <w:pPr>
        <w:ind w:right="140" w:firstLine="989"/>
        <w:spacing w:after="0" w:line="263"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82" w:lineRule="exact"/>
        <w:rPr>
          <w:sz w:val="20"/>
          <w:szCs w:val="20"/>
          <w:color w:val="auto"/>
        </w:rPr>
      </w:pPr>
    </w:p>
    <w:p>
      <w:pPr>
        <w:ind w:right="60" w:firstLine="989"/>
        <w:spacing w:after="0" w:line="258"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1. DEFINED TERMS</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1.1 Definitions.</w:t>
      </w:r>
    </w:p>
    <w:p>
      <w:pPr>
        <w:spacing w:after="0" w:line="224" w:lineRule="exact"/>
        <w:rPr>
          <w:sz w:val="20"/>
          <w:szCs w:val="20"/>
          <w:color w:val="auto"/>
        </w:rPr>
      </w:pPr>
    </w:p>
    <w:p>
      <w:pPr>
        <w:ind w:right="60" w:firstLine="448"/>
        <w:spacing w:after="0" w:line="276" w:lineRule="auto"/>
        <w:tabs>
          <w:tab w:leader="none" w:pos="68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ectPr>
          <w:pgSz w:w="11900" w:h="16838" w:orient="portrait"/>
          <w:cols w:equalWidth="0" w:num="1">
            <w:col w:w="10960"/>
          </w:cols>
          <w:pgMar w:left="440" w:top="273" w:right="499" w:bottom="1440" w:gutter="0" w:footer="0" w:header="0"/>
        </w:sectPr>
      </w:pPr>
    </w:p>
    <w:bookmarkStart w:id="365" w:name="page366"/>
    <w:bookmarkEnd w:id="3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following terms shall have the following meanings:</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firstLine="98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Parties</w:t>
      </w:r>
      <w:r>
        <w:rPr>
          <w:rFonts w:ascii="Arial" w:cs="Arial" w:eastAsia="Arial" w:hAnsi="Arial"/>
          <w:sz w:val="17"/>
          <w:szCs w:val="17"/>
          <w:color w:val="auto"/>
        </w:rPr>
        <w:t>” means, collectively, the Administrative Agent, the Lenders and each other Person that holds a Guaranteed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Obligation.</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4" w:lineRule="exact"/>
        <w:rPr>
          <w:sz w:val="20"/>
          <w:szCs w:val="20"/>
          <w:color w:val="auto"/>
        </w:rPr>
      </w:pPr>
    </w:p>
    <w:p>
      <w:pPr>
        <w:ind w:right="36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Guarantors</w:t>
      </w:r>
      <w:r>
        <w:rPr>
          <w:rFonts w:ascii="Arial" w:cs="Arial" w:eastAsia="Arial" w:hAnsi="Arial"/>
          <w:sz w:val="17"/>
          <w:szCs w:val="17"/>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7"/>
          <w:szCs w:val="17"/>
          <w:u w:val="single" w:color="auto"/>
          <w:color w:val="auto"/>
        </w:rPr>
        <w:t>Section 3.14</w:t>
      </w:r>
      <w:r>
        <w:rPr>
          <w:rFonts w:ascii="Arial" w:cs="Arial" w:eastAsia="Arial" w:hAnsi="Arial"/>
          <w:sz w:val="17"/>
          <w:szCs w:val="17"/>
          <w:color w:val="auto"/>
        </w:rPr>
        <w:t>.</w:t>
      </w:r>
    </w:p>
    <w:p>
      <w:pPr>
        <w:spacing w:after="0" w:line="148" w:lineRule="exact"/>
        <w:rPr>
          <w:sz w:val="20"/>
          <w:szCs w:val="20"/>
          <w:color w:val="auto"/>
        </w:rPr>
      </w:pPr>
    </w:p>
    <w:p>
      <w:pPr>
        <w:ind w:right="4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3" w:right="499" w:bottom="1440" w:gutter="0" w:footer="0" w:header="0"/>
        </w:sectPr>
      </w:pPr>
    </w:p>
    <w:bookmarkStart w:id="366" w:name="page367"/>
    <w:bookmarkEnd w:id="366"/>
    <w:p>
      <w:pPr>
        <w:ind w:right="60" w:firstLine="98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w:t>
      </w:r>
    </w:p>
    <w:p>
      <w:pPr>
        <w:spacing w:after="0" w:line="1" w:lineRule="exact"/>
        <w:rPr>
          <w:sz w:val="20"/>
          <w:szCs w:val="20"/>
          <w:color w:val="auto"/>
        </w:rPr>
      </w:pPr>
    </w:p>
    <w:p>
      <w:pPr>
        <w:jc w:val="both"/>
        <w:ind w:right="20" w:firstLine="9"/>
        <w:spacing w:after="0" w:line="254" w:lineRule="auto"/>
        <w:tabs>
          <w:tab w:leader="none" w:pos="26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224" w:lineRule="exact"/>
        <w:rPr>
          <w:sz w:val="20"/>
          <w:szCs w:val="20"/>
          <w:color w:val="auto"/>
        </w:rPr>
      </w:pPr>
    </w:p>
    <w:p>
      <w:pPr>
        <w:ind w:right="200" w:firstLine="448"/>
        <w:spacing w:after="0" w:line="341" w:lineRule="auto"/>
        <w:tabs>
          <w:tab w:leader="none" w:pos="68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23" w:lineRule="exact"/>
        <w:rPr>
          <w:rFonts w:ascii="Arial" w:cs="Arial" w:eastAsia="Arial" w:hAnsi="Arial"/>
          <w:sz w:val="16"/>
          <w:szCs w:val="16"/>
          <w:color w:val="auto"/>
        </w:rPr>
      </w:pPr>
    </w:p>
    <w:p>
      <w:pPr>
        <w:ind w:left="700" w:hanging="252"/>
        <w:spacing w:after="0"/>
        <w:tabs>
          <w:tab w:leader="none" w:pos="7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4" w:lineRule="exact"/>
        <w:rPr>
          <w:rFonts w:ascii="Arial" w:cs="Arial" w:eastAsia="Arial" w:hAnsi="Arial"/>
          <w:sz w:val="18"/>
          <w:szCs w:val="18"/>
          <w:color w:val="auto"/>
        </w:rPr>
      </w:pPr>
    </w:p>
    <w:p>
      <w:pPr>
        <w:ind w:right="220" w:firstLine="448"/>
        <w:spacing w:after="0" w:line="256" w:lineRule="auto"/>
        <w:tabs>
          <w:tab w:leader="none" w:pos="68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References to agreements defined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GUARANTEE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2.1 Guarantee.</w:t>
      </w:r>
    </w:p>
    <w:p>
      <w:pPr>
        <w:spacing w:after="0" w:line="224" w:lineRule="exact"/>
        <w:rPr>
          <w:sz w:val="20"/>
          <w:szCs w:val="20"/>
          <w:color w:val="auto"/>
        </w:rPr>
      </w:pPr>
    </w:p>
    <w:p>
      <w:pPr>
        <w:ind w:firstLine="448"/>
        <w:spacing w:after="0" w:line="258" w:lineRule="auto"/>
        <w:tabs>
          <w:tab w:leader="none" w:pos="68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87" w:lineRule="exact"/>
        <w:rPr>
          <w:rFonts w:ascii="Arial" w:cs="Arial" w:eastAsia="Arial" w:hAnsi="Arial"/>
          <w:sz w:val="18"/>
          <w:szCs w:val="18"/>
          <w:color w:val="auto"/>
        </w:rPr>
      </w:pPr>
    </w:p>
    <w:p>
      <w:pPr>
        <w:ind w:right="140" w:firstLine="448"/>
        <w:spacing w:after="0" w:line="263" w:lineRule="auto"/>
        <w:tabs>
          <w:tab w:leader="none" w:pos="69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80" w:firstLine="448"/>
        <w:spacing w:after="0" w:line="263" w:lineRule="auto"/>
        <w:tabs>
          <w:tab w:leader="none" w:pos="68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affecting the rights and remedies of the Guaranteed Parties hereunder.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3" w:right="499" w:bottom="1440" w:gutter="0" w:footer="0" w:header="0"/>
        </w:sectPr>
      </w:pPr>
    </w:p>
    <w:bookmarkStart w:id="367" w:name="page368"/>
    <w:bookmarkEnd w:id="367"/>
    <w:p>
      <w:pPr>
        <w:jc w:val="both"/>
        <w:ind w:right="60" w:firstLine="448"/>
        <w:spacing w:after="0" w:line="263" w:lineRule="auto"/>
        <w:tabs>
          <w:tab w:leader="none" w:pos="694" w:val="left"/>
        </w:tabs>
        <w:numPr>
          <w:ilvl w:val="0"/>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81" w:lineRule="exact"/>
        <w:rPr>
          <w:rFonts w:ascii="Arial" w:cs="Arial" w:eastAsia="Arial" w:hAnsi="Arial"/>
          <w:sz w:val="18"/>
          <w:szCs w:val="18"/>
          <w:color w:val="auto"/>
        </w:rPr>
      </w:pPr>
    </w:p>
    <w:p>
      <w:pPr>
        <w:ind w:firstLine="448"/>
        <w:spacing w:after="0" w:line="271" w:lineRule="auto"/>
        <w:tabs>
          <w:tab w:leader="none" w:pos="683" w:val="left"/>
        </w:tabs>
        <w:numPr>
          <w:ilvl w:val="0"/>
          <w:numId w:val="332"/>
        </w:numPr>
        <w:rPr>
          <w:rFonts w:ascii="Arial" w:cs="Arial" w:eastAsia="Arial" w:hAnsi="Arial"/>
          <w:sz w:val="17"/>
          <w:szCs w:val="17"/>
          <w:color w:val="auto"/>
        </w:rPr>
      </w:pPr>
      <w:r>
        <w:rPr>
          <w:rFonts w:ascii="Arial" w:cs="Arial" w:eastAsia="Arial" w:hAnsi="Arial"/>
          <w:sz w:val="17"/>
          <w:szCs w:val="17"/>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24" w:lineRule="exact"/>
        <w:rPr>
          <w:sz w:val="20"/>
          <w:szCs w:val="20"/>
          <w:color w:val="auto"/>
        </w:rPr>
      </w:pPr>
    </w:p>
    <w:p>
      <w:pPr>
        <w:ind w:right="140" w:firstLine="989"/>
        <w:spacing w:after="0" w:line="275" w:lineRule="auto"/>
        <w:rPr>
          <w:sz w:val="20"/>
          <w:szCs w:val="20"/>
          <w:color w:val="auto"/>
        </w:rPr>
      </w:pPr>
      <w:r>
        <w:rPr>
          <w:rFonts w:ascii="Arial" w:cs="Arial" w:eastAsia="Arial" w:hAnsi="Arial"/>
          <w:sz w:val="17"/>
          <w:szCs w:val="17"/>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224" w:lineRule="exact"/>
        <w:rPr>
          <w:sz w:val="20"/>
          <w:szCs w:val="20"/>
          <w:color w:val="auto"/>
        </w:rPr>
      </w:pPr>
    </w:p>
    <w:p>
      <w:pPr>
        <w:ind w:right="20" w:firstLine="989"/>
        <w:spacing w:after="0" w:line="268" w:lineRule="auto"/>
        <w:rPr>
          <w:sz w:val="20"/>
          <w:szCs w:val="20"/>
          <w:color w:val="auto"/>
        </w:rPr>
      </w:pPr>
      <w:r>
        <w:rPr>
          <w:rFonts w:ascii="Arial" w:cs="Arial" w:eastAsia="Arial" w:hAnsi="Arial"/>
          <w:sz w:val="17"/>
          <w:szCs w:val="17"/>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3" w:right="499" w:bottom="1440" w:gutter="0" w:footer="0" w:header="0"/>
        </w:sectPr>
      </w:pPr>
    </w:p>
    <w:bookmarkStart w:id="368" w:name="page369"/>
    <w:bookmarkEnd w:id="368"/>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224" w:lineRule="exact"/>
        <w:rPr>
          <w:sz w:val="20"/>
          <w:szCs w:val="20"/>
          <w:color w:val="auto"/>
        </w:rPr>
      </w:pPr>
    </w:p>
    <w:p>
      <w:pPr>
        <w:ind w:firstLine="989"/>
        <w:spacing w:after="0" w:line="287" w:lineRule="auto"/>
        <w:rPr>
          <w:sz w:val="20"/>
          <w:szCs w:val="20"/>
          <w:color w:val="auto"/>
        </w:rPr>
      </w:pPr>
      <w:r>
        <w:rPr>
          <w:rFonts w:ascii="Arial" w:cs="Arial" w:eastAsia="Arial" w:hAnsi="Arial"/>
          <w:sz w:val="16"/>
          <w:szCs w:val="16"/>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 Guarantee Absolute and Unconditional.</w:t>
      </w:r>
    </w:p>
    <w:p>
      <w:pPr>
        <w:spacing w:after="0" w:line="224" w:lineRule="exact"/>
        <w:rPr>
          <w:sz w:val="20"/>
          <w:szCs w:val="20"/>
          <w:color w:val="auto"/>
        </w:rPr>
      </w:pPr>
    </w:p>
    <w:p>
      <w:pPr>
        <w:ind w:firstLine="989"/>
        <w:spacing w:after="0" w:line="282" w:lineRule="auto"/>
        <w:rPr>
          <w:sz w:val="20"/>
          <w:szCs w:val="20"/>
          <w:color w:val="auto"/>
        </w:rPr>
      </w:pPr>
      <w:r>
        <w:rPr>
          <w:rFonts w:ascii="Arial" w:cs="Arial" w:eastAsia="Arial" w:hAnsi="Arial"/>
          <w:sz w:val="16"/>
          <w:szCs w:val="16"/>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w:t>
      </w:r>
    </w:p>
    <w:p>
      <w:pPr>
        <w:spacing w:after="0" w:line="6" w:lineRule="exact"/>
        <w:rPr>
          <w:sz w:val="20"/>
          <w:szCs w:val="20"/>
          <w:color w:val="auto"/>
        </w:rPr>
      </w:pPr>
    </w:p>
    <w:p>
      <w:pPr>
        <w:ind w:right="80" w:firstLine="9"/>
        <w:spacing w:after="0" w:line="253" w:lineRule="auto"/>
        <w:tabs>
          <w:tab w:leader="none" w:pos="24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3" w:right="479" w:bottom="1440" w:gutter="0" w:footer="0" w:header="0"/>
        </w:sectPr>
      </w:pPr>
    </w:p>
    <w:bookmarkStart w:id="369" w:name="page370"/>
    <w:bookmarkEnd w:id="36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4" w:lineRule="exact"/>
        <w:rPr>
          <w:sz w:val="20"/>
          <w:szCs w:val="20"/>
          <w:color w:val="auto"/>
        </w:rPr>
      </w:pPr>
    </w:p>
    <w:p>
      <w:pPr>
        <w:ind w:right="60" w:firstLine="989"/>
        <w:spacing w:after="0" w:line="275" w:lineRule="auto"/>
        <w:rPr>
          <w:sz w:val="20"/>
          <w:szCs w:val="20"/>
          <w:color w:val="auto"/>
        </w:rPr>
      </w:pPr>
      <w:r>
        <w:rPr>
          <w:rFonts w:ascii="Arial" w:cs="Arial" w:eastAsia="Arial" w:hAnsi="Arial"/>
          <w:sz w:val="17"/>
          <w:szCs w:val="17"/>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4" w:lineRule="exact"/>
        <w:rPr>
          <w:sz w:val="20"/>
          <w:szCs w:val="20"/>
          <w:color w:val="auto"/>
        </w:rPr>
      </w:pPr>
    </w:p>
    <w:p>
      <w:pPr>
        <w:ind w:right="280" w:firstLine="989"/>
        <w:spacing w:after="0" w:line="341" w:lineRule="auto"/>
        <w:rPr>
          <w:sz w:val="20"/>
          <w:szCs w:val="20"/>
          <w:color w:val="auto"/>
        </w:rPr>
      </w:pPr>
      <w:r>
        <w:rPr>
          <w:rFonts w:ascii="Arial" w:cs="Arial" w:eastAsia="Arial" w:hAnsi="Arial"/>
          <w:sz w:val="16"/>
          <w:szCs w:val="16"/>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3" w:right="47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MISCELLANEOUS</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3.1 Authority of Administrative Agent.</w:t>
      </w:r>
    </w:p>
    <w:p>
      <w:pPr>
        <w:spacing w:after="0" w:line="224" w:lineRule="exact"/>
        <w:rPr>
          <w:sz w:val="20"/>
          <w:szCs w:val="20"/>
          <w:color w:val="auto"/>
        </w:rPr>
      </w:pPr>
    </w:p>
    <w:p>
      <w:pPr>
        <w:ind w:firstLine="989"/>
        <w:spacing w:after="0" w:line="289" w:lineRule="auto"/>
        <w:rPr>
          <w:sz w:val="20"/>
          <w:szCs w:val="20"/>
          <w:color w:val="auto"/>
        </w:rPr>
      </w:pPr>
      <w:r>
        <w:rPr>
          <w:rFonts w:ascii="Arial" w:cs="Arial" w:eastAsia="Arial" w:hAnsi="Arial"/>
          <w:sz w:val="16"/>
          <w:szCs w:val="16"/>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w:t>
      </w:r>
    </w:p>
    <w:p>
      <w:pPr>
        <w:spacing w:after="0" w:line="224" w:lineRule="exact"/>
        <w:rPr>
          <w:sz w:val="20"/>
          <w:szCs w:val="20"/>
          <w:color w:val="auto"/>
        </w:rPr>
      </w:pPr>
    </w:p>
    <w:p>
      <w:pPr>
        <w:ind w:right="240" w:firstLine="989"/>
        <w:spacing w:after="0" w:line="276"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4" w:lineRule="exact"/>
        <w:rPr>
          <w:sz w:val="20"/>
          <w:szCs w:val="20"/>
          <w:color w:val="auto"/>
        </w:rPr>
      </w:pPr>
    </w:p>
    <w:p>
      <w:pPr>
        <w:ind w:right="100" w:firstLine="989"/>
        <w:spacing w:after="0" w:line="258"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w:t>
      </w:r>
    </w:p>
    <w:p>
      <w:pPr>
        <w:spacing w:after="0" w:line="224" w:lineRule="exact"/>
        <w:rPr>
          <w:sz w:val="20"/>
          <w:szCs w:val="20"/>
          <w:color w:val="auto"/>
        </w:rPr>
      </w:pPr>
    </w:p>
    <w:p>
      <w:pPr>
        <w:ind w:right="40" w:firstLine="989"/>
        <w:spacing w:after="0" w:line="271"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224" w:lineRule="exact"/>
        <w:rPr>
          <w:sz w:val="20"/>
          <w:szCs w:val="20"/>
          <w:color w:val="auto"/>
        </w:rPr>
      </w:pPr>
    </w:p>
    <w:p>
      <w:pPr>
        <w:ind w:right="160" w:firstLine="448"/>
        <w:spacing w:after="0" w:line="256" w:lineRule="auto"/>
        <w:tabs>
          <w:tab w:leader="none" w:pos="68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Without intending to duplicate the obligations of the Guarantors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and to the extent that the Company is required to pay or reimburse the Guaranteed Parties (or any of them), for various costs and expenses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each Guarantor, jointly and severally, hereby agrees to make such payments or reimbursements and to provide such indemnification.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371" w:name="page372"/>
    <w:bookmarkEnd w:id="371"/>
    <w:p>
      <w:pPr>
        <w:ind w:right="300" w:firstLine="448"/>
        <w:spacing w:after="0" w:line="276" w:lineRule="auto"/>
        <w:tabs>
          <w:tab w:leader="none" w:pos="694" w:val="left"/>
        </w:tabs>
        <w:numPr>
          <w:ilvl w:val="0"/>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4" w:lineRule="exact"/>
        <w:rPr>
          <w:sz w:val="20"/>
          <w:szCs w:val="20"/>
          <w:color w:val="auto"/>
        </w:rPr>
      </w:pPr>
    </w:p>
    <w:p>
      <w:pPr>
        <w:ind w:right="300" w:firstLine="989"/>
        <w:spacing w:after="0" w:line="258"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 Electronic Signature</w:t>
      </w:r>
      <w:r>
        <w:rPr>
          <w:rFonts w:ascii="Arial" w:cs="Arial" w:eastAsia="Arial" w:hAnsi="Arial"/>
          <w:sz w:val="18"/>
          <w:szCs w:val="18"/>
          <w:color w:val="auto"/>
        </w:rPr>
        <w:t>.</w:t>
      </w:r>
    </w:p>
    <w:p>
      <w:pPr>
        <w:spacing w:after="0" w:line="224" w:lineRule="exact"/>
        <w:rPr>
          <w:sz w:val="20"/>
          <w:szCs w:val="20"/>
          <w:color w:val="auto"/>
        </w:rPr>
      </w:pPr>
    </w:p>
    <w:p>
      <w:pPr>
        <w:ind w:right="20" w:firstLine="989"/>
        <w:spacing w:after="0" w:line="269" w:lineRule="auto"/>
        <w:rPr>
          <w:sz w:val="20"/>
          <w:szCs w:val="20"/>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4" w:lineRule="exact"/>
        <w:rPr>
          <w:sz w:val="20"/>
          <w:szCs w:val="20"/>
          <w:color w:val="auto"/>
        </w:rPr>
      </w:pPr>
    </w:p>
    <w:p>
      <w:pPr>
        <w:jc w:val="both"/>
        <w:ind w:right="120" w:firstLine="989"/>
        <w:spacing w:after="0" w:line="263"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w:t>
      </w:r>
    </w:p>
    <w:p>
      <w:pPr>
        <w:spacing w:after="0" w:line="224"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372" w:name="page373"/>
    <w:bookmarkEnd w:id="372"/>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224" w:lineRule="exact"/>
        <w:rPr>
          <w:sz w:val="20"/>
          <w:szCs w:val="20"/>
          <w:color w:val="auto"/>
        </w:rPr>
      </w:pPr>
    </w:p>
    <w:p>
      <w:pPr>
        <w:ind w:right="180" w:firstLine="989"/>
        <w:spacing w:after="0" w:line="285"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GOVERNING LAW</w:t>
      </w:r>
      <w:r>
        <w:rPr>
          <w:rFonts w:ascii="Arial" w:cs="Arial" w:eastAsia="Arial" w:hAnsi="Arial"/>
          <w:sz w:val="18"/>
          <w:szCs w:val="18"/>
          <w:b w:val="1"/>
          <w:bCs w:val="1"/>
          <w:color w:val="auto"/>
        </w:rPr>
        <w:t>.</w:t>
      </w:r>
    </w:p>
    <w:p>
      <w:pPr>
        <w:spacing w:after="0" w:line="224" w:lineRule="exact"/>
        <w:rPr>
          <w:sz w:val="20"/>
          <w:szCs w:val="20"/>
          <w:color w:val="auto"/>
        </w:rPr>
      </w:pPr>
    </w:p>
    <w:p>
      <w:pPr>
        <w:ind w:right="160" w:firstLine="989"/>
        <w:spacing w:after="0" w:line="281"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Each Guarantor hereby irrevocably and unconditionally:</w:t>
      </w:r>
    </w:p>
    <w:p>
      <w:pPr>
        <w:spacing w:after="0" w:line="224" w:lineRule="exact"/>
        <w:rPr>
          <w:sz w:val="20"/>
          <w:szCs w:val="20"/>
          <w:color w:val="auto"/>
        </w:rPr>
      </w:pPr>
    </w:p>
    <w:p>
      <w:pPr>
        <w:ind w:right="80" w:firstLine="448"/>
        <w:spacing w:after="0" w:line="258" w:lineRule="auto"/>
        <w:tabs>
          <w:tab w:leader="none" w:pos="68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87" w:lineRule="exact"/>
        <w:rPr>
          <w:rFonts w:ascii="Arial" w:cs="Arial" w:eastAsia="Arial" w:hAnsi="Arial"/>
          <w:sz w:val="18"/>
          <w:szCs w:val="18"/>
          <w:color w:val="auto"/>
        </w:rPr>
      </w:pPr>
    </w:p>
    <w:p>
      <w:pPr>
        <w:ind w:right="80" w:firstLine="448"/>
        <w:spacing w:after="0" w:line="263" w:lineRule="auto"/>
        <w:tabs>
          <w:tab w:leader="none" w:pos="69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firstLine="448"/>
        <w:spacing w:after="0" w:line="263" w:lineRule="auto"/>
        <w:tabs>
          <w:tab w:leader="none" w:pos="68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right="420" w:firstLine="448"/>
        <w:spacing w:after="0" w:line="276" w:lineRule="auto"/>
        <w:tabs>
          <w:tab w:leader="none" w:pos="69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70" w:lineRule="exact"/>
        <w:rPr>
          <w:rFonts w:ascii="Arial" w:cs="Arial" w:eastAsia="Arial" w:hAnsi="Arial"/>
          <w:sz w:val="18"/>
          <w:szCs w:val="18"/>
          <w:color w:val="auto"/>
        </w:rPr>
      </w:pPr>
    </w:p>
    <w:p>
      <w:pPr>
        <w:ind w:right="180" w:firstLine="448"/>
        <w:spacing w:after="0" w:line="276" w:lineRule="auto"/>
        <w:tabs>
          <w:tab w:leader="none" w:pos="68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00" w:firstLine="448"/>
        <w:spacing w:after="0" w:line="276" w:lineRule="auto"/>
        <w:tabs>
          <w:tab w:leader="none" w:pos="66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color w:val="auto"/>
        </w:rPr>
        <w:t>mutatis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73" w:name="page374"/>
    <w:bookmarkEnd w:id="37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24" w:lineRule="exact"/>
        <w:rPr>
          <w:sz w:val="20"/>
          <w:szCs w:val="20"/>
          <w:color w:val="auto"/>
        </w:rPr>
      </w:pPr>
    </w:p>
    <w:p>
      <w:pPr>
        <w:ind w:firstLine="989"/>
        <w:spacing w:after="0" w:line="290"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of the Credit Agreement, and each other Person (whether or not a Subsidiary of the Company) that the Company desires to become a party to this Agreement pursuant to</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Joinder Agreement</w:t>
      </w:r>
      <w:r>
        <w:rPr>
          <w:rFonts w:ascii="Arial" w:cs="Arial" w:eastAsia="Arial" w:hAnsi="Arial"/>
          <w:sz w:val="18"/>
          <w:szCs w:val="18"/>
          <w:color w:val="auto"/>
        </w:rPr>
        <w:t>”).</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4" w:lineRule="exact"/>
        <w:rPr>
          <w:sz w:val="20"/>
          <w:szCs w:val="20"/>
          <w:color w:val="auto"/>
        </w:rPr>
      </w:pPr>
    </w:p>
    <w:p>
      <w:pPr>
        <w:ind w:firstLine="448"/>
        <w:spacing w:after="0" w:line="263" w:lineRule="auto"/>
        <w:tabs>
          <w:tab w:leader="none" w:pos="68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80" w:firstLine="448"/>
        <w:spacing w:after="0" w:line="263" w:lineRule="auto"/>
        <w:tabs>
          <w:tab w:leader="none" w:pos="69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firstLine="448"/>
        <w:spacing w:after="0" w:line="263" w:lineRule="auto"/>
        <w:tabs>
          <w:tab w:leader="none" w:pos="68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jc w:val="both"/>
        <w:ind w:right="120" w:firstLine="448"/>
        <w:spacing w:after="0" w:line="263" w:lineRule="auto"/>
        <w:tabs>
          <w:tab w:leader="none" w:pos="69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3.16 WAIVER OF JURY TRIAL</w:t>
      </w:r>
      <w:r>
        <w:rPr>
          <w:rFonts w:ascii="Arial" w:cs="Arial" w:eastAsia="Arial" w:hAnsi="Arial"/>
          <w:sz w:val="18"/>
          <w:szCs w:val="18"/>
          <w:b w:val="1"/>
          <w:bCs w:val="1"/>
          <w:color w:val="auto"/>
        </w:rPr>
        <w:t>.</w:t>
      </w:r>
    </w:p>
    <w:p>
      <w:pPr>
        <w:spacing w:after="0" w:line="224" w:lineRule="exact"/>
        <w:rPr>
          <w:sz w:val="20"/>
          <w:szCs w:val="20"/>
          <w:color w:val="auto"/>
        </w:rPr>
      </w:pPr>
    </w:p>
    <w:p>
      <w:pPr>
        <w:ind w:right="280" w:firstLine="989"/>
        <w:spacing w:after="0" w:line="265"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374" w:name="page375"/>
    <w:bookmarkEnd w:id="374"/>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 xml:space="preserve">GENERAL MOTORS COMPANY, </w:t>
      </w:r>
      <w:r>
        <w:rPr>
          <w:rFonts w:ascii="Arial" w:cs="Arial" w:eastAsia="Arial" w:hAnsi="Arial"/>
          <w:sz w:val="18"/>
          <w:szCs w:val="18"/>
          <w:i w:val="1"/>
          <w:iCs w:val="1"/>
          <w:color w:val="auto"/>
        </w:rPr>
        <w:t>as the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14605</wp:posOffset>
            </wp:positionV>
            <wp:extent cx="25996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4760595</wp:posOffset>
            </wp:positionH>
            <wp:positionV relativeFrom="paragraph">
              <wp:posOffset>13970</wp:posOffset>
            </wp:positionV>
            <wp:extent cx="22237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spacing w:after="0" w:line="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4760595</wp:posOffset>
            </wp:positionH>
            <wp:positionV relativeFrom="paragraph">
              <wp:posOffset>5080</wp:posOffset>
            </wp:positionV>
            <wp:extent cx="222377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to Third Amended and Restated 364-Day Guarantee Agreement</w:t>
      </w:r>
    </w:p>
    <w:p>
      <w:pPr>
        <w:sectPr>
          <w:pgSz w:w="11900" w:h="16838" w:orient="portrait"/>
          <w:cols w:equalWidth="0" w:num="1">
            <w:col w:w="10940"/>
          </w:cols>
          <w:pgMar w:left="440" w:top="273" w:right="51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5914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jc w:val="right"/>
        <w:ind w:right="1459"/>
        <w:spacing w:after="0"/>
        <w:rPr>
          <w:sz w:val="20"/>
          <w:szCs w:val="20"/>
          <w:color w:val="auto"/>
        </w:rPr>
      </w:pPr>
      <w:r>
        <w:rPr>
          <w:rFonts w:ascii="Arial" w:cs="Arial" w:eastAsia="Arial" w:hAnsi="Arial"/>
          <w:sz w:val="18"/>
          <w:szCs w:val="18"/>
          <w:b w:val="1"/>
          <w:bCs w:val="1"/>
          <w:color w:val="auto"/>
        </w:rPr>
        <w:t>Signature Page to Third Amended and Restated 364-Day Guarantee Agreement</w:t>
      </w:r>
    </w:p>
    <w:p>
      <w:pPr>
        <w:sectPr>
          <w:pgSz w:w="11900" w:h="16838" w:orient="portrait"/>
          <w:cols w:equalWidth="0" w:num="1">
            <w:col w:w="10019"/>
          </w:cols>
          <w:pgMar w:left="440" w:top="273" w:right="1440" w:bottom="1440" w:gutter="0" w:footer="0" w:header="0"/>
        </w:sectPr>
      </w:pPr>
    </w:p>
    <w:bookmarkStart w:id="376" w:name="page377"/>
    <w:bookmarkEnd w:id="376"/>
    <w:p>
      <w:pPr>
        <w:jc w:val="center"/>
        <w:ind w:left="9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3"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7"/>
          <w:szCs w:val="17"/>
          <w:color w:val="auto"/>
        </w:rPr>
        <w:t>Guarantee Agreement</w:t>
      </w:r>
    </w:p>
    <w:p>
      <w:pPr>
        <w:spacing w:after="0" w:line="2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JOINDER AGREEMENT, dated as of ________________, 20__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 (the “</w:t>
      </w:r>
      <w:r>
        <w:rPr>
          <w:rFonts w:ascii="Arial" w:cs="Arial" w:eastAsia="Arial" w:hAnsi="Arial"/>
          <w:sz w:val="16"/>
          <w:szCs w:val="16"/>
          <w:u w:val="single" w:color="auto"/>
          <w:color w:val="auto"/>
        </w:rPr>
        <w:t>Additional Guarantor</w:t>
      </w:r>
      <w:r>
        <w:rPr>
          <w:rFonts w:ascii="Arial" w:cs="Arial" w:eastAsia="Arial" w:hAnsi="Arial"/>
          <w:sz w:val="16"/>
          <w:szCs w:val="16"/>
          <w:color w:val="auto"/>
        </w:rPr>
        <w:t>”), in favor of JPMorgan Chase Bank, N.A., as administrative agent (in such capacity,</w:t>
      </w:r>
    </w:p>
    <w:p>
      <w:pPr>
        <w:spacing w:after="0" w:line="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4" w:lineRule="exact"/>
        <w:rPr>
          <w:sz w:val="20"/>
          <w:szCs w:val="20"/>
          <w:color w:val="auto"/>
        </w:rPr>
      </w:pPr>
    </w:p>
    <w:p>
      <w:pPr>
        <w:ind w:right="40" w:firstLine="989"/>
        <w:spacing w:after="0" w:line="289" w:lineRule="auto"/>
        <w:rPr>
          <w:sz w:val="20"/>
          <w:szCs w:val="20"/>
          <w:color w:val="auto"/>
        </w:rPr>
      </w:pPr>
      <w:r>
        <w:rPr>
          <w:rFonts w:ascii="Arial" w:cs="Arial" w:eastAsia="Arial" w:hAnsi="Arial"/>
          <w:sz w:val="16"/>
          <w:szCs w:val="16"/>
          <w:color w:val="auto"/>
        </w:rPr>
        <w:t>WHEREAS, pursuant to the terms of the certain Third Amended and Restated 364-Day Revolving Credit Agreement, dated as of April 7, 2021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the other Subsidiary Borrowers from time to time parties thereto, the Lenders, the Administrative Agent, Citibank, N.A., as syndication agent, Bank of America, N.A., as co-syndication agent, and the other agents named therein, the Company [has] [and certain of its Subsidiaries (collectively, the “</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Guarantors</w:t>
      </w:r>
      <w:r>
        <w:rPr>
          <w:rFonts w:ascii="Arial" w:cs="Arial" w:eastAsia="Arial" w:hAnsi="Arial"/>
          <w:sz w:val="16"/>
          <w:szCs w:val="16"/>
          <w:color w:val="auto"/>
        </w:rPr>
        <w:t>”; and, together with the Company and the other Persons party to the Guarantee Agreement (as defined below) as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have] entered into the Third Amended and Restated Guarantee Agreement, dated as of [•], 2021 (as amended, restated, amended and restated, renewed, supplemented or otherwise modified from time to time, the “</w:t>
      </w:r>
      <w:r>
        <w:rPr>
          <w:rFonts w:ascii="Arial" w:cs="Arial" w:eastAsia="Arial" w:hAnsi="Arial"/>
          <w:sz w:val="16"/>
          <w:szCs w:val="16"/>
          <w:u w:val="single" w:color="auto"/>
          <w:color w:val="auto"/>
        </w:rPr>
        <w:t>Guarantee Agreement</w:t>
      </w:r>
      <w:r>
        <w:rPr>
          <w:rFonts w:ascii="Arial" w:cs="Arial" w:eastAsia="Arial" w:hAnsi="Arial"/>
          <w:sz w:val="16"/>
          <w:szCs w:val="16"/>
          <w:color w:val="auto"/>
        </w:rPr>
        <w:t>”); and</w:t>
      </w:r>
    </w:p>
    <w:p>
      <w:pPr>
        <w:spacing w:after="0" w:line="167" w:lineRule="exact"/>
        <w:rPr>
          <w:sz w:val="20"/>
          <w:szCs w:val="20"/>
          <w:color w:val="auto"/>
        </w:rPr>
      </w:pPr>
    </w:p>
    <w:p>
      <w:pPr>
        <w:ind w:right="500" w:firstLine="989"/>
        <w:spacing w:after="0" w:line="276" w:lineRule="auto"/>
        <w:rPr>
          <w:sz w:val="20"/>
          <w:szCs w:val="20"/>
          <w:color w:val="auto"/>
        </w:rPr>
      </w:pPr>
      <w:r>
        <w:rPr>
          <w:rFonts w:ascii="Arial" w:cs="Arial" w:eastAsia="Arial" w:hAnsi="Arial"/>
          <w:sz w:val="18"/>
          <w:szCs w:val="18"/>
          <w:color w:val="auto"/>
        </w:rPr>
        <w:t xml:space="preserve">WHEREAS, the Additional Guarantor desires to become a party to the Guarantee Agreement in accordance with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NOW, THEREFORE, IT IS AGREED:</w:t>
      </w:r>
    </w:p>
    <w:p>
      <w:pPr>
        <w:spacing w:after="0" w:line="116" w:lineRule="exact"/>
        <w:rPr>
          <w:sz w:val="20"/>
          <w:szCs w:val="20"/>
          <w:color w:val="auto"/>
        </w:rPr>
      </w:pPr>
    </w:p>
    <w:p>
      <w:pPr>
        <w:ind w:firstLine="998"/>
        <w:spacing w:after="0" w:line="258" w:lineRule="auto"/>
        <w:tabs>
          <w:tab w:leader="none" w:pos="1169"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3" w:lineRule="exact"/>
        <w:rPr>
          <w:rFonts w:ascii="Arial" w:cs="Arial" w:eastAsia="Arial" w:hAnsi="Arial"/>
          <w:sz w:val="18"/>
          <w:szCs w:val="18"/>
          <w:color w:val="auto"/>
        </w:rPr>
      </w:pPr>
    </w:p>
    <w:p>
      <w:pPr>
        <w:ind w:right="340" w:firstLine="998"/>
        <w:spacing w:after="0" w:line="265" w:lineRule="auto"/>
        <w:tabs>
          <w:tab w:leader="none" w:pos="1168"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73" w:right="459" w:bottom="1440" w:gutter="0" w:footer="0" w:header="0"/>
        </w:sectPr>
      </w:pPr>
    </w:p>
    <w:bookmarkStart w:id="377" w:name="page378"/>
    <w:bookmarkEnd w:id="377"/>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[ADDITIONAL GUARANTOR]</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440" w:top="273" w:right="51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2887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379" w:name="page380"/>
    <w:bookmarkEnd w:id="379"/>
    <w:p>
      <w:pPr>
        <w:jc w:val="center"/>
        <w:ind w:left="94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3"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3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FORM OF COMPETITIVE BID REQUEST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0"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_________, 20__</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u w:val="single" w:color="auto"/>
          <w:color w:val="auto"/>
        </w:rPr>
        <w:t>Company/Applicable Borrower”)]</w:t>
      </w:r>
      <w:r>
        <w:rPr>
          <w:rFonts w:ascii="Arial" w:cs="Arial" w:eastAsia="Arial" w:hAnsi="Arial"/>
          <w:sz w:val="14"/>
          <w:szCs w:val="14"/>
          <w:color w:val="auto"/>
        </w:rPr>
        <w:t>1</w:t>
      </w:r>
      <w:r>
        <w:rPr>
          <w:rFonts w:ascii="Arial" w:cs="Arial" w:eastAsia="Arial" w:hAnsi="Arial"/>
          <w:sz w:val="17"/>
          <w:szCs w:val="17"/>
          <w:color w:val="auto"/>
        </w:rPr>
        <w:t>, refer[s] to the Third Amended and Restated 364-Day Revolving Credit Agreement, dated as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April 7, 2021,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Company/the Applicable Borrower]</w:t>
      </w:r>
      <w:r>
        <w:rPr>
          <w:rFonts w:ascii="Arial" w:cs="Arial" w:eastAsia="Arial" w:hAnsi="Arial"/>
          <w:sz w:val="13"/>
          <w:szCs w:val="13"/>
          <w:color w:val="auto"/>
        </w:rPr>
        <w:t>2</w:t>
      </w:r>
      <w:r>
        <w:rPr>
          <w:rFonts w:ascii="Arial" w:cs="Arial" w:eastAsia="Arial" w:hAnsi="Arial"/>
          <w:sz w:val="16"/>
          <w:szCs w:val="16"/>
          <w:color w:val="auto"/>
        </w:rPr>
        <w:t>, General Motors Financial Company, Inc., a Texas corporation, the Subsidiary Borrowers from time to time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Citibank, N.A., as syndication agent, Bank of America, N.A., as co-syndication agent, and the other agents named therein.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used herein and not otherwise defined herein shall have the meanings assigned to such terms in the Credit Agreement.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and the Company hereby give you notice pursuant to Section 2.9(a) of the Credit Agreement that it requests a Competitive Loan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and in that connection sets forth below the terms on which such Competitive Loan is requested to be made:</w:t>
      </w:r>
    </w:p>
    <w:p>
      <w:pPr>
        <w:spacing w:after="0" w:line="236" w:lineRule="exact"/>
        <w:rPr>
          <w:sz w:val="20"/>
          <w:szCs w:val="20"/>
          <w:color w:val="auto"/>
        </w:rPr>
      </w:pPr>
    </w:p>
    <w:p>
      <w:pPr>
        <w:ind w:left="720" w:hanging="352"/>
        <w:spacing w:after="0"/>
        <w:tabs>
          <w:tab w:leader="none" w:pos="7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116" w:lineRule="exact"/>
        <w:rPr>
          <w:rFonts w:ascii="Arial" w:cs="Arial" w:eastAsia="Arial" w:hAnsi="Arial"/>
          <w:sz w:val="18"/>
          <w:szCs w:val="18"/>
          <w:color w:val="auto"/>
        </w:rPr>
      </w:pPr>
    </w:p>
    <w:p>
      <w:pPr>
        <w:ind w:left="700" w:hanging="332"/>
        <w:spacing w:after="0"/>
        <w:tabs>
          <w:tab w:leader="none" w:pos="7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Principal Amount of Competitive Loan</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14605</wp:posOffset>
            </wp:positionV>
            <wp:extent cx="124841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-189865</wp:posOffset>
            </wp:positionV>
            <wp:extent cx="124841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7696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91" w:lineRule="exact"/>
        <w:rPr>
          <w:sz w:val="20"/>
          <w:szCs w:val="20"/>
          <w:color w:val="auto"/>
        </w:rPr>
      </w:pPr>
    </w:p>
    <w:p>
      <w:pPr>
        <w:ind w:left="440" w:hanging="431"/>
        <w:spacing w:after="0"/>
        <w:tabs>
          <w:tab w:leader="none" w:pos="440" w:val="left"/>
        </w:tabs>
        <w:numPr>
          <w:ilvl w:val="0"/>
          <w:numId w:val="340"/>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40" w:hanging="431"/>
        <w:spacing w:after="0"/>
        <w:tabs>
          <w:tab w:leader="none" w:pos="440" w:val="left"/>
        </w:tabs>
        <w:numPr>
          <w:ilvl w:val="0"/>
          <w:numId w:val="341"/>
        </w:numPr>
        <w:rPr>
          <w:rFonts w:ascii="Arial" w:cs="Arial" w:eastAsia="Arial" w:hAnsi="Arial"/>
          <w:sz w:val="15"/>
          <w:szCs w:val="15"/>
          <w:color w:val="auto"/>
        </w:rPr>
      </w:pPr>
      <w:r>
        <w:rPr>
          <w:rFonts w:ascii="Arial" w:cs="Arial" w:eastAsia="Arial" w:hAnsi="Arial"/>
          <w:sz w:val="18"/>
          <w:szCs w:val="18"/>
          <w:color w:val="auto"/>
        </w:rPr>
        <w:t>If Bid Requested from the Company, it is the “Applicable Borrower”.</w:t>
      </w:r>
    </w:p>
    <w:p>
      <w:pPr>
        <w:spacing w:after="0" w:line="9" w:lineRule="exact"/>
        <w:rPr>
          <w:sz w:val="20"/>
          <w:szCs w:val="20"/>
          <w:color w:val="auto"/>
        </w:rPr>
      </w:pPr>
    </w:p>
    <w:p>
      <w:pPr>
        <w:ind w:left="440" w:hanging="431"/>
        <w:spacing w:after="0"/>
        <w:tabs>
          <w:tab w:leader="none" w:pos="440" w:val="left"/>
        </w:tabs>
        <w:numPr>
          <w:ilvl w:val="0"/>
          <w:numId w:val="342"/>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3" w:right="459" w:bottom="1440" w:gutter="0" w:footer="0" w:header="0"/>
        </w:sectPr>
      </w:pPr>
    </w:p>
    <w:bookmarkStart w:id="380" w:name="page381"/>
    <w:bookmarkEnd w:id="380"/>
    <w:p>
      <w:pPr>
        <w:ind w:left="700" w:hanging="332"/>
        <w:spacing w:after="0"/>
        <w:tabs>
          <w:tab w:leader="none" w:pos="7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rate basis</w:t>
      </w:r>
      <w:r>
        <w:rPr>
          <w:rFonts w:ascii="Arial" w:cs="Arial" w:eastAsia="Arial" w:hAnsi="Arial"/>
          <w:sz w:val="15"/>
          <w:szCs w:val="15"/>
          <w:color w:val="auto"/>
        </w:rPr>
        <w:t>4</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14605</wp:posOffset>
            </wp:positionV>
            <wp:extent cx="124841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-189865</wp:posOffset>
            </wp:positionV>
            <wp:extent cx="124841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217" w:lineRule="exact"/>
        <w:rPr>
          <w:sz w:val="20"/>
          <w:szCs w:val="20"/>
          <w:color w:val="auto"/>
        </w:rPr>
      </w:pPr>
    </w:p>
    <w:p>
      <w:pPr>
        <w:ind w:firstLine="989"/>
        <w:spacing w:after="0" w:line="341"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[INSERT NAME OF APPLICABLE BORROWER]</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696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20" w:hanging="211"/>
        <w:spacing w:after="0"/>
        <w:tabs>
          <w:tab w:leader="none" w:pos="220" w:val="left"/>
        </w:tabs>
        <w:numPr>
          <w:ilvl w:val="0"/>
          <w:numId w:val="344"/>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22" w:lineRule="exact"/>
        <w:rPr>
          <w:sz w:val="20"/>
          <w:szCs w:val="20"/>
          <w:color w:val="auto"/>
        </w:rPr>
      </w:pPr>
    </w:p>
    <w:p>
      <w:pPr>
        <w:ind w:left="5360" w:right="3200" w:hanging="5351"/>
        <w:spacing w:after="0" w:line="433" w:lineRule="auto"/>
        <w:tabs>
          <w:tab w:leader="none" w:pos="215" w:val="left"/>
        </w:tabs>
        <w:numPr>
          <w:ilvl w:val="0"/>
          <w:numId w:val="345"/>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 136</w:t>
      </w:r>
    </w:p>
    <w:p>
      <w:pPr>
        <w:sectPr>
          <w:pgSz w:w="11900" w:h="16838" w:orient="portrait"/>
          <w:cols w:equalWidth="0" w:num="1">
            <w:col w:w="10840"/>
          </w:cols>
          <w:pgMar w:left="440" w:top="273" w:right="619" w:bottom="1440" w:gutter="0" w:footer="0" w:header="0"/>
        </w:sectPr>
      </w:pPr>
    </w:p>
    <w:bookmarkStart w:id="381" w:name="page382"/>
    <w:bookmarkEnd w:id="381"/>
    <w:p>
      <w:pPr>
        <w:jc w:val="center"/>
        <w:ind w:left="9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7"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_________, 20__</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6" w:lineRule="exact"/>
        <w:rPr>
          <w:sz w:val="20"/>
          <w:szCs w:val="20"/>
          <w:color w:val="auto"/>
        </w:rPr>
      </w:pPr>
    </w:p>
    <w:p>
      <w:pPr>
        <w:ind w:right="40" w:firstLine="989"/>
        <w:spacing w:after="0" w:line="269" w:lineRule="auto"/>
        <w:rPr>
          <w:sz w:val="20"/>
          <w:szCs w:val="20"/>
          <w:color w:val="auto"/>
        </w:rPr>
      </w:pPr>
      <w:r>
        <w:rPr>
          <w:rFonts w:ascii="Arial" w:cs="Arial" w:eastAsia="Arial" w:hAnsi="Arial"/>
          <w:sz w:val="17"/>
          <w:szCs w:val="17"/>
          <w:color w:val="auto"/>
        </w:rPr>
        <w:t>The undersigned, [Name of Lender], refers to the Third Amended and Restated 364-Day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 Competitive Bid Request made by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on _________, 20__, and in that connection sets forth below the terms on which such Competitive Bid is made:</w:t>
      </w:r>
    </w:p>
    <w:p>
      <w:pPr>
        <w:spacing w:after="0" w:line="210" w:lineRule="exact"/>
        <w:rPr>
          <w:sz w:val="20"/>
          <w:szCs w:val="20"/>
          <w:color w:val="auto"/>
        </w:rPr>
      </w:pPr>
    </w:p>
    <w:p>
      <w:pPr>
        <w:ind w:left="720" w:hanging="352"/>
        <w:spacing w:after="0"/>
        <w:tabs>
          <w:tab w:leader="none" w:pos="7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16" w:lineRule="exact"/>
        <w:rPr>
          <w:rFonts w:ascii="Arial" w:cs="Arial" w:eastAsia="Arial" w:hAnsi="Arial"/>
          <w:sz w:val="18"/>
          <w:szCs w:val="18"/>
          <w:color w:val="auto"/>
        </w:rPr>
      </w:pPr>
    </w:p>
    <w:p>
      <w:pPr>
        <w:ind w:left="700" w:hanging="332"/>
        <w:spacing w:after="0"/>
        <w:tabs>
          <w:tab w:leader="none" w:pos="7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1</w:t>
      </w:r>
    </w:p>
    <w:p>
      <w:pPr>
        <w:spacing w:after="0" w:line="116" w:lineRule="exact"/>
        <w:rPr>
          <w:rFonts w:ascii="Arial" w:cs="Arial" w:eastAsia="Arial" w:hAnsi="Arial"/>
          <w:sz w:val="18"/>
          <w:szCs w:val="18"/>
          <w:color w:val="auto"/>
        </w:rPr>
      </w:pPr>
    </w:p>
    <w:p>
      <w:pPr>
        <w:ind w:left="700" w:hanging="332"/>
        <w:spacing w:after="0"/>
        <w:tabs>
          <w:tab w:leader="none" w:pos="7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15"/>
          <w:szCs w:val="15"/>
          <w:color w:val="auto"/>
        </w:rPr>
        <w:t>2</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Interest Period and last day thereof</w:t>
      </w:r>
    </w:p>
    <w:p>
      <w:pPr>
        <w:spacing w:after="0" w:line="331" w:lineRule="exact"/>
        <w:rPr>
          <w:rFonts w:ascii="Arial" w:cs="Arial" w:eastAsia="Arial" w:hAnsi="Arial"/>
          <w:sz w:val="18"/>
          <w:szCs w:val="18"/>
          <w:color w:val="auto"/>
        </w:rPr>
      </w:pPr>
    </w:p>
    <w:p>
      <w:pPr>
        <w:ind w:left="220" w:right="460" w:hanging="215"/>
        <w:spacing w:after="0" w:line="272" w:lineRule="auto"/>
        <w:rPr>
          <w:rFonts w:ascii="Arial" w:cs="Arial" w:eastAsia="Arial" w:hAnsi="Arial"/>
          <w:sz w:val="18"/>
          <w:szCs w:val="18"/>
          <w:color w:val="auto"/>
        </w:rPr>
      </w:pPr>
      <w:r>
        <w:rPr>
          <w:rFonts w:ascii="Arial" w:cs="Arial" w:eastAsia="Arial" w:hAnsi="Arial"/>
          <w:sz w:val="15"/>
          <w:szCs w:val="15"/>
          <w:color w:val="auto"/>
        </w:rPr>
        <w:t xml:space="preserve">1 </w:t>
      </w:r>
      <w:r>
        <w:rPr>
          <w:rFonts w:ascii="Arial" w:cs="Arial" w:eastAsia="Arial" w:hAnsi="Arial"/>
          <w:sz w:val="17"/>
          <w:szCs w:val="17"/>
          <w:color w:val="auto"/>
        </w:rPr>
        <w:t>Not less than $5,000,000 or the Dollar Equivalent thereof (or greater than the requested Competitive Bid). Multiple bids will be accepted by the</w:t>
      </w:r>
      <w:r>
        <w:rPr>
          <w:rFonts w:ascii="Arial" w:cs="Arial" w:eastAsia="Arial" w:hAnsi="Arial"/>
          <w:sz w:val="15"/>
          <w:szCs w:val="15"/>
          <w:color w:val="auto"/>
        </w:rPr>
        <w:t xml:space="preserve"> </w:t>
      </w:r>
      <w:r>
        <w:rPr>
          <w:rFonts w:ascii="Arial" w:cs="Arial" w:eastAsia="Arial" w:hAnsi="Arial"/>
          <w:sz w:val="17"/>
          <w:szCs w:val="17"/>
          <w:color w:val="auto"/>
        </w:rPr>
        <w:t>Administrative Agent (including up to 5 bids from any single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-476885</wp:posOffset>
            </wp:positionV>
            <wp:extent cx="124841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-681990</wp:posOffset>
            </wp:positionV>
            <wp:extent cx="124841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-887095</wp:posOffset>
            </wp:positionV>
            <wp:extent cx="124841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-1092835</wp:posOffset>
            </wp:positionV>
            <wp:extent cx="124841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-306070</wp:posOffset>
            </wp:positionV>
            <wp:extent cx="7696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ind w:left="220" w:right="220" w:hanging="211"/>
        <w:spacing w:after="0" w:line="261" w:lineRule="auto"/>
        <w:tabs>
          <w:tab w:leader="none" w:pos="220" w:val="left"/>
        </w:tabs>
        <w:numPr>
          <w:ilvl w:val="0"/>
          <w:numId w:val="347"/>
        </w:numPr>
        <w:rPr>
          <w:rFonts w:ascii="Arial" w:cs="Arial" w:eastAsia="Arial" w:hAnsi="Arial"/>
          <w:sz w:val="15"/>
          <w:szCs w:val="15"/>
          <w:color w:val="auto"/>
        </w:rPr>
      </w:pPr>
      <w:r>
        <w:rPr>
          <w:rFonts w:ascii="Arial" w:cs="Arial" w:eastAsia="Arial" w:hAnsi="Arial"/>
          <w:sz w:val="18"/>
          <w:szCs w:val="18"/>
          <w:i w:val="1"/>
          <w:iCs w:val="1"/>
          <w:color w:val="auto"/>
        </w:rPr>
        <w:t>i.e.</w:t>
      </w:r>
      <w:r>
        <w:rPr>
          <w:rFonts w:ascii="Arial" w:cs="Arial" w:eastAsia="Arial" w:hAnsi="Arial"/>
          <w:sz w:val="18"/>
          <w:szCs w:val="18"/>
          <w:color w:val="auto"/>
        </w:rPr>
        <w:t>, Eurocurrency Rate + or - __%, in the case of Eurocurrency Competitive Loans or __%, in the case of Fixed Rate Loans, in each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per annum in the form of a decimal to no more than four decimal places.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69" w:right="459" w:bottom="1440" w:gutter="0" w:footer="0" w:header="0"/>
        </w:sectPr>
      </w:pPr>
    </w:p>
    <w:bookmarkStart w:id="382" w:name="page383"/>
    <w:bookmarkEnd w:id="382"/>
    <w:p>
      <w:pPr>
        <w:ind w:firstLine="989"/>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15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OF LENDER]</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20"/>
          </w:cols>
          <w:pgMar w:left="440" w:top="273" w:right="839" w:bottom="1440" w:gutter="0" w:footer="0" w:header="0"/>
        </w:sectPr>
      </w:pPr>
    </w:p>
    <w:bookmarkStart w:id="383" w:name="page384"/>
    <w:bookmarkEnd w:id="383"/>
    <w:p>
      <w:pPr>
        <w:jc w:val="center"/>
        <w:ind w:left="9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7"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0"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_________, 20__</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6" w:lineRule="exact"/>
        <w:rPr>
          <w:sz w:val="20"/>
          <w:szCs w:val="20"/>
          <w:color w:val="auto"/>
        </w:rPr>
      </w:pPr>
    </w:p>
    <w:p>
      <w:pPr>
        <w:ind w:right="20" w:firstLine="989"/>
        <w:spacing w:after="0" w:line="291"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(the “Company/Applicable Borrower”)]</w:t>
      </w:r>
      <w:r>
        <w:rPr>
          <w:rFonts w:ascii="Arial" w:cs="Arial" w:eastAsia="Arial" w:hAnsi="Arial"/>
          <w:sz w:val="13"/>
          <w:szCs w:val="13"/>
          <w:color w:val="auto"/>
        </w:rPr>
        <w:t>1</w:t>
      </w:r>
      <w:r>
        <w:rPr>
          <w:rFonts w:ascii="Arial" w:cs="Arial" w:eastAsia="Arial" w:hAnsi="Arial"/>
          <w:sz w:val="16"/>
          <w:szCs w:val="16"/>
          <w:color w:val="auto"/>
        </w:rPr>
        <w:t>, refer[s] to the Third Amended and Restated 364-Day Revolving Credit Agreement, dated as of April 7, 2021,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[Company/Applicable Borrower]</w:t>
      </w:r>
      <w:r>
        <w:rPr>
          <w:rFonts w:ascii="Arial" w:cs="Arial" w:eastAsia="Arial" w:hAnsi="Arial"/>
          <w:sz w:val="13"/>
          <w:szCs w:val="13"/>
          <w:color w:val="auto"/>
        </w:rPr>
        <w:t>2</w:t>
      </w:r>
      <w:r>
        <w:rPr>
          <w:rFonts w:ascii="Arial" w:cs="Arial" w:eastAsia="Arial" w:hAnsi="Arial"/>
          <w:sz w:val="16"/>
          <w:szCs w:val="16"/>
          <w:color w:val="auto"/>
        </w:rPr>
        <w:t>,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pacing w:after="0" w:line="162" w:lineRule="exact"/>
        <w:rPr>
          <w:sz w:val="20"/>
          <w:szCs w:val="20"/>
          <w:color w:val="auto"/>
        </w:rPr>
      </w:pPr>
    </w:p>
    <w:p>
      <w:pPr>
        <w:ind w:right="160" w:firstLine="989"/>
        <w:spacing w:after="0" w:line="341" w:lineRule="auto"/>
        <w:rPr>
          <w:sz w:val="20"/>
          <w:szCs w:val="20"/>
          <w:color w:val="auto"/>
        </w:rPr>
      </w:pPr>
      <w:r>
        <w:rPr>
          <w:rFonts w:ascii="Arial" w:cs="Arial" w:eastAsia="Arial" w:hAnsi="Arial"/>
          <w:sz w:val="16"/>
          <w:szCs w:val="16"/>
          <w:color w:val="auto"/>
        </w:rPr>
        <w:t>In accordance with Section 2.9(d) of the Credit Agreement, we have received a summary of bids in connection with our Competitive Bid Request dated _________, 20__ and in accordance with Section 2.9(e) of the Credit Agreement, we hereby accept the following bids: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7696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63" w:lineRule="exact"/>
        <w:rPr>
          <w:sz w:val="20"/>
          <w:szCs w:val="20"/>
          <w:color w:val="auto"/>
        </w:rPr>
      </w:pPr>
    </w:p>
    <w:p>
      <w:pPr>
        <w:ind w:left="220" w:hanging="211"/>
        <w:spacing w:after="0"/>
        <w:tabs>
          <w:tab w:leader="none" w:pos="220" w:val="left"/>
        </w:tabs>
        <w:numPr>
          <w:ilvl w:val="0"/>
          <w:numId w:val="348"/>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220" w:hanging="211"/>
        <w:spacing w:after="0"/>
        <w:tabs>
          <w:tab w:leader="none" w:pos="220" w:val="left"/>
        </w:tabs>
        <w:numPr>
          <w:ilvl w:val="0"/>
          <w:numId w:val="349"/>
        </w:numPr>
        <w:rPr>
          <w:rFonts w:ascii="Arial" w:cs="Arial" w:eastAsia="Arial" w:hAnsi="Arial"/>
          <w:sz w:val="15"/>
          <w:szCs w:val="15"/>
          <w:color w:val="auto"/>
        </w:rPr>
      </w:pPr>
      <w:r>
        <w:rPr>
          <w:rFonts w:ascii="Arial" w:cs="Arial" w:eastAsia="Arial" w:hAnsi="Arial"/>
          <w:sz w:val="18"/>
          <w:szCs w:val="18"/>
          <w:color w:val="auto"/>
        </w:rPr>
        <w:t>If Bid Requested by the Company, it is the “Applicable Borrower”.</w:t>
      </w:r>
    </w:p>
    <w:p>
      <w:pPr>
        <w:sectPr>
          <w:pgSz w:w="11900" w:h="16838" w:orient="portrait"/>
          <w:cols w:equalWidth="0" w:num="1">
            <w:col w:w="11000"/>
          </w:cols>
          <w:pgMar w:left="440" w:top="269" w:right="45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hereby reject the following bids: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The [$]</w:t>
            </w:r>
          </w:p>
        </w:tc>
        <w:tc>
          <w:tcPr>
            <w:tcW w:w="8720" w:type="dxa"/>
            <w:vAlign w:val="bottom"/>
          </w:tcPr>
          <w:p>
            <w:pPr>
              <w:jc w:val="right"/>
              <w:spacing w:after="0"/>
              <w:rPr>
                <w:sz w:val="20"/>
                <w:szCs w:val="20"/>
                <w:color w:val="auto"/>
              </w:rPr>
            </w:pPr>
            <w:r>
              <w:rPr>
                <w:rFonts w:ascii="Arial" w:cs="Arial" w:eastAsia="Arial" w:hAnsi="Arial"/>
                <w:sz w:val="18"/>
                <w:szCs w:val="18"/>
                <w:color w:val="auto"/>
                <w:w w:val="92"/>
              </w:rPr>
              <w:t>should be made available to the Applicable Borrower in immediately available funds by crediting the following account:</w:t>
            </w:r>
          </w:p>
        </w:tc>
      </w:tr>
      <w:tr>
        <w:trPr>
          <w:trHeight w:val="417"/>
        </w:trPr>
        <w:tc>
          <w:tcPr>
            <w:tcW w:w="9920" w:type="dxa"/>
            <w:vAlign w:val="bottom"/>
            <w:gridSpan w:val="2"/>
          </w:tcPr>
          <w:p>
            <w:pPr>
              <w:ind w:left="560"/>
              <w:spacing w:after="0"/>
              <w:rPr>
                <w:sz w:val="20"/>
                <w:szCs w:val="20"/>
                <w:color w:val="auto"/>
              </w:rPr>
            </w:pPr>
            <w:r>
              <w:rPr>
                <w:rFonts w:ascii="Arial" w:cs="Arial" w:eastAsia="Arial" w:hAnsi="Arial"/>
                <w:sz w:val="18"/>
                <w:szCs w:val="18"/>
                <w:color w:val="auto"/>
              </w:rPr>
              <w:t>[Bank Name]</w:t>
            </w:r>
          </w:p>
        </w:tc>
      </w:tr>
      <w:tr>
        <w:trPr>
          <w:trHeight w:val="215"/>
        </w:trPr>
        <w:tc>
          <w:tcPr>
            <w:tcW w:w="1200" w:type="dxa"/>
            <w:vAlign w:val="bottom"/>
          </w:tcPr>
          <w:p>
            <w:pPr>
              <w:ind w:left="560"/>
              <w:spacing w:after="0"/>
              <w:rPr>
                <w:sz w:val="20"/>
                <w:szCs w:val="20"/>
                <w:color w:val="auto"/>
              </w:rPr>
            </w:pPr>
            <w:r>
              <w:rPr>
                <w:rFonts w:ascii="Arial" w:cs="Arial" w:eastAsia="Arial" w:hAnsi="Arial"/>
                <w:sz w:val="18"/>
                <w:szCs w:val="18"/>
                <w:color w:val="auto"/>
              </w:rPr>
              <w:t>ABA #:</w:t>
            </w:r>
          </w:p>
        </w:tc>
        <w:tc>
          <w:tcPr>
            <w:tcW w:w="8720" w:type="dxa"/>
            <w:vAlign w:val="bottom"/>
          </w:tcPr>
          <w:p>
            <w:pPr>
              <w:jc w:val="right"/>
              <w:ind w:right="6110"/>
              <w:spacing w:after="0"/>
              <w:rPr>
                <w:sz w:val="20"/>
                <w:szCs w:val="20"/>
                <w:color w:val="auto"/>
              </w:rPr>
            </w:pPr>
            <w:r>
              <w:rPr>
                <w:rFonts w:ascii="Arial" w:cs="Arial" w:eastAsia="Arial" w:hAnsi="Arial"/>
                <w:sz w:val="18"/>
                <w:szCs w:val="18"/>
                <w:color w:val="auto"/>
                <w:w w:val="99"/>
              </w:rPr>
              <w:t>_________________________</w:t>
            </w:r>
          </w:p>
        </w:tc>
      </w:tr>
      <w:tr>
        <w:trPr>
          <w:trHeight w:val="215"/>
        </w:trPr>
        <w:tc>
          <w:tcPr>
            <w:tcW w:w="9920" w:type="dxa"/>
            <w:vAlign w:val="bottom"/>
            <w:gridSpan w:val="2"/>
          </w:tcPr>
          <w:p>
            <w:pPr>
              <w:ind w:left="560"/>
              <w:spacing w:after="0"/>
              <w:rPr>
                <w:sz w:val="20"/>
                <w:szCs w:val="20"/>
                <w:color w:val="auto"/>
              </w:rPr>
            </w:pPr>
            <w:r>
              <w:rPr>
                <w:rFonts w:ascii="Arial" w:cs="Arial" w:eastAsia="Arial" w:hAnsi="Arial"/>
                <w:sz w:val="18"/>
                <w:szCs w:val="18"/>
                <w:color w:val="auto"/>
              </w:rPr>
              <w:t>Account #: _________________________</w:t>
            </w:r>
          </w:p>
        </w:tc>
      </w:tr>
      <w:tr>
        <w:trPr>
          <w:trHeight w:val="230"/>
        </w:trPr>
        <w:tc>
          <w:tcPr>
            <w:tcW w:w="9920" w:type="dxa"/>
            <w:vAlign w:val="bottom"/>
            <w:gridSpan w:val="2"/>
          </w:tcPr>
          <w:p>
            <w:pPr>
              <w:ind w:left="560"/>
              <w:spacing w:after="0"/>
              <w:rPr>
                <w:sz w:val="20"/>
                <w:szCs w:val="20"/>
                <w:color w:val="auto"/>
              </w:rPr>
            </w:pPr>
            <w:r>
              <w:rPr>
                <w:rFonts w:ascii="Arial" w:cs="Arial" w:eastAsia="Arial" w:hAnsi="Arial"/>
                <w:sz w:val="18"/>
                <w:szCs w:val="18"/>
                <w:color w:val="auto"/>
              </w:rPr>
              <w:t>Attention:  _________________________</w:t>
            </w:r>
          </w:p>
        </w:tc>
      </w:tr>
    </w:tbl>
    <w:p>
      <w:pPr>
        <w:spacing w:after="0" w:line="10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[INSERT NAME OF APPLICABLE BORROWER]</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380"/>
          </w:cols>
          <w:pgMar w:left="440" w:top="273" w:right="1079" w:bottom="1440" w:gutter="0" w:footer="0" w:header="0"/>
        </w:sectPr>
      </w:pPr>
    </w:p>
    <w:bookmarkStart w:id="385" w:name="page386"/>
    <w:bookmarkEnd w:id="385"/>
    <w:p>
      <w:pPr>
        <w:jc w:val="center"/>
        <w:ind w:left="8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7"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25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Agreement referred to below</w:t>
      </w:r>
    </w:p>
    <w:p>
      <w:pPr>
        <w:spacing w:after="0" w:line="210" w:lineRule="exact"/>
        <w:rPr>
          <w:sz w:val="20"/>
          <w:szCs w:val="20"/>
          <w:color w:val="auto"/>
        </w:rPr>
      </w:pPr>
    </w:p>
    <w:p>
      <w:pPr>
        <w:ind w:firstLine="439"/>
        <w:spacing w:after="0" w:line="293" w:lineRule="auto"/>
        <w:rPr>
          <w:sz w:val="20"/>
          <w:szCs w:val="20"/>
          <w:color w:val="auto"/>
        </w:rPr>
      </w:pPr>
      <w:r>
        <w:rPr>
          <w:rFonts w:ascii="Arial" w:cs="Arial" w:eastAsia="Arial" w:hAnsi="Arial"/>
          <w:sz w:val="16"/>
          <w:szCs w:val="16"/>
          <w:color w:val="auto"/>
        </w:rPr>
        <w:t>Reference is made to that certain Third Amended and Restated 364-Day Revolving Credit Agreement, dated as of April 7, 2021,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80" w:firstLine="989"/>
        <w:spacing w:after="0" w:line="276"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70" w:lineRule="exact"/>
        <w:rPr>
          <w:sz w:val="20"/>
          <w:szCs w:val="20"/>
          <w:color w:val="auto"/>
        </w:rPr>
      </w:pPr>
    </w:p>
    <w:p>
      <w:pPr>
        <w:ind w:right="180" w:firstLine="998"/>
        <w:spacing w:after="0" w:line="276" w:lineRule="auto"/>
        <w:tabs>
          <w:tab w:leader="none" w:pos="1169" w:val="left"/>
        </w:tabs>
        <w:numPr>
          <w:ilvl w:val="1"/>
          <w:numId w:val="350"/>
        </w:numPr>
        <w:rPr>
          <w:rFonts w:ascii="Arial" w:cs="Arial" w:eastAsia="Arial" w:hAnsi="Arial"/>
          <w:sz w:val="18"/>
          <w:szCs w:val="18"/>
          <w:color w:val="auto"/>
        </w:rPr>
      </w:pPr>
      <w:r>
        <w:rPr>
          <w:rFonts w:ascii="Arial" w:cs="Arial" w:eastAsia="Arial" w:hAnsi="Arial"/>
          <w:sz w:val="18"/>
          <w:szCs w:val="18"/>
          <w:color w:val="auto"/>
        </w:rPr>
        <w:t>Each Incremental Lender party hereto agrees to increase the amount of its existing Commitment in the amount set forth opposite such Incremental Lender’s name on the signature pages hereof under the caption “Incremental Commitment”.</w:t>
      </w:r>
    </w:p>
    <w:p>
      <w:pPr>
        <w:spacing w:after="0" w:line="170" w:lineRule="exact"/>
        <w:rPr>
          <w:rFonts w:ascii="Arial" w:cs="Arial" w:eastAsia="Arial" w:hAnsi="Arial"/>
          <w:sz w:val="18"/>
          <w:szCs w:val="18"/>
          <w:color w:val="auto"/>
        </w:rPr>
      </w:pPr>
    </w:p>
    <w:p>
      <w:pPr>
        <w:ind w:left="1180" w:hanging="182"/>
        <w:spacing w:after="0"/>
        <w:tabs>
          <w:tab w:leader="none" w:pos="11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Commitment Increase Date is ___________________.</w:t>
      </w:r>
    </w:p>
    <w:p>
      <w:pPr>
        <w:spacing w:after="0" w:line="224" w:lineRule="exact"/>
        <w:rPr>
          <w:rFonts w:ascii="Arial" w:cs="Arial" w:eastAsia="Arial" w:hAnsi="Arial"/>
          <w:sz w:val="18"/>
          <w:szCs w:val="18"/>
          <w:color w:val="auto"/>
        </w:rPr>
      </w:pPr>
    </w:p>
    <w:p>
      <w:pPr>
        <w:ind w:right="240" w:firstLine="998"/>
        <w:spacing w:after="0" w:line="341" w:lineRule="auto"/>
        <w:tabs>
          <w:tab w:leader="none" w:pos="116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The agreement of each Incremental Lender party hereto to make the Incremental Loans to be made by it is subject to the satisfaction, prior to or concurrently with the making of such extension of credit on the Commitment Increase Date, of the following conditions precedent:</w:t>
      </w:r>
    </w:p>
    <w:p>
      <w:pPr>
        <w:spacing w:after="0" w:line="15" w:lineRule="exact"/>
        <w:rPr>
          <w:rFonts w:ascii="Arial" w:cs="Arial" w:eastAsia="Arial" w:hAnsi="Arial"/>
          <w:sz w:val="16"/>
          <w:szCs w:val="16"/>
          <w:color w:val="auto"/>
        </w:rPr>
      </w:pPr>
    </w:p>
    <w:p>
      <w:pPr>
        <w:ind w:left="1000" w:right="120" w:firstLine="398"/>
        <w:spacing w:after="0" w:line="276" w:lineRule="auto"/>
        <w:tabs>
          <w:tab w:leader="none" w:pos="1644"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The Administrative Agent shall have received this notice, executed and delivered by the Company and each Incremental Lender party hereto.</w:t>
      </w:r>
    </w:p>
    <w:p>
      <w:pPr>
        <w:spacing w:after="0" w:line="62" w:lineRule="exact"/>
        <w:rPr>
          <w:rFonts w:ascii="Arial" w:cs="Arial" w:eastAsia="Arial" w:hAnsi="Arial"/>
          <w:sz w:val="18"/>
          <w:szCs w:val="18"/>
          <w:color w:val="auto"/>
        </w:rPr>
      </w:pPr>
    </w:p>
    <w:p>
      <w:pPr>
        <w:ind w:left="1000" w:right="360" w:firstLine="398"/>
        <w:spacing w:after="0" w:line="285" w:lineRule="auto"/>
        <w:tabs>
          <w:tab w:leader="none" w:pos="1654" w:val="left"/>
        </w:tabs>
        <w:numPr>
          <w:ilvl w:val="2"/>
          <w:numId w:val="350"/>
        </w:numPr>
        <w:rPr>
          <w:rFonts w:ascii="Arial" w:cs="Arial" w:eastAsia="Arial" w:hAnsi="Arial"/>
          <w:sz w:val="17"/>
          <w:szCs w:val="17"/>
          <w:color w:val="auto"/>
        </w:rPr>
      </w:pPr>
      <w:r>
        <w:rPr>
          <w:rFonts w:ascii="Arial" w:cs="Arial" w:eastAsia="Arial" w:hAnsi="Arial"/>
          <w:sz w:val="17"/>
          <w:szCs w:val="17"/>
          <w:color w:val="auto"/>
        </w:rPr>
        <w:t>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w:t>
      </w:r>
    </w:p>
    <w:p>
      <w:pPr>
        <w:spacing w:after="0" w:line="165" w:lineRule="exact"/>
        <w:rPr>
          <w:rFonts w:ascii="Arial" w:cs="Arial" w:eastAsia="Arial" w:hAnsi="Arial"/>
          <w:sz w:val="17"/>
          <w:szCs w:val="17"/>
          <w:color w:val="auto"/>
        </w:rPr>
      </w:pPr>
    </w:p>
    <w:p>
      <w:pPr>
        <w:ind w:right="20" w:firstLine="448"/>
        <w:spacing w:after="0" w:line="276" w:lineRule="auto"/>
        <w:tabs>
          <w:tab w:leader="none" w:pos="61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60"/>
          </w:cols>
          <w:pgMar w:left="440" w:top="269" w:right="49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600" w:type="dxa"/>
            <w:vAlign w:val="bottom"/>
            <w:gridSpan w:val="2"/>
          </w:tcPr>
          <w:p>
            <w:pPr>
              <w:ind w:left="2200"/>
              <w:spacing w:after="0"/>
              <w:rPr>
                <w:sz w:val="20"/>
                <w:szCs w:val="20"/>
                <w:color w:val="auto"/>
              </w:rPr>
            </w:pPr>
            <w:r>
              <w:rPr>
                <w:rFonts w:ascii="Arial" w:cs="Arial" w:eastAsia="Arial" w:hAnsi="Arial"/>
                <w:sz w:val="18"/>
                <w:szCs w:val="18"/>
                <w:color w:val="auto"/>
              </w:rPr>
              <w:t>GENERAL MOTORS COMPANY</w:t>
            </w:r>
          </w:p>
        </w:tc>
      </w:tr>
      <w:tr>
        <w:trPr>
          <w:trHeight w:val="431"/>
        </w:trPr>
        <w:tc>
          <w:tcPr>
            <w:tcW w:w="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600" w:type="dxa"/>
            <w:vAlign w:val="bottom"/>
            <w:gridSpan w:val="2"/>
          </w:tcPr>
          <w:p>
            <w:pPr>
              <w:ind w:left="2200"/>
              <w:spacing w:after="0"/>
              <w:rPr>
                <w:sz w:val="20"/>
                <w:szCs w:val="20"/>
                <w:color w:val="auto"/>
              </w:rPr>
            </w:pPr>
            <w:r>
              <w:rPr>
                <w:rFonts w:ascii="Arial" w:cs="Arial" w:eastAsia="Arial" w:hAnsi="Arial"/>
                <w:sz w:val="18"/>
                <w:szCs w:val="18"/>
                <w:color w:val="auto"/>
              </w:rPr>
              <w:t>By:</w:t>
            </w:r>
          </w:p>
        </w:tc>
      </w:tr>
      <w:tr>
        <w:trPr>
          <w:trHeight w:val="195"/>
        </w:trPr>
        <w:tc>
          <w:tcPr>
            <w:tcW w:w="3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3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Title:</w:t>
            </w:r>
          </w:p>
        </w:tc>
      </w:tr>
      <w:tr>
        <w:trPr>
          <w:trHeight w:val="443"/>
        </w:trPr>
        <w:tc>
          <w:tcPr>
            <w:tcW w:w="4400" w:type="dxa"/>
            <w:vAlign w:val="bottom"/>
            <w:gridSpan w:val="2"/>
          </w:tcPr>
          <w:p>
            <w:pPr>
              <w:spacing w:after="0"/>
              <w:rPr>
                <w:sz w:val="20"/>
                <w:szCs w:val="20"/>
                <w:color w:val="auto"/>
              </w:rPr>
            </w:pPr>
            <w:r>
              <w:rPr>
                <w:rFonts w:ascii="Arial" w:cs="Arial" w:eastAsia="Arial" w:hAnsi="Arial"/>
                <w:sz w:val="18"/>
                <w:szCs w:val="18"/>
                <w:color w:val="auto"/>
              </w:rPr>
              <w:t>Incremental Loan Commitment</w:t>
            </w:r>
          </w:p>
        </w:tc>
        <w:tc>
          <w:tcPr>
            <w:tcW w:w="6600" w:type="dxa"/>
            <w:vAlign w:val="bottom"/>
            <w:gridSpan w:val="2"/>
          </w:tcPr>
          <w:p>
            <w:pPr>
              <w:ind w:left="2020"/>
              <w:spacing w:after="0"/>
              <w:rPr>
                <w:sz w:val="20"/>
                <w:szCs w:val="20"/>
                <w:color w:val="auto"/>
              </w:rPr>
            </w:pPr>
            <w:r>
              <w:rPr>
                <w:rFonts w:ascii="Arial" w:cs="Arial" w:eastAsia="Arial" w:hAnsi="Arial"/>
                <w:sz w:val="18"/>
                <w:szCs w:val="18"/>
                <w:color w:val="auto"/>
              </w:rPr>
              <w:t>[NAME OF EACH INCREMENTAL LENDER]</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458"/>
        </w:trPr>
        <w:tc>
          <w:tcPr>
            <w:tcW w:w="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600" w:type="dxa"/>
            <w:vAlign w:val="bottom"/>
            <w:gridSpan w:val="2"/>
          </w:tcPr>
          <w:p>
            <w:pPr>
              <w:ind w:left="2200"/>
              <w:spacing w:after="0"/>
              <w:rPr>
                <w:sz w:val="20"/>
                <w:szCs w:val="20"/>
                <w:color w:val="auto"/>
              </w:rPr>
            </w:pPr>
            <w:r>
              <w:rPr>
                <w:rFonts w:ascii="Arial" w:cs="Arial" w:eastAsia="Arial" w:hAnsi="Arial"/>
                <w:sz w:val="18"/>
                <w:szCs w:val="18"/>
                <w:color w:val="auto"/>
              </w:rPr>
              <w:t>By:</w:t>
            </w:r>
          </w:p>
        </w:tc>
      </w:tr>
      <w:tr>
        <w:trPr>
          <w:trHeight w:val="195"/>
        </w:trPr>
        <w:tc>
          <w:tcPr>
            <w:tcW w:w="3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3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Title:</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RECEIVED BY:</w:t>
            </w:r>
          </w:p>
        </w:tc>
        <w:tc>
          <w:tcPr>
            <w:tcW w:w="25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09"/>
        </w:trPr>
        <w:tc>
          <w:tcPr>
            <w:tcW w:w="440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25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as Administrative Agent</w:t>
            </w:r>
          </w:p>
        </w:tc>
        <w:tc>
          <w:tcPr>
            <w:tcW w:w="252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458"/>
        </w:trPr>
        <w:tc>
          <w:tcPr>
            <w:tcW w:w="4400" w:type="dxa"/>
            <w:vAlign w:val="bottom"/>
            <w:gridSpan w:val="2"/>
          </w:tcPr>
          <w:p>
            <w:pPr>
              <w:spacing w:after="0"/>
              <w:rPr>
                <w:sz w:val="20"/>
                <w:szCs w:val="20"/>
                <w:color w:val="auto"/>
              </w:rPr>
            </w:pPr>
            <w:r>
              <w:rPr>
                <w:rFonts w:ascii="Arial" w:cs="Arial" w:eastAsia="Arial" w:hAnsi="Arial"/>
                <w:sz w:val="18"/>
                <w:szCs w:val="18"/>
                <w:color w:val="auto"/>
              </w:rPr>
              <w:t>By:</w:t>
            </w:r>
          </w:p>
        </w:tc>
        <w:tc>
          <w:tcPr>
            <w:tcW w:w="25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40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252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30"/>
        </w:trPr>
        <w:tc>
          <w:tcPr>
            <w:tcW w:w="320" w:type="dxa"/>
            <w:vAlign w:val="bottom"/>
          </w:tcPr>
          <w:p>
            <w:pPr>
              <w:spacing w:after="0"/>
              <w:rPr>
                <w:sz w:val="19"/>
                <w:szCs w:val="19"/>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Title:</w:t>
            </w:r>
          </w:p>
        </w:tc>
        <w:tc>
          <w:tcPr>
            <w:tcW w:w="2520" w:type="dxa"/>
            <w:vAlign w:val="bottom"/>
          </w:tcPr>
          <w:p>
            <w:pPr>
              <w:spacing w:after="0"/>
              <w:rPr>
                <w:sz w:val="19"/>
                <w:szCs w:val="19"/>
                <w:color w:val="auto"/>
              </w:rPr>
            </w:pPr>
          </w:p>
        </w:tc>
        <w:tc>
          <w:tcPr>
            <w:tcW w:w="408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00"/>
          </w:cols>
          <w:pgMar w:left="440" w:top="273"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7" w:name="page388"/>
    <w:bookmarkEnd w:id="387"/>
    <w:p>
      <w:pPr>
        <w:jc w:val="center"/>
        <w:ind w:left="8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7"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FORM OF CLOSING CERTIFICATE</w:t>
      </w:r>
    </w:p>
    <w:p>
      <w:pPr>
        <w:spacing w:after="0" w:line="1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LOAN PARTY]</w:t>
      </w:r>
    </w:p>
    <w:p>
      <w:pPr>
        <w:spacing w:after="0" w:line="210"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__________, 20__</w:t>
      </w:r>
    </w:p>
    <w:p>
      <w:pPr>
        <w:spacing w:after="0" w:line="247" w:lineRule="exact"/>
        <w:rPr>
          <w:sz w:val="20"/>
          <w:szCs w:val="20"/>
          <w:color w:val="auto"/>
        </w:rPr>
      </w:pPr>
    </w:p>
    <w:p>
      <w:pPr>
        <w:ind w:right="20" w:firstLine="439"/>
        <w:spacing w:after="0" w:line="253" w:lineRule="auto"/>
        <w:rPr>
          <w:sz w:val="20"/>
          <w:szCs w:val="20"/>
          <w:color w:val="auto"/>
        </w:rPr>
      </w:pPr>
      <w:r>
        <w:rPr>
          <w:rFonts w:ascii="Arial" w:cs="Arial" w:eastAsia="Arial" w:hAnsi="Arial"/>
          <w:sz w:val="18"/>
          <w:szCs w:val="18"/>
          <w:color w:val="auto"/>
        </w:rPr>
        <w:t>THIS CERTIFICATE IS FURNISHED PURSUANT TO SECTION 5.1(C) OF THAT CERTAIN THIRD AMENDED AND RESTATED 364-DAY REVOLVING CREDIT AGREEMENT, DATED AS OF APRIL 7, 2021,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THE SUBSIDIARY BORROWERS FROM TIME TO TIME PARTY THERETO, THE LENDERS FROM TIME TO TIME PARTY THERETO, JPMORGAN CHASE BANK, N.A. AS THE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91" w:lineRule="exact"/>
        <w:rPr>
          <w:sz w:val="20"/>
          <w:szCs w:val="20"/>
          <w:color w:val="auto"/>
        </w:rPr>
      </w:pPr>
    </w:p>
    <w:p>
      <w:pPr>
        <w:ind w:right="580" w:firstLine="439"/>
        <w:spacing w:after="0" w:line="306" w:lineRule="auto"/>
        <w:rPr>
          <w:sz w:val="20"/>
          <w:szCs w:val="20"/>
          <w:color w:val="auto"/>
        </w:rPr>
      </w:pPr>
      <w:r>
        <w:rPr>
          <w:rFonts w:ascii="Arial" w:cs="Arial" w:eastAsia="Arial" w:hAnsi="Arial"/>
          <w:sz w:val="17"/>
          <w:szCs w:val="17"/>
          <w:color w:val="auto"/>
        </w:rPr>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148" w:lineRule="exact"/>
        <w:rPr>
          <w:sz w:val="20"/>
          <w:szCs w:val="20"/>
          <w:color w:val="auto"/>
        </w:rPr>
      </w:pPr>
    </w:p>
    <w:p>
      <w:pPr>
        <w:ind w:right="100" w:firstLine="448"/>
        <w:spacing w:after="0" w:line="256" w:lineRule="auto"/>
        <w:tabs>
          <w:tab w:leader="none" w:pos="61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 [CERTIFICATE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89" w:lineRule="exact"/>
        <w:rPr>
          <w:rFonts w:ascii="Arial" w:cs="Arial" w:eastAsia="Arial" w:hAnsi="Arial"/>
          <w:sz w:val="18"/>
          <w:szCs w:val="18"/>
          <w:color w:val="auto"/>
        </w:rPr>
      </w:pPr>
    </w:p>
    <w:p>
      <w:pPr>
        <w:ind w:right="480" w:firstLine="448"/>
        <w:spacing w:after="0" w:line="276" w:lineRule="auto"/>
        <w:tabs>
          <w:tab w:leader="none" w:pos="61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[BY-LAWS][LIMITED LIABILITY COMPANY AGREEMENT][OPERATING AGREEMENT] OF THE COMPANY AS IN EFFECT ON THE DATE HEREOF.</w:t>
      </w:r>
    </w:p>
    <w:p>
      <w:pPr>
        <w:sectPr>
          <w:pgSz w:w="11900" w:h="16838" w:orient="portrait"/>
          <w:cols w:equalWidth="0" w:num="1">
            <w:col w:w="11000"/>
          </w:cols>
          <w:pgMar w:left="440" w:top="270" w:right="459" w:bottom="1440" w:gutter="0" w:footer="0" w:header="0"/>
        </w:sectPr>
      </w:pPr>
    </w:p>
    <w:bookmarkStart w:id="388" w:name="page389"/>
    <w:bookmarkEnd w:id="388"/>
    <w:p>
      <w:pPr>
        <w:ind w:left="-448" w:firstLine="448"/>
        <w:spacing w:after="0" w:line="253" w:lineRule="auto"/>
        <w:tabs>
          <w:tab w:leader="none" w:pos="170" w:val="left"/>
        </w:tabs>
        <w:numPr>
          <w:ilvl w:val="0"/>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ATTACHED HERETO AS ANNEX III IS A TRUE, CORRECT AND COMPLETE COPY OF RESOLUTIONS DULY ADOPTED BY THE BOARD OF [DIRECTORS] [MANAGERS] OF THE COMPANY [AT A MEETING THEREOF] [BY WRITTEN CONSENT] AS OF THE ___ DAY OF ____________, 2021;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[MANAGERS] OF THE COMPANY [AT SUCH MEETING].</w:t>
      </w:r>
    </w:p>
    <w:p>
      <w:pPr>
        <w:spacing w:after="0" w:line="193" w:lineRule="exact"/>
        <w:rPr>
          <w:rFonts w:ascii="Arial" w:cs="Arial" w:eastAsia="Arial" w:hAnsi="Arial"/>
          <w:sz w:val="18"/>
          <w:szCs w:val="18"/>
          <w:color w:val="auto"/>
        </w:rPr>
      </w:pPr>
    </w:p>
    <w:p>
      <w:pPr>
        <w:ind w:left="-448" w:right="180" w:firstLine="448"/>
        <w:spacing w:after="0" w:line="263" w:lineRule="auto"/>
        <w:tabs>
          <w:tab w:leader="none" w:pos="17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472"/>
          </w:cols>
          <w:pgMar w:left="888" w:top="273" w:right="539" w:bottom="1440" w:gutter="0" w:footer="0" w:header="0"/>
        </w:sectPr>
      </w:pPr>
    </w:p>
    <w:bookmarkStart w:id="389" w:name="page390"/>
    <w:bookmarkEnd w:id="3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my hand as of the first date written above.</w:t>
      </w:r>
    </w:p>
    <w:p>
      <w:pPr>
        <w:spacing w:after="0" w:line="200" w:lineRule="exact"/>
        <w:rPr>
          <w:sz w:val="20"/>
          <w:szCs w:val="20"/>
          <w:color w:val="auto"/>
        </w:rPr>
      </w:pPr>
    </w:p>
    <w:p>
      <w:pPr>
        <w:spacing w:after="0" w:line="3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-130175</wp:posOffset>
            </wp:positionV>
            <wp:extent cx="278828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204" w:lineRule="exact"/>
        <w:rPr>
          <w:sz w:val="20"/>
          <w:szCs w:val="20"/>
          <w:color w:val="auto"/>
        </w:rPr>
      </w:pPr>
    </w:p>
    <w:p>
      <w:pPr>
        <w:ind w:firstLine="439"/>
        <w:spacing w:after="0" w:line="276"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63" w:lineRule="exact"/>
        <w:rPr>
          <w:sz w:val="20"/>
          <w:szCs w:val="20"/>
          <w:color w:val="auto"/>
        </w:rPr>
      </w:pPr>
    </w:p>
    <w:p>
      <w:pPr>
        <w:ind w:right="580" w:firstLine="448"/>
        <w:spacing w:after="0" w:line="276" w:lineRule="auto"/>
        <w:tabs>
          <w:tab w:leader="none" w:pos="619" w:val="left"/>
        </w:tabs>
        <w:numPr>
          <w:ilvl w:val="1"/>
          <w:numId w:val="354"/>
        </w:numPr>
        <w:rPr>
          <w:rFonts w:ascii="Arial" w:cs="Arial" w:eastAsia="Arial" w:hAnsi="Arial"/>
          <w:sz w:val="18"/>
          <w:szCs w:val="18"/>
          <w:color w:val="auto"/>
        </w:rPr>
      </w:pPr>
      <w:r>
        <w:rPr>
          <w:rFonts w:ascii="Arial" w:cs="Arial" w:eastAsia="Arial" w:hAnsi="Arial"/>
          <w:sz w:val="18"/>
          <w:szCs w:val="18"/>
          <w:color w:val="auto"/>
        </w:rPr>
        <w:t>___________________ is [a] [the] duly elected and qualified [Assistant] Secretary of the Company and the signature above is [his][her] genuine signature.</w:t>
      </w:r>
    </w:p>
    <w:p>
      <w:pPr>
        <w:spacing w:after="0" w:line="170" w:lineRule="exact"/>
        <w:rPr>
          <w:rFonts w:ascii="Arial" w:cs="Arial" w:eastAsia="Arial" w:hAnsi="Arial"/>
          <w:sz w:val="18"/>
          <w:szCs w:val="18"/>
          <w:color w:val="auto"/>
        </w:rPr>
      </w:pPr>
    </w:p>
    <w:p>
      <w:pPr>
        <w:ind w:firstLine="9"/>
        <w:spacing w:after="0" w:line="258" w:lineRule="auto"/>
        <w:tabs>
          <w:tab w:leader="none" w:pos="179"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15"/>
          <w:szCs w:val="15"/>
          <w:color w:val="auto"/>
        </w:rPr>
        <w:t>1</w:t>
      </w:r>
    </w:p>
    <w:p>
      <w:pPr>
        <w:spacing w:after="0" w:line="187" w:lineRule="exact"/>
        <w:rPr>
          <w:rFonts w:ascii="Arial" w:cs="Arial" w:eastAsia="Arial" w:hAnsi="Arial"/>
          <w:sz w:val="18"/>
          <w:szCs w:val="18"/>
          <w:color w:val="auto"/>
        </w:rPr>
      </w:pPr>
    </w:p>
    <w:p>
      <w:pPr>
        <w:ind w:left="180" w:hanging="171"/>
        <w:spacing w:after="0"/>
        <w:tabs>
          <w:tab w:leader="none" w:pos="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15"/>
          <w:szCs w:val="15"/>
          <w:color w:val="auto"/>
        </w:rPr>
        <w:t>2</w:t>
      </w:r>
    </w:p>
    <w:p>
      <w:pPr>
        <w:spacing w:after="0" w:line="200" w:lineRule="exact"/>
        <w:rPr>
          <w:sz w:val="20"/>
          <w:szCs w:val="20"/>
          <w:color w:val="auto"/>
        </w:rPr>
      </w:pPr>
    </w:p>
    <w:p>
      <w:pPr>
        <w:spacing w:after="0" w:line="34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-123190</wp:posOffset>
            </wp:positionV>
            <wp:extent cx="278828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7882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107315</wp:posOffset>
            </wp:positionV>
            <wp:extent cx="76962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9" w:lineRule="exact"/>
        <w:rPr>
          <w:sz w:val="20"/>
          <w:szCs w:val="20"/>
          <w:color w:val="auto"/>
        </w:rPr>
      </w:pPr>
    </w:p>
    <w:p>
      <w:pPr>
        <w:ind w:left="440" w:hanging="431"/>
        <w:spacing w:after="0"/>
        <w:tabs>
          <w:tab w:leader="none" w:pos="440" w:val="left"/>
        </w:tabs>
        <w:numPr>
          <w:ilvl w:val="0"/>
          <w:numId w:val="356"/>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pacing w:after="0" w:line="22" w:lineRule="exact"/>
        <w:rPr>
          <w:sz w:val="20"/>
          <w:szCs w:val="20"/>
          <w:color w:val="auto"/>
        </w:rPr>
      </w:pPr>
    </w:p>
    <w:p>
      <w:pPr>
        <w:ind w:left="440" w:hanging="431"/>
        <w:spacing w:after="0"/>
        <w:tabs>
          <w:tab w:leader="none" w:pos="440" w:val="left"/>
        </w:tabs>
        <w:numPr>
          <w:ilvl w:val="0"/>
          <w:numId w:val="357"/>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ectPr>
          <w:pgSz w:w="11900" w:h="16838" w:orient="portrait"/>
          <w:cols w:equalWidth="0" w:num="1">
            <w:col w:w="10980"/>
          </w:cols>
          <w:pgMar w:left="440" w:top="273" w:right="479" w:bottom="1440" w:gutter="0" w:footer="0" w:header="0"/>
        </w:sectPr>
      </w:pPr>
    </w:p>
    <w:bookmarkStart w:id="390" w:name="page391"/>
    <w:bookmarkEnd w:id="390"/>
    <w:p>
      <w:pPr>
        <w:jc w:val="center"/>
        <w:ind w:left="10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3" w:lineRule="exact"/>
        <w:rPr>
          <w:sz w:val="20"/>
          <w:szCs w:val="20"/>
          <w:color w:val="auto"/>
        </w:rPr>
      </w:pPr>
    </w:p>
    <w:p>
      <w:pPr>
        <w:jc w:val="center"/>
        <w:ind w:left="103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20"/>
        <w:spacing w:after="0"/>
        <w:rPr>
          <w:sz w:val="20"/>
          <w:szCs w:val="20"/>
          <w:color w:val="auto"/>
        </w:rPr>
      </w:pPr>
      <w:r>
        <w:rPr>
          <w:rFonts w:ascii="Arial" w:cs="Arial" w:eastAsia="Arial" w:hAnsi="Arial"/>
          <w:sz w:val="16"/>
          <w:szCs w:val="16"/>
          <w:color w:val="auto"/>
        </w:rPr>
        <w:t>Certificate</w:t>
      </w:r>
    </w:p>
    <w:p>
      <w:pPr>
        <w:spacing w:after="0" w:line="233"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[Copy of the Certificate of [Incorporation][Formation]]</w:t>
      </w:r>
    </w:p>
    <w:p>
      <w:pPr>
        <w:spacing w:after="0" w:line="3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000"/>
          </w:cols>
          <w:pgMar w:left="1440" w:top="273" w:right="459" w:bottom="1440" w:gutter="0" w:footer="0" w:header="0"/>
        </w:sectPr>
      </w:pPr>
    </w:p>
    <w:bookmarkStart w:id="391" w:name="page392"/>
    <w:bookmarkEnd w:id="391"/>
    <w:p>
      <w:pPr>
        <w:jc w:val="center"/>
        <w:ind w:left="10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23" w:lineRule="exact"/>
        <w:rPr>
          <w:sz w:val="20"/>
          <w:szCs w:val="20"/>
          <w:color w:val="auto"/>
        </w:rPr>
      </w:pPr>
    </w:p>
    <w:p>
      <w:pPr>
        <w:jc w:val="center"/>
        <w:ind w:left="103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20"/>
        <w:spacing w:after="0"/>
        <w:rPr>
          <w:sz w:val="20"/>
          <w:szCs w:val="20"/>
          <w:color w:val="auto"/>
        </w:rPr>
      </w:pPr>
      <w:r>
        <w:rPr>
          <w:rFonts w:ascii="Arial" w:cs="Arial" w:eastAsia="Arial" w:hAnsi="Arial"/>
          <w:sz w:val="16"/>
          <w:szCs w:val="16"/>
          <w:color w:val="auto"/>
        </w:rPr>
        <w:t>Certificate</w:t>
      </w:r>
    </w:p>
    <w:p>
      <w:pPr>
        <w:spacing w:after="0" w:line="23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[Copy of the [by-laws] [Limited Liability Company Agreement][Operating Agreement]</w:t>
      </w:r>
    </w:p>
    <w:p>
      <w:pPr>
        <w:spacing w:after="0" w:line="4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000"/>
          </w:cols>
          <w:pgMar w:left="1440" w:top="273" w:right="459" w:bottom="1440" w:gutter="0" w:footer="0" w:header="0"/>
        </w:sectPr>
      </w:pPr>
    </w:p>
    <w:bookmarkStart w:id="392" w:name="page393"/>
    <w:bookmarkEnd w:id="392"/>
    <w:p>
      <w:pPr>
        <w:jc w:val="center"/>
        <w:ind w:left="10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III</w:t>
      </w:r>
    </w:p>
    <w:p>
      <w:pPr>
        <w:spacing w:after="0" w:line="23" w:lineRule="exact"/>
        <w:rPr>
          <w:sz w:val="20"/>
          <w:szCs w:val="20"/>
          <w:color w:val="auto"/>
        </w:rPr>
      </w:pPr>
    </w:p>
    <w:p>
      <w:pPr>
        <w:jc w:val="center"/>
        <w:ind w:left="103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20"/>
        <w:spacing w:after="0"/>
        <w:rPr>
          <w:sz w:val="20"/>
          <w:szCs w:val="20"/>
          <w:color w:val="auto"/>
        </w:rPr>
      </w:pPr>
      <w:r>
        <w:rPr>
          <w:rFonts w:ascii="Arial" w:cs="Arial" w:eastAsia="Arial" w:hAnsi="Arial"/>
          <w:sz w:val="16"/>
          <w:szCs w:val="16"/>
          <w:color w:val="auto"/>
        </w:rPr>
        <w:t>Certificate</w:t>
      </w:r>
    </w:p>
    <w:p>
      <w:pPr>
        <w:spacing w:after="0" w:line="23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10000"/>
          </w:cols>
          <w:pgMar w:left="1440" w:top="273" w:right="459" w:bottom="1440" w:gutter="0" w:footer="0" w:header="0"/>
        </w:sectPr>
      </w:pPr>
    </w:p>
    <w:bookmarkStart w:id="393" w:name="page394"/>
    <w:bookmarkEnd w:id="393"/>
    <w:p>
      <w:pPr>
        <w:ind w:left="9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IV</w:t>
      </w:r>
    </w:p>
    <w:p>
      <w:pPr>
        <w:spacing w:after="0" w:line="23"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Certificate</w:t>
      </w:r>
    </w:p>
    <w:p>
      <w:pPr>
        <w:spacing w:after="0" w:line="232" w:lineRule="exact"/>
        <w:rPr>
          <w:sz w:val="20"/>
          <w:szCs w:val="20"/>
          <w:color w:val="auto"/>
        </w:rPr>
      </w:pPr>
    </w:p>
    <w:p>
      <w:pPr>
        <w:ind w:left="460"/>
        <w:spacing w:after="0"/>
        <w:tabs>
          <w:tab w:leader="none" w:pos="4540" w:val="left"/>
          <w:tab w:leader="none" w:pos="8000" w:val="left"/>
        </w:tabs>
        <w:rPr>
          <w:sz w:val="20"/>
          <w:szCs w:val="20"/>
          <w:color w:val="auto"/>
        </w:rPr>
      </w:pPr>
      <w:r>
        <w:rPr>
          <w:rFonts w:ascii="Arial" w:cs="Arial" w:eastAsia="Arial" w:hAnsi="Arial"/>
          <w:sz w:val="14"/>
          <w:szCs w:val="14"/>
          <w:color w:val="auto"/>
        </w:rPr>
        <w:t>Name of Officer</w:t>
      </w:r>
      <w:r>
        <w:rPr>
          <w:sz w:val="20"/>
          <w:szCs w:val="20"/>
          <w:color w:val="auto"/>
        </w:rPr>
        <w:tab/>
      </w:r>
      <w:r>
        <w:rPr>
          <w:rFonts w:ascii="Arial" w:cs="Arial" w:eastAsia="Arial" w:hAnsi="Arial"/>
          <w:sz w:val="14"/>
          <w:szCs w:val="14"/>
          <w:color w:val="auto"/>
        </w:rPr>
        <w:t>Office</w:t>
      </w:r>
      <w:r>
        <w:rPr>
          <w:sz w:val="20"/>
          <w:szCs w:val="20"/>
          <w:color w:val="auto"/>
        </w:rPr>
        <w:tab/>
      </w: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12065</wp:posOffset>
            </wp:positionV>
            <wp:extent cx="697865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ectPr>
          <w:pgSz w:w="11900" w:h="16838" w:orient="portrait"/>
          <w:cols w:equalWidth="0" w:num="1">
            <w:col w:w="10000"/>
          </w:cols>
          <w:pgMar w:left="1440" w:top="273" w:right="459" w:bottom="1440" w:gutter="0" w:footer="0" w:header="0"/>
        </w:sectPr>
      </w:pPr>
    </w:p>
    <w:bookmarkStart w:id="394" w:name="page395"/>
    <w:bookmarkEnd w:id="394"/>
    <w:p>
      <w:pPr>
        <w:jc w:val="center"/>
        <w:ind w:left="8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7"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ASSIGNMENT AND ASSUMPTION</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ASSIGNMENT AND ASSUMPTION, dated as of _____________, 20__ (as amended, supplemented or modified from time to time, this</w:t>
      </w:r>
    </w:p>
    <w:p>
      <w:pPr>
        <w:spacing w:after="0" w:line="34" w:lineRule="exact"/>
        <w:rPr>
          <w:sz w:val="20"/>
          <w:szCs w:val="20"/>
          <w:color w:val="auto"/>
        </w:rPr>
      </w:pPr>
    </w:p>
    <w:p>
      <w:pPr>
        <w:ind w:right="8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5" w:lineRule="exact"/>
        <w:rPr>
          <w:sz w:val="20"/>
          <w:szCs w:val="20"/>
          <w:color w:val="auto"/>
        </w:rPr>
      </w:pPr>
    </w:p>
    <w:p>
      <w:pPr>
        <w:ind w:right="180" w:firstLine="439"/>
        <w:spacing w:after="0" w:line="271" w:lineRule="auto"/>
        <w:rPr>
          <w:sz w:val="20"/>
          <w:szCs w:val="20"/>
          <w:color w:val="auto"/>
        </w:rPr>
      </w:pPr>
      <w:r>
        <w:rPr>
          <w:rFonts w:ascii="Arial" w:cs="Arial" w:eastAsia="Arial" w:hAnsi="Arial"/>
          <w:sz w:val="17"/>
          <w:szCs w:val="17"/>
          <w:color w:val="auto"/>
        </w:rPr>
        <w:t>Reference is made to the Third Amended and Restated 364-Day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the Subsidiary Borrowers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Assignor and the Assignee hereby agree as follows:</w:t>
      </w:r>
    </w:p>
    <w:p>
      <w:pPr>
        <w:spacing w:after="0" w:line="116" w:lineRule="exact"/>
        <w:rPr>
          <w:sz w:val="20"/>
          <w:szCs w:val="20"/>
          <w:color w:val="auto"/>
        </w:rPr>
      </w:pPr>
    </w:p>
    <w:p>
      <w:pPr>
        <w:ind w:firstLine="448"/>
        <w:spacing w:after="0" w:line="267" w:lineRule="auto"/>
        <w:tabs>
          <w:tab w:leader="none" w:pos="619"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For an agreed consideration, the Assignor hereby irrevocably sells and assigns to the Assignee,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as of the Trade Date (as defined below), the interest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xml:space="preserve">”) in and to the Assignor’s rights and obligations under the Credit Agreement with respect to its [Commitment][and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it is expressly understood and agreed that (i) the Assignor is not assigning to the Assignee and the Assignor shall retain (A) all of the Assignor’s rights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from and after the Trade Date.</w:t>
      </w:r>
    </w:p>
    <w:p>
      <w:pPr>
        <w:sectPr>
          <w:pgSz w:w="11900" w:h="16838" w:orient="portrait"/>
          <w:cols w:equalWidth="0" w:num="1">
            <w:col w:w="10980"/>
          </w:cols>
          <w:pgMar w:left="440" w:top="269" w:right="479" w:bottom="1440" w:gutter="0" w:footer="0" w:header="0"/>
        </w:sectPr>
      </w:pPr>
    </w:p>
    <w:bookmarkStart w:id="395" w:name="page396"/>
    <w:bookmarkEnd w:id="395"/>
    <w:p>
      <w:pPr>
        <w:ind w:left="-9" w:firstLine="448"/>
        <w:spacing w:after="0" w:line="285" w:lineRule="auto"/>
        <w:tabs>
          <w:tab w:leader="none" w:pos="610" w:val="left"/>
        </w:tabs>
        <w:numPr>
          <w:ilvl w:val="1"/>
          <w:numId w:val="3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73" w:lineRule="exact"/>
        <w:rPr>
          <w:rFonts w:ascii="Arial" w:cs="Arial" w:eastAsia="Arial" w:hAnsi="Arial"/>
          <w:sz w:val="16"/>
          <w:szCs w:val="16"/>
          <w:color w:val="auto"/>
        </w:rPr>
      </w:pPr>
    </w:p>
    <w:p>
      <w:pPr>
        <w:ind w:left="-9" w:right="260" w:firstLine="448"/>
        <w:spacing w:after="0" w:line="287" w:lineRule="auto"/>
        <w:tabs>
          <w:tab w:leader="none" w:pos="61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w:t>
      </w:r>
    </w:p>
    <w:p>
      <w:pPr>
        <w:ind w:left="-9" w:firstLine="9"/>
        <w:spacing w:after="0" w:line="286" w:lineRule="auto"/>
        <w:tabs>
          <w:tab w:leader="none" w:pos="24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confirms that it has received a copy of the Credit Agreement, together with copies of the most recent financial statements delivered or deemed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thereof (or, if none of such financial statements shall have then been delivered or deemed delivered, then copies of the financial statements referred to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w:t>
      </w:r>
    </w:p>
    <w:p>
      <w:pPr>
        <w:sectPr>
          <w:pgSz w:w="11900" w:h="16838" w:orient="portrait"/>
          <w:cols w:equalWidth="0" w:num="1">
            <w:col w:w="10991"/>
          </w:cols>
          <w:pgMar w:left="449" w:top="273" w:right="459" w:bottom="1440" w:gutter="0" w:footer="0" w:header="0"/>
        </w:sectPr>
      </w:pPr>
    </w:p>
    <w:bookmarkStart w:id="396" w:name="page397"/>
    <w:bookmarkEnd w:id="39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89" w:lineRule="exact"/>
        <w:rPr>
          <w:sz w:val="20"/>
          <w:szCs w:val="20"/>
          <w:color w:val="auto"/>
        </w:rPr>
      </w:pPr>
    </w:p>
    <w:p>
      <w:pPr>
        <w:ind w:right="140" w:firstLine="448"/>
        <w:spacing w:after="0" w:line="254" w:lineRule="auto"/>
        <w:tabs>
          <w:tab w:leader="none" w:pos="61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effective date of this Agreement shall be the Trade Date of assignment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Following the 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90" w:lineRule="exact"/>
        <w:rPr>
          <w:rFonts w:ascii="Arial" w:cs="Arial" w:eastAsia="Arial" w:hAnsi="Arial"/>
          <w:sz w:val="18"/>
          <w:szCs w:val="18"/>
          <w:color w:val="auto"/>
        </w:rPr>
      </w:pPr>
    </w:p>
    <w:p>
      <w:pPr>
        <w:ind w:right="160" w:firstLine="448"/>
        <w:spacing w:after="0" w:line="285" w:lineRule="auto"/>
        <w:tabs>
          <w:tab w:leader="none" w:pos="61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65" w:lineRule="exact"/>
        <w:rPr>
          <w:rFonts w:ascii="Arial" w:cs="Arial" w:eastAsia="Arial" w:hAnsi="Arial"/>
          <w:sz w:val="17"/>
          <w:szCs w:val="17"/>
          <w:color w:val="auto"/>
        </w:rPr>
      </w:pPr>
    </w:p>
    <w:p>
      <w:pPr>
        <w:ind w:right="20" w:firstLine="448"/>
        <w:spacing w:after="0" w:line="278" w:lineRule="auto"/>
        <w:tabs>
          <w:tab w:leader="none" w:pos="61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71" w:lineRule="exact"/>
        <w:rPr>
          <w:rFonts w:ascii="Arial" w:cs="Arial" w:eastAsia="Arial" w:hAnsi="Arial"/>
          <w:sz w:val="17"/>
          <w:szCs w:val="17"/>
          <w:color w:val="auto"/>
        </w:rPr>
      </w:pPr>
    </w:p>
    <w:p>
      <w:pPr>
        <w:ind w:right="20" w:firstLine="448"/>
        <w:spacing w:after="0" w:line="276" w:lineRule="auto"/>
        <w:tabs>
          <w:tab w:leader="none" w:pos="61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70" w:lineRule="exact"/>
        <w:rPr>
          <w:rFonts w:ascii="Arial" w:cs="Arial" w:eastAsia="Arial" w:hAnsi="Arial"/>
          <w:sz w:val="18"/>
          <w:szCs w:val="18"/>
          <w:color w:val="auto"/>
        </w:rPr>
      </w:pPr>
    </w:p>
    <w:p>
      <w:pPr>
        <w:ind w:right="320" w:firstLine="448"/>
        <w:spacing w:after="0" w:line="285" w:lineRule="auto"/>
        <w:tabs>
          <w:tab w:leader="none" w:pos="61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0980"/>
          </w:cols>
          <w:pgMar w:left="440" w:top="274" w:right="479" w:bottom="1440" w:gutter="0" w:footer="0" w:header="0"/>
        </w:sectPr>
      </w:pPr>
    </w:p>
    <w:bookmarkStart w:id="397" w:name="page398"/>
    <w:bookmarkEnd w:id="397"/>
    <w:p>
      <w:pPr>
        <w:ind w:firstLine="43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_________________________, as Assignor</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14605</wp:posOffset>
            </wp:positionV>
            <wp:extent cx="245427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5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________________________, as Assignee</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14605</wp:posOffset>
            </wp:positionV>
            <wp:extent cx="245427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20"/>
          </w:cols>
          <w:pgMar w:left="440" w:top="273" w:right="53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Consented to</w:t>
      </w:r>
      <w:r>
        <w:rPr>
          <w:rFonts w:ascii="Arial" w:cs="Arial" w:eastAsia="Arial" w:hAnsi="Arial"/>
          <w:sz w:val="15"/>
          <w:szCs w:val="15"/>
          <w:color w:val="auto"/>
        </w:rPr>
        <w:t>1</w:t>
      </w:r>
      <w:r>
        <w:rPr>
          <w:rFonts w:ascii="Arial" w:cs="Arial" w:eastAsia="Arial" w:hAnsi="Arial"/>
          <w:sz w:val="18"/>
          <w:szCs w:val="18"/>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2887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2887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76962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63" w:lineRule="exact"/>
        <w:rPr>
          <w:sz w:val="20"/>
          <w:szCs w:val="20"/>
          <w:color w:val="auto"/>
        </w:rPr>
      </w:pPr>
    </w:p>
    <w:p>
      <w:pPr>
        <w:ind w:left="440" w:hanging="431"/>
        <w:spacing w:after="0" w:line="301" w:lineRule="auto"/>
        <w:tabs>
          <w:tab w:leader="none" w:pos="440" w:val="left"/>
        </w:tabs>
        <w:numPr>
          <w:ilvl w:val="0"/>
          <w:numId w:val="362"/>
        </w:numPr>
        <w:rPr>
          <w:rFonts w:ascii="Arial" w:cs="Arial" w:eastAsia="Arial" w:hAnsi="Arial"/>
          <w:sz w:val="13"/>
          <w:szCs w:val="13"/>
          <w:color w:val="auto"/>
        </w:rPr>
      </w:pPr>
      <w:r>
        <w:rPr>
          <w:rFonts w:ascii="Arial" w:cs="Arial" w:eastAsia="Arial" w:hAnsi="Arial"/>
          <w:sz w:val="16"/>
          <w:szCs w:val="16"/>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60"/>
          </w:cols>
          <w:pgMar w:left="440" w:top="273" w:right="499" w:bottom="1440" w:gutter="0" w:footer="0" w:header="0"/>
        </w:sectPr>
      </w:pPr>
    </w:p>
    <w:bookmarkStart w:id="399" w:name="page400"/>
    <w:bookmarkEnd w:id="399"/>
    <w:p>
      <w:pPr>
        <w:jc w:val="center"/>
        <w:ind w:left="8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3"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Assignment and Assumption</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attached to and incorporated in the Assignment and Assumption, dated as of ________________, 20__ (as amended,</w:t>
      </w:r>
    </w:p>
    <w:p>
      <w:pPr>
        <w:spacing w:after="0" w:line="34"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supplemented or 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5" w:lineRule="exact"/>
        <w:rPr>
          <w:sz w:val="20"/>
          <w:szCs w:val="20"/>
          <w:color w:val="auto"/>
        </w:rPr>
      </w:pPr>
    </w:p>
    <w:p>
      <w:pPr>
        <w:ind w:right="200" w:firstLine="439"/>
        <w:spacing w:after="0" w:line="271" w:lineRule="auto"/>
        <w:rPr>
          <w:sz w:val="20"/>
          <w:szCs w:val="20"/>
          <w:color w:val="auto"/>
        </w:rPr>
      </w:pPr>
      <w:r>
        <w:rPr>
          <w:rFonts w:ascii="Arial" w:cs="Arial" w:eastAsia="Arial" w:hAnsi="Arial"/>
          <w:sz w:val="17"/>
          <w:szCs w:val="17"/>
          <w:color w:val="auto"/>
        </w:rPr>
        <w:t>Reference is made to the Third Amended and Restated 364-Day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the Subsidiary Guarantors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 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 ______________________</w:t>
      </w:r>
    </w:p>
    <w:p>
      <w:pPr>
        <w:spacing w:after="0" w:line="130" w:lineRule="exact"/>
        <w:rPr>
          <w:sz w:val="20"/>
          <w:szCs w:val="20"/>
          <w:color w:val="auto"/>
        </w:rPr>
      </w:pPr>
    </w:p>
    <w:p>
      <w:pPr>
        <w:ind w:left="440" w:hanging="431"/>
        <w:spacing w:after="0"/>
        <w:tabs>
          <w:tab w:leader="none" w:pos="4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29" w:lineRule="exact"/>
        <w:rPr>
          <w:rFonts w:ascii="Arial" w:cs="Arial" w:eastAsia="Arial" w:hAnsi="Arial"/>
          <w:sz w:val="18"/>
          <w:szCs w:val="18"/>
          <w:color w:val="auto"/>
        </w:rPr>
      </w:pPr>
    </w:p>
    <w:p>
      <w:pPr>
        <w:ind w:left="440" w:right="180" w:hanging="431"/>
        <w:spacing w:after="0" w:line="276" w:lineRule="auto"/>
        <w:tabs>
          <w:tab w:leader="none" w:pos="4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6" w:lineRule="exact"/>
        <w:rPr>
          <w:rFonts w:ascii="Arial" w:cs="Arial" w:eastAsia="Arial" w:hAnsi="Arial"/>
          <w:sz w:val="18"/>
          <w:szCs w:val="18"/>
          <w:color w:val="auto"/>
        </w:rPr>
      </w:pPr>
    </w:p>
    <w:p>
      <w:pPr>
        <w:ind w:left="440" w:right="360" w:hanging="431"/>
        <w:spacing w:after="0" w:line="276" w:lineRule="auto"/>
        <w:tabs>
          <w:tab w:leader="none" w:pos="4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Aggregate Amount</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48"/>
        </w:trPr>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of</w:t>
            </w: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48"/>
        </w:trPr>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5"/>
              </w:rPr>
              <w:t>Commitment/Loans</w:t>
            </w: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Amount of</w:t>
            </w:r>
          </w:p>
        </w:tc>
        <w:tc>
          <w:tcPr>
            <w:tcW w:w="2520" w:type="dxa"/>
            <w:vAlign w:val="bottom"/>
          </w:tcPr>
          <w:p>
            <w:pPr>
              <w:jc w:val="center"/>
              <w:spacing w:after="0" w:line="148" w:lineRule="exact"/>
              <w:rPr>
                <w:sz w:val="20"/>
                <w:szCs w:val="20"/>
                <w:color w:val="auto"/>
              </w:rPr>
            </w:pPr>
            <w:r>
              <w:rPr>
                <w:rFonts w:ascii="Arial" w:cs="Arial" w:eastAsia="Arial" w:hAnsi="Arial"/>
                <w:sz w:val="14"/>
                <w:szCs w:val="14"/>
                <w:color w:val="auto"/>
                <w:w w:val="89"/>
              </w:rPr>
              <w:t>Percentage</w:t>
            </w:r>
          </w:p>
        </w:tc>
      </w:tr>
      <w:tr>
        <w:trPr>
          <w:trHeight w:val="148"/>
        </w:trPr>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4"/>
              </w:rPr>
              <w:t>for all Lenders</w:t>
            </w:r>
          </w:p>
        </w:tc>
        <w:tc>
          <w:tcPr>
            <w:tcW w:w="27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5"/>
              </w:rPr>
              <w:t>Commitment/Loans</w:t>
            </w:r>
          </w:p>
        </w:tc>
        <w:tc>
          <w:tcPr>
            <w:tcW w:w="2520" w:type="dxa"/>
            <w:vAlign w:val="bottom"/>
          </w:tcPr>
          <w:p>
            <w:pPr>
              <w:jc w:val="center"/>
              <w:spacing w:after="0" w:line="148" w:lineRule="exact"/>
              <w:rPr>
                <w:sz w:val="20"/>
                <w:szCs w:val="20"/>
                <w:color w:val="auto"/>
              </w:rPr>
            </w:pPr>
            <w:r>
              <w:rPr>
                <w:rFonts w:ascii="Arial" w:cs="Arial" w:eastAsia="Arial" w:hAnsi="Arial"/>
                <w:sz w:val="14"/>
                <w:szCs w:val="14"/>
                <w:color w:val="auto"/>
                <w:w w:val="92"/>
              </w:rPr>
              <w:t>Assigned of</w:t>
            </w:r>
          </w:p>
        </w:tc>
      </w:tr>
      <w:tr>
        <w:trPr>
          <w:trHeight w:val="174"/>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Facility Assigned</w:t>
            </w:r>
          </w:p>
        </w:tc>
        <w:tc>
          <w:tcPr>
            <w:tcW w:w="198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under such Facility</w:t>
            </w: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Assigned</w:t>
            </w:r>
          </w:p>
        </w:tc>
        <w:tc>
          <w:tcPr>
            <w:tcW w:w="10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Commitment/Loans</w:t>
            </w:r>
          </w:p>
        </w:tc>
      </w:tr>
    </w:tbl>
    <w:p>
      <w:pPr>
        <w:sectPr>
          <w:pgSz w:w="11900" w:h="16838" w:orient="portrait"/>
          <w:cols w:equalWidth="0" w:num="1">
            <w:col w:w="11000"/>
          </w:cols>
          <w:pgMar w:left="440" w:top="273" w:right="459" w:bottom="1440" w:gutter="0" w:footer="0" w:header="0"/>
        </w:sectPr>
      </w:pPr>
    </w:p>
    <w:bookmarkStart w:id="400" w:name="page401"/>
    <w:bookmarkEnd w:id="400"/>
    <w:p>
      <w:pPr>
        <w:ind w:left="440" w:hanging="431"/>
        <w:spacing w:after="0"/>
        <w:tabs>
          <w:tab w:leader="none" w:pos="4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 Date of Assignment (the “</w:t>
      </w:r>
      <w:r>
        <w:rPr>
          <w:rFonts w:ascii="Arial" w:cs="Arial" w:eastAsia="Arial" w:hAnsi="Arial"/>
          <w:sz w:val="18"/>
          <w:szCs w:val="18"/>
          <w:u w:val="single" w:color="auto"/>
          <w:color w:val="auto"/>
        </w:rPr>
        <w:t>Trade Date</w:t>
      </w:r>
      <w:r>
        <w:rPr>
          <w:rFonts w:ascii="Arial" w:cs="Arial" w:eastAsia="Arial" w:hAnsi="Arial"/>
          <w:sz w:val="18"/>
          <w:szCs w:val="18"/>
          <w:color w:val="auto"/>
        </w:rPr>
        <w:t>”): __________, 20_.</w:t>
      </w:r>
      <w:r>
        <w:rPr>
          <w:rFonts w:ascii="Arial" w:cs="Arial" w:eastAsia="Arial" w:hAnsi="Arial"/>
          <w:sz w:val="15"/>
          <w:szCs w:val="15"/>
          <w:color w:val="auto"/>
        </w:rPr>
        <w:t>1</w:t>
      </w:r>
    </w:p>
    <w:p>
      <w:pPr>
        <w:spacing w:after="0" w:line="224"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7696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42" w:lineRule="exact"/>
        <w:rPr>
          <w:sz w:val="20"/>
          <w:szCs w:val="20"/>
          <w:color w:val="auto"/>
        </w:rPr>
      </w:pPr>
    </w:p>
    <w:p>
      <w:pPr>
        <w:ind w:left="440" w:hanging="431"/>
        <w:spacing w:after="0"/>
        <w:tabs>
          <w:tab w:leader="none" w:pos="440" w:val="left"/>
        </w:tabs>
        <w:numPr>
          <w:ilvl w:val="0"/>
          <w:numId w:val="365"/>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0840"/>
          </w:cols>
          <w:pgMar w:left="440" w:top="273" w:right="619" w:bottom="1440" w:gutter="0" w:footer="0" w:header="0"/>
        </w:sectPr>
      </w:pPr>
    </w:p>
    <w:bookmarkStart w:id="401" w:name="page402"/>
    <w:bookmarkEnd w:id="401"/>
    <w:p>
      <w:pPr>
        <w:jc w:val="center"/>
        <w:ind w:left="8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JOINDER AGREEMENT</w:t>
      </w:r>
    </w:p>
    <w:p>
      <w:pPr>
        <w:spacing w:after="0" w:line="228" w:lineRule="exact"/>
        <w:rPr>
          <w:sz w:val="20"/>
          <w:szCs w:val="20"/>
          <w:color w:val="auto"/>
        </w:rPr>
      </w:pPr>
    </w:p>
    <w:p>
      <w:pPr>
        <w:ind w:firstLine="989"/>
        <w:spacing w:after="0" w:line="271" w:lineRule="auto"/>
        <w:rPr>
          <w:sz w:val="20"/>
          <w:szCs w:val="20"/>
          <w:color w:val="auto"/>
        </w:rPr>
      </w:pPr>
      <w:r>
        <w:rPr>
          <w:rFonts w:ascii="Arial" w:cs="Arial" w:eastAsia="Arial" w:hAnsi="Arial"/>
          <w:sz w:val="17"/>
          <w:szCs w:val="17"/>
          <w:color w:val="auto"/>
        </w:rPr>
        <w:t>JOINDER AGREEMENT, dated as of ___, 20__, made by each signatory hereto (each a “</w:t>
      </w:r>
      <w:r>
        <w:rPr>
          <w:rFonts w:ascii="Arial" w:cs="Arial" w:eastAsia="Arial" w:hAnsi="Arial"/>
          <w:sz w:val="17"/>
          <w:szCs w:val="17"/>
          <w:u w:val="single" w:color="auto"/>
          <w:color w:val="auto"/>
        </w:rPr>
        <w:t>Subsidiary Borrower</w:t>
      </w:r>
      <w:r>
        <w:rPr>
          <w:rFonts w:ascii="Arial" w:cs="Arial" w:eastAsia="Arial" w:hAnsi="Arial"/>
          <w:sz w:val="17"/>
          <w:szCs w:val="17"/>
          <w:color w:val="auto"/>
        </w:rPr>
        <w:t>”), in favor of JPMorgan 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referred to in the Third Amended and Restated 364-Day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set forth; and</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24" w:lineRule="exact"/>
        <w:rPr>
          <w:sz w:val="20"/>
          <w:szCs w:val="20"/>
          <w:color w:val="auto"/>
        </w:rPr>
      </w:pPr>
    </w:p>
    <w:p>
      <w:pPr>
        <w:jc w:val="both"/>
        <w:ind w:right="200" w:firstLine="998"/>
        <w:spacing w:after="0" w:line="258" w:lineRule="auto"/>
        <w:tabs>
          <w:tab w:leader="none" w:pos="116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7" w:lineRule="exact"/>
        <w:rPr>
          <w:rFonts w:ascii="Arial" w:cs="Arial" w:eastAsia="Arial" w:hAnsi="Arial"/>
          <w:sz w:val="18"/>
          <w:szCs w:val="18"/>
          <w:color w:val="auto"/>
        </w:rPr>
      </w:pPr>
    </w:p>
    <w:p>
      <w:pPr>
        <w:ind w:right="160" w:firstLine="998"/>
        <w:spacing w:after="0" w:line="276" w:lineRule="auto"/>
        <w:tabs>
          <w:tab w:leader="none" w:pos="116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166" w:lineRule="exact"/>
        <w:rPr>
          <w:rFonts w:ascii="Arial" w:cs="Arial" w:eastAsia="Arial" w:hAnsi="Arial"/>
          <w:sz w:val="18"/>
          <w:szCs w:val="18"/>
          <w:color w:val="auto"/>
        </w:rPr>
      </w:pPr>
    </w:p>
    <w:p>
      <w:pPr>
        <w:ind w:right="160" w:firstLine="998"/>
        <w:spacing w:after="0" w:line="281" w:lineRule="auto"/>
        <w:tabs>
          <w:tab w:leader="none" w:pos="1169"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69" w:right="459" w:bottom="1440" w:gutter="0" w:footer="0" w:header="0"/>
        </w:sectPr>
      </w:pPr>
    </w:p>
    <w:bookmarkStart w:id="402" w:name="page403"/>
    <w:bookmarkEnd w:id="402"/>
    <w:p>
      <w:pPr>
        <w:ind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[EACH SUBSIDIARY BORROWER],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as a Subsidiary Borrower</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5914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5914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440" w:top="274" w:right="499" w:bottom="1440" w:gutter="0" w:footer="0" w:header="0"/>
        </w:sectPr>
      </w:pPr>
    </w:p>
    <w:bookmarkStart w:id="403" w:name="page404"/>
    <w:bookmarkEnd w:id="403"/>
    <w:p>
      <w:pPr>
        <w:jc w:val="center"/>
        <w:ind w:left="8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I-1</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[FORM 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U.S. TAX COMPLIANCE CERTIFICATE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4" w:lineRule="exact"/>
        <w:rPr>
          <w:sz w:val="20"/>
          <w:szCs w:val="20"/>
          <w:color w:val="auto"/>
        </w:rPr>
      </w:pPr>
    </w:p>
    <w:p>
      <w:pPr>
        <w:ind w:firstLine="439"/>
        <w:spacing w:after="0" w:line="293" w:lineRule="auto"/>
        <w:rPr>
          <w:sz w:val="20"/>
          <w:szCs w:val="20"/>
          <w:color w:val="auto"/>
        </w:rPr>
      </w:pPr>
      <w:r>
        <w:rPr>
          <w:rFonts w:ascii="Arial" w:cs="Arial" w:eastAsia="Arial" w:hAnsi="Arial"/>
          <w:sz w:val="16"/>
          <w:szCs w:val="16"/>
          <w:color w:val="auto"/>
        </w:rPr>
        <w:t>Reference is hereby made to the Third Amended and Restated 364-Day Revolving Credit Agreement, dated as of April 7, 2021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40" w:firstLine="439"/>
        <w:spacing w:after="0" w:line="296"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58" w:lineRule="exact"/>
        <w:rPr>
          <w:sz w:val="20"/>
          <w:szCs w:val="20"/>
          <w:color w:val="auto"/>
        </w:rPr>
      </w:pPr>
    </w:p>
    <w:p>
      <w:pPr>
        <w:ind w:right="140" w:firstLine="439"/>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980"/>
          </w:cols>
          <w:pgMar w:left="440" w:top="269" w:right="479" w:bottom="1440" w:gutter="0" w:footer="0" w:header="0"/>
        </w:sectPr>
      </w:pPr>
    </w:p>
    <w:bookmarkStart w:id="404" w:name="page405"/>
    <w:bookmarkEnd w:id="404"/>
    <w:p>
      <w:pPr>
        <w:ind w:firstLine="43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5914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ectPr>
          <w:pgSz w:w="11900" w:h="16838" w:orient="portrait"/>
          <w:cols w:equalWidth="0" w:num="1">
            <w:col w:w="10520"/>
          </w:cols>
          <w:pgMar w:left="440" w:top="274" w:right="939" w:bottom="1440" w:gutter="0" w:footer="0" w:header="0"/>
        </w:sectPr>
      </w:pPr>
    </w:p>
    <w:bookmarkStart w:id="405" w:name="page406"/>
    <w:bookmarkEnd w:id="405"/>
    <w:p>
      <w:pPr>
        <w:jc w:val="center"/>
        <w:ind w:left="8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I-2</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TAX COMPLIANCE CERTIFICATE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4" w:lineRule="exact"/>
        <w:rPr>
          <w:sz w:val="20"/>
          <w:szCs w:val="20"/>
          <w:color w:val="auto"/>
        </w:rPr>
      </w:pPr>
    </w:p>
    <w:p>
      <w:pPr>
        <w:ind w:firstLine="439"/>
        <w:spacing w:after="0" w:line="293" w:lineRule="auto"/>
        <w:rPr>
          <w:sz w:val="20"/>
          <w:szCs w:val="20"/>
          <w:color w:val="auto"/>
        </w:rPr>
      </w:pPr>
      <w:r>
        <w:rPr>
          <w:rFonts w:ascii="Arial" w:cs="Arial" w:eastAsia="Arial" w:hAnsi="Arial"/>
          <w:sz w:val="16"/>
          <w:szCs w:val="16"/>
          <w:color w:val="auto"/>
        </w:rPr>
        <w:t>Reference is hereby made to the Third Amended and Restated 364-Day Revolving Credit Agreement, dated as of April 7, 2021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80" w:firstLine="439"/>
        <w:spacing w:after="0" w:line="270"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80"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980"/>
          </w:cols>
          <w:pgMar w:left="440" w:top="270" w:right="479" w:bottom="1440" w:gutter="0" w:footer="0" w:header="0"/>
        </w:sectPr>
      </w:pPr>
    </w:p>
    <w:bookmarkStart w:id="406" w:name="page407"/>
    <w:bookmarkEnd w:id="406"/>
    <w:p>
      <w:pPr>
        <w:ind w:firstLine="43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5914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20__</w:t>
      </w:r>
    </w:p>
    <w:p>
      <w:pPr>
        <w:sectPr>
          <w:pgSz w:w="11900" w:h="16838" w:orient="portrait"/>
          <w:cols w:equalWidth="0" w:num="1">
            <w:col w:w="10520"/>
          </w:cols>
          <w:pgMar w:left="440" w:top="273" w:right="939" w:bottom="1440" w:gutter="0" w:footer="0" w:header="0"/>
        </w:sectPr>
      </w:pPr>
    </w:p>
    <w:bookmarkStart w:id="407" w:name="page408"/>
    <w:bookmarkEnd w:id="407"/>
    <w:p>
      <w:pPr>
        <w:jc w:val="center"/>
        <w:ind w:left="8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I-3</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[FORM 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U.S. TAX COMPLIANCE CERTIFICATE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4" w:lineRule="exact"/>
        <w:rPr>
          <w:sz w:val="20"/>
          <w:szCs w:val="20"/>
          <w:color w:val="auto"/>
        </w:rPr>
      </w:pPr>
    </w:p>
    <w:p>
      <w:pPr>
        <w:ind w:firstLine="439"/>
        <w:spacing w:after="0" w:line="293" w:lineRule="auto"/>
        <w:rPr>
          <w:sz w:val="20"/>
          <w:szCs w:val="20"/>
          <w:color w:val="auto"/>
        </w:rPr>
      </w:pPr>
      <w:r>
        <w:rPr>
          <w:rFonts w:ascii="Arial" w:cs="Arial" w:eastAsia="Arial" w:hAnsi="Arial"/>
          <w:sz w:val="16"/>
          <w:szCs w:val="16"/>
          <w:color w:val="auto"/>
        </w:rPr>
        <w:t>Reference is hereby made to the Third Amended and Restated 364-Day Revolving Credit Agreement, dated as of April 7, 2021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340" w:firstLine="439"/>
        <w:spacing w:after="0" w:line="256"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9" w:lineRule="exact"/>
        <w:rPr>
          <w:sz w:val="20"/>
          <w:szCs w:val="20"/>
          <w:color w:val="auto"/>
        </w:rPr>
      </w:pPr>
    </w:p>
    <w:p>
      <w:pPr>
        <w:ind w:right="100" w:firstLine="439"/>
        <w:spacing w:after="0" w:line="296"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80"/>
          </w:cols>
          <w:pgMar w:left="440" w:top="269" w:right="479" w:bottom="1440" w:gutter="0" w:footer="0" w:header="0"/>
        </w:sectPr>
      </w:pPr>
    </w:p>
    <w:bookmarkStart w:id="408" w:name="page409"/>
    <w:bookmarkEnd w:id="408"/>
    <w:p>
      <w:pPr>
        <w:ind w:firstLine="43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5914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20__</w:t>
      </w:r>
    </w:p>
    <w:p>
      <w:pPr>
        <w:sectPr>
          <w:pgSz w:w="11900" w:h="16838" w:orient="portrait"/>
          <w:cols w:equalWidth="0" w:num="1">
            <w:col w:w="10520"/>
          </w:cols>
          <w:pgMar w:left="440" w:top="273" w:right="939" w:bottom="1440" w:gutter="0" w:footer="0" w:header="0"/>
        </w:sectPr>
      </w:pPr>
    </w:p>
    <w:bookmarkStart w:id="409" w:name="page410"/>
    <w:bookmarkEnd w:id="409"/>
    <w:p>
      <w:pPr>
        <w:jc w:val="center"/>
        <w:ind w:left="8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I-4</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TAX COMPLIANCE CERTIFICATE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4" w:lineRule="exact"/>
        <w:rPr>
          <w:sz w:val="20"/>
          <w:szCs w:val="20"/>
          <w:color w:val="auto"/>
        </w:rPr>
      </w:pPr>
    </w:p>
    <w:p>
      <w:pPr>
        <w:ind w:firstLine="439"/>
        <w:spacing w:after="0" w:line="293" w:lineRule="auto"/>
        <w:rPr>
          <w:sz w:val="20"/>
          <w:szCs w:val="20"/>
          <w:color w:val="auto"/>
        </w:rPr>
      </w:pPr>
      <w:r>
        <w:rPr>
          <w:rFonts w:ascii="Arial" w:cs="Arial" w:eastAsia="Arial" w:hAnsi="Arial"/>
          <w:sz w:val="16"/>
          <w:szCs w:val="16"/>
          <w:color w:val="auto"/>
        </w:rPr>
        <w:t>Reference is hereby made to the Third Amended and Restated 364-Day Revolving Credit Agreement, dated as of April 7, 2021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direct or indirect partners/members that is claiming the portfolio interest exception: (i) an IRS Form W-8BEN or IRS Form W-8BEN-E, as applicable, or</w:t>
      </w:r>
    </w:p>
    <w:p>
      <w:pPr>
        <w:spacing w:after="0" w:line="32" w:lineRule="exact"/>
        <w:rPr>
          <w:sz w:val="20"/>
          <w:szCs w:val="20"/>
          <w:color w:val="auto"/>
        </w:rPr>
      </w:pPr>
    </w:p>
    <w:p>
      <w:pPr>
        <w:ind w:right="20" w:firstLine="9"/>
        <w:spacing w:after="0" w:line="269" w:lineRule="auto"/>
        <w:tabs>
          <w:tab w:leader="none" w:pos="264" w:val="left"/>
        </w:tabs>
        <w:numPr>
          <w:ilvl w:val="0"/>
          <w:numId w:val="367"/>
        </w:numPr>
        <w:rPr>
          <w:rFonts w:ascii="Arial" w:cs="Arial" w:eastAsia="Arial" w:hAnsi="Arial"/>
          <w:sz w:val="17"/>
          <w:szCs w:val="17"/>
          <w:color w:val="auto"/>
        </w:rPr>
      </w:pPr>
      <w:r>
        <w:rPr>
          <w:rFonts w:ascii="Arial" w:cs="Arial" w:eastAsia="Arial" w:hAnsi="Arial"/>
          <w:sz w:val="17"/>
          <w:szCs w:val="17"/>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80"/>
          </w:cols>
          <w:pgMar w:left="440" w:top="269" w:right="479" w:bottom="1440" w:gutter="0" w:footer="0" w:header="0"/>
        </w:sectPr>
      </w:pPr>
    </w:p>
    <w:bookmarkStart w:id="410" w:name="page411"/>
    <w:bookmarkEnd w:id="410"/>
    <w:p>
      <w:pPr>
        <w:ind w:firstLine="43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5914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ectPr>
          <w:pgSz w:w="11900" w:h="16838" w:orient="portrait"/>
          <w:cols w:equalWidth="0" w:num="1">
            <w:col w:w="10520"/>
          </w:cols>
          <w:pgMar w:left="440" w:top="273" w:right="939" w:bottom="1440" w:gutter="0" w:footer="0" w:header="0"/>
        </w:sectPr>
      </w:pPr>
    </w:p>
    <w:bookmarkStart w:id="411" w:name="page412"/>
    <w:bookmarkEnd w:id="411"/>
    <w:p>
      <w:pPr>
        <w:jc w:val="center"/>
        <w:ind w:left="8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J</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Credit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28" w:lineRule="exact"/>
        <w:rPr>
          <w:sz w:val="20"/>
          <w:szCs w:val="20"/>
          <w:color w:val="auto"/>
        </w:rPr>
      </w:pPr>
    </w:p>
    <w:p>
      <w:pPr>
        <w:ind w:left="9380"/>
        <w:spacing w:after="0"/>
        <w:rPr>
          <w:sz w:val="20"/>
          <w:szCs w:val="20"/>
          <w:color w:val="auto"/>
        </w:rPr>
      </w:pPr>
      <w:r>
        <w:rPr>
          <w:rFonts w:ascii="Arial" w:cs="Arial" w:eastAsia="Arial" w:hAnsi="Arial"/>
          <w:sz w:val="16"/>
          <w:szCs w:val="16"/>
          <w:color w:val="auto"/>
        </w:rPr>
        <w:t>_____________, 20__</w:t>
      </w:r>
    </w:p>
    <w:p>
      <w:pPr>
        <w:spacing w:after="0" w:line="2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130"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Re:</w:t>
        <w:tab/>
        <w:t>(i) the Fourth Amended and Restated Three Year Revolving Credit Agreement, dated as of April 7, 2021 (as amended, restated, amended and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restated, renewed, supplemented or modified from time to time, the “3</w:t>
      </w:r>
      <w:r>
        <w:rPr>
          <w:rFonts w:ascii="Arial" w:cs="Arial" w:eastAsia="Arial" w:hAnsi="Arial"/>
          <w:sz w:val="16"/>
          <w:szCs w:val="16"/>
          <w:u w:val="single" w:color="auto"/>
          <w:color w:val="auto"/>
        </w:rPr>
        <w:t>-Year Credit Agreement</w:t>
      </w:r>
      <w:r>
        <w:rPr>
          <w:rFonts w:ascii="Arial" w:cs="Arial" w:eastAsia="Arial" w:hAnsi="Arial"/>
          <w:sz w:val="16"/>
          <w:szCs w:val="16"/>
          <w:color w:val="auto"/>
        </w:rPr>
        <w:t>”), among General Motors Company (together with</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 Brasil Ltda., a Brazilian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Subsidiary Borrowers from time to time party thereto, the lenders from time to time party thereto, as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Bank of America, N.A., as co-syndication agent (in such capacity, the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party thereto, (ii) the Third Amended and Restated Five Year Revolving Credit Agreement, dated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April 18, 2018 ([as amended by that certain Amendment No. 1 and Consent, dated as of April 7, 2021, and]</w:t>
      </w:r>
      <w:r>
        <w:rPr>
          <w:rFonts w:ascii="Arial" w:cs="Arial" w:eastAsia="Arial" w:hAnsi="Arial"/>
          <w:sz w:val="13"/>
          <w:szCs w:val="13"/>
          <w:color w:val="auto"/>
        </w:rPr>
        <w:t>1</w:t>
      </w:r>
      <w:r>
        <w:rPr>
          <w:rFonts w:ascii="Arial" w:cs="Arial" w:eastAsia="Arial" w:hAnsi="Arial"/>
          <w:sz w:val="16"/>
          <w:szCs w:val="16"/>
          <w:color w:val="auto"/>
        </w:rPr>
        <w:t xml:space="preserve"> as amended, restated, amended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among the Company, GMF, GMGTC, GMB,</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administrative agent for the 5-Year Lenders (in such capacity, together with any successor thereto in such capacity, the “</w:t>
      </w:r>
      <w:r>
        <w:rPr>
          <w:rFonts w:ascii="Arial" w:cs="Arial" w:eastAsia="Arial" w:hAnsi="Arial"/>
          <w:sz w:val="16"/>
          <w:szCs w:val="16"/>
          <w:u w:val="single" w:color="auto"/>
          <w:color w:val="auto"/>
        </w:rPr>
        <w:t>5-Year Administrative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Agent</w:t>
      </w:r>
      <w:r>
        <w:rPr>
          <w:rFonts w:ascii="Arial" w:cs="Arial" w:eastAsia="Arial" w:hAnsi="Arial"/>
          <w:sz w:val="16"/>
          <w:szCs w:val="16"/>
          <w:color w:val="auto"/>
        </w:rPr>
        <w:t>”), Banco do Brasil S.A., as Brazilian administrative agent, the Syndication Agent, the Co-Syndication Agent, and the other agents party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thereto, (iii) the Three Year Revolving Credit Agreement, dated as of January 14, 2019 (as amended, restated, amended and restated, renewed,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supplemented or modified from time to time, the “</w:t>
      </w:r>
      <w:r>
        <w:rPr>
          <w:rFonts w:ascii="Arial" w:cs="Arial" w:eastAsia="Arial" w:hAnsi="Arial"/>
          <w:sz w:val="17"/>
          <w:szCs w:val="17"/>
          <w:u w:val="single" w:color="auto"/>
          <w:color w:val="auto"/>
        </w:rPr>
        <w:t>2019 3-Year Credit Agreement</w:t>
      </w:r>
      <w:r>
        <w:rPr>
          <w:rFonts w:ascii="Arial" w:cs="Arial" w:eastAsia="Arial" w:hAnsi="Arial"/>
          <w:sz w:val="17"/>
          <w:szCs w:val="17"/>
          <w:color w:val="auto"/>
        </w:rPr>
        <w:t>”), among the Company, the lenders from time to time party</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thereto, as lenders (the “</w:t>
      </w:r>
      <w:r>
        <w:rPr>
          <w:rFonts w:ascii="Arial" w:cs="Arial" w:eastAsia="Arial" w:hAnsi="Arial"/>
          <w:sz w:val="16"/>
          <w:szCs w:val="16"/>
          <w:u w:val="single" w:color="auto"/>
          <w:color w:val="auto"/>
        </w:rPr>
        <w:t>2019 3-Year Lenders</w:t>
      </w:r>
      <w:r>
        <w:rPr>
          <w:rFonts w:ascii="Arial" w:cs="Arial" w:eastAsia="Arial" w:hAnsi="Arial"/>
          <w:sz w:val="16"/>
          <w:szCs w:val="16"/>
          <w:color w:val="auto"/>
        </w:rPr>
        <w:t>”), JPM as administrative agent for the 2019 3-Year Lenders (in such capacity, together with any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successor thereto in such capacity, the “</w:t>
      </w:r>
      <w:r>
        <w:rPr>
          <w:rFonts w:ascii="Arial" w:cs="Arial" w:eastAsia="Arial" w:hAnsi="Arial"/>
          <w:sz w:val="17"/>
          <w:szCs w:val="17"/>
          <w:u w:val="single" w:color="auto"/>
          <w:color w:val="auto"/>
        </w:rPr>
        <w:t>2019 3-Year Administrative Agent</w:t>
      </w:r>
      <w:r>
        <w:rPr>
          <w:rFonts w:ascii="Arial" w:cs="Arial" w:eastAsia="Arial" w:hAnsi="Arial"/>
          <w:sz w:val="17"/>
          <w:szCs w:val="17"/>
          <w:color w:val="auto"/>
        </w:rPr>
        <w:t>”) and Citibank, N.A., as syndication agent (in such capacity, the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the other agents party thereto and (iv) the Third Amended and Restated 364-Day Revolving Credit Agreement, dated as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 April 7, 2021 (as amended, restated,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7696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84" w:lineRule="exact"/>
        <w:rPr>
          <w:sz w:val="20"/>
          <w:szCs w:val="20"/>
          <w:color w:val="auto"/>
        </w:rPr>
      </w:pPr>
    </w:p>
    <w:p>
      <w:pPr>
        <w:ind w:left="440" w:hanging="431"/>
        <w:spacing w:after="0"/>
        <w:tabs>
          <w:tab w:leader="none" w:pos="440" w:val="left"/>
        </w:tabs>
        <w:numPr>
          <w:ilvl w:val="0"/>
          <w:numId w:val="368"/>
        </w:numPr>
        <w:rPr>
          <w:rFonts w:ascii="Arial" w:cs="Arial" w:eastAsia="Arial" w:hAnsi="Arial"/>
          <w:sz w:val="15"/>
          <w:szCs w:val="15"/>
          <w:color w:val="auto"/>
        </w:rPr>
      </w:pPr>
      <w:r>
        <w:rPr>
          <w:rFonts w:ascii="Arial" w:cs="Arial" w:eastAsia="Arial" w:hAnsi="Arial"/>
          <w:sz w:val="18"/>
          <w:szCs w:val="18"/>
          <w:color w:val="auto"/>
        </w:rPr>
        <w:t>NTD: To be updated depending on whether the 5-year will be refinanced as well.</w:t>
      </w:r>
    </w:p>
    <w:p>
      <w:pPr>
        <w:sectPr>
          <w:pgSz w:w="11900" w:h="16838" w:orient="portrait"/>
          <w:cols w:equalWidth="0" w:num="1">
            <w:col w:w="11000"/>
          </w:cols>
          <w:pgMar w:left="440" w:top="269" w:right="459" w:bottom="1440" w:gutter="0" w:footer="0" w:header="0"/>
        </w:sectPr>
      </w:pPr>
    </w:p>
    <w:bookmarkStart w:id="412" w:name="page413"/>
    <w:bookmarkEnd w:id="412"/>
    <w:p>
      <w:pPr>
        <w:ind w:left="440"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renewed, supplemented or modified from time to time, the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and together with the 3-Year Credit Agreement, the 5-Year Credit Agreement and the 2019 3-Year Credit Agreement, the “</w:t>
      </w:r>
      <w:r>
        <w:rPr>
          <w:rFonts w:ascii="Arial" w:cs="Arial" w:eastAsia="Arial" w:hAnsi="Arial"/>
          <w:sz w:val="16"/>
          <w:szCs w:val="16"/>
          <w:u w:val="single" w:color="auto"/>
          <w:color w:val="auto"/>
        </w:rPr>
        <w:t>Credit 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the Subsidiary Borrowers from time to time party thereto, the lenders from time to time party thereto, as lenders (the “</w:t>
      </w:r>
      <w:r>
        <w:rPr>
          <w:rFonts w:ascii="Arial" w:cs="Arial" w:eastAsia="Arial" w:hAnsi="Arial"/>
          <w:sz w:val="16"/>
          <w:szCs w:val="16"/>
          <w:u w:val="single" w:color="auto"/>
          <w:color w:val="auto"/>
        </w:rPr>
        <w:t>364-Day Lenders</w:t>
      </w:r>
      <w:r>
        <w:rPr>
          <w:rFonts w:ascii="Arial" w:cs="Arial" w:eastAsia="Arial" w:hAnsi="Arial"/>
          <w:sz w:val="16"/>
          <w:szCs w:val="16"/>
          <w:color w:val="auto"/>
        </w:rPr>
        <w:t>” and together with the 3-Year Lenders, the 5-Year Lenders and 2019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the Administrative Agent for the</w:t>
      </w:r>
    </w:p>
    <w:p>
      <w:pPr>
        <w:spacing w:after="0" w:line="3" w:lineRule="exact"/>
        <w:rPr>
          <w:sz w:val="20"/>
          <w:szCs w:val="20"/>
          <w:color w:val="auto"/>
        </w:rPr>
      </w:pPr>
    </w:p>
    <w:p>
      <w:pPr>
        <w:jc w:val="both"/>
        <w:ind w:left="440" w:right="160"/>
        <w:spacing w:after="0" w:line="254" w:lineRule="auto"/>
        <w:rPr>
          <w:sz w:val="20"/>
          <w:szCs w:val="20"/>
          <w:color w:val="auto"/>
        </w:rPr>
      </w:pPr>
      <w:r>
        <w:rPr>
          <w:rFonts w:ascii="Arial" w:cs="Arial" w:eastAsia="Arial" w:hAnsi="Arial"/>
          <w:sz w:val="18"/>
          <w:szCs w:val="18"/>
          <w:color w:val="auto"/>
        </w:rPr>
        <w:t>364-Day Lenders (in such capacity, together with any successor thereto in such capacity, the “</w:t>
      </w:r>
      <w:r>
        <w:rPr>
          <w:rFonts w:ascii="Arial" w:cs="Arial" w:eastAsia="Arial" w:hAnsi="Arial"/>
          <w:sz w:val="18"/>
          <w:szCs w:val="18"/>
          <w:u w:val="single" w:color="auto"/>
          <w:color w:val="auto"/>
        </w:rPr>
        <w:t>364-Day Administrative Agent</w:t>
      </w:r>
      <w:r>
        <w:rPr>
          <w:rFonts w:ascii="Arial" w:cs="Arial" w:eastAsia="Arial" w:hAnsi="Arial"/>
          <w:sz w:val="18"/>
          <w:szCs w:val="18"/>
          <w:color w:val="auto"/>
        </w:rPr>
        <w:t>” and together with the 3-Year Administrative Agent, the 5-Year Administrative Agent and the 2019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Syndication Agent, the Co-Syndication Agent, and the other agents party thereto.</w:t>
      </w:r>
    </w:p>
    <w:p>
      <w:pPr>
        <w:spacing w:after="0" w:line="190" w:lineRule="exact"/>
        <w:rPr>
          <w:sz w:val="20"/>
          <w:szCs w:val="20"/>
          <w:color w:val="auto"/>
        </w:rPr>
      </w:pPr>
    </w:p>
    <w:p>
      <w:pPr>
        <w:ind w:firstLine="439"/>
        <w:spacing w:after="0" w:line="311" w:lineRule="auto"/>
        <w:rPr>
          <w:sz w:val="20"/>
          <w:szCs w:val="20"/>
          <w:color w:val="auto"/>
        </w:rPr>
      </w:pPr>
      <w:r>
        <w:rPr>
          <w:rFonts w:ascii="Arial" w:cs="Arial" w:eastAsia="Arial" w:hAnsi="Arial"/>
          <w:sz w:val="16"/>
          <w:szCs w:val="16"/>
          <w:color w:val="auto"/>
        </w:rPr>
        <w:t>This Compliance Certificate (this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is furnished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47" w:lineRule="exact"/>
        <w:rPr>
          <w:sz w:val="20"/>
          <w:szCs w:val="20"/>
          <w:color w:val="auto"/>
        </w:rPr>
      </w:pPr>
    </w:p>
    <w:p>
      <w:pPr>
        <w:ind w:left="620" w:hanging="172"/>
        <w:spacing w:after="0"/>
        <w:tabs>
          <w:tab w:leader="none" w:pos="6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4" w:lineRule="exact"/>
        <w:rPr>
          <w:rFonts w:ascii="Arial" w:cs="Arial" w:eastAsia="Arial" w:hAnsi="Arial"/>
          <w:sz w:val="18"/>
          <w:szCs w:val="18"/>
          <w:color w:val="auto"/>
        </w:rPr>
      </w:pPr>
    </w:p>
    <w:p>
      <w:pPr>
        <w:ind w:right="60" w:firstLine="448"/>
        <w:spacing w:after="0" w:line="276" w:lineRule="auto"/>
        <w:tabs>
          <w:tab w:leader="none" w:pos="619"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To the best of my knowledge, no Default or Event of Default has occurredand is continuing as of the date hereof [, except as set forth in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160" w:firstLine="448"/>
        <w:spacing w:after="0" w:line="306" w:lineRule="auto"/>
        <w:tabs>
          <w:tab w:leader="none" w:pos="619" w:val="left"/>
        </w:tabs>
        <w:numPr>
          <w:ilvl w:val="1"/>
          <w:numId w:val="36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 and</w:t>
      </w:r>
    </w:p>
    <w:p>
      <w:pPr>
        <w:spacing w:after="0" w:line="148" w:lineRule="exact"/>
        <w:rPr>
          <w:rFonts w:ascii="Arial" w:cs="Arial" w:eastAsia="Arial" w:hAnsi="Arial"/>
          <w:sz w:val="17"/>
          <w:szCs w:val="17"/>
          <w:color w:val="auto"/>
        </w:rPr>
      </w:pPr>
    </w:p>
    <w:p>
      <w:pPr>
        <w:ind w:right="80" w:firstLine="448"/>
        <w:spacing w:after="0" w:line="306" w:lineRule="auto"/>
        <w:tabs>
          <w:tab w:leader="none" w:pos="619" w:val="left"/>
        </w:tabs>
        <w:numPr>
          <w:ilvl w:val="1"/>
          <w:numId w:val="36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60"/>
          </w:cols>
          <w:pgMar w:left="440" w:top="273" w:right="499" w:bottom="1440" w:gutter="0" w:footer="0" w:header="0"/>
        </w:sectPr>
      </w:pPr>
    </w:p>
    <w:bookmarkStart w:id="413" w:name="page414"/>
    <w:bookmarkEnd w:id="413"/>
    <w:p>
      <w:pPr>
        <w:ind w:firstLine="43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20"/>
          </w:cols>
          <w:pgMar w:left="440" w:top="274" w:right="539" w:bottom="1440" w:gutter="0" w:footer="0" w:header="0"/>
        </w:sectPr>
      </w:pPr>
    </w:p>
    <w:bookmarkStart w:id="414" w:name="page415"/>
    <w:bookmarkEnd w:id="414"/>
    <w:p>
      <w:pPr>
        <w:jc w:val="center"/>
        <w:ind w:left="8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Compliance Certificate</w:t>
      </w:r>
    </w:p>
    <w:p>
      <w:pPr>
        <w:spacing w:after="0" w:line="246" w:lineRule="exact"/>
        <w:rPr>
          <w:sz w:val="20"/>
          <w:szCs w:val="20"/>
          <w:color w:val="auto"/>
        </w:rPr>
      </w:pPr>
    </w:p>
    <w:p>
      <w:pPr>
        <w:ind w:left="2351"/>
        <w:spacing w:after="0"/>
        <w:rPr>
          <w:sz w:val="20"/>
          <w:szCs w:val="20"/>
          <w:color w:val="auto"/>
        </w:rPr>
      </w:pPr>
      <w:r>
        <w:rPr>
          <w:rFonts w:ascii="Arial" w:cs="Arial" w:eastAsia="Arial" w:hAnsi="Arial"/>
          <w:sz w:val="18"/>
          <w:szCs w:val="18"/>
          <w:u w:val="single" w:color="auto"/>
          <w:color w:val="auto"/>
        </w:rPr>
        <w:t>Consolidated Domestic Liquidity as of _____________, 20__(the “Calculation Date”)</w:t>
      </w:r>
      <w:r>
        <w:rPr>
          <w:rFonts w:ascii="Arial" w:cs="Arial" w:eastAsia="Arial" w:hAnsi="Arial"/>
          <w:sz w:val="15"/>
          <w:szCs w:val="15"/>
          <w:u w:val="single" w:color="auto"/>
          <w:color w:val="auto"/>
        </w:rPr>
        <w:t>1</w:t>
      </w:r>
    </w:p>
    <w:p>
      <w:pPr>
        <w:spacing w:after="0" w:line="251" w:lineRule="exact"/>
        <w:rPr>
          <w:sz w:val="20"/>
          <w:szCs w:val="20"/>
          <w:color w:val="auto"/>
        </w:rPr>
      </w:pPr>
    </w:p>
    <w:p>
      <w:pPr>
        <w:ind w:left="-9" w:right="4600" w:firstLine="9"/>
        <w:spacing w:after="0" w:line="276" w:lineRule="auto"/>
        <w:tabs>
          <w:tab w:leader="none" w:pos="28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620" w:firstLine="9"/>
        <w:spacing w:after="0" w:line="276" w:lineRule="auto"/>
        <w:tabs>
          <w:tab w:leader="none" w:pos="27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color w:val="auto"/>
        </w:rPr>
        <w:t>PLUS</w:t>
      </w:r>
    </w:p>
    <w:p>
      <w:pPr>
        <w:spacing w:after="0" w:line="116" w:lineRule="exact"/>
        <w:rPr>
          <w:sz w:val="20"/>
          <w:szCs w:val="20"/>
          <w:color w:val="auto"/>
        </w:rPr>
      </w:pPr>
    </w:p>
    <w:p>
      <w:pPr>
        <w:ind w:left="-9" w:right="4720" w:firstLine="9"/>
        <w:spacing w:after="0" w:line="276" w:lineRule="auto"/>
        <w:tabs>
          <w:tab w:leader="none" w:pos="27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660" w:firstLine="9"/>
        <w:spacing w:after="0" w:line="276" w:lineRule="auto"/>
        <w:tabs>
          <w:tab w:leader="none" w:pos="28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Total Available Commitments under the 2019 3-Year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700" w:firstLine="9"/>
        <w:spacing w:after="0" w:line="263" w:lineRule="auto"/>
        <w:tabs>
          <w:tab w:leader="none" w:pos="26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Domestic Subsidiary as of the Calculation Date.</w:t>
      </w:r>
    </w:p>
    <w:p>
      <w:pPr>
        <w:spacing w:after="0" w:line="74"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23" w:lineRule="exact"/>
        <w:rPr>
          <w:sz w:val="20"/>
          <w:szCs w:val="20"/>
          <w:color w:val="auto"/>
        </w:rPr>
      </w:pPr>
    </w:p>
    <w:p>
      <w:pPr>
        <w:ind w:left="-9" w:right="4560" w:firstLine="9"/>
        <w:spacing w:after="0" w:line="268" w:lineRule="auto"/>
        <w:tabs>
          <w:tab w:leader="none" w:pos="25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696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35" w:lineRule="exact"/>
        <w:rPr>
          <w:sz w:val="20"/>
          <w:szCs w:val="20"/>
          <w:color w:val="auto"/>
        </w:rPr>
      </w:pPr>
    </w:p>
    <w:p>
      <w:pPr>
        <w:ind w:left="431" w:right="180" w:hanging="431"/>
        <w:spacing w:after="0" w:line="276" w:lineRule="auto"/>
        <w:tabs>
          <w:tab w:leader="none" w:pos="431" w:val="left"/>
        </w:tabs>
        <w:numPr>
          <w:ilvl w:val="0"/>
          <w:numId w:val="376"/>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0611"/>
          </w:cols>
          <w:pgMar w:left="449" w:top="269" w:right="839"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07"/>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Sum of (A) plus (B) plus (C) plus (D) plus (E) plus (F):</w:t>
            </w:r>
          </w:p>
        </w:tc>
        <w:tc>
          <w:tcPr>
            <w:tcW w:w="108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$______________________</w:t>
            </w:r>
          </w:p>
        </w:tc>
      </w:tr>
      <w:tr>
        <w:trPr>
          <w:trHeight w:val="195"/>
        </w:trPr>
        <w:tc>
          <w:tcPr>
            <w:tcW w:w="24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3"/>
              </w:rPr>
              <w:t>Consolidated Domestic Liquidity:</w:t>
            </w:r>
          </w:p>
        </w:tc>
        <w:tc>
          <w:tcPr>
            <w:tcW w:w="2620" w:type="dxa"/>
            <w:vAlign w:val="bottom"/>
            <w:gridSpan w:val="2"/>
          </w:tcPr>
          <w:p>
            <w:pPr>
              <w:spacing w:after="0"/>
              <w:rPr>
                <w:sz w:val="17"/>
                <w:szCs w:val="17"/>
                <w:color w:val="auto"/>
              </w:rPr>
            </w:pPr>
          </w:p>
        </w:tc>
        <w:tc>
          <w:tcPr>
            <w:tcW w:w="314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0019"/>
          </w:cols>
          <w:pgMar w:left="440" w:top="36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16" w:name="page417"/>
    <w:bookmarkEnd w:id="416"/>
    <w:p>
      <w:pPr>
        <w:jc w:val="center"/>
        <w:ind w:left="8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Compliance Certificate</w:t>
      </w:r>
    </w:p>
    <w:p>
      <w:pPr>
        <w:spacing w:after="0" w:line="246" w:lineRule="exact"/>
        <w:rPr>
          <w:sz w:val="20"/>
          <w:szCs w:val="20"/>
          <w:color w:val="auto"/>
        </w:rPr>
      </w:pPr>
    </w:p>
    <w:p>
      <w:pPr>
        <w:ind w:left="2451"/>
        <w:spacing w:after="0"/>
        <w:rPr>
          <w:sz w:val="20"/>
          <w:szCs w:val="20"/>
          <w:color w:val="auto"/>
        </w:rPr>
      </w:pPr>
      <w:r>
        <w:rPr>
          <w:rFonts w:ascii="Arial" w:cs="Arial" w:eastAsia="Arial" w:hAnsi="Arial"/>
          <w:sz w:val="18"/>
          <w:szCs w:val="18"/>
          <w:u w:val="single" w:color="auto"/>
          <w:color w:val="auto"/>
        </w:rPr>
        <w:t>Consolidated Global Liquidity as of _____________, 20__(the “Calculation Date”)</w:t>
      </w:r>
      <w:r>
        <w:rPr>
          <w:rFonts w:ascii="Arial" w:cs="Arial" w:eastAsia="Arial" w:hAnsi="Arial"/>
          <w:sz w:val="15"/>
          <w:szCs w:val="15"/>
          <w:u w:val="single" w:color="auto"/>
          <w:color w:val="auto"/>
        </w:rPr>
        <w:t>1</w:t>
      </w:r>
    </w:p>
    <w:p>
      <w:pPr>
        <w:spacing w:after="0" w:line="251" w:lineRule="exact"/>
        <w:rPr>
          <w:sz w:val="20"/>
          <w:szCs w:val="20"/>
          <w:color w:val="auto"/>
        </w:rPr>
      </w:pPr>
    </w:p>
    <w:p>
      <w:pPr>
        <w:ind w:left="-9" w:right="4600" w:firstLine="9"/>
        <w:spacing w:after="0" w:line="276" w:lineRule="auto"/>
        <w:tabs>
          <w:tab w:leader="none" w:pos="28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620" w:firstLine="9"/>
        <w:spacing w:after="0" w:line="276" w:lineRule="auto"/>
        <w:tabs>
          <w:tab w:leader="none" w:pos="27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720" w:firstLine="9"/>
        <w:spacing w:after="0" w:line="276" w:lineRule="auto"/>
        <w:tabs>
          <w:tab w:leader="none" w:pos="27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660" w:firstLine="9"/>
        <w:spacing w:after="0" w:line="276" w:lineRule="auto"/>
        <w:tabs>
          <w:tab w:leader="none" w:pos="28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Total Available Commitments under the 2019 3-Year Credit Agreement as of the Calculation Date</w:t>
      </w:r>
    </w:p>
    <w:p>
      <w:pPr>
        <w:spacing w:after="0" w:line="63"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700" w:firstLine="9"/>
        <w:spacing w:after="0" w:line="263" w:lineRule="auto"/>
        <w:tabs>
          <w:tab w:leader="none" w:pos="26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of its Subsidiaries as of the Calculation Date.</w:t>
      </w:r>
    </w:p>
    <w:p>
      <w:pPr>
        <w:spacing w:after="0" w:line="74" w:lineRule="exact"/>
        <w:rPr>
          <w:sz w:val="20"/>
          <w:szCs w:val="20"/>
          <w:color w:val="auto"/>
        </w:rPr>
      </w:pPr>
    </w:p>
    <w:p>
      <w:pPr>
        <w:ind w:left="351"/>
        <w:spacing w:after="0"/>
        <w:rPr>
          <w:sz w:val="20"/>
          <w:szCs w:val="20"/>
          <w:color w:val="auto"/>
        </w:rPr>
      </w:pPr>
      <w:r>
        <w:rPr>
          <w:rFonts w:ascii="Arial" w:cs="Arial" w:eastAsia="Arial" w:hAnsi="Arial"/>
          <w:sz w:val="18"/>
          <w:szCs w:val="18"/>
          <w:u w:val="single" w:color="auto"/>
          <w:color w:val="auto"/>
        </w:rPr>
        <w:t>PLUS</w:t>
      </w:r>
    </w:p>
    <w:p>
      <w:pPr>
        <w:spacing w:after="0" w:line="116" w:lineRule="exact"/>
        <w:rPr>
          <w:sz w:val="20"/>
          <w:szCs w:val="20"/>
          <w:color w:val="auto"/>
        </w:rPr>
      </w:pPr>
    </w:p>
    <w:p>
      <w:pPr>
        <w:ind w:left="-9" w:right="4560" w:firstLine="9"/>
        <w:spacing w:after="0" w:line="256" w:lineRule="auto"/>
        <w:tabs>
          <w:tab w:leader="none" w:pos="25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7696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63" w:lineRule="exact"/>
        <w:rPr>
          <w:sz w:val="20"/>
          <w:szCs w:val="20"/>
          <w:color w:val="auto"/>
        </w:rPr>
      </w:pPr>
    </w:p>
    <w:p>
      <w:pPr>
        <w:ind w:left="431" w:right="180" w:hanging="431"/>
        <w:spacing w:after="0" w:line="276" w:lineRule="auto"/>
        <w:tabs>
          <w:tab w:leader="none" w:pos="431" w:val="left"/>
        </w:tabs>
        <w:numPr>
          <w:ilvl w:val="0"/>
          <w:numId w:val="383"/>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0611"/>
          </w:cols>
          <w:pgMar w:left="449" w:top="269" w:right="83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07"/>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Sum of (A) plus (B) plus (C) plus (D) plus (E) plus (F):</w:t>
            </w:r>
          </w:p>
        </w:tc>
        <w:tc>
          <w:tcPr>
            <w:tcW w:w="108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$______________________</w:t>
            </w:r>
          </w:p>
        </w:tc>
      </w:tr>
      <w:tr>
        <w:trPr>
          <w:trHeight w:val="195"/>
        </w:trPr>
        <w:tc>
          <w:tcPr>
            <w:tcW w:w="22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4"/>
              </w:rPr>
              <w:t>Consolidated Global Liquidity:</w:t>
            </w:r>
          </w:p>
        </w:tc>
        <w:tc>
          <w:tcPr>
            <w:tcW w:w="2820" w:type="dxa"/>
            <w:vAlign w:val="bottom"/>
            <w:gridSpan w:val="2"/>
          </w:tcPr>
          <w:p>
            <w:pPr>
              <w:spacing w:after="0"/>
              <w:rPr>
                <w:sz w:val="17"/>
                <w:szCs w:val="17"/>
                <w:color w:val="auto"/>
              </w:rPr>
            </w:pPr>
          </w:p>
        </w:tc>
        <w:tc>
          <w:tcPr>
            <w:tcW w:w="314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0019"/>
          </w:cols>
          <w:pgMar w:left="440" w:top="25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18" w:name="page419"/>
    <w:bookmarkEnd w:id="418"/>
    <w:p>
      <w:pPr>
        <w:ind w:left="6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7"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Compliance Certificate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[Defaults/Events of Default that have occurred and are continuing]</w:t>
      </w:r>
    </w:p>
    <w:p>
      <w:pPr>
        <w:sectPr>
          <w:pgSz w:w="11900" w:h="16838" w:orient="portrait"/>
          <w:cols w:equalWidth="0" w:num="1">
            <w:col w:w="9019"/>
          </w:cols>
          <w:pgMar w:left="1440" w:top="269" w:right="1440" w:bottom="1440" w:gutter="0" w:footer="0" w:header="0"/>
        </w:sectPr>
      </w:pPr>
    </w:p>
    <w:bookmarkStart w:id="419" w:name="page420"/>
    <w:bookmarkEnd w:id="419"/>
    <w:p>
      <w:pPr>
        <w:ind w:left="9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K</w:t>
      </w:r>
    </w:p>
    <w:p>
      <w:pPr>
        <w:spacing w:after="0" w:line="27" w:lineRule="exact"/>
        <w:rPr>
          <w:sz w:val="20"/>
          <w:szCs w:val="20"/>
          <w:color w:val="auto"/>
        </w:rPr>
      </w:pPr>
    </w:p>
    <w:p>
      <w:pPr>
        <w:ind w:left="10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Credit Agreement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NOTE</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00"/>
          </w:cols>
          <w:pgMar w:left="440" w:top="269" w:right="4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New York, New York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20__</w:t>
      </w:r>
    </w:p>
    <w:p>
      <w:pPr>
        <w:spacing w:after="0" w:line="200" w:lineRule="exact"/>
        <w:rPr>
          <w:sz w:val="20"/>
          <w:szCs w:val="20"/>
          <w:color w:val="auto"/>
        </w:rPr>
      </w:pPr>
    </w:p>
    <w:p>
      <w:pPr>
        <w:sectPr>
          <w:pgSz w:w="11900" w:h="16838" w:orient="portrait"/>
          <w:cols w:equalWidth="0" w:num="2">
            <w:col w:w="8580" w:space="720"/>
            <w:col w:w="1700"/>
          </w:cols>
          <w:pgMar w:left="440" w:top="269" w:right="459" w:bottom="1440" w:gutter="0" w:footer="0" w:header="0"/>
          <w:type w:val="continuous"/>
        </w:sectPr>
      </w:pPr>
    </w:p>
    <w:p>
      <w:pPr>
        <w:spacing w:after="0" w:line="46" w:lineRule="exact"/>
        <w:rPr>
          <w:sz w:val="20"/>
          <w:szCs w:val="20"/>
          <w:color w:val="auto"/>
        </w:rPr>
      </w:pPr>
    </w:p>
    <w:p>
      <w:pPr>
        <w:ind w:right="180" w:firstLine="439"/>
        <w:spacing w:after="0" w:line="273" w:lineRule="auto"/>
        <w:rPr>
          <w:sz w:val="20"/>
          <w:szCs w:val="20"/>
          <w:color w:val="auto"/>
        </w:rPr>
      </w:pPr>
      <w:r>
        <w:rPr>
          <w:rFonts w:ascii="Arial" w:cs="Arial" w:eastAsia="Arial" w:hAnsi="Arial"/>
          <w:sz w:val="17"/>
          <w:szCs w:val="17"/>
          <w:color w:val="auto"/>
        </w:rPr>
        <w:t>FOR VALUE RECEIVED, the undersigned, [NAME OF BORROWER], [JURISDICTION OF INCORPORATION/FORMATION], [TYPE OF ORGANIZATION] (together with its successors and permitted assigns,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hereby unconditionally promises to pay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 Termination Date specified in the Credit Agreement (as hereinafter defined)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Funding Office specified in such Credit Agreement, in the currency of such Loans and in immediately available funds, the principal amount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 (__________), or, if less, (b) the unpaid principal amount of the Loans of the Lender outstanding under the Credit Agreement.</w:t>
      </w:r>
    </w:p>
    <w:p>
      <w:pPr>
        <w:spacing w:after="0" w:line="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185" w:lineRule="exact"/>
        <w:rPr>
          <w:sz w:val="20"/>
          <w:szCs w:val="20"/>
          <w:color w:val="auto"/>
        </w:rPr>
      </w:pPr>
    </w:p>
    <w:p>
      <w:pPr>
        <w:ind w:right="120" w:firstLine="439"/>
        <w:spacing w:after="0" w:line="285" w:lineRule="auto"/>
        <w:rPr>
          <w:sz w:val="20"/>
          <w:szCs w:val="20"/>
          <w:color w:val="auto"/>
        </w:rPr>
      </w:pPr>
      <w:r>
        <w:rPr>
          <w:rFonts w:ascii="Arial" w:cs="Arial" w:eastAsia="Arial" w:hAnsi="Arial"/>
          <w:sz w:val="16"/>
          <w:szCs w:val="16"/>
          <w:color w:val="auto"/>
        </w:rPr>
        <w:t>The holder of this Note is authorized to endorse on the schedules annexed hereto and made a part hereof or on a continuation thereof which shall be attached hereto and made a part hereof the date, Type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w:t>
      </w:r>
    </w:p>
    <w:p>
      <w:pPr>
        <w:spacing w:after="0" w:line="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of the Credit Agreement, each such endorsement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90" w:lineRule="exact"/>
        <w:rPr>
          <w:sz w:val="20"/>
          <w:szCs w:val="20"/>
          <w:color w:val="auto"/>
        </w:rPr>
      </w:pPr>
    </w:p>
    <w:p>
      <w:pPr>
        <w:ind w:right="40" w:firstLine="439"/>
        <w:spacing w:after="0" w:line="278" w:lineRule="auto"/>
        <w:rPr>
          <w:sz w:val="20"/>
          <w:szCs w:val="20"/>
          <w:color w:val="auto"/>
        </w:rPr>
      </w:pPr>
      <w:r>
        <w:rPr>
          <w:rFonts w:ascii="Arial" w:cs="Arial" w:eastAsia="Arial" w:hAnsi="Arial"/>
          <w:sz w:val="17"/>
          <w:szCs w:val="17"/>
          <w:color w:val="auto"/>
        </w:rPr>
        <w:t>This Note (a) is one of the Notes referred to in the Third Amended and Restated 364-Day Revolving Credit Agreement, dated as of April 7, 2021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General Motors Financial Company, Inc., a Texas corporation, the Subsidiary Borrowers from time to time party thereto, the Lender, the other lenders from time to time party thereto, JPMorgan Chase Bank, N.A.,</w:t>
      </w:r>
    </w:p>
    <w:p>
      <w:pPr>
        <w:sectPr>
          <w:pgSz w:w="11900" w:h="16838" w:orient="portrait"/>
          <w:cols w:equalWidth="0" w:num="1">
            <w:col w:w="11000"/>
          </w:cols>
          <w:pgMar w:left="440" w:top="269" w:right="459" w:bottom="1440" w:gutter="0" w:footer="0" w:header="0"/>
          <w:type w:val="continuous"/>
        </w:sectPr>
      </w:pPr>
    </w:p>
    <w:bookmarkStart w:id="420" w:name="page421"/>
    <w:bookmarkEnd w:id="420"/>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47" w:lineRule="exact"/>
        <w:rPr>
          <w:sz w:val="20"/>
          <w:szCs w:val="20"/>
          <w:color w:val="auto"/>
        </w:rPr>
      </w:pPr>
    </w:p>
    <w:p>
      <w:pPr>
        <w:ind w:right="100" w:firstLine="439"/>
        <w:spacing w:after="0" w:line="276"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4" w:lineRule="exact"/>
        <w:rPr>
          <w:sz w:val="20"/>
          <w:szCs w:val="20"/>
          <w:color w:val="auto"/>
        </w:rPr>
      </w:pPr>
    </w:p>
    <w:p>
      <w:pPr>
        <w:ind w:right="60" w:firstLine="439"/>
        <w:spacing w:after="0" w:line="263"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2" w:lineRule="exact"/>
        <w:rPr>
          <w:sz w:val="20"/>
          <w:szCs w:val="20"/>
          <w:color w:val="auto"/>
        </w:rPr>
      </w:pPr>
    </w:p>
    <w:p>
      <w:pPr>
        <w:ind w:right="500" w:firstLine="439"/>
        <w:spacing w:after="0" w:line="276"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OF APPLICABLE BORROWER].</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14605</wp:posOffset>
            </wp:positionV>
            <wp:extent cx="245427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22225</wp:posOffset>
            </wp:positionV>
            <wp:extent cx="245427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454275" cy="8255"/>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-122555</wp:posOffset>
            </wp:positionV>
            <wp:extent cx="245427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3" w:right="519" w:bottom="1440" w:gutter="0" w:footer="0" w:header="0"/>
        </w:sectPr>
      </w:pPr>
    </w:p>
    <w:bookmarkStart w:id="421" w:name="page422"/>
    <w:bookmarkEnd w:id="421"/>
    <w:p>
      <w:pPr>
        <w:jc w:val="center"/>
        <w:ind w:left="9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7" w:lineRule="exact"/>
        <w:rPr>
          <w:sz w:val="20"/>
          <w:szCs w:val="20"/>
          <w:color w:val="auto"/>
        </w:rPr>
      </w:pPr>
    </w:p>
    <w:p>
      <w:pPr>
        <w:ind w:left="10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8"/>
          <w:szCs w:val="18"/>
          <w:b w:val="1"/>
          <w:bCs w:val="1"/>
          <w:color w:val="auto"/>
        </w:rPr>
        <w:t>Note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ABR LOANS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Amount of</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9"/>
              </w:rPr>
              <w:t>Amount</w:t>
            </w:r>
          </w:p>
        </w:tc>
        <w:tc>
          <w:tcPr>
            <w:tcW w:w="15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6"/>
              </w:rPr>
              <w:t>Principal</w:t>
            </w:r>
          </w:p>
        </w:tc>
        <w:tc>
          <w:tcPr>
            <w:tcW w:w="15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9"/>
              </w:rPr>
              <w:t>Amount of ABR</w:t>
            </w:r>
          </w:p>
        </w:tc>
        <w:tc>
          <w:tcPr>
            <w:tcW w:w="154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6"/>
              </w:rPr>
              <w:t>Unpaid Principal</w:t>
            </w:r>
          </w:p>
        </w:tc>
        <w:tc>
          <w:tcPr>
            <w:tcW w:w="1300" w:type="dxa"/>
            <w:vAlign w:val="bottom"/>
          </w:tcPr>
          <w:p>
            <w:pPr>
              <w:spacing w:after="0"/>
              <w:rPr>
                <w:sz w:val="12"/>
                <w:szCs w:val="12"/>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rPr>
              <w:t>Amount of</w:t>
            </w:r>
          </w:p>
        </w:tc>
        <w:tc>
          <w:tcPr>
            <w:tcW w:w="152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2"/>
              </w:rPr>
              <w:t>Converted to</w:t>
            </w:r>
          </w:p>
        </w:tc>
        <w:tc>
          <w:tcPr>
            <w:tcW w:w="15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7"/>
              </w:rPr>
              <w:t>of ABR Loans</w:t>
            </w:r>
          </w:p>
        </w:tc>
        <w:tc>
          <w:tcPr>
            <w:tcW w:w="154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3"/>
              </w:rPr>
              <w:t>Loans Converted to</w:t>
            </w:r>
          </w:p>
        </w:tc>
        <w:tc>
          <w:tcPr>
            <w:tcW w:w="154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0"/>
              </w:rPr>
              <w:t>Balance</w:t>
            </w:r>
          </w:p>
        </w:tc>
        <w:tc>
          <w:tcPr>
            <w:tcW w:w="1300" w:type="dxa"/>
            <w:vAlign w:val="bottom"/>
          </w:tcPr>
          <w:p>
            <w:pPr>
              <w:spacing w:after="0"/>
              <w:rPr>
                <w:sz w:val="12"/>
                <w:szCs w:val="12"/>
                <w:color w:val="auto"/>
              </w:rPr>
            </w:pPr>
          </w:p>
        </w:tc>
      </w:tr>
      <w:tr>
        <w:trPr>
          <w:trHeight w:val="180"/>
        </w:trPr>
        <w:tc>
          <w:tcPr>
            <w:tcW w:w="18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Date</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Repaid</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Eurocurrency Loans</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of ABR Loans</w:t>
            </w:r>
          </w:p>
        </w:tc>
        <w:tc>
          <w:tcPr>
            <w:tcW w:w="120" w:type="dxa"/>
            <w:vAlign w:val="bottom"/>
          </w:tcPr>
          <w:p>
            <w:pPr>
              <w:spacing w:after="0"/>
              <w:rPr>
                <w:sz w:val="15"/>
                <w:szCs w:val="15"/>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Made By</w:t>
            </w:r>
          </w:p>
        </w:tc>
      </w:tr>
    </w:tbl>
    <w:p>
      <w:pPr>
        <w:sectPr>
          <w:pgSz w:w="11900" w:h="16838" w:orient="portrait"/>
          <w:cols w:equalWidth="0" w:num="1">
            <w:col w:w="11000"/>
          </w:cols>
          <w:pgMar w:left="440" w:top="269" w:right="459" w:bottom="1440" w:gutter="0" w:footer="0" w:header="0"/>
        </w:sectPr>
      </w:pPr>
    </w:p>
    <w:bookmarkStart w:id="422" w:name="page423"/>
    <w:bookmarkEnd w:id="422"/>
    <w:p>
      <w:pPr>
        <w:ind w:left="9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7" w:lineRule="exact"/>
        <w:rPr>
          <w:sz w:val="20"/>
          <w:szCs w:val="20"/>
          <w:color w:val="auto"/>
        </w:rPr>
      </w:pPr>
    </w:p>
    <w:p>
      <w:pPr>
        <w:ind w:left="103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Note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EUROCURRENCY LOANS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Unpaid</w:t>
            </w:r>
          </w:p>
        </w:tc>
        <w:tc>
          <w:tcPr>
            <w:tcW w:w="980" w:type="dxa"/>
            <w:vAlign w:val="bottom"/>
          </w:tcPr>
          <w:p>
            <w:pPr>
              <w:spacing w:after="0"/>
              <w:rPr>
                <w:sz w:val="14"/>
                <w:szCs w:val="14"/>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w w:val="97"/>
              </w:rPr>
              <w:t>Amount of</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w w:val="96"/>
              </w:rPr>
              <w:t>Principal</w:t>
            </w:r>
          </w:p>
        </w:tc>
        <w:tc>
          <w:tcPr>
            <w:tcW w:w="980" w:type="dxa"/>
            <w:vAlign w:val="bottom"/>
          </w:tcPr>
          <w:p>
            <w:pPr>
              <w:spacing w:after="0"/>
              <w:rPr>
                <w:sz w:val="12"/>
                <w:szCs w:val="12"/>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6"/>
              </w:rPr>
              <w:t>Principal</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rPr>
              <w:t>Amount of</w:t>
            </w:r>
          </w:p>
        </w:tc>
        <w:tc>
          <w:tcPr>
            <w:tcW w:w="132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0"/>
              </w:rPr>
              <w:t>Balance</w:t>
            </w:r>
          </w:p>
        </w:tc>
        <w:tc>
          <w:tcPr>
            <w:tcW w:w="980" w:type="dxa"/>
            <w:vAlign w:val="bottom"/>
          </w:tcPr>
          <w:p>
            <w:pPr>
              <w:spacing w:after="0"/>
              <w:rPr>
                <w:sz w:val="12"/>
                <w:szCs w:val="12"/>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60"/>
              <w:spacing w:after="0" w:line="148" w:lineRule="exact"/>
              <w:rPr>
                <w:sz w:val="20"/>
                <w:szCs w:val="20"/>
                <w:color w:val="auto"/>
              </w:rPr>
            </w:pPr>
            <w:r>
              <w:rPr>
                <w:rFonts w:ascii="Arial" w:cs="Arial" w:eastAsia="Arial" w:hAnsi="Arial"/>
                <w:sz w:val="14"/>
                <w:szCs w:val="14"/>
                <w:color w:val="auto"/>
                <w:w w:val="97"/>
              </w:rPr>
              <w:t>Amount of</w:t>
            </w:r>
          </w:p>
        </w:tc>
        <w:tc>
          <w:tcPr>
            <w:tcW w:w="152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4"/>
              </w:rPr>
              <w:t>Amount Converted</w:t>
            </w: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w w:val="95"/>
              </w:rPr>
              <w:t>of Eurocurrency</w:t>
            </w:r>
          </w:p>
        </w:tc>
        <w:tc>
          <w:tcPr>
            <w:tcW w:w="1360" w:type="dxa"/>
            <w:vAlign w:val="bottom"/>
            <w:gridSpan w:val="2"/>
          </w:tcPr>
          <w:p>
            <w:pPr>
              <w:jc w:val="center"/>
              <w:ind w:right="180"/>
              <w:spacing w:after="0" w:line="148" w:lineRule="exact"/>
              <w:rPr>
                <w:sz w:val="20"/>
                <w:szCs w:val="20"/>
                <w:color w:val="auto"/>
              </w:rPr>
            </w:pPr>
            <w:r>
              <w:rPr>
                <w:rFonts w:ascii="Arial" w:cs="Arial" w:eastAsia="Arial" w:hAnsi="Arial"/>
                <w:sz w:val="14"/>
                <w:szCs w:val="14"/>
                <w:color w:val="auto"/>
                <w:w w:val="93"/>
              </w:rPr>
              <w:t>Eurocurrency</w:t>
            </w:r>
          </w:p>
        </w:tc>
        <w:tc>
          <w:tcPr>
            <w:tcW w:w="132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rPr>
              <w:t>of</w:t>
            </w:r>
          </w:p>
        </w:tc>
        <w:tc>
          <w:tcPr>
            <w:tcW w:w="980" w:type="dxa"/>
            <w:vAlign w:val="bottom"/>
          </w:tcPr>
          <w:p>
            <w:pPr>
              <w:spacing w:after="0"/>
              <w:rPr>
                <w:sz w:val="12"/>
                <w:szCs w:val="12"/>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89"/>
              </w:rPr>
              <w:t>Interest</w:t>
            </w:r>
          </w:p>
        </w:tc>
        <w:tc>
          <w:tcPr>
            <w:tcW w:w="1340" w:type="dxa"/>
            <w:vAlign w:val="bottom"/>
            <w:gridSpan w:val="2"/>
          </w:tcPr>
          <w:p>
            <w:pPr>
              <w:jc w:val="center"/>
              <w:ind w:right="160"/>
              <w:spacing w:after="0" w:line="148" w:lineRule="exact"/>
              <w:rPr>
                <w:sz w:val="20"/>
                <w:szCs w:val="20"/>
                <w:color w:val="auto"/>
              </w:rPr>
            </w:pPr>
            <w:r>
              <w:rPr>
                <w:rFonts w:ascii="Arial" w:cs="Arial" w:eastAsia="Arial" w:hAnsi="Arial"/>
                <w:sz w:val="14"/>
                <w:szCs w:val="14"/>
                <w:color w:val="auto"/>
                <w:w w:val="93"/>
              </w:rPr>
              <w:t>Eurocurrency</w:t>
            </w:r>
          </w:p>
        </w:tc>
        <w:tc>
          <w:tcPr>
            <w:tcW w:w="152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rPr>
              <w:t>to</w:t>
            </w: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w w:val="89"/>
              </w:rPr>
              <w:t>Loans</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w w:val="91"/>
              </w:rPr>
              <w:t>Loans Converted to</w:t>
            </w:r>
          </w:p>
        </w:tc>
        <w:tc>
          <w:tcPr>
            <w:tcW w:w="132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3"/>
              </w:rPr>
              <w:t>Eurocurrency</w:t>
            </w:r>
          </w:p>
        </w:tc>
        <w:tc>
          <w:tcPr>
            <w:tcW w:w="980" w:type="dxa"/>
            <w:vAlign w:val="bottom"/>
          </w:tcPr>
          <w:p>
            <w:pPr>
              <w:spacing w:after="0"/>
              <w:rPr>
                <w:sz w:val="12"/>
                <w:szCs w:val="12"/>
                <w:color w:val="auto"/>
              </w:rPr>
            </w:pPr>
          </w:p>
        </w:tc>
      </w:tr>
      <w:tr>
        <w:trPr>
          <w:trHeight w:val="180"/>
        </w:trPr>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Date</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14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Eurocurrency Loans</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Repaid</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220" w:type="dxa"/>
            <w:vAlign w:val="bottom"/>
          </w:tcPr>
          <w:p>
            <w:pPr>
              <w:spacing w:after="0"/>
              <w:rPr>
                <w:sz w:val="15"/>
                <w:szCs w:val="15"/>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Made By</w:t>
            </w:r>
          </w:p>
        </w:tc>
      </w:tr>
    </w:tbl>
    <w:p>
      <w:pPr>
        <w:sectPr>
          <w:pgSz w:w="11900" w:h="16838" w:orient="portrait"/>
          <w:cols w:equalWidth="0" w:num="1">
            <w:col w:w="11000"/>
          </w:cols>
          <w:pgMar w:left="440" w:top="270" w:right="459" w:bottom="1440" w:gutter="0" w:footer="0" w:header="0"/>
        </w:sectPr>
      </w:pPr>
    </w:p>
    <w:bookmarkStart w:id="423" w:name="page424"/>
    <w:bookmarkEnd w:id="423"/>
    <w:p>
      <w:pPr>
        <w:ind w:left="9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L</w:t>
      </w:r>
    </w:p>
    <w:p>
      <w:pPr>
        <w:spacing w:after="0" w:line="27" w:lineRule="exact"/>
        <w:rPr>
          <w:sz w:val="20"/>
          <w:szCs w:val="20"/>
          <w:color w:val="auto"/>
        </w:rPr>
      </w:pPr>
    </w:p>
    <w:p>
      <w:pPr>
        <w:ind w:left="10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9520"/>
        <w:spacing w:after="0"/>
        <w:rPr>
          <w:sz w:val="20"/>
          <w:szCs w:val="20"/>
          <w:color w:val="auto"/>
        </w:rPr>
      </w:pPr>
      <w:r>
        <w:rPr>
          <w:rFonts w:ascii="Arial" w:cs="Arial" w:eastAsia="Arial" w:hAnsi="Arial"/>
          <w:sz w:val="17"/>
          <w:szCs w:val="17"/>
          <w:b w:val="1"/>
          <w:bCs w:val="1"/>
          <w:color w:val="auto"/>
        </w:rPr>
        <w:t>Credit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REQUEST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0"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_________, 20__</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6" w:lineRule="exact"/>
        <w:rPr>
          <w:sz w:val="20"/>
          <w:szCs w:val="20"/>
          <w:color w:val="auto"/>
        </w:rPr>
      </w:pPr>
    </w:p>
    <w:p>
      <w:pPr>
        <w:ind w:firstLine="989"/>
        <w:spacing w:after="0" w:line="269"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14"/>
          <w:szCs w:val="14"/>
          <w:color w:val="auto"/>
        </w:rPr>
        <w:t>1</w:t>
      </w:r>
      <w:r>
        <w:rPr>
          <w:rFonts w:ascii="Arial" w:cs="Arial" w:eastAsia="Arial" w:hAnsi="Arial"/>
          <w:sz w:val="17"/>
          <w:szCs w:val="17"/>
          <w:color w:val="auto"/>
        </w:rPr>
        <w:t>, refer[s] to the Third Amended and Restated 364-Day Revolving Credit Agreement, dated as of April 7, 2021,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[2.2] of the Credit Agreement that it requests an Extension of Credit under the Credit Agreement, and in connection sets forth below the terms on which such Extension of Credit is requested to be made[, to which the Company hereby consents]</w:t>
      </w:r>
      <w:r>
        <w:rPr>
          <w:rFonts w:ascii="Arial" w:cs="Arial" w:eastAsia="Arial" w:hAnsi="Arial"/>
          <w:sz w:val="14"/>
          <w:szCs w:val="14"/>
          <w:color w:val="auto"/>
        </w:rPr>
        <w:t>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148590</wp:posOffset>
            </wp:positionV>
            <wp:extent cx="76962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54" w:lineRule="exact"/>
        <w:rPr>
          <w:sz w:val="20"/>
          <w:szCs w:val="20"/>
          <w:color w:val="auto"/>
        </w:rPr>
      </w:pPr>
    </w:p>
    <w:p>
      <w:pPr>
        <w:ind w:left="440" w:hanging="431"/>
        <w:spacing w:after="0"/>
        <w:tabs>
          <w:tab w:leader="none" w:pos="440" w:val="left"/>
        </w:tabs>
        <w:numPr>
          <w:ilvl w:val="0"/>
          <w:numId w:val="384"/>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40" w:hanging="431"/>
        <w:spacing w:after="0"/>
        <w:tabs>
          <w:tab w:leader="none" w:pos="440" w:val="left"/>
        </w:tabs>
        <w:numPr>
          <w:ilvl w:val="0"/>
          <w:numId w:val="385"/>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440" w:hanging="431"/>
        <w:spacing w:after="0"/>
        <w:tabs>
          <w:tab w:leader="none" w:pos="440" w:val="left"/>
        </w:tabs>
        <w:numPr>
          <w:ilvl w:val="0"/>
          <w:numId w:val="386"/>
        </w:numPr>
        <w:rPr>
          <w:rFonts w:ascii="Arial" w:cs="Arial" w:eastAsia="Arial" w:hAnsi="Arial"/>
          <w:sz w:val="15"/>
          <w:szCs w:val="15"/>
          <w:color w:val="auto"/>
        </w:rPr>
      </w:pPr>
      <w:r>
        <w:rPr>
          <w:rFonts w:ascii="Arial" w:cs="Arial" w:eastAsia="Arial" w:hAnsi="Arial"/>
          <w:sz w:val="18"/>
          <w:szCs w:val="18"/>
          <w:color w:val="auto"/>
        </w:rPr>
        <w:t>Insert if the Applicable Borrower is a Domestic Subsidiary Borrower.</w:t>
      </w:r>
    </w:p>
    <w:p>
      <w:pPr>
        <w:sectPr>
          <w:pgSz w:w="11900" w:h="16838" w:orient="portrait"/>
          <w:cols w:equalWidth="0" w:num="1">
            <w:col w:w="11000"/>
          </w:cols>
          <w:pgMar w:left="440" w:top="269" w:right="459" w:bottom="1440" w:gutter="0" w:footer="0" w:header="0"/>
        </w:sectPr>
      </w:pPr>
    </w:p>
    <w:bookmarkStart w:id="424" w:name="page425"/>
    <w:bookmarkEnd w:id="424"/>
    <w:p>
      <w:pPr>
        <w:ind w:left="831" w:hanging="472"/>
        <w:spacing w:after="0"/>
        <w:tabs>
          <w:tab w:leader="none" w:pos="831" w:val="left"/>
        </w:tabs>
        <w:numPr>
          <w:ilvl w:val="0"/>
          <w:numId w:val="3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Borrowing Date</w:t>
      </w:r>
    </w:p>
    <w:p>
      <w:pPr>
        <w:spacing w:after="0" w:line="22" w:lineRule="exact"/>
        <w:rPr>
          <w:rFonts w:ascii="Arial" w:cs="Arial" w:eastAsia="Arial" w:hAnsi="Arial"/>
          <w:sz w:val="18"/>
          <w:szCs w:val="18"/>
          <w:color w:val="auto"/>
        </w:rPr>
      </w:pPr>
    </w:p>
    <w:p>
      <w:pPr>
        <w:ind w:left="831"/>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-2540</wp:posOffset>
            </wp:positionV>
            <wp:extent cx="21805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122" w:lineRule="exact"/>
        <w:rPr>
          <w:sz w:val="20"/>
          <w:szCs w:val="20"/>
          <w:color w:val="auto"/>
        </w:rPr>
      </w:pPr>
    </w:p>
    <w:p>
      <w:pPr>
        <w:ind w:left="831" w:hanging="472"/>
        <w:spacing w:after="0"/>
        <w:tabs>
          <w:tab w:leader="none" w:pos="83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5</w:t>
      </w:r>
    </w:p>
    <w:p>
      <w:pPr>
        <w:spacing w:after="0" w:line="143" w:lineRule="exact"/>
        <w:rPr>
          <w:rFonts w:ascii="Arial" w:cs="Arial" w:eastAsia="Arial" w:hAnsi="Arial"/>
          <w:sz w:val="18"/>
          <w:szCs w:val="18"/>
          <w:color w:val="auto"/>
        </w:rPr>
      </w:pPr>
    </w:p>
    <w:p>
      <w:pPr>
        <w:ind w:left="831" w:hanging="472"/>
        <w:spacing w:after="0"/>
        <w:tabs>
          <w:tab w:leader="none" w:pos="83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Type of Extension of Credit </w:t>
      </w:r>
      <w:r>
        <w:rPr>
          <w:rFonts w:ascii="Arial" w:cs="Arial" w:eastAsia="Arial" w:hAnsi="Arial"/>
          <w:sz w:val="15"/>
          <w:szCs w:val="15"/>
          <w:color w:val="auto"/>
        </w:rPr>
        <w:t>6</w:t>
      </w:r>
    </w:p>
    <w:p>
      <w:pPr>
        <w:spacing w:after="0" w:line="143" w:lineRule="exact"/>
        <w:rPr>
          <w:rFonts w:ascii="Arial" w:cs="Arial" w:eastAsia="Arial" w:hAnsi="Arial"/>
          <w:sz w:val="18"/>
          <w:szCs w:val="18"/>
          <w:color w:val="auto"/>
        </w:rPr>
      </w:pPr>
    </w:p>
    <w:p>
      <w:pPr>
        <w:ind w:left="831" w:hanging="472"/>
        <w:spacing w:after="0"/>
        <w:tabs>
          <w:tab w:leader="none" w:pos="83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7</w:t>
      </w:r>
    </w:p>
    <w:p>
      <w:pPr>
        <w:spacing w:after="0" w:line="116" w:lineRule="exact"/>
        <w:rPr>
          <w:rFonts w:ascii="Arial" w:cs="Arial" w:eastAsia="Arial" w:hAnsi="Arial"/>
          <w:sz w:val="18"/>
          <w:szCs w:val="18"/>
          <w:color w:val="auto"/>
        </w:rPr>
      </w:pPr>
    </w:p>
    <w:p>
      <w:pPr>
        <w:ind w:left="831" w:hanging="472"/>
        <w:spacing w:after="0"/>
        <w:tabs>
          <w:tab w:leader="none" w:pos="83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 with _____________</w:t>
      </w:r>
    </w:p>
    <w:p>
      <w:pPr>
        <w:spacing w:after="0" w:line="22" w:lineRule="exact"/>
        <w:rPr>
          <w:rFonts w:ascii="Arial" w:cs="Arial" w:eastAsia="Arial" w:hAnsi="Arial"/>
          <w:sz w:val="18"/>
          <w:szCs w:val="18"/>
          <w:color w:val="auto"/>
        </w:rPr>
      </w:pPr>
    </w:p>
    <w:p>
      <w:pPr>
        <w:ind w:left="1011"/>
        <w:spacing w:after="0"/>
        <w:rPr>
          <w:rFonts w:ascii="Arial" w:cs="Arial" w:eastAsia="Arial" w:hAnsi="Arial"/>
          <w:sz w:val="18"/>
          <w:szCs w:val="18"/>
          <w:color w:val="auto"/>
        </w:rPr>
      </w:pPr>
      <w:r>
        <w:rPr>
          <w:rFonts w:ascii="Arial" w:cs="Arial" w:eastAsia="Arial" w:hAnsi="Arial"/>
          <w:sz w:val="18"/>
          <w:szCs w:val="18"/>
          <w:color w:val="auto"/>
        </w:rPr>
        <w:t>(Account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-798195</wp:posOffset>
            </wp:positionV>
            <wp:extent cx="21805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80590"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-575310</wp:posOffset>
            </wp:positionV>
            <wp:extent cx="21805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80590"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-353060</wp:posOffset>
            </wp:positionV>
            <wp:extent cx="21805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80590"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-11430</wp:posOffset>
            </wp:positionV>
            <wp:extent cx="21805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190" w:lineRule="exact"/>
        <w:rPr>
          <w:sz w:val="20"/>
          <w:szCs w:val="20"/>
          <w:color w:val="auto"/>
        </w:rPr>
      </w:pPr>
    </w:p>
    <w:p>
      <w:pPr>
        <w:jc w:val="center"/>
        <w:ind w:right="-270"/>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696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98" w:lineRule="exact"/>
        <w:rPr>
          <w:sz w:val="20"/>
          <w:szCs w:val="20"/>
          <w:color w:val="auto"/>
        </w:rPr>
      </w:pPr>
    </w:p>
    <w:p>
      <w:pPr>
        <w:jc w:val="both"/>
        <w:ind w:left="431" w:right="20" w:hanging="431"/>
        <w:spacing w:after="0" w:line="254" w:lineRule="auto"/>
        <w:tabs>
          <w:tab w:leader="none" w:pos="431" w:val="left"/>
        </w:tabs>
        <w:numPr>
          <w:ilvl w:val="0"/>
          <w:numId w:val="389"/>
        </w:numPr>
        <w:rPr>
          <w:rFonts w:ascii="Arial" w:cs="Arial" w:eastAsia="Arial" w:hAnsi="Arial"/>
          <w:sz w:val="15"/>
          <w:szCs w:val="15"/>
          <w:color w:val="auto"/>
        </w:rPr>
      </w:pPr>
      <w:r>
        <w:rPr>
          <w:rFonts w:ascii="Arial" w:cs="Arial" w:eastAsia="Arial" w:hAnsi="Arial"/>
          <w:sz w:val="18"/>
          <w:szCs w:val="18"/>
          <w:color w:val="auto"/>
        </w:rPr>
        <w:t>Borrowing Request to be delivered to the Administrative Agent prior to (a) in the case of Eurocurrency Loans, 1:00 P.M., New York City time, three Business Days prior to the requested Borrowing Date or (b) in the case of ABR Loans, 1:00 P.M., New York City time, on the date of the proposed borrowing.</w:t>
      </w:r>
    </w:p>
    <w:p>
      <w:pPr>
        <w:spacing w:after="0" w:line="2" w:lineRule="exact"/>
        <w:rPr>
          <w:sz w:val="20"/>
          <w:szCs w:val="20"/>
          <w:color w:val="auto"/>
        </w:rPr>
      </w:pPr>
    </w:p>
    <w:p>
      <w:pPr>
        <w:ind w:left="431" w:hanging="431"/>
        <w:spacing w:after="0" w:line="249" w:lineRule="auto"/>
        <w:tabs>
          <w:tab w:leader="none" w:pos="431" w:val="left"/>
        </w:tabs>
        <w:numPr>
          <w:ilvl w:val="0"/>
          <w:numId w:val="390"/>
        </w:numPr>
        <w:rPr>
          <w:rFonts w:ascii="Arial" w:cs="Arial" w:eastAsia="Arial" w:hAnsi="Arial"/>
          <w:sz w:val="15"/>
          <w:szCs w:val="15"/>
          <w:color w:val="auto"/>
        </w:rPr>
      </w:pPr>
      <w:r>
        <w:rPr>
          <w:rFonts w:ascii="Arial" w:cs="Arial" w:eastAsia="Arial" w:hAnsi="Arial"/>
          <w:sz w:val="18"/>
          <w:szCs w:val="18"/>
          <w:color w:val="auto"/>
        </w:rPr>
        <w:t>Each borrowing shall be in an amount equal to $25 million (or, if the Total Available Commitments at such time are less than $25 million, such lesser amount) or a whole multiple of $5 million in excess thereof.</w:t>
      </w:r>
    </w:p>
    <w:p>
      <w:pPr>
        <w:spacing w:after="0" w:line="1" w:lineRule="exact"/>
        <w:rPr>
          <w:sz w:val="20"/>
          <w:szCs w:val="20"/>
          <w:color w:val="auto"/>
        </w:rPr>
      </w:pPr>
    </w:p>
    <w:p>
      <w:pPr>
        <w:ind w:left="431" w:hanging="431"/>
        <w:spacing w:after="0"/>
        <w:tabs>
          <w:tab w:leader="none" w:pos="431" w:val="left"/>
        </w:tabs>
        <w:numPr>
          <w:ilvl w:val="0"/>
          <w:numId w:val="391"/>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9" w:lineRule="exact"/>
        <w:rPr>
          <w:sz w:val="20"/>
          <w:szCs w:val="20"/>
          <w:color w:val="auto"/>
        </w:rPr>
      </w:pPr>
    </w:p>
    <w:p>
      <w:pPr>
        <w:ind w:left="431" w:hanging="431"/>
        <w:spacing w:after="0"/>
        <w:tabs>
          <w:tab w:leader="none" w:pos="431" w:val="left"/>
        </w:tabs>
        <w:numPr>
          <w:ilvl w:val="0"/>
          <w:numId w:val="392"/>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w:t>
      </w:r>
    </w:p>
    <w:p>
      <w:pPr>
        <w:sectPr>
          <w:pgSz w:w="11900" w:h="16838" w:orient="portrait"/>
          <w:cols w:equalWidth="0" w:num="1">
            <w:col w:w="10711"/>
          </w:cols>
          <w:pgMar w:left="449" w:top="273" w:right="739" w:bottom="1440" w:gutter="0" w:footer="0" w:header="0"/>
        </w:sectPr>
      </w:pPr>
    </w:p>
    <w:bookmarkStart w:id="425" w:name="page426"/>
    <w:bookmarkEnd w:id="425"/>
    <w:p>
      <w:pPr>
        <w:ind w:firstLine="989"/>
        <w:spacing w:after="0" w:line="30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8</w:t>
      </w:r>
      <w:r>
        <w:rPr>
          <w:rFonts w:ascii="Arial" w:cs="Arial" w:eastAsia="Arial" w:hAnsi="Arial"/>
          <w:sz w:val="17"/>
          <w:szCs w:val="17"/>
          <w:color w:val="auto"/>
        </w:rPr>
        <w:t>] of the Credit Agreement have been satisfied.</w:t>
      </w:r>
    </w:p>
    <w:p>
      <w:pPr>
        <w:spacing w:after="0" w:line="17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[INSERT NAME OF APPLICABLE BORROWER]</w:t>
      </w:r>
      <w:r>
        <w:rPr>
          <w:rFonts w:ascii="Arial" w:cs="Arial" w:eastAsia="Arial" w:hAnsi="Arial"/>
          <w:sz w:val="15"/>
          <w:szCs w:val="15"/>
          <w:color w:val="auto"/>
        </w:rPr>
        <w:t>9</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7696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84" w:lineRule="exact"/>
        <w:rPr>
          <w:sz w:val="20"/>
          <w:szCs w:val="20"/>
          <w:color w:val="auto"/>
        </w:rPr>
      </w:pPr>
    </w:p>
    <w:p>
      <w:pPr>
        <w:ind w:left="440" w:hanging="431"/>
        <w:spacing w:after="0"/>
        <w:tabs>
          <w:tab w:leader="none" w:pos="440" w:val="left"/>
        </w:tabs>
        <w:numPr>
          <w:ilvl w:val="0"/>
          <w:numId w:val="393"/>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440" w:hanging="431"/>
        <w:spacing w:after="0"/>
        <w:tabs>
          <w:tab w:leader="none" w:pos="440" w:val="left"/>
        </w:tabs>
        <w:numPr>
          <w:ilvl w:val="0"/>
          <w:numId w:val="394"/>
        </w:numPr>
        <w:rPr>
          <w:rFonts w:ascii="Arial" w:cs="Arial" w:eastAsia="Arial" w:hAnsi="Arial"/>
          <w:sz w:val="15"/>
          <w:szCs w:val="15"/>
          <w:color w:val="auto"/>
        </w:rPr>
      </w:pPr>
      <w:r>
        <w:rPr>
          <w:rFonts w:ascii="Arial" w:cs="Arial" w:eastAsia="Arial" w:hAnsi="Arial"/>
          <w:sz w:val="18"/>
          <w:szCs w:val="18"/>
          <w:color w:val="auto"/>
        </w:rPr>
        <w:t>[Insert for Borrowings by an Applicable Borrower other than the Company.]</w:t>
      </w:r>
    </w:p>
    <w:p>
      <w:pPr>
        <w:sectPr>
          <w:pgSz w:w="11900" w:h="16838" w:orient="portrait"/>
          <w:cols w:equalWidth="0" w:num="1">
            <w:col w:w="10740"/>
          </w:cols>
          <w:pgMar w:left="440" w:top="273" w:right="71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10.3</w:t>
      </w:r>
    </w:p>
    <w:p>
      <w:pPr>
        <w:spacing w:after="0" w:line="224" w:lineRule="exact"/>
        <w:rPr>
          <w:sz w:val="20"/>
          <w:szCs w:val="20"/>
          <w:color w:val="auto"/>
        </w:rPr>
      </w:pPr>
    </w:p>
    <w:p>
      <w:pPr>
        <w:jc w:val="right"/>
        <w:ind w:left="600"/>
        <w:spacing w:after="0" w:line="265"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AND CONSENT TO CREDIT AGREEMENT</w:t>
      </w:r>
    </w:p>
    <w:p>
      <w:pPr>
        <w:spacing w:after="0" w:line="224" w:lineRule="exact"/>
        <w:rPr>
          <w:sz w:val="20"/>
          <w:szCs w:val="20"/>
          <w:color w:val="auto"/>
        </w:rPr>
      </w:pPr>
    </w:p>
    <w:p>
      <w:pPr>
        <w:ind w:right="80" w:firstLine="1429"/>
        <w:spacing w:after="0" w:line="269" w:lineRule="auto"/>
        <w:rPr>
          <w:sz w:val="20"/>
          <w:szCs w:val="20"/>
          <w:color w:val="auto"/>
        </w:rPr>
      </w:pPr>
      <w:r>
        <w:rPr>
          <w:rFonts w:ascii="Arial" w:cs="Arial" w:eastAsia="Arial" w:hAnsi="Arial"/>
          <w:sz w:val="17"/>
          <w:szCs w:val="17"/>
          <w:b w:val="1"/>
          <w:bCs w:val="1"/>
          <w:color w:val="auto"/>
        </w:rPr>
        <w:t>AMENDMENT NO. 1 AND CONSENT</w:t>
      </w:r>
      <w:r>
        <w:rPr>
          <w:rFonts w:ascii="Arial" w:cs="Arial" w:eastAsia="Arial" w:hAnsi="Arial"/>
          <w:sz w:val="17"/>
          <w:szCs w:val="17"/>
          <w:color w:val="auto"/>
        </w:rPr>
        <w:t>, dated as of April 7, 2021 (this “</w:t>
      </w:r>
      <w:r>
        <w:rPr>
          <w:rFonts w:ascii="Arial" w:cs="Arial" w:eastAsia="Arial" w:hAnsi="Arial"/>
          <w:sz w:val="17"/>
          <w:szCs w:val="17"/>
          <w:u w:val="single" w:color="auto"/>
          <w:color w:val="auto"/>
        </w:rPr>
        <w:t>Amendment</w:t>
      </w:r>
      <w:r>
        <w:rPr>
          <w:rFonts w:ascii="Arial" w:cs="Arial" w:eastAsia="Arial" w:hAnsi="Arial"/>
          <w:sz w:val="17"/>
          <w:szCs w:val="17"/>
          <w:color w:val="auto"/>
        </w:rPr>
        <w:t>”) by and among the LENDERS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party hereto (each, with respect to the portion of its Commitments constituting Extended Commitments, an “</w:t>
      </w:r>
      <w:r>
        <w:rPr>
          <w:rFonts w:ascii="Arial" w:cs="Arial" w:eastAsia="Arial" w:hAnsi="Arial"/>
          <w:sz w:val="17"/>
          <w:szCs w:val="17"/>
          <w:u w:val="single" w:color="auto"/>
          <w:color w:val="auto"/>
        </w:rPr>
        <w:t>Extending and Consenting 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Extending and Consenting Lenders</w:t>
      </w:r>
      <w:r>
        <w:rPr>
          <w:rFonts w:ascii="Arial" w:cs="Arial" w:eastAsia="Arial" w:hAnsi="Arial"/>
          <w:sz w:val="17"/>
          <w:szCs w:val="17"/>
          <w:color w:val="auto"/>
        </w:rPr>
        <w:t>”),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and JPMorgan Chase Bank, N.A. to the Third Amended and Restated 5-Year Revolving Credit Agreement, dated as of April 18, 2018, among the Company, GMF, GM Global Treasury Centre Limited (“</w:t>
      </w:r>
      <w:r>
        <w:rPr>
          <w:rFonts w:ascii="Arial" w:cs="Arial" w:eastAsia="Arial" w:hAnsi="Arial"/>
          <w:sz w:val="17"/>
          <w:szCs w:val="17"/>
          <w:u w:val="single" w:color="auto"/>
          <w:color w:val="auto"/>
        </w:rPr>
        <w:t>GMGTC</w:t>
      </w:r>
      <w:r>
        <w:rPr>
          <w:rFonts w:ascii="Arial" w:cs="Arial" w:eastAsia="Arial" w:hAnsi="Arial"/>
          <w:sz w:val="17"/>
          <w:szCs w:val="17"/>
          <w:color w:val="auto"/>
        </w:rPr>
        <w:t>”), GMB,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other parties thereto (as amended, supplemented or otherwise modified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and, as amended by this Amendment and as further amended, restated, amended and restated, modified and supplemented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and not otherwise defined herein shall have the meanings assigned to such terms in the Credit Agreement.</w:t>
      </w:r>
    </w:p>
    <w:p>
      <w:pPr>
        <w:spacing w:after="0" w:line="179" w:lineRule="exact"/>
        <w:rPr>
          <w:sz w:val="20"/>
          <w:szCs w:val="20"/>
          <w:color w:val="auto"/>
        </w:rPr>
      </w:pPr>
    </w:p>
    <w:p>
      <w:pPr>
        <w:jc w:val="both"/>
        <w:ind w:right="40" w:firstLine="1429"/>
        <w:spacing w:after="0" w:line="26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2.27 of the Existing Credit Agreement provides that the Company may, by notice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propose an extension of the Termination Date, which proposal may include a proposal to change the Applicable Margins (including any provision of the Applicable Pricing Grid) for the extending Lenders as may be specified in such proposal, and that any such changes shall require only the consent of the Company, the Administrative Agent and the consenting Lenders;</w:t>
      </w:r>
    </w:p>
    <w:p>
      <w:pPr>
        <w:spacing w:after="0" w:line="181" w:lineRule="exact"/>
        <w:rPr>
          <w:sz w:val="20"/>
          <w:szCs w:val="20"/>
          <w:color w:val="auto"/>
        </w:rPr>
      </w:pPr>
    </w:p>
    <w:p>
      <w:pPr>
        <w:ind w:right="120" w:firstLine="142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2.26 of the Existing Credit Agreement provides that any Lender may increase an existing Commitment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Facility by executing and delivering an Incremental Loan Activation Notice;</w:t>
      </w:r>
    </w:p>
    <w:p>
      <w:pPr>
        <w:spacing w:after="0" w:line="162" w:lineRule="exact"/>
        <w:rPr>
          <w:sz w:val="20"/>
          <w:szCs w:val="20"/>
          <w:color w:val="auto"/>
        </w:rPr>
      </w:pPr>
    </w:p>
    <w:p>
      <w:pPr>
        <w:ind w:right="420" w:firstLine="142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10.1 of the Existing Credit Agreement provides that the Company and the Required Lenders may amend,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or modify the Credit Agreement and the other Loan Documents for certain other purposes;</w:t>
      </w:r>
    </w:p>
    <w:p>
      <w:pPr>
        <w:spacing w:after="0" w:line="162" w:lineRule="exact"/>
        <w:rPr>
          <w:sz w:val="20"/>
          <w:szCs w:val="20"/>
          <w:color w:val="auto"/>
        </w:rPr>
      </w:pPr>
    </w:p>
    <w:p>
      <w:pPr>
        <w:ind w:right="40" w:firstLine="142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10.1 of the Existing Credit Agreement provides that the Company may remove any Subsidiary as a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subject to the terms thereof;</w:t>
      </w:r>
    </w:p>
    <w:p>
      <w:pPr>
        <w:spacing w:after="0" w:line="162" w:lineRule="exact"/>
        <w:rPr>
          <w:sz w:val="20"/>
          <w:szCs w:val="20"/>
          <w:color w:val="auto"/>
        </w:rPr>
      </w:pPr>
    </w:p>
    <w:p>
      <w:pPr>
        <w:ind w:right="200" w:firstLine="142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its request to extend the Termination Date, the Company has proposed certain amendments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as further described herein;</w:t>
      </w:r>
    </w:p>
    <w:p>
      <w:pPr>
        <w:spacing w:after="0" w:line="162" w:lineRule="exact"/>
        <w:rPr>
          <w:sz w:val="20"/>
          <w:szCs w:val="20"/>
          <w:color w:val="auto"/>
        </w:rPr>
      </w:pPr>
    </w:p>
    <w:p>
      <w:pPr>
        <w:ind w:right="160" w:firstLine="1429"/>
        <w:spacing w:after="0" w:line="26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Extending and Consenting Lender party hereto is willing to all or a portion of its Commitments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so extended, the “</w:t>
      </w:r>
      <w:r>
        <w:rPr>
          <w:rFonts w:ascii="Arial" w:cs="Arial" w:eastAsia="Arial" w:hAnsi="Arial"/>
          <w:sz w:val="18"/>
          <w:szCs w:val="18"/>
          <w:u w:val="single" w:color="auto"/>
          <w:color w:val="auto"/>
        </w:rPr>
        <w:t>Extended Commitments</w:t>
      </w:r>
      <w:r>
        <w:rPr>
          <w:rFonts w:ascii="Arial" w:cs="Arial" w:eastAsia="Arial" w:hAnsi="Arial"/>
          <w:sz w:val="18"/>
          <w:szCs w:val="18"/>
          <w:color w:val="auto"/>
        </w:rPr>
        <w:t>”) and agrees to modify certain terms with respect to such Commitments and to consent to the other amendments described herein;</w:t>
      </w:r>
    </w:p>
    <w:p>
      <w:pPr>
        <w:spacing w:after="0" w:line="176" w:lineRule="exact"/>
        <w:rPr>
          <w:sz w:val="20"/>
          <w:szCs w:val="20"/>
          <w:color w:val="auto"/>
        </w:rPr>
      </w:pPr>
    </w:p>
    <w:p>
      <w:pPr>
        <w:ind w:right="140" w:firstLine="142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Incremental Lender that is a signatory hereto has agreed to increase its Extended Commitment in the amount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on its signature page hereto;</w:t>
      </w:r>
    </w:p>
    <w:p>
      <w:pPr>
        <w:sectPr>
          <w:pgSz w:w="11900" w:h="16838" w:orient="portrait"/>
          <w:cols w:equalWidth="0" w:num="1">
            <w:col w:w="11000"/>
          </w:cols>
          <w:pgMar w:left="440" w:top="121" w:right="459" w:bottom="1440" w:gutter="0" w:footer="0" w:header="0"/>
        </w:sectPr>
      </w:pPr>
    </w:p>
    <w:bookmarkStart w:id="427" w:name="page428"/>
    <w:bookmarkEnd w:id="427"/>
    <w:p>
      <w:pPr>
        <w:ind w:right="80" w:firstLine="1429"/>
        <w:spacing w:after="0" w:line="28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w:t>
      </w:r>
      <w:r>
        <w:rPr>
          <w:rFonts w:ascii="Arial" w:cs="Arial" w:eastAsia="Arial" w:hAnsi="Arial"/>
          <w:sz w:val="17"/>
          <w:szCs w:val="17"/>
          <w:color w:val="auto"/>
        </w:rPr>
        <w:t>, in consideration of the premises contained herein and for other good and valuable consideration,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sufficiency of which are hereby acknowledged, the parties hereto, intending to be legally bound hereby, agree as follows, and each Extending and Consenting Lender hereby agrees to convert all or a portion of its Commitments and any related Loans into Extended Commitments and Extended Loans (as defined below), in each case, on the terms and subject to the conditions set forth below:</w:t>
      </w:r>
    </w:p>
    <w:p>
      <w:pPr>
        <w:spacing w:after="0" w:line="165" w:lineRule="exact"/>
        <w:rPr>
          <w:sz w:val="20"/>
          <w:szCs w:val="20"/>
          <w:color w:val="auto"/>
        </w:rPr>
      </w:pPr>
    </w:p>
    <w:p>
      <w:pPr>
        <w:ind w:right="20" w:firstLine="1429"/>
        <w:spacing w:after="0" w:line="30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u w:val="single" w:color="auto"/>
          <w:color w:val="auto"/>
        </w:rPr>
        <w:t>Consent</w:t>
      </w:r>
      <w:r>
        <w:rPr>
          <w:rFonts w:ascii="Arial" w:cs="Arial" w:eastAsia="Arial" w:hAnsi="Arial"/>
          <w:sz w:val="16"/>
          <w:szCs w:val="16"/>
          <w:color w:val="auto"/>
        </w:rPr>
        <w:t>. The Required Lenders hereby consent and agree that, notwithstanding anything to the contrary set forth in the Existing Credit Agreement or any other Loan Document, a Lender may be an Extending and Consenting Lender pursuant to Section 2.27 of the Existing Credit Agreement in respect of all or any portion of its Commitments (and, for the avoidance of doubt, any Lender that elects to be an Extending and Consenting Lender solely in respect of a portion of its Commitments shall be a Non-Extending Lender with respect to its remaining Commitments.</w:t>
      </w:r>
    </w:p>
    <w:p>
      <w:pPr>
        <w:spacing w:after="0" w:line="151" w:lineRule="exact"/>
        <w:rPr>
          <w:sz w:val="20"/>
          <w:szCs w:val="20"/>
          <w:color w:val="auto"/>
        </w:rPr>
      </w:pPr>
    </w:p>
    <w:p>
      <w:pPr>
        <w:ind w:firstLine="1429"/>
        <w:spacing w:after="0" w:line="31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xml:space="preserve">. The Credit Agreement is hereby amended in accordance with Exhibit A hereto by (A) deleting each term thereof which is </w:t>
      </w:r>
      <w:r>
        <w:rPr>
          <w:rFonts w:ascii="Arial" w:cs="Arial" w:eastAsia="Arial" w:hAnsi="Arial"/>
          <w:sz w:val="17"/>
          <w:szCs w:val="17"/>
          <w:color w:val="FF0000"/>
          <w:strike w:val="1"/>
        </w:rPr>
        <w:t>stricken</w:t>
      </w:r>
      <w:r>
        <w:rPr>
          <w:rFonts w:ascii="Arial" w:cs="Arial" w:eastAsia="Arial" w:hAnsi="Arial"/>
          <w:sz w:val="17"/>
          <w:szCs w:val="17"/>
          <w:color w:val="auto"/>
        </w:rPr>
        <w:t xml:space="preserve"> and (B) inserting each term thereof which is </w:t>
      </w:r>
      <w:r>
        <w:rPr>
          <w:rFonts w:ascii="Arial" w:cs="Arial" w:eastAsia="Arial" w:hAnsi="Arial"/>
          <w:sz w:val="17"/>
          <w:szCs w:val="17"/>
          <w:u w:val="single" w:color="auto"/>
          <w:color w:val="0000FF"/>
        </w:rPr>
        <w:t>underlined</w:t>
      </w:r>
      <w:r>
        <w:rPr>
          <w:rFonts w:ascii="Arial" w:cs="Arial" w:eastAsia="Arial" w:hAnsi="Arial"/>
          <w:sz w:val="17"/>
          <w:szCs w:val="17"/>
          <w:color w:val="auto"/>
        </w:rPr>
        <w:t>, in each case in the place where such term appears therein.</w:t>
      </w:r>
    </w:p>
    <w:p>
      <w:pPr>
        <w:spacing w:after="0" w:line="140" w:lineRule="exact"/>
        <w:rPr>
          <w:sz w:val="20"/>
          <w:szCs w:val="20"/>
          <w:color w:val="auto"/>
        </w:rPr>
      </w:pPr>
    </w:p>
    <w:p>
      <w:pPr>
        <w:ind w:firstLine="1429"/>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Commitments and Loans Extended; Commitment Increases</w:t>
      </w:r>
      <w:r>
        <w:rPr>
          <w:rFonts w:ascii="Arial" w:cs="Arial" w:eastAsia="Arial" w:hAnsi="Arial"/>
          <w:sz w:val="18"/>
          <w:szCs w:val="18"/>
          <w:color w:val="auto"/>
        </w:rPr>
        <w:t>. Upon the First Amendment Effective Date (as defined below), the Commitments of each Extending and Consenting Lender described on such Lender’s signature page hereto as an Extended Commitment (and the related outstandings) shall be converted into Extended Commitments (and related outstandings (such related outstandings, the “</w:t>
      </w:r>
      <w:r>
        <w:rPr>
          <w:rFonts w:ascii="Arial" w:cs="Arial" w:eastAsia="Arial" w:hAnsi="Arial"/>
          <w:sz w:val="18"/>
          <w:szCs w:val="18"/>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as the case may be). Except as set forth in this Amendment or in the Credit Agreement, the Extended Commitments and Extended Loans under any Facility shall have all of the same terms as the Commitments and Loans, as applicable, under such Facility from which they were converted. For the avoidance of doubt, the Extended Commitments (and the Extended Commitments under any Facility) shall constitute Commitments under the Credit Agreement (and under the applicable Facility) and any loans advanced pursuant to the Extended Commitments shall constitute Loans for purposes of the Credit Agreement.</w:t>
      </w:r>
    </w:p>
    <w:p>
      <w:pPr>
        <w:spacing w:after="0" w:line="191" w:lineRule="exact"/>
        <w:rPr>
          <w:sz w:val="20"/>
          <w:szCs w:val="20"/>
          <w:color w:val="auto"/>
        </w:rPr>
      </w:pPr>
    </w:p>
    <w:p>
      <w:pPr>
        <w:ind w:right="80" w:firstLine="1429"/>
        <w:spacing w:after="0" w:line="278" w:lineRule="auto"/>
        <w:rPr>
          <w:sz w:val="20"/>
          <w:szCs w:val="20"/>
          <w:color w:val="auto"/>
        </w:rPr>
      </w:pPr>
      <w:r>
        <w:rPr>
          <w:rFonts w:ascii="Arial" w:cs="Arial" w:eastAsia="Arial" w:hAnsi="Arial"/>
          <w:sz w:val="17"/>
          <w:szCs w:val="17"/>
          <w:color w:val="auto"/>
        </w:rPr>
        <w:t>Upon the First Amendment Effective Date, the Extended Commitment of each Incremental Lender that is a signatory hereto in such capacity shall be increased in the amount set forth on its signature page hereto (and the First Amendment Effective Date shall be the Commitment Increase Date with respect to such Commitment Increase). The parties hereto hereby agree that this Amendment shall constitute an Incremental Loan Activation Notice for all purposes of the Credit Agreement and the other Loan Documents.</w:t>
      </w:r>
    </w:p>
    <w:p>
      <w:pPr>
        <w:spacing w:after="0" w:line="172" w:lineRule="exact"/>
        <w:rPr>
          <w:sz w:val="20"/>
          <w:szCs w:val="20"/>
          <w:color w:val="auto"/>
        </w:rPr>
      </w:pPr>
    </w:p>
    <w:p>
      <w:pPr>
        <w:ind w:right="80" w:firstLine="1429"/>
        <w:spacing w:after="0" w:line="271" w:lineRule="auto"/>
        <w:rPr>
          <w:sz w:val="20"/>
          <w:szCs w:val="20"/>
          <w:color w:val="auto"/>
        </w:rPr>
      </w:pPr>
      <w:r>
        <w:rPr>
          <w:rFonts w:ascii="Arial" w:cs="Arial" w:eastAsia="Arial" w:hAnsi="Arial"/>
          <w:sz w:val="17"/>
          <w:szCs w:val="17"/>
          <w:color w:val="auto"/>
        </w:rPr>
        <w:t>On the First Amendment Effective Date, (i) each Incremental Lender that is a signatory hereto in such capacity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2.20 of the Credit Agreement as a result of such prepayment.</w:t>
      </w:r>
    </w:p>
    <w:p>
      <w:pPr>
        <w:spacing w:after="0" w:line="175" w:lineRule="exact"/>
        <w:rPr>
          <w:sz w:val="20"/>
          <w:szCs w:val="20"/>
          <w:color w:val="auto"/>
        </w:rPr>
      </w:pPr>
    </w:p>
    <w:p>
      <w:pPr>
        <w:ind w:left="1440"/>
        <w:spacing w:after="0"/>
        <w:tabs>
          <w:tab w:leader="none" w:pos="23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b w:val="1"/>
          <w:bCs w:val="1"/>
          <w:u w:val="single" w:color="auto"/>
          <w:color w:val="auto"/>
        </w:rPr>
        <w:t>Schedules</w:t>
      </w:r>
      <w:r>
        <w:rPr>
          <w:rFonts w:ascii="Arial" w:cs="Arial" w:eastAsia="Arial" w:hAnsi="Arial"/>
          <w:sz w:val="16"/>
          <w:szCs w:val="16"/>
          <w:color w:val="auto"/>
        </w:rPr>
        <w:t>. The Schedules to the Credit Agreement are hereby replaced in full with the Schedules set forth as Annex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428" w:name="page429"/>
    <w:bookmarkEnd w:id="428"/>
    <w:p>
      <w:pPr>
        <w:ind w:right="140" w:firstLine="1429"/>
        <w:spacing w:after="0" w:line="28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7"/>
          <w:szCs w:val="17"/>
          <w:b w:val="1"/>
          <w:bCs w:val="1"/>
          <w:u w:val="single" w:color="auto"/>
          <w:color w:val="auto"/>
        </w:rPr>
        <w:t>Credit Agreement</w:t>
      </w:r>
      <w:r>
        <w:rPr>
          <w:rFonts w:ascii="Arial" w:cs="Arial" w:eastAsia="Arial" w:hAnsi="Arial"/>
          <w:sz w:val="17"/>
          <w:szCs w:val="17"/>
          <w:color w:val="auto"/>
        </w:rPr>
        <w:t>. As of the First Amendment Effective Date, the Credit Agreement shall be deemed amended and modified to reflect the terms set forth in this Amendment. Except as set forth in this Amendment, the Extended Commitments and the Extended Loans shall otherwise be subject to the provisions of the Credit Agreement and the other Loan Documents.</w:t>
      </w:r>
    </w:p>
    <w:p>
      <w:pPr>
        <w:spacing w:after="0" w:line="158" w:lineRule="exact"/>
        <w:rPr>
          <w:sz w:val="20"/>
          <w:szCs w:val="20"/>
          <w:color w:val="auto"/>
        </w:rPr>
      </w:pPr>
    </w:p>
    <w:p>
      <w:pPr>
        <w:ind w:right="100" w:firstLine="1429"/>
        <w:spacing w:after="0" w:line="281"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u w:val="single" w:color="auto"/>
          <w:color w:val="auto"/>
        </w:rPr>
        <w:t>Representations and Warranties, No Default</w:t>
      </w:r>
      <w:r>
        <w:rPr>
          <w:rFonts w:ascii="Arial" w:cs="Arial" w:eastAsia="Arial" w:hAnsi="Arial"/>
          <w:sz w:val="18"/>
          <w:szCs w:val="18"/>
          <w:color w:val="auto"/>
        </w:rPr>
        <w:t>. In order to induce the Extending and Consenting Lenders to enter into this Amendment, the Company represents and warrants to each Extending and Consenting Lender that:</w:t>
      </w:r>
    </w:p>
    <w:p>
      <w:pPr>
        <w:spacing w:after="0" w:line="166" w:lineRule="exact"/>
        <w:rPr>
          <w:sz w:val="20"/>
          <w:szCs w:val="20"/>
          <w:color w:val="auto"/>
        </w:rPr>
      </w:pPr>
    </w:p>
    <w:p>
      <w:pPr>
        <w:ind w:firstLine="1438"/>
        <w:spacing w:after="0" w:line="301" w:lineRule="auto"/>
        <w:tabs>
          <w:tab w:leader="none" w:pos="1797" w:val="left"/>
        </w:tabs>
        <w:numPr>
          <w:ilvl w:val="1"/>
          <w:numId w:val="395"/>
        </w:numPr>
        <w:rPr>
          <w:rFonts w:ascii="Arial" w:cs="Arial" w:eastAsia="Arial" w:hAnsi="Arial"/>
          <w:sz w:val="16"/>
          <w:szCs w:val="16"/>
          <w:color w:val="auto"/>
        </w:rPr>
      </w:pPr>
      <w:r>
        <w:rPr>
          <w:rFonts w:ascii="Arial" w:cs="Arial" w:eastAsia="Arial" w:hAnsi="Arial"/>
          <w:sz w:val="16"/>
          <w:szCs w:val="16"/>
          <w:color w:val="auto"/>
        </w:rPr>
        <w:t>After giving effect to this Amendment,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of the Credit Agreement), in which case, such representations and warranties shall have been true and correct in all material respects on and as of such earlier date).</w:t>
      </w:r>
    </w:p>
    <w:p>
      <w:pPr>
        <w:spacing w:after="0" w:line="154" w:lineRule="exact"/>
        <w:rPr>
          <w:rFonts w:ascii="Arial" w:cs="Arial" w:eastAsia="Arial" w:hAnsi="Arial"/>
          <w:sz w:val="16"/>
          <w:szCs w:val="16"/>
          <w:color w:val="auto"/>
        </w:rPr>
      </w:pPr>
    </w:p>
    <w:p>
      <w:pPr>
        <w:ind w:right="140" w:firstLine="1438"/>
        <w:spacing w:after="0" w:line="290" w:lineRule="auto"/>
        <w:tabs>
          <w:tab w:leader="none" w:pos="1817" w:val="left"/>
        </w:tabs>
        <w:numPr>
          <w:ilvl w:val="1"/>
          <w:numId w:val="395"/>
        </w:numPr>
        <w:rPr>
          <w:rFonts w:ascii="Arial" w:cs="Arial" w:eastAsia="Arial" w:hAnsi="Arial"/>
          <w:sz w:val="16"/>
          <w:szCs w:val="16"/>
          <w:color w:val="auto"/>
        </w:rPr>
      </w:pPr>
      <w:r>
        <w:rPr>
          <w:rFonts w:ascii="Arial" w:cs="Arial" w:eastAsia="Arial" w:hAnsi="Arial"/>
          <w:sz w:val="16"/>
          <w:szCs w:val="16"/>
          <w:color w:val="auto"/>
        </w:rPr>
        <w:t>Each Loan Party (i) has the requisite organizational power and authority to execute, deliver and perform its obligations under this Amendment, (ii) has taken all necessary corporate or other organizational action to authorize the execution, delivery and performance hereof,</w:t>
      </w:r>
    </w:p>
    <w:p>
      <w:pPr>
        <w:ind w:right="80" w:firstLine="9"/>
        <w:spacing w:after="0" w:line="253" w:lineRule="auto"/>
        <w:tabs>
          <w:tab w:leader="none" w:pos="31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has duly executed and delivered this Amendment, (iv) this Amendment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0" w:lineRule="exact"/>
        <w:rPr>
          <w:rFonts w:ascii="Arial" w:cs="Arial" w:eastAsia="Arial" w:hAnsi="Arial"/>
          <w:sz w:val="18"/>
          <w:szCs w:val="18"/>
          <w:color w:val="auto"/>
        </w:rPr>
      </w:pPr>
    </w:p>
    <w:p>
      <w:pPr>
        <w:ind w:left="1820" w:hanging="382"/>
        <w:spacing w:after="0"/>
        <w:tabs>
          <w:tab w:leader="none" w:pos="18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and</w:t>
      </w:r>
    </w:p>
    <w:p>
      <w:pPr>
        <w:spacing w:after="0" w:line="224" w:lineRule="exact"/>
        <w:rPr>
          <w:rFonts w:ascii="Arial" w:cs="Arial" w:eastAsia="Arial" w:hAnsi="Arial"/>
          <w:sz w:val="18"/>
          <w:szCs w:val="18"/>
          <w:color w:val="auto"/>
        </w:rPr>
      </w:pPr>
    </w:p>
    <w:p>
      <w:pPr>
        <w:ind w:right="60" w:firstLine="1438"/>
        <w:spacing w:after="0" w:line="311" w:lineRule="auto"/>
        <w:tabs>
          <w:tab w:leader="none" w:pos="1808" w:val="left"/>
        </w:tabs>
        <w:numPr>
          <w:ilvl w:val="1"/>
          <w:numId w:val="396"/>
        </w:numPr>
        <w:rPr>
          <w:rFonts w:ascii="Arial" w:cs="Arial" w:eastAsia="Arial" w:hAnsi="Arial"/>
          <w:sz w:val="16"/>
          <w:szCs w:val="16"/>
          <w:color w:val="auto"/>
        </w:rPr>
      </w:pPr>
      <w:r>
        <w:rPr>
          <w:rFonts w:ascii="Arial" w:cs="Arial" w:eastAsia="Arial" w:hAnsi="Arial"/>
          <w:sz w:val="16"/>
          <w:szCs w:val="16"/>
          <w:color w:val="auto"/>
        </w:rPr>
        <w:t>After giving effect to this Amendment, the sum of the Total Commitments in effect (including, for the avoidance of doubt, Incremental Commitments), the 3-Year Total Commitments (including, for the avoidance of doubt, any commitments under incremental facilities under the 3-Year Revolving Credit Agreement in effect) and the aggregate amount of all Ancillary Commitments in effect shall not exceed $18.0 billion.</w:t>
      </w:r>
    </w:p>
    <w:p>
      <w:pPr>
        <w:spacing w:after="0" w:line="143" w:lineRule="exact"/>
        <w:rPr>
          <w:sz w:val="20"/>
          <w:szCs w:val="20"/>
          <w:color w:val="auto"/>
        </w:rPr>
      </w:pPr>
    </w:p>
    <w:p>
      <w:pPr>
        <w:ind w:right="600" w:firstLine="1429"/>
        <w:spacing w:after="0" w:line="34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b w:val="1"/>
          <w:bCs w:val="1"/>
          <w:u w:val="single" w:color="auto"/>
          <w:color w:val="auto"/>
        </w:rPr>
        <w:t>Removal of GMGTC.</w:t>
      </w:r>
      <w:r>
        <w:rPr>
          <w:rFonts w:ascii="Arial" w:cs="Arial" w:eastAsia="Arial" w:hAnsi="Arial"/>
          <w:sz w:val="16"/>
          <w:szCs w:val="16"/>
          <w:color w:val="auto"/>
        </w:rPr>
        <w:t xml:space="preserve"> The parties hereto hereby agree that this Amendment shall constitute notice to the Administrative Agent of the removal of GMGTC as a Subsidiary Borrower pursuant to Section 10.1(d)(ii)(A) of the Existing Credit Agreement.</w:t>
      </w:r>
    </w:p>
    <w:p>
      <w:pPr>
        <w:spacing w:after="0" w:line="116" w:lineRule="exact"/>
        <w:rPr>
          <w:sz w:val="20"/>
          <w:szCs w:val="20"/>
          <w:color w:val="auto"/>
        </w:rPr>
      </w:pPr>
    </w:p>
    <w:p>
      <w:pPr>
        <w:ind w:right="100" w:firstLine="1429"/>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u w:val="single" w:color="auto"/>
          <w:color w:val="auto"/>
        </w:rPr>
        <w:t>Schedule 1.1A</w:t>
      </w:r>
      <w:r>
        <w:rPr>
          <w:rFonts w:ascii="Arial" w:cs="Arial" w:eastAsia="Arial" w:hAnsi="Arial"/>
          <w:sz w:val="18"/>
          <w:szCs w:val="18"/>
          <w:color w:val="auto"/>
        </w:rPr>
        <w:t>. Concurrently with the effectiveness of this Amendment, Santander Bank, N.A. shall assign all of its Loans, Commitments, rights and obligations under the Credit Agreement to Banco Santander, S.A., New York Branch and Schedule 1.1A of the Credit Agreement is hereby deemed amended to replace Santander Bank, N.A. with Banco Santander, S.A., New York Branch. Such assignment shall be deemed to be consummated pursuant to and in compliance with Section 10.6 of the Credit Agreement. As of the First Amendment Effective Date, Banco Santander, S.A., New York Branch agrees that it shall be considered a Lender and a Multicurrency Lender for all purposes under the Credit Agreement and agrees to be bound by the terms thereof.</w:t>
      </w:r>
    </w:p>
    <w:p>
      <w:pPr>
        <w:spacing w:after="0" w:line="184" w:lineRule="exact"/>
        <w:rPr>
          <w:sz w:val="20"/>
          <w:szCs w:val="20"/>
          <w:color w:val="auto"/>
        </w:rPr>
      </w:pPr>
    </w:p>
    <w:p>
      <w:pPr>
        <w:jc w:val="both"/>
        <w:ind w:right="500" w:firstLine="1429"/>
        <w:spacing w:after="0" w:line="28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b w:val="1"/>
          <w:bCs w:val="1"/>
          <w:u w:val="single" w:color="auto"/>
          <w:color w:val="auto"/>
        </w:rPr>
        <w:t>Effectiveness</w:t>
      </w:r>
      <w:r>
        <w:rPr>
          <w:rFonts w:ascii="Arial" w:cs="Arial" w:eastAsia="Arial" w:hAnsi="Arial"/>
          <w:sz w:val="17"/>
          <w:szCs w:val="17"/>
          <w:color w:val="auto"/>
        </w:rPr>
        <w:t>. This Amendment and the amendments and consents to the Credit Agreement set forth herein shall become effective on the date (such date, if any, the “</w:t>
      </w:r>
      <w:r>
        <w:rPr>
          <w:rFonts w:ascii="Arial" w:cs="Arial" w:eastAsia="Arial" w:hAnsi="Arial"/>
          <w:sz w:val="17"/>
          <w:szCs w:val="17"/>
          <w:u w:val="single" w:color="auto"/>
          <w:color w:val="auto"/>
        </w:rPr>
        <w:t>First Amendment Effective Date</w:t>
      </w:r>
      <w:r>
        <w:rPr>
          <w:rFonts w:ascii="Arial" w:cs="Arial" w:eastAsia="Arial" w:hAnsi="Arial"/>
          <w:sz w:val="17"/>
          <w:szCs w:val="17"/>
          <w:color w:val="auto"/>
        </w:rPr>
        <w:t>”) that the following conditions have been satisfied (it being understood and agreed that Section 1 hereof shall become effective immediately prior to Sections 2, 3 and 4 hereof):</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429" w:name="page430"/>
    <w:bookmarkEnd w:id="429"/>
    <w:p>
      <w:pPr>
        <w:ind w:right="700" w:firstLine="1438"/>
        <w:spacing w:after="0" w:line="276" w:lineRule="auto"/>
        <w:tabs>
          <w:tab w:leader="none" w:pos="1807" w:val="left"/>
        </w:tabs>
        <w:numPr>
          <w:ilvl w:val="1"/>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receipt by the Administrative Agent of executed signature pages hereto from each Loan Party and each Extending and Consenting Lender (which Extending and Consenting Lenders constitute Required Lenders);</w:t>
      </w:r>
    </w:p>
    <w:p>
      <w:pPr>
        <w:spacing w:after="0" w:line="170" w:lineRule="exact"/>
        <w:rPr>
          <w:rFonts w:ascii="Arial" w:cs="Arial" w:eastAsia="Arial" w:hAnsi="Arial"/>
          <w:sz w:val="18"/>
          <w:szCs w:val="18"/>
          <w:color w:val="auto"/>
        </w:rPr>
      </w:pPr>
    </w:p>
    <w:p>
      <w:pPr>
        <w:ind w:right="220" w:firstLine="1438"/>
        <w:spacing w:after="0" w:line="276" w:lineRule="auto"/>
        <w:tabs>
          <w:tab w:leader="none" w:pos="181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First Amendment Effective Date or after giving effect to the Amendment;</w:t>
      </w:r>
    </w:p>
    <w:p>
      <w:pPr>
        <w:spacing w:after="0" w:line="170" w:lineRule="exact"/>
        <w:rPr>
          <w:rFonts w:ascii="Arial" w:cs="Arial" w:eastAsia="Arial" w:hAnsi="Arial"/>
          <w:sz w:val="18"/>
          <w:szCs w:val="18"/>
          <w:color w:val="auto"/>
        </w:rPr>
      </w:pPr>
    </w:p>
    <w:p>
      <w:pPr>
        <w:ind w:right="220" w:firstLine="1438"/>
        <w:spacing w:after="0" w:line="263" w:lineRule="auto"/>
        <w:tabs>
          <w:tab w:leader="none" w:pos="180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Lenders, the Administrative Agent and the Arrangers shall have received all fees and out-of-pocket expenses required to be paid hereunder and under the Credit Agreement (with respect to such expenses) invoiced at least three (3) Business Days prior to the First Amendment Effective Date;</w:t>
      </w:r>
    </w:p>
    <w:p>
      <w:pPr>
        <w:spacing w:after="0" w:line="181" w:lineRule="exact"/>
        <w:rPr>
          <w:rFonts w:ascii="Arial" w:cs="Arial" w:eastAsia="Arial" w:hAnsi="Arial"/>
          <w:sz w:val="18"/>
          <w:szCs w:val="18"/>
          <w:color w:val="auto"/>
        </w:rPr>
      </w:pPr>
    </w:p>
    <w:p>
      <w:pPr>
        <w:ind w:right="20" w:firstLine="1438"/>
        <w:spacing w:after="0" w:line="254" w:lineRule="auto"/>
        <w:tabs>
          <w:tab w:leader="none" w:pos="181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Administrative Agent shall have received (i) a certificate of each Loan Party (or a certificate of the Loan Parties), dated as of the First Amendment Effective Date, substantially in the form of Exhibit F to the Credit Agreement,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as of the First Amendment Effective Date, to the effect that the conditions set forth in Section 5.2 of the Credit Agreement have been satisfied or waived;</w:t>
      </w:r>
    </w:p>
    <w:p>
      <w:pPr>
        <w:spacing w:after="0" w:line="190" w:lineRule="exact"/>
        <w:rPr>
          <w:rFonts w:ascii="Arial" w:cs="Arial" w:eastAsia="Arial" w:hAnsi="Arial"/>
          <w:sz w:val="18"/>
          <w:szCs w:val="18"/>
          <w:color w:val="auto"/>
        </w:rPr>
      </w:pPr>
    </w:p>
    <w:p>
      <w:pPr>
        <w:ind w:left="1820" w:hanging="382"/>
        <w:spacing w:after="0"/>
        <w:tabs>
          <w:tab w:leader="none" w:pos="182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The Administrative Agent shall have received the executed legal opinion of (i) in-house counsel to the Loan Parties and</w:t>
      </w:r>
    </w:p>
    <w:p>
      <w:pPr>
        <w:spacing w:after="0" w:line="34" w:lineRule="exact"/>
        <w:rPr>
          <w:rFonts w:ascii="Arial" w:cs="Arial" w:eastAsia="Arial" w:hAnsi="Arial"/>
          <w:sz w:val="17"/>
          <w:szCs w:val="17"/>
          <w:color w:val="auto"/>
        </w:rPr>
      </w:pPr>
    </w:p>
    <w:p>
      <w:pPr>
        <w:ind w:left="280" w:hanging="271"/>
        <w:spacing w:after="0"/>
        <w:tabs>
          <w:tab w:leader="none" w:pos="2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Mayer Brown LLP, counsel to the Loan Parties, each in form and substance reasonably acceptable to the Administrative Agent;</w:t>
      </w:r>
    </w:p>
    <w:p>
      <w:pPr>
        <w:spacing w:after="0" w:line="209" w:lineRule="exact"/>
        <w:rPr>
          <w:rFonts w:ascii="Arial" w:cs="Arial" w:eastAsia="Arial" w:hAnsi="Arial"/>
          <w:sz w:val="18"/>
          <w:szCs w:val="18"/>
          <w:color w:val="auto"/>
        </w:rPr>
      </w:pPr>
    </w:p>
    <w:p>
      <w:pPr>
        <w:ind w:right="40" w:firstLine="1438"/>
        <w:spacing w:after="0" w:line="301" w:lineRule="auto"/>
        <w:tabs>
          <w:tab w:leader="none" w:pos="1778" w:val="left"/>
        </w:tabs>
        <w:numPr>
          <w:ilvl w:val="1"/>
          <w:numId w:val="398"/>
        </w:numPr>
        <w:rPr>
          <w:rFonts w:ascii="Arial" w:cs="Arial" w:eastAsia="Arial" w:hAnsi="Arial"/>
          <w:sz w:val="16"/>
          <w:szCs w:val="16"/>
          <w:color w:val="auto"/>
        </w:rPr>
      </w:pPr>
      <w:r>
        <w:rPr>
          <w:rFonts w:ascii="Arial" w:cs="Arial" w:eastAsia="Arial" w:hAnsi="Arial"/>
          <w:sz w:val="16"/>
          <w:szCs w:val="16"/>
          <w:color w:val="auto"/>
        </w:rPr>
        <w:t>After giving effect to this Amendment,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of the Credit Agreement), in which case, such representations and warranties shall have been true and correct in all material respects on and as of such earlier date);</w:t>
      </w:r>
    </w:p>
    <w:p>
      <w:pPr>
        <w:spacing w:after="0" w:line="154" w:lineRule="exact"/>
        <w:rPr>
          <w:rFonts w:ascii="Arial" w:cs="Arial" w:eastAsia="Arial" w:hAnsi="Arial"/>
          <w:sz w:val="16"/>
          <w:szCs w:val="16"/>
          <w:color w:val="auto"/>
        </w:rPr>
      </w:pPr>
    </w:p>
    <w:p>
      <w:pPr>
        <w:ind w:right="220" w:firstLine="1438"/>
        <w:spacing w:after="0" w:line="285" w:lineRule="auto"/>
        <w:tabs>
          <w:tab w:leader="none" w:pos="1814" w:val="left"/>
        </w:tabs>
        <w:numPr>
          <w:ilvl w:val="1"/>
          <w:numId w:val="398"/>
        </w:numPr>
        <w:rPr>
          <w:rFonts w:ascii="Arial" w:cs="Arial" w:eastAsia="Arial" w:hAnsi="Arial"/>
          <w:sz w:val="17"/>
          <w:szCs w:val="17"/>
          <w:color w:val="auto"/>
        </w:rPr>
      </w:pPr>
      <w:r>
        <w:rPr>
          <w:rFonts w:ascii="Arial" w:cs="Arial" w:eastAsia="Arial" w:hAnsi="Arial"/>
          <w:sz w:val="17"/>
          <w:szCs w:val="17"/>
          <w:color w:val="auto"/>
        </w:rPr>
        <w:t>The Administrative Agent shall have received all documentation and other information reasonably requested by the Administrative Agent or any Lender who is not a lender under the Existing Three Year Credit Agreement under applicable “know your customer” and anti-money-laundering rules and regulations, including the USA Patriot Act and the Beneficial Ownership Regulation;</w:t>
      </w:r>
    </w:p>
    <w:p>
      <w:pPr>
        <w:spacing w:after="0" w:line="165" w:lineRule="exact"/>
        <w:rPr>
          <w:rFonts w:ascii="Arial" w:cs="Arial" w:eastAsia="Arial" w:hAnsi="Arial"/>
          <w:sz w:val="17"/>
          <w:szCs w:val="17"/>
          <w:color w:val="auto"/>
        </w:rPr>
      </w:pPr>
    </w:p>
    <w:p>
      <w:pPr>
        <w:ind w:right="100" w:firstLine="1438"/>
        <w:spacing w:after="0" w:line="311" w:lineRule="auto"/>
        <w:tabs>
          <w:tab w:leader="none" w:pos="1808" w:val="left"/>
        </w:tabs>
        <w:numPr>
          <w:ilvl w:val="1"/>
          <w:numId w:val="398"/>
        </w:numPr>
        <w:rPr>
          <w:rFonts w:ascii="Arial" w:cs="Arial" w:eastAsia="Arial" w:hAnsi="Arial"/>
          <w:sz w:val="16"/>
          <w:szCs w:val="16"/>
          <w:color w:val="auto"/>
        </w:rPr>
      </w:pPr>
      <w:r>
        <w:rPr>
          <w:rFonts w:ascii="Arial" w:cs="Arial" w:eastAsia="Arial" w:hAnsi="Arial"/>
          <w:sz w:val="16"/>
          <w:szCs w:val="16"/>
          <w:color w:val="auto"/>
        </w:rPr>
        <w:t>After giving effect to this Amendment, the sum of the Total Commitments in effect (including, for the avoidance of doubt, Incremental Commitments), the 3-Year Total Commitments (including, for the avoidance of doubt, any commitments under incremental facilities under the 3-Year Revolving Credit Agreement in effect) and the aggregate amount of all Ancillary Commitments in effect shall not exceed $18 billion; and</w:t>
      </w:r>
    </w:p>
    <w:p>
      <w:pPr>
        <w:spacing w:after="0" w:line="146" w:lineRule="exact"/>
        <w:rPr>
          <w:rFonts w:ascii="Arial" w:cs="Arial" w:eastAsia="Arial" w:hAnsi="Arial"/>
          <w:sz w:val="16"/>
          <w:szCs w:val="16"/>
          <w:color w:val="auto"/>
        </w:rPr>
      </w:pPr>
    </w:p>
    <w:p>
      <w:pPr>
        <w:ind w:firstLine="1438"/>
        <w:spacing w:after="0" w:line="263" w:lineRule="auto"/>
        <w:tabs>
          <w:tab w:leader="none" w:pos="176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All loans and other accrued amounts under that certain 364-Day Revolving Credit Agreement, dated as of May 13, 2020, among the Company, the lenders from time to time party thereto, JPMorgan Chase Bank, N.A., as administrative agent and the other parties thereto shall have been repaid and all commitments thereunder shall have been terminated.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430" w:name="page431"/>
    <w:bookmarkEnd w:id="430"/>
    <w:p>
      <w:pPr>
        <w:ind w:right="80" w:firstLine="1429"/>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e-mail or facsimile transmission shall be effective as delivery of a manually executed counterpart hereof. The words “execution,” “signed,” “signature,” “delivery,” and words of like import in or relating to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spacing w:after="0" w:line="156" w:lineRule="exact"/>
        <w:rPr>
          <w:sz w:val="20"/>
          <w:szCs w:val="20"/>
          <w:color w:val="auto"/>
        </w:rPr>
      </w:pPr>
    </w:p>
    <w:p>
      <w:pPr>
        <w:ind w:right="200" w:firstLine="1429"/>
        <w:spacing w:after="0" w:line="26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THIS AMENDMENT AND THE RIGHTS AND OBLIGATIONS OF THE PARTIES UNDER THIS AMENDMENT SHALL BE GOVERNED BY, AND CONSTRUED AND INTERPRETED IN ACCORDANCE WITH, THE LAWS OF THE STATE OF NEW YORK.</w:t>
      </w:r>
    </w:p>
    <w:p>
      <w:pPr>
        <w:spacing w:after="0" w:line="176" w:lineRule="exact"/>
        <w:rPr>
          <w:sz w:val="20"/>
          <w:szCs w:val="20"/>
          <w:color w:val="auto"/>
        </w:rPr>
      </w:pPr>
    </w:p>
    <w:p>
      <w:pPr>
        <w:ind w:right="80" w:firstLine="1429"/>
        <w:spacing w:after="0" w:line="28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Subsection headings in this Amendment are included herein for convenience of reference only and shall not constitute a part of this Amendment for any other purpose or be given any substantive effect.</w:t>
      </w:r>
    </w:p>
    <w:p>
      <w:pPr>
        <w:spacing w:after="0" w:line="162" w:lineRule="exact"/>
        <w:rPr>
          <w:sz w:val="20"/>
          <w:szCs w:val="20"/>
          <w:color w:val="auto"/>
        </w:rPr>
      </w:pPr>
    </w:p>
    <w:p>
      <w:pPr>
        <w:ind w:firstLine="1429"/>
        <w:spacing w:after="0" w:line="28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b w:val="1"/>
          <w:bCs w:val="1"/>
          <w:u w:val="single" w:color="auto"/>
          <w:color w:val="auto"/>
        </w:rPr>
        <w:t>Effect of Amendment</w:t>
      </w:r>
      <w:r>
        <w:rPr>
          <w:rFonts w:ascii="Arial" w:cs="Arial" w:eastAsia="Arial" w:hAnsi="Arial"/>
          <w:sz w:val="16"/>
          <w:szCs w:val="16"/>
          <w:color w:val="auto"/>
        </w:rPr>
        <w:t>. Except as expressly set forth herein, (i) this Amendment shall not by implication or otherwise limit, impair, constitute a waiver of or otherwise affect the rights and remedies of the Lenders, the Administrative Agent or any other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This Amendment shall constitute a Loan Document for purposes of the Credit Agreement and from and after the First Amendment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and modified by this Amendment. Each of the Loan Parties party hereto hereby (i) consents to this Amendment, (ii) ratifies and reaffirms all of its payment and performance of all obligations of such Loan Party, contingent or otherwise, under each of the Loan Documents to which it is a party, and (iii) in the case of each Guarantor, ratifies and reaffirms its guaranty of the Obligations pursuant to the Loan Documents. Each Loan Document, after giving effect to this Amendment, is and shall continue to be in full force and effect and is hereby in all respects ratified and confirmed. Nothing in this Amendment shall be deemed to be a novation of any of the Obligations under the existing Credit Agreement or the other Loan Documents;</w:t>
      </w:r>
    </w:p>
    <w:p>
      <w:pPr>
        <w:spacing w:after="0" w:line="161" w:lineRule="exact"/>
        <w:rPr>
          <w:sz w:val="20"/>
          <w:szCs w:val="20"/>
          <w:color w:val="auto"/>
        </w:rPr>
      </w:pPr>
    </w:p>
    <w:p>
      <w:pPr>
        <w:ind w:right="140" w:firstLine="1429"/>
        <w:spacing w:after="0" w:line="281"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u w:val="single" w:color="auto"/>
          <w:color w:val="auto"/>
        </w:rPr>
        <w:t>Submission To Jurisdiction; Waivers</w:t>
      </w:r>
      <w:r>
        <w:rPr>
          <w:rFonts w:ascii="Arial" w:cs="Arial" w:eastAsia="Arial" w:hAnsi="Arial"/>
          <w:sz w:val="18"/>
          <w:szCs w:val="18"/>
          <w:color w:val="auto"/>
        </w:rPr>
        <w:t xml:space="preserve">. Each of the parties hereto hereby irrevocably and unconditionally agrees that Section 10.12 and Section 10.17 of the Credit Agreement is incorporated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69" w:right="479" w:bottom="1440" w:gutter="0" w:footer="0" w:header="0"/>
        </w:sectPr>
      </w:pPr>
    </w:p>
    <w:bookmarkStart w:id="431" w:name="page432"/>
    <w:bookmarkEnd w:id="431"/>
    <w:p>
      <w:pPr>
        <w:ind w:right="20" w:firstLine="1429"/>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Amendment to be duly executed by their respective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of the day and year first above written.</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14605</wp:posOffset>
            </wp:positionV>
            <wp:extent cx="255714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Rakesh K. Gupta</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Vice President and Treasurer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GENERAL MOTORS FINANCIAL COMPANY, INC.</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14605</wp:posOffset>
            </wp:positionV>
            <wp:extent cx="255714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Richard A. Gokenbach, Jr.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Executive Vice President and Treasurer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DO BRASIL LTDA.</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Marina de Mesquita Willisch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14605</wp:posOffset>
            </wp:positionV>
            <wp:extent cx="255714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Marina de Mesquita Willisch</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Vice President of Public Relations</w:t>
      </w:r>
    </w:p>
    <w:p>
      <w:pPr>
        <w:spacing w:after="0" w:line="21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10600"/>
          </w:cols>
          <w:pgMar w:left="440" w:top="269" w:right="85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5714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Jonathan Bennett</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10"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10019"/>
          </w:cols>
          <w:pgMar w:left="440" w:top="273" w:right="1440" w:bottom="1440" w:gutter="0" w:footer="0" w:header="0"/>
        </w:sectPr>
      </w:pPr>
    </w:p>
    <w:bookmarkStart w:id="433" w:name="page434"/>
    <w:bookmarkEnd w:id="433"/>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[Agricultural Bank of China, Ltd. New York Branch], as</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Extending and 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745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8745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Nelson Chou</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SVP</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34" w:name="page435"/>
    <w:bookmarkEnd w:id="434"/>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BANK OF AMERICA, N.A., as Extending and Consenting</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1198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Brian Lukehart</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35" w:name="page436"/>
    <w:bookmarkEnd w:id="435"/>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BANCO BILBAO VIZCAYA ARGENTARIA, S.A.</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NEW YORK BRANCH, as Extending and Consenting</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935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89357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Brian Crowley</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145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91452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Miriam Trautmann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36" w:name="page437"/>
    <w:bookmarkEnd w:id="436"/>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BANK OF CHINA, NEW YORK BRANCH, as Extending</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and 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1262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9126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Raymond Qiao</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37" w:name="page438"/>
    <w:bookmarkEnd w:id="437"/>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THE BANK OF NEW YORK MELLON, as Extending and</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9103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John T. Smathers</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60"/>
          </w:cols>
          <w:pgMar w:left="440" w:top="274"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4" w:right="499" w:bottom="1440" w:gutter="0" w:footer="0" w:header="0"/>
          <w:type w:val="continuous"/>
        </w:sectPr>
      </w:pPr>
    </w:p>
    <w:bookmarkStart w:id="438" w:name="page439"/>
    <w:bookmarkEnd w:id="438"/>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The Bank of Nova Scotia, as Extending and Consenting</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Michelle C.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4912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8491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Michelle C. Phillips</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Extended:</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10920"/>
          </w:cols>
          <w:pgMar w:left="440" w:top="273" w:right="539" w:bottom="1440" w:gutter="0" w:footer="0" w:header="0"/>
        </w:sectPr>
      </w:pPr>
    </w:p>
    <w:bookmarkStart w:id="439" w:name="page440"/>
    <w:bookmarkEnd w:id="439"/>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BARCLAYS BANK PLC, as Extending and Consenting</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8722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Craig Malloy</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60"/>
          </w:cols>
          <w:pgMar w:left="440" w:top="274"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4" w:right="499" w:bottom="1440" w:gutter="0" w:footer="0" w:header="0"/>
          <w:type w:val="continuous"/>
        </w:sectPr>
      </w:pPr>
    </w:p>
    <w:bookmarkStart w:id="440" w:name="page441"/>
    <w:bookmarkEnd w:id="440"/>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tbl>
      <w:tblPr>
        <w:tblLayout w:type="fixed"/>
        <w:tblInd w:w="2900" w:type="dxa"/>
        <w:tblCellMar>
          <w:top w:w="0" w:type="dxa"/>
          <w:left w:w="0" w:type="dxa"/>
          <w:bottom w:w="0" w:type="dxa"/>
          <w:right w:w="0" w:type="dxa"/>
        </w:tblCellMar>
      </w:tblPr>
      <w:tr>
        <w:trPr>
          <w:trHeight w:val="23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w w:val="91"/>
              </w:rPr>
              <w:t>BNP Paribas, as Extending and Consenting Lender</w:t>
            </w:r>
          </w:p>
        </w:tc>
        <w:tc>
          <w:tcPr>
            <w:tcW w:w="580" w:type="dxa"/>
            <w:vAlign w:val="bottom"/>
          </w:tcPr>
          <w:p>
            <w:pPr>
              <w:spacing w:after="0"/>
              <w:rPr>
                <w:sz w:val="19"/>
                <w:szCs w:val="19"/>
                <w:color w:val="auto"/>
              </w:rPr>
            </w:pPr>
          </w:p>
        </w:tc>
      </w:tr>
      <w:tr>
        <w:trPr>
          <w:trHeight w:val="39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By: /s/ Christopher Sked</w:t>
            </w:r>
          </w:p>
        </w:tc>
        <w:tc>
          <w:tcPr>
            <w:tcW w:w="580" w:type="dxa"/>
            <w:vAlign w:val="bottom"/>
          </w:tcPr>
          <w:p>
            <w:pPr>
              <w:spacing w:after="0"/>
              <w:rPr>
                <w:sz w:val="24"/>
                <w:szCs w:val="24"/>
                <w:color w:val="auto"/>
              </w:rPr>
            </w:pPr>
          </w:p>
        </w:tc>
      </w:tr>
      <w:tr>
        <w:trPr>
          <w:trHeight w:val="20"/>
        </w:trPr>
        <w:tc>
          <w:tcPr>
            <w:tcW w:w="40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2"/>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Name: Christopher Sked</w:t>
            </w:r>
          </w:p>
        </w:tc>
        <w:tc>
          <w:tcPr>
            <w:tcW w:w="580" w:type="dxa"/>
            <w:vAlign w:val="bottom"/>
          </w:tcPr>
          <w:p>
            <w:pPr>
              <w:spacing w:after="0"/>
              <w:rPr>
                <w:sz w:val="19"/>
                <w:szCs w:val="19"/>
                <w:color w:val="auto"/>
              </w:rPr>
            </w:pPr>
          </w:p>
        </w:tc>
      </w:tr>
      <w:tr>
        <w:trPr>
          <w:trHeight w:val="23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Title: Managing Director</w:t>
            </w:r>
          </w:p>
        </w:tc>
        <w:tc>
          <w:tcPr>
            <w:tcW w:w="580" w:type="dxa"/>
            <w:vAlign w:val="bottom"/>
          </w:tcPr>
          <w:p>
            <w:pPr>
              <w:spacing w:after="0"/>
              <w:rPr>
                <w:sz w:val="19"/>
                <w:szCs w:val="19"/>
                <w:color w:val="auto"/>
              </w:rPr>
            </w:pPr>
          </w:p>
        </w:tc>
      </w:tr>
      <w:tr>
        <w:trPr>
          <w:trHeight w:val="39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By: /s/ Karim Remtoula</w:t>
            </w:r>
          </w:p>
        </w:tc>
        <w:tc>
          <w:tcPr>
            <w:tcW w:w="580" w:type="dxa"/>
            <w:vAlign w:val="bottom"/>
          </w:tcPr>
          <w:p>
            <w:pPr>
              <w:spacing w:after="0"/>
              <w:rPr>
                <w:sz w:val="24"/>
                <w:szCs w:val="24"/>
                <w:color w:val="auto"/>
              </w:rPr>
            </w:pPr>
          </w:p>
        </w:tc>
      </w:tr>
      <w:tr>
        <w:trPr>
          <w:trHeight w:val="20"/>
        </w:trPr>
        <w:tc>
          <w:tcPr>
            <w:tcW w:w="40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2"/>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Name: Karim Remtoula</w:t>
            </w:r>
          </w:p>
        </w:tc>
        <w:tc>
          <w:tcPr>
            <w:tcW w:w="580" w:type="dxa"/>
            <w:vAlign w:val="bottom"/>
          </w:tcPr>
          <w:p>
            <w:pPr>
              <w:spacing w:after="0"/>
              <w:rPr>
                <w:sz w:val="19"/>
                <w:szCs w:val="19"/>
                <w:color w:val="auto"/>
              </w:rPr>
            </w:pPr>
          </w:p>
        </w:tc>
      </w:tr>
      <w:tr>
        <w:trPr>
          <w:trHeight w:val="23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Title: Vice President</w:t>
            </w:r>
          </w:p>
        </w:tc>
        <w:tc>
          <w:tcPr>
            <w:tcW w:w="580" w:type="dxa"/>
            <w:vAlign w:val="bottom"/>
          </w:tcPr>
          <w:p>
            <w:pPr>
              <w:spacing w:after="0"/>
              <w:rPr>
                <w:sz w:val="19"/>
                <w:szCs w:val="19"/>
                <w:color w:val="auto"/>
              </w:rPr>
            </w:pPr>
          </w:p>
        </w:tc>
      </w:tr>
      <w:tr>
        <w:trPr>
          <w:trHeight w:val="417"/>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Aggregate amount of</w:t>
            </w:r>
          </w:p>
        </w:tc>
        <w:tc>
          <w:tcPr>
            <w:tcW w:w="580" w:type="dxa"/>
            <w:vAlign w:val="bottom"/>
          </w:tcPr>
          <w:p>
            <w:pPr>
              <w:spacing w:after="0"/>
              <w:rPr>
                <w:sz w:val="24"/>
                <w:szCs w:val="24"/>
                <w:color w:val="auto"/>
              </w:rPr>
            </w:pPr>
          </w:p>
        </w:tc>
      </w:tr>
      <w:tr>
        <w:trPr>
          <w:trHeight w:val="23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Domestic Commitments Held: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7"/>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Aggregate amount of</w:t>
            </w:r>
          </w:p>
        </w:tc>
        <w:tc>
          <w:tcPr>
            <w:tcW w:w="580" w:type="dxa"/>
            <w:vAlign w:val="bottom"/>
          </w:tcPr>
          <w:p>
            <w:pPr>
              <w:spacing w:after="0"/>
              <w:rPr>
                <w:sz w:val="24"/>
                <w:szCs w:val="24"/>
                <w:color w:val="auto"/>
              </w:rPr>
            </w:pPr>
          </w:p>
        </w:tc>
      </w:tr>
      <w:tr>
        <w:trPr>
          <w:trHeight w:val="23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Domestic Commitments Extended: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7"/>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Aggregate amount of</w:t>
            </w:r>
          </w:p>
        </w:tc>
        <w:tc>
          <w:tcPr>
            <w:tcW w:w="580" w:type="dxa"/>
            <w:vAlign w:val="bottom"/>
          </w:tcPr>
          <w:p>
            <w:pPr>
              <w:spacing w:after="0"/>
              <w:rPr>
                <w:sz w:val="24"/>
                <w:szCs w:val="24"/>
                <w:color w:val="auto"/>
              </w:rPr>
            </w:pPr>
          </w:p>
        </w:tc>
      </w:tr>
      <w:tr>
        <w:trPr>
          <w:trHeight w:val="215"/>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Multicurrency Commitments Held:</w:t>
            </w:r>
          </w:p>
        </w:tc>
        <w:tc>
          <w:tcPr>
            <w:tcW w:w="580" w:type="dxa"/>
            <w:vAlign w:val="bottom"/>
          </w:tcPr>
          <w:p>
            <w:pPr>
              <w:spacing w:after="0"/>
              <w:rPr>
                <w:sz w:val="18"/>
                <w:szCs w:val="18"/>
                <w:color w:val="auto"/>
              </w:rPr>
            </w:pPr>
          </w:p>
        </w:tc>
      </w:tr>
      <w:tr>
        <w:trPr>
          <w:trHeight w:val="230"/>
        </w:trPr>
        <w:tc>
          <w:tcPr>
            <w:tcW w:w="7000" w:type="dxa"/>
            <w:vAlign w:val="bottom"/>
            <w:gridSpan w:val="2"/>
          </w:tcPr>
          <w:p>
            <w:pPr>
              <w:ind w:left="37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7"/>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Aggregate amount of</w:t>
            </w:r>
          </w:p>
        </w:tc>
        <w:tc>
          <w:tcPr>
            <w:tcW w:w="580" w:type="dxa"/>
            <w:vAlign w:val="bottom"/>
          </w:tcPr>
          <w:p>
            <w:pPr>
              <w:spacing w:after="0"/>
              <w:rPr>
                <w:sz w:val="24"/>
                <w:szCs w:val="24"/>
                <w:color w:val="auto"/>
              </w:rPr>
            </w:pPr>
          </w:p>
        </w:tc>
      </w:tr>
      <w:tr>
        <w:trPr>
          <w:trHeight w:val="215"/>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Multicurrency Commitments Extended:</w:t>
            </w:r>
          </w:p>
        </w:tc>
        <w:tc>
          <w:tcPr>
            <w:tcW w:w="580" w:type="dxa"/>
            <w:vAlign w:val="bottom"/>
          </w:tcPr>
          <w:p>
            <w:pPr>
              <w:spacing w:after="0"/>
              <w:rPr>
                <w:sz w:val="18"/>
                <w:szCs w:val="18"/>
                <w:color w:val="auto"/>
              </w:rPr>
            </w:pPr>
          </w:p>
        </w:tc>
      </w:tr>
      <w:tr>
        <w:trPr>
          <w:trHeight w:val="230"/>
        </w:trPr>
        <w:tc>
          <w:tcPr>
            <w:tcW w:w="7000" w:type="dxa"/>
            <w:vAlign w:val="bottom"/>
            <w:gridSpan w:val="2"/>
          </w:tcPr>
          <w:p>
            <w:pPr>
              <w:ind w:left="37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7"/>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Aggregate amount of</w:t>
            </w:r>
          </w:p>
        </w:tc>
        <w:tc>
          <w:tcPr>
            <w:tcW w:w="580" w:type="dxa"/>
            <w:vAlign w:val="bottom"/>
          </w:tcPr>
          <w:p>
            <w:pPr>
              <w:spacing w:after="0"/>
              <w:rPr>
                <w:sz w:val="24"/>
                <w:szCs w:val="24"/>
                <w:color w:val="auto"/>
              </w:rPr>
            </w:pPr>
          </w:p>
        </w:tc>
      </w:tr>
      <w:tr>
        <w:trPr>
          <w:trHeight w:val="23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Brazilian Commitments Held: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7"/>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Aggregate amount of</w:t>
            </w:r>
          </w:p>
        </w:tc>
        <w:tc>
          <w:tcPr>
            <w:tcW w:w="580" w:type="dxa"/>
            <w:vAlign w:val="bottom"/>
          </w:tcPr>
          <w:p>
            <w:pPr>
              <w:spacing w:after="0"/>
              <w:rPr>
                <w:sz w:val="24"/>
                <w:szCs w:val="24"/>
                <w:color w:val="auto"/>
              </w:rPr>
            </w:pPr>
          </w:p>
        </w:tc>
      </w:tr>
      <w:tr>
        <w:trPr>
          <w:trHeight w:val="230"/>
        </w:trPr>
        <w:tc>
          <w:tcPr>
            <w:tcW w:w="7480" w:type="dxa"/>
            <w:vAlign w:val="bottom"/>
            <w:gridSpan w:val="3"/>
          </w:tcPr>
          <w:p>
            <w:pPr>
              <w:ind w:left="3700"/>
              <w:spacing w:after="0"/>
              <w:rPr>
                <w:sz w:val="20"/>
                <w:szCs w:val="20"/>
                <w:color w:val="auto"/>
              </w:rPr>
            </w:pPr>
            <w:r>
              <w:rPr>
                <w:rFonts w:ascii="Arial" w:cs="Arial" w:eastAsia="Arial" w:hAnsi="Arial"/>
                <w:sz w:val="18"/>
                <w:szCs w:val="18"/>
                <w:color w:val="auto"/>
              </w:rPr>
              <w:t>Brazilian Commitments Extended: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7480" w:type="dxa"/>
            <w:vAlign w:val="bottom"/>
            <w:gridSpan w:val="3"/>
          </w:tcPr>
          <w:p>
            <w:pPr>
              <w:spacing w:after="0"/>
              <w:rPr>
                <w:sz w:val="20"/>
                <w:szCs w:val="20"/>
                <w:color w:val="auto"/>
              </w:rPr>
            </w:pPr>
            <w:r>
              <w:rPr>
                <w:rFonts w:ascii="Arial" w:cs="Arial" w:eastAsia="Arial" w:hAnsi="Arial"/>
                <w:sz w:val="18"/>
                <w:szCs w:val="18"/>
                <w:color w:val="auto"/>
              </w:rPr>
              <w:t>[Signature Page to Amendment No. 1 and Consent to Credit Agreement]</w:t>
            </w:r>
          </w:p>
        </w:tc>
        <w:tc>
          <w:tcPr>
            <w:tcW w:w="580" w:type="dxa"/>
            <w:vAlign w:val="bottom"/>
          </w:tcPr>
          <w:p>
            <w:pPr>
              <w:spacing w:after="0"/>
              <w:rPr>
                <w:sz w:val="24"/>
                <w:szCs w:val="24"/>
                <w:color w:val="auto"/>
              </w:rPr>
            </w:pPr>
          </w:p>
        </w:tc>
      </w:tr>
    </w:tbl>
    <w:p>
      <w:pPr>
        <w:sectPr>
          <w:pgSz w:w="11900" w:h="16838" w:orient="portrait"/>
          <w:cols w:equalWidth="0" w:num="1">
            <w:col w:w="10960"/>
          </w:cols>
          <w:pgMar w:left="440" w:top="273" w:right="499" w:bottom="1440" w:gutter="0" w:footer="0" w:header="0"/>
        </w:sectPr>
      </w:pPr>
    </w:p>
    <w:bookmarkStart w:id="441" w:name="page442"/>
    <w:bookmarkEnd w:id="441"/>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CREDIT AGRICOLE CORPORATE AND INVESTMENT</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BANK, as Extending and 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8214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Jill Wong</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9865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Gordon Yip</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Domestic Commitments Held:</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3" w:right="49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Brazilian Commitments Held:</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42" w:name="page443"/>
    <w:bookmarkEnd w:id="442"/>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China CITIC Bank International Limited,, as Extending and</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Qing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2849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Qing Hong</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General Manager &amp; Branch Manager,</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New York Branch</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Held: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3" w:right="49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43" w:name="page444"/>
    <w:bookmarkEnd w:id="443"/>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CANADIAN IMPERIAL BANK OF COMMERCE, NEW</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YORK BRANCH, as Extending and Consenting Lender</w:t>
      </w:r>
    </w:p>
    <w:p>
      <w:pPr>
        <w:spacing w:after="0" w:line="22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Farhad Merali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2468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9246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Farhad Merali</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44" w:name="page445"/>
    <w:bookmarkEnd w:id="444"/>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Citizens Bank, N.A., as Extending and Consenting Lender</w:t>
      </w:r>
    </w:p>
    <w:p>
      <w:pPr>
        <w:spacing w:after="0" w:line="2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Kristina Malcolm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1198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Kristina Malcolm</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3" w:right="49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45" w:name="page446"/>
    <w:bookmarkEnd w:id="445"/>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Commerzbank AG, New York Branch, as Extending and</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8658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Ravelo</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808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Robert Sullivan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46" w:name="page447"/>
    <w:bookmarkEnd w:id="446"/>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DEUTSCHE BANK AG NEW YORK BRANCH, as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Extending and Consenting Lender</w:t>
      </w:r>
    </w:p>
    <w:p>
      <w:pPr>
        <w:spacing w:after="0" w:line="210"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By: /s/ Ming K. Chu</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8"/>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19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Ming K. Chu</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w w:val="93"/>
              </w:rPr>
              <w:t>ming.k.chu@db.com</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+1-212-250-5451</w:t>
            </w:r>
          </w:p>
        </w:tc>
      </w:tr>
      <w:tr>
        <w:trPr>
          <w:trHeight w:val="431"/>
        </w:trPr>
        <w:tc>
          <w:tcPr>
            <w:tcW w:w="2340" w:type="dxa"/>
            <w:vAlign w:val="bottom"/>
            <w:gridSpan w:val="2"/>
          </w:tcPr>
          <w:p>
            <w:pPr>
              <w:spacing w:after="0"/>
              <w:rPr>
                <w:sz w:val="20"/>
                <w:szCs w:val="20"/>
                <w:color w:val="auto"/>
              </w:rPr>
            </w:pPr>
            <w:r>
              <w:rPr>
                <w:rFonts w:ascii="Arial" w:cs="Arial" w:eastAsia="Arial" w:hAnsi="Arial"/>
                <w:sz w:val="18"/>
                <w:szCs w:val="18"/>
                <w:color w:val="auto"/>
              </w:rPr>
              <w:t>By: /s/ Marko Lukin</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8"/>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19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Marko Lukin</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w w:val="90"/>
              </w:rPr>
              <w:t>marko.lukin@db.com</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+1-212-250-7283</w:t>
            </w:r>
          </w:p>
        </w:tc>
      </w:tr>
      <w:tr>
        <w:trPr>
          <w:trHeight w:val="417"/>
        </w:trPr>
        <w:tc>
          <w:tcPr>
            <w:tcW w:w="2340" w:type="dxa"/>
            <w:vAlign w:val="bottom"/>
            <w:gridSpan w:val="2"/>
          </w:tcPr>
          <w:p>
            <w:pPr>
              <w:spacing w:after="0"/>
              <w:rPr>
                <w:sz w:val="20"/>
                <w:szCs w:val="20"/>
                <w:color w:val="auto"/>
              </w:rPr>
            </w:pPr>
            <w:r>
              <w:rPr>
                <w:rFonts w:ascii="Arial" w:cs="Arial" w:eastAsia="Arial" w:hAnsi="Arial"/>
                <w:sz w:val="18"/>
                <w:szCs w:val="18"/>
                <w:color w:val="auto"/>
              </w:rPr>
              <w:t>Aggregate amount of</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w w:val="97"/>
              </w:rPr>
              <w:t>Domestic Commitments Held:</w:t>
            </w:r>
          </w:p>
        </w:tc>
        <w:tc>
          <w:tcPr>
            <w:tcW w:w="38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417"/>
        </w:trPr>
        <w:tc>
          <w:tcPr>
            <w:tcW w:w="2340" w:type="dxa"/>
            <w:vAlign w:val="bottom"/>
            <w:gridSpan w:val="2"/>
          </w:tcPr>
          <w:p>
            <w:pPr>
              <w:spacing w:after="0"/>
              <w:rPr>
                <w:sz w:val="20"/>
                <w:szCs w:val="20"/>
                <w:color w:val="auto"/>
              </w:rPr>
            </w:pPr>
            <w:r>
              <w:rPr>
                <w:rFonts w:ascii="Arial" w:cs="Arial" w:eastAsia="Arial" w:hAnsi="Arial"/>
                <w:sz w:val="18"/>
                <w:szCs w:val="18"/>
                <w:color w:val="auto"/>
              </w:rPr>
              <w:t>Aggregate amount of</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2720" w:type="dxa"/>
            <w:vAlign w:val="bottom"/>
            <w:gridSpan w:val="3"/>
          </w:tcPr>
          <w:p>
            <w:pPr>
              <w:spacing w:after="0"/>
              <w:rPr>
                <w:sz w:val="20"/>
                <w:szCs w:val="20"/>
                <w:color w:val="auto"/>
              </w:rPr>
            </w:pPr>
            <w:r>
              <w:rPr>
                <w:rFonts w:ascii="Arial" w:cs="Arial" w:eastAsia="Arial" w:hAnsi="Arial"/>
                <w:sz w:val="18"/>
                <w:szCs w:val="18"/>
                <w:color w:val="auto"/>
                <w:w w:val="97"/>
              </w:rPr>
              <w:t>Domestic Commitments Extended:</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417"/>
        </w:trPr>
        <w:tc>
          <w:tcPr>
            <w:tcW w:w="2340" w:type="dxa"/>
            <w:vAlign w:val="bottom"/>
            <w:gridSpan w:val="2"/>
          </w:tcPr>
          <w:p>
            <w:pPr>
              <w:spacing w:after="0"/>
              <w:rPr>
                <w:sz w:val="20"/>
                <w:szCs w:val="20"/>
                <w:color w:val="auto"/>
              </w:rPr>
            </w:pPr>
            <w:r>
              <w:rPr>
                <w:rFonts w:ascii="Arial" w:cs="Arial" w:eastAsia="Arial" w:hAnsi="Arial"/>
                <w:sz w:val="18"/>
                <w:szCs w:val="18"/>
                <w:color w:val="auto"/>
              </w:rPr>
              <w:t>Aggregate amount of</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2720" w:type="dxa"/>
            <w:vAlign w:val="bottom"/>
            <w:gridSpan w:val="3"/>
          </w:tcPr>
          <w:p>
            <w:pPr>
              <w:spacing w:after="0"/>
              <w:rPr>
                <w:sz w:val="20"/>
                <w:szCs w:val="20"/>
                <w:color w:val="auto"/>
              </w:rPr>
            </w:pPr>
            <w:r>
              <w:rPr>
                <w:rFonts w:ascii="Arial" w:cs="Arial" w:eastAsia="Arial" w:hAnsi="Arial"/>
                <w:sz w:val="18"/>
                <w:szCs w:val="18"/>
                <w:color w:val="auto"/>
                <w:w w:val="99"/>
              </w:rPr>
              <w:t>Multicurrency Commitments Held:</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Extended: $[***]</w:t>
      </w:r>
    </w:p>
    <w:p>
      <w:pPr>
        <w:sectPr>
          <w:pgSz w:w="11900" w:h="16838" w:orient="portrait"/>
          <w:cols w:equalWidth="0" w:num="1">
            <w:col w:w="10920"/>
          </w:cols>
          <w:pgMar w:left="440" w:top="274" w:right="53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800" w:space="720"/>
            <w:col w:w="1400"/>
          </w:cols>
          <w:pgMar w:left="440" w:top="274"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00" w:space="420"/>
            <w:col w:w="1400"/>
          </w:cols>
          <w:pgMar w:left="440" w:top="274" w:right="539" w:bottom="1440" w:gutter="0" w:footer="0" w:header="0"/>
          <w:type w:val="continuous"/>
        </w:sectPr>
      </w:pP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4" w:right="539" w:bottom="1440" w:gutter="0" w:footer="0" w:header="0"/>
          <w:type w:val="continuous"/>
        </w:sectPr>
      </w:pPr>
    </w:p>
    <w:bookmarkStart w:id="447" w:name="page448"/>
    <w:bookmarkEnd w:id="447"/>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Fifth Third Bank, N.A., as Extending and Consenting</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14605</wp:posOffset>
            </wp:positionV>
            <wp:extent cx="165036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Mike Gifford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840" w:space="720"/>
            <w:col w:w="136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40" w:space="420"/>
            <w:col w:w="136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40" w:space="420"/>
            <w:col w:w="136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Multicurrency Commitments Extended: $[***]</w:t>
      </w:r>
    </w:p>
    <w:p>
      <w:pPr>
        <w:sectPr>
          <w:pgSz w:w="11900" w:h="16838" w:orient="portrait"/>
          <w:cols w:equalWidth="0" w:num="1">
            <w:col w:w="10920"/>
          </w:cols>
          <w:pgMar w:left="440" w:top="273" w:right="539" w:bottom="1440" w:gutter="0" w:footer="0" w:header="0"/>
          <w:type w:val="continuous"/>
        </w:sectPr>
      </w:pPr>
    </w:p>
    <w:p>
      <w:pPr>
        <w:spacing w:after="0" w:line="22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840" w:space="720"/>
            <w:col w:w="136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00" w:space="460"/>
            <w:col w:w="1360"/>
          </w:cols>
          <w:pgMar w:left="440" w:top="273" w:right="539" w:bottom="1440" w:gutter="0" w:footer="0" w:header="0"/>
          <w:type w:val="continuous"/>
        </w:sectPr>
      </w:pP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48" w:name="page449"/>
    <w:bookmarkEnd w:id="448"/>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First Abu Dhabi Bank USA, N.V., as Extending and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Pamela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-19685</wp:posOffset>
            </wp:positionV>
            <wp:extent cx="107950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8"/>
          <w:szCs w:val="18"/>
          <w:color w:val="auto"/>
        </w:rPr>
        <w:t>Name: Pamela Sigda</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Chief Financial Officer – USA</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Ora Helmholz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-19685</wp:posOffset>
            </wp:positionV>
            <wp:extent cx="110490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8"/>
          <w:szCs w:val="18"/>
          <w:color w:val="auto"/>
        </w:rPr>
        <w:t>Name: Ora Helmholz</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Chief Operating Officer – USA</w:t>
      </w:r>
    </w:p>
    <w:p>
      <w:pPr>
        <w:sectPr>
          <w:pgSz w:w="11900" w:h="16838" w:orient="portrait"/>
          <w:cols w:equalWidth="0" w:num="1">
            <w:col w:w="10920"/>
          </w:cols>
          <w:pgMar w:left="440" w:top="273" w:right="539" w:bottom="1440" w:gutter="0" w:footer="0" w:header="0"/>
        </w:sectPr>
      </w:pP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40" w:space="400"/>
            <w:col w:w="138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Multicurrency Commitments Extended: $[***]</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49" w:name="page450"/>
    <w:bookmarkEnd w:id="449"/>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DBS Bank Ltd., as Extending and Consenting Lender</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Josephine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140271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Josephine Lim</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80" w:space="720"/>
            <w:col w:w="9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80" w:space="720"/>
            <w:col w:w="9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80" w:space="720"/>
            <w:col w:w="9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80" w:space="520"/>
            <w:col w:w="9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80" w:space="720"/>
            <w:col w:w="9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80" w:space="720"/>
            <w:col w:w="920"/>
          </w:cols>
          <w:pgMar w:left="440" w:top="273" w:right="539" w:bottom="1440" w:gutter="0" w:footer="0" w:header="0"/>
          <w:type w:val="continuous"/>
        </w:sectPr>
      </w:pP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50" w:name="page451"/>
    <w:bookmarkEnd w:id="450"/>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BANK OF MONTREAL, as Extending and Consenting</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126365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Chris Clark</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51" w:name="page452"/>
    <w:bookmarkEnd w:id="451"/>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Extending and Consenting Lender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-10795</wp:posOffset>
            </wp:positionV>
            <wp:extent cx="17856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Susan Olsen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20" w:space="720"/>
            <w:col w:w="7080"/>
          </w:cols>
          <w:pgMar w:left="440" w:top="273" w:right="5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20" w:space="720"/>
            <w:col w:w="7080"/>
          </w:cols>
          <w:pgMar w:left="440" w:top="273" w:right="5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20" w:space="720"/>
            <w:col w:w="7080"/>
          </w:cols>
          <w:pgMar w:left="440" w:top="273" w:right="5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20" w:space="720"/>
            <w:col w:w="7080"/>
          </w:cols>
          <w:pgMar w:left="440" w:top="273" w:right="5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20" w:space="720"/>
            <w:col w:w="7080"/>
          </w:cols>
          <w:pgMar w:left="440" w:top="273" w:right="5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20" w:space="720"/>
            <w:col w:w="7080"/>
          </w:cols>
          <w:pgMar w:left="440" w:top="273" w:right="539"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52" w:name="page453"/>
    <w:bookmarkEnd w:id="452"/>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GOLDMAN SACHS BANK USA, as Extending and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4881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Ryan Durkin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960"/>
          </w:cols>
          <w:pgMar w:left="440" w:top="274"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4" w:right="499" w:bottom="1440" w:gutter="0" w:footer="0" w:header="0"/>
          <w:type w:val="continuous"/>
        </w:sectPr>
      </w:pPr>
    </w:p>
    <w:bookmarkStart w:id="453" w:name="page454"/>
    <w:bookmarkEnd w:id="453"/>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INDUSTRIAL AND COMMERCIAL BANK OF CHINA</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LIMITED, NEW YORK BRANCH, as Extending and</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Christine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659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96596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Christine Cai</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Vice President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7294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97294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Pinyen Shih</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54" w:name="page455"/>
    <w:bookmarkEnd w:id="454"/>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ING Bank N.V., Dublin Branch, as Extending and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4691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Sean Hassett</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Ciaran Dunne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1198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Ciaran Dunne</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55" w:name="page456"/>
    <w:bookmarkEnd w:id="455"/>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Intesa Sanpaolo, S.p.A., as Extending and Consenting</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1198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Jordan Schweon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4691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Anne Culver</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960"/>
          </w:cols>
          <w:pgMar w:left="440" w:top="274"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Held:</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4" w:right="499" w:bottom="1440" w:gutter="0" w:footer="0" w:header="0"/>
          <w:type w:val="continuous"/>
        </w:sectPr>
      </w:pPr>
    </w:p>
    <w:bookmarkStart w:id="456" w:name="page457"/>
    <w:bookmarkEnd w:id="456"/>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Lender</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 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-10795</wp:posOffset>
            </wp:positionV>
            <wp:extent cx="170307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Rich Zell</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Director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Aggregate amount of Multicurrency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Commitments Extended: $[***]</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Signature Page to Amendment Number One to 5-Year Revolving Credit Agreement</w:t>
      </w:r>
    </w:p>
    <w:p>
      <w:pPr>
        <w:sectPr>
          <w:pgSz w:w="11900" w:h="16838" w:orient="portrait"/>
          <w:cols w:equalWidth="0" w:num="1">
            <w:col w:w="9280"/>
          </w:cols>
          <w:pgMar w:left="1440" w:top="273" w:right="1179" w:bottom="1440" w:gutter="0" w:footer="0" w:header="0"/>
        </w:sectPr>
      </w:pPr>
    </w:p>
    <w:bookmarkStart w:id="457" w:name="page458"/>
    <w:bookmarkEnd w:id="457"/>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Lloyds Bank Corporate Markets plc, as Extending and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802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Kamala Basdeo</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Assistant Vice President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9103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Tina Wong</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Assistant Vice President</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Held: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3" w:right="49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58" w:name="page459"/>
    <w:bookmarkEnd w:id="458"/>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Mashreqbank psc, as Extending and Consenting Lender</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Faizan A. Siddiqui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0627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Faizan A. Siddiqui</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General Manager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Domestic Commitments Held: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Domestic Commitments Extended: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59" w:name="page460"/>
    <w:bookmarkEnd w:id="459"/>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MIZUHO BANK, LTD., as Extending and Consenting</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87452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8745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Donna Demagistris</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3" w:right="49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60"/>
          </w:cols>
          <w:pgMar w:left="440" w:top="273" w:right="499" w:bottom="1440" w:gutter="0" w:footer="0" w:header="0"/>
          <w:type w:val="continuous"/>
        </w:sectPr>
      </w:pPr>
    </w:p>
    <w:bookmarkStart w:id="460" w:name="page461"/>
    <w:bookmarkEnd w:id="460"/>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Morgan Stanley Bank, N.A., as Extending and Consenting</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14605</wp:posOffset>
            </wp:positionV>
            <wp:extent cx="255714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Authorized Signatory</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Extended: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10920"/>
          </w:cols>
          <w:pgMar w:left="440" w:top="273" w:right="539" w:bottom="1440" w:gutter="0" w:footer="0" w:header="0"/>
        </w:sectPr>
      </w:pPr>
    </w:p>
    <w:bookmarkStart w:id="461" w:name="page462"/>
    <w:bookmarkEnd w:id="461"/>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Morgan Stanley Senior Funding Inc., as Extending and</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14605</wp:posOffset>
            </wp:positionV>
            <wp:extent cx="255714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Authorized Signatory</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Extended: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10920"/>
          </w:cols>
          <w:pgMar w:left="440" w:top="273" w:right="539" w:bottom="1440" w:gutter="0" w:footer="0" w:header="0"/>
        </w:sectPr>
      </w:pPr>
    </w:p>
    <w:bookmarkStart w:id="462" w:name="page463"/>
    <w:bookmarkEnd w:id="462"/>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MUFG Bank, Ltd., as Extending and Consenting Lender</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14605</wp:posOffset>
            </wp:positionV>
            <wp:extent cx="233489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33489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John Margetanski</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00" w:space="720"/>
            <w:col w:w="80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00" w:space="720"/>
            <w:col w:w="80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00" w:space="720"/>
            <w:col w:w="80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80" w:space="640"/>
            <w:col w:w="80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00" w:space="720"/>
            <w:col w:w="80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00" w:space="720"/>
            <w:col w:w="800"/>
          </w:cols>
          <w:pgMar w:left="440" w:top="273" w:right="539"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63" w:name="page464"/>
    <w:bookmarkEnd w:id="463"/>
    <w:p>
      <w:pPr>
        <w:ind w:right="6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Royal Bank of Canada, as Extending and Consenting Lender</w:t>
      </w:r>
    </w:p>
    <w:p>
      <w:pPr>
        <w:spacing w:after="0" w:line="247" w:lineRule="exact"/>
        <w:rPr>
          <w:sz w:val="20"/>
          <w:szCs w:val="20"/>
          <w:color w:val="auto"/>
        </w:rPr>
      </w:pPr>
    </w:p>
    <w:p>
      <w:pPr>
        <w:ind w:left="660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14605</wp:posOffset>
            </wp:positionV>
            <wp:extent cx="208661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Benjamin Lennon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980"/>
          </w:cols>
          <w:pgMar w:left="440" w:top="274" w:right="47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80"/>
          </w:cols>
          <w:pgMar w:left="440" w:top="274"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80"/>
          </w:cols>
          <w:pgMar w:left="440" w:top="274"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Held: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80"/>
          </w:cols>
          <w:pgMar w:left="440" w:top="274"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80"/>
          </w:cols>
          <w:pgMar w:left="440" w:top="274" w:right="479" w:bottom="1440" w:gutter="0" w:footer="0" w:header="0"/>
          <w:type w:val="continuous"/>
        </w:sectPr>
      </w:pP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80"/>
          </w:cols>
          <w:pgMar w:left="440" w:top="274" w:right="479" w:bottom="1440" w:gutter="0" w:footer="0" w:header="0"/>
          <w:type w:val="continuous"/>
        </w:sectPr>
      </w:pPr>
    </w:p>
    <w:bookmarkStart w:id="464" w:name="page465"/>
    <w:bookmarkEnd w:id="464"/>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Santander S.A., New York Branch as Lender</w:t>
      </w:r>
    </w:p>
    <w:p>
      <w:pPr>
        <w:spacing w:after="0" w:line="247" w:lineRule="exact"/>
        <w:rPr>
          <w:sz w:val="20"/>
          <w:szCs w:val="20"/>
          <w:color w:val="auto"/>
        </w:rPr>
      </w:pPr>
    </w:p>
    <w:p>
      <w:pPr>
        <w:ind w:left="560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14605</wp:posOffset>
            </wp:positionV>
            <wp:extent cx="18897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Andres Barbosa</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560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Rita-Walz 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14605</wp:posOffset>
            </wp:positionV>
            <wp:extent cx="18897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Rita-Walz Cuccioli</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Executive Director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Multicurrency Commitments Extended: $[***]</w:t>
      </w:r>
    </w:p>
    <w:p>
      <w:pPr>
        <w:spacing w:after="0" w:line="21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9320"/>
          </w:cols>
          <w:pgMar w:left="1440" w:top="274" w:right="1139" w:bottom="1440" w:gutter="0" w:footer="0" w:header="0"/>
        </w:sectPr>
      </w:pPr>
    </w:p>
    <w:bookmarkStart w:id="465" w:name="page466"/>
    <w:bookmarkEnd w:id="465"/>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Bangkok Bank Public Company Limited, as Extending and</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14605</wp:posOffset>
            </wp:positionV>
            <wp:extent cx="21977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Thitipong Prasertsilp</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Vice President &amp; Branch Manager</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20" w:space="720"/>
            <w:col w:w="980"/>
          </w:cols>
          <w:pgMar w:left="440" w:top="273" w:right="539" w:bottom="1440" w:gutter="0" w:footer="0" w:header="0"/>
          <w:type w:val="continuous"/>
        </w:sectPr>
      </w:pPr>
    </w:p>
    <w:p>
      <w:pPr>
        <w:spacing w:after="0" w:line="2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Domestic Commitments Extended: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20"/>
          </w:cols>
          <w:pgMar w:left="440" w:top="273" w:right="539" w:bottom="1440" w:gutter="0" w:footer="0" w:header="0"/>
          <w:type w:val="continuous"/>
        </w:sectPr>
      </w:pPr>
    </w:p>
    <w:p>
      <w:pPr>
        <w:spacing w:after="0" w:line="21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20" w:space="720"/>
            <w:col w:w="980"/>
          </w:cols>
          <w:pgMar w:left="440" w:top="273" w:right="539" w:bottom="1440" w:gutter="0" w:footer="0" w:header="0"/>
          <w:type w:val="continuous"/>
        </w:sectPr>
      </w:pPr>
    </w:p>
    <w:p>
      <w:pPr>
        <w:spacing w:after="0" w:line="2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520" w:space="420"/>
            <w:col w:w="980"/>
          </w:cols>
          <w:pgMar w:left="440" w:top="273" w:right="539" w:bottom="1440" w:gutter="0" w:footer="0" w:header="0"/>
          <w:type w:val="continuous"/>
        </w:sectPr>
      </w:pPr>
    </w:p>
    <w:p>
      <w:pPr>
        <w:spacing w:after="0" w:line="2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220" w:space="720"/>
            <w:col w:w="980"/>
          </w:cols>
          <w:pgMar w:left="440" w:top="273" w:right="539" w:bottom="1440" w:gutter="0" w:footer="0" w:header="0"/>
          <w:type w:val="continuous"/>
        </w:sectPr>
      </w:pPr>
    </w:p>
    <w:p>
      <w:pPr>
        <w:spacing w:after="0" w:line="2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9220" w:space="720"/>
            <w:col w:w="980"/>
          </w:cols>
          <w:pgMar w:left="440" w:top="273" w:right="53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66" w:name="page467"/>
    <w:bookmarkEnd w:id="466"/>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Societe Generale, as Extending and Consenting Lender</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14605</wp:posOffset>
            </wp:positionV>
            <wp:extent cx="219773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John Hogan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80" w:space="420"/>
            <w:col w:w="10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80" w:space="720"/>
            <w:col w:w="1020"/>
          </w:cols>
          <w:pgMar w:left="440" w:top="273" w:right="539"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67" w:name="page468"/>
    <w:bookmarkEnd w:id="467"/>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State Street Bank and Trust, as Extending and Consenting</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Timothy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43954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43954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Timothy Cronin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20"/>
          </w:cols>
          <w:pgMar w:left="440" w:top="273" w:right="53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[Signature Page to Amendment No. 1 and Consent to Credit Agreement]</w:t>
      </w:r>
    </w:p>
    <w:p>
      <w:pPr>
        <w:sectPr>
          <w:pgSz w:w="11900" w:h="16838" w:orient="portrait"/>
          <w:cols w:equalWidth="0" w:num="1">
            <w:col w:w="10920"/>
          </w:cols>
          <w:pgMar w:left="440" w:top="273" w:right="539" w:bottom="1440" w:gutter="0" w:footer="0" w:header="0"/>
          <w:type w:val="continuous"/>
        </w:sectPr>
      </w:pPr>
    </w:p>
    <w:bookmarkStart w:id="468" w:name="page469"/>
    <w:bookmarkEnd w:id="468"/>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Sumitomo Mitsui Banking Corporation, as Extending and</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4941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Maguire</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Held:</w:t>
      </w:r>
    </w:p>
    <w:p>
      <w:pPr>
        <w:spacing w:after="0" w:line="9" w:lineRule="exact"/>
        <w:rPr>
          <w:sz w:val="20"/>
          <w:szCs w:val="20"/>
          <w:color w:val="auto"/>
        </w:rPr>
      </w:pPr>
    </w:p>
    <w:p>
      <w:pPr>
        <w:jc w:val="center"/>
        <w:ind w:left="376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Extended: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10920"/>
          </w:cols>
          <w:pgMar w:left="440" w:top="273" w:right="539" w:bottom="1440" w:gutter="0" w:footer="0" w:header="0"/>
        </w:sectPr>
      </w:pPr>
    </w:p>
    <w:bookmarkStart w:id="469" w:name="page470"/>
    <w:bookmarkEnd w:id="469"/>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The Toronto-Dominion Bank, New York Branch, as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Extending and 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Brian MacFarlane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4179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Brian MacFarlane</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Authorized Signatory</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Extended:</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No. 1 and Consent to Credit Agreement]</w:t>
      </w:r>
    </w:p>
    <w:p>
      <w:pPr>
        <w:sectPr>
          <w:pgSz w:w="11900" w:h="16838" w:orient="portrait"/>
          <w:cols w:equalWidth="0" w:num="1">
            <w:col w:w="10920"/>
          </w:cols>
          <w:pgMar w:left="440" w:top="273" w:right="539" w:bottom="1440" w:gutter="0" w:footer="0" w:header="0"/>
        </w:sectPr>
      </w:pPr>
    </w:p>
    <w:bookmarkStart w:id="470" w:name="page471"/>
    <w:bookmarkEnd w:id="470"/>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TRUIST BANK, as Extending and Consenting Lender</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Andrew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92532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9253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Andrew Johnson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920"/>
          </w:cols>
          <w:pgMar w:left="440" w:top="273" w:right="53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20"/>
          </w:cols>
          <w:pgMar w:left="440" w:top="273" w:right="53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680" w:space="720"/>
            <w:col w:w="520"/>
          </w:cols>
          <w:pgMar w:left="440" w:top="273" w:right="53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680" w:space="720"/>
            <w:col w:w="520"/>
          </w:cols>
          <w:pgMar w:left="440" w:top="273" w:right="539" w:bottom="1440" w:gutter="0" w:footer="0" w:header="0"/>
          <w:type w:val="continuous"/>
        </w:sectPr>
      </w:pPr>
    </w:p>
    <w:bookmarkStart w:id="471" w:name="page472"/>
    <w:bookmarkEnd w:id="471"/>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UNICREDIT BANK AG, NEW YORK BRANCH, as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Extending and 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Edward Herko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128841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Edward Herko</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126936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Thomas Petz</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60"/>
          </w:cols>
          <w:pgMar w:left="440" w:top="273"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Multicurrency Commitments Held: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3" w:right="499" w:bottom="1440" w:gutter="0" w:footer="0" w:header="0"/>
          <w:type w:val="continuous"/>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3"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760" w:space="720"/>
            <w:col w:w="480"/>
          </w:cols>
          <w:pgMar w:left="440" w:top="273" w:right="499" w:bottom="1440" w:gutter="0" w:footer="0" w:header="0"/>
          <w:type w:val="continuous"/>
        </w:sectPr>
      </w:pPr>
    </w:p>
    <w:bookmarkStart w:id="472" w:name="page473"/>
    <w:bookmarkEnd w:id="472"/>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United Overseas Bank Limited,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New York Agency as Extending and Consenting</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177292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Eriberto de Guzman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Managing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Brian 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-10795</wp:posOffset>
            </wp:positionV>
            <wp:extent cx="178879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Brian Ike</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First Vice President</w:t>
      </w:r>
    </w:p>
    <w:p>
      <w:pPr>
        <w:sectPr>
          <w:pgSz w:w="11900" w:h="16838" w:orient="portrait"/>
          <w:cols w:equalWidth="0" w:num="1">
            <w:col w:w="10960"/>
          </w:cols>
          <w:pgMar w:left="440" w:top="274" w:right="49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480"/>
          </w:cols>
          <w:pgMar w:left="440" w:top="274" w:right="49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760" w:space="720"/>
            <w:col w:w="480"/>
          </w:cols>
          <w:pgMar w:left="440" w:top="274" w:right="499" w:bottom="1440" w:gutter="0" w:footer="0" w:header="0"/>
          <w:type w:val="continuous"/>
        </w:sectPr>
      </w:pPr>
    </w:p>
    <w:bookmarkStart w:id="473" w:name="page474"/>
    <w:bookmarkEnd w:id="473"/>
    <w:p>
      <w:pPr>
        <w:ind w:right="6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Lender hereby irrevocably and unconditionally approves the Amendment with respect to all of its Loans and Commitments and agrees to extend the Commitments described as Extended Commitments below.</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U.S. BANK NATIONAL ASSOCIATION, as Extending and</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Consenting Lender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15716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Jeffrey S. Johnson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980"/>
          </w:cols>
          <w:pgMar w:left="440" w:top="273" w:right="479" w:bottom="1440" w:gutter="0" w:footer="0" w:header="0"/>
        </w:sectPr>
      </w:pP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500"/>
          </w:cols>
          <w:pgMar w:left="440" w:top="273"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Domestic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500"/>
          </w:cols>
          <w:pgMar w:left="440" w:top="273"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500"/>
          </w:cols>
          <w:pgMar w:left="440" w:top="273"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Multicurrency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500"/>
          </w:cols>
          <w:pgMar w:left="440" w:top="273"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Held: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760" w:space="720"/>
            <w:col w:w="500"/>
          </w:cols>
          <w:pgMar w:left="440" w:top="273" w:right="479" w:bottom="1440" w:gutter="0" w:footer="0" w:header="0"/>
          <w:type w:val="continuous"/>
        </w:sectPr>
      </w:pPr>
    </w:p>
    <w:p>
      <w:pPr>
        <w:spacing w:after="0" w:line="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Aggregate amount of</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Brazilian Commitments Extended: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760" w:space="720"/>
            <w:col w:w="500"/>
          </w:cols>
          <w:pgMar w:left="440" w:top="273" w:right="479" w:bottom="1440" w:gutter="0" w:footer="0" w:header="0"/>
          <w:type w:val="continuous"/>
        </w:sectPr>
      </w:pPr>
    </w:p>
    <w:bookmarkStart w:id="474" w:name="page475"/>
    <w:bookmarkEnd w:id="474"/>
    <w:p>
      <w:pPr>
        <w:ind w:left="10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120"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SCHEDULE 1.1A</w:t>
      </w:r>
    </w:p>
    <w:p>
      <w:pPr>
        <w:spacing w:after="0" w:line="34" w:lineRule="exact"/>
        <w:rPr>
          <w:sz w:val="20"/>
          <w:szCs w:val="20"/>
          <w:color w:val="auto"/>
        </w:rPr>
      </w:pPr>
    </w:p>
    <w:p>
      <w:pPr>
        <w:ind w:left="103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OMMITMENTS</w:t>
      </w:r>
      <w:r>
        <w:rPr>
          <w:rFonts w:ascii="Arial" w:cs="Arial" w:eastAsia="Arial" w:hAnsi="Arial"/>
          <w:sz w:val="18"/>
          <w:szCs w:val="18"/>
          <w:b w:val="1"/>
          <w:bCs w:val="1"/>
          <w:u w:val="single" w:color="auto"/>
          <w:color w:val="auto"/>
        </w:rPr>
        <w:t>/DDTP I</w:t>
      </w:r>
      <w:r>
        <w:rPr>
          <w:rFonts w:ascii="Arial" w:cs="Arial" w:eastAsia="Arial" w:hAnsi="Arial"/>
          <w:sz w:val="14"/>
          <w:szCs w:val="14"/>
          <w:b w:val="1"/>
          <w:bCs w:val="1"/>
          <w:u w:val="single" w:color="auto"/>
          <w:color w:val="auto"/>
        </w:rPr>
        <w:t>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Domestic Extending Commitment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Commitment</w:t>
            </w: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rPr>
              <w:t>State Street Bank and Trust Company</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rPr>
              <w:t>United Overseas Bank Limited, New York Agency</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rPr>
              <w:t>Bangkok Bank Public Company Limited, New York Branch</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Mashreqbank psc</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493"/>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Brazilian Non-Extending Commitment</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7"/>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Commitment</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Banco do Brasil S.A.</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Multicurrency Extending Commitment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Scheme Reference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of Tax</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2540" w:type="dxa"/>
            <w:vAlign w:val="bottom"/>
            <w:gridSpan w:val="2"/>
          </w:tcPr>
          <w:p>
            <w:pPr>
              <w:ind w:left="1040"/>
              <w:spacing w:after="0"/>
              <w:rPr>
                <w:sz w:val="20"/>
                <w:szCs w:val="20"/>
                <w:color w:val="auto"/>
              </w:rPr>
            </w:pPr>
            <w:r>
              <w:rPr>
                <w:rFonts w:ascii="Arial" w:cs="Arial" w:eastAsia="Arial" w:hAnsi="Arial"/>
                <w:sz w:val="14"/>
                <w:szCs w:val="14"/>
                <w:b w:val="1"/>
                <w:bCs w:val="1"/>
                <w:color w:val="auto"/>
              </w:rPr>
              <w:t>Commitment</w:t>
            </w:r>
          </w:p>
        </w:tc>
        <w:tc>
          <w:tcPr>
            <w:tcW w:w="2220" w:type="dxa"/>
            <w:vAlign w:val="bottom"/>
          </w:tcPr>
          <w:p>
            <w:pPr>
              <w:jc w:val="right"/>
              <w:ind w:right="216"/>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Residence</w:t>
            </w: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4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13/M/0268710/DTTP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Citibank, N.A.</w:t>
            </w:r>
          </w:p>
        </w:tc>
        <w:tc>
          <w:tcPr>
            <w:tcW w:w="1460" w:type="dxa"/>
            <w:vAlign w:val="bottom"/>
          </w:tcPr>
          <w:p>
            <w:pPr>
              <w:ind w:left="10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216"/>
              <w:spacing w:after="0"/>
              <w:rPr>
                <w:sz w:val="20"/>
                <w:szCs w:val="20"/>
                <w:color w:val="auto"/>
              </w:rPr>
            </w:pPr>
            <w:r>
              <w:rPr>
                <w:rFonts w:ascii="Arial" w:cs="Arial" w:eastAsia="Arial" w:hAnsi="Arial"/>
                <w:sz w:val="18"/>
                <w:szCs w:val="18"/>
                <w:color w:val="auto"/>
              </w:rPr>
              <w:t>13/C/62301/DTTP</w:t>
            </w:r>
          </w:p>
        </w:tc>
        <w:tc>
          <w:tcPr>
            <w:tcW w:w="10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14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9/B/75354/DTTP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Bank of America, N.A.</w:t>
            </w:r>
          </w:p>
        </w:tc>
        <w:tc>
          <w:tcPr>
            <w:tcW w:w="1460" w:type="dxa"/>
            <w:vAlign w:val="bottom"/>
          </w:tcPr>
          <w:p>
            <w:pPr>
              <w:ind w:left="10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216"/>
              <w:spacing w:after="0"/>
              <w:rPr>
                <w:sz w:val="20"/>
                <w:szCs w:val="20"/>
                <w:color w:val="auto"/>
              </w:rPr>
            </w:pPr>
            <w:r>
              <w:rPr>
                <w:rFonts w:ascii="Arial" w:cs="Arial" w:eastAsia="Arial" w:hAnsi="Arial"/>
                <w:sz w:val="18"/>
                <w:szCs w:val="18"/>
                <w:color w:val="auto"/>
              </w:rPr>
              <w:t>13/B/7418/DTTP</w:t>
            </w:r>
          </w:p>
        </w:tc>
        <w:tc>
          <w:tcPr>
            <w:tcW w:w="10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bl>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ectPr>
          <w:pgSz w:w="11900" w:h="16838" w:orient="portrait"/>
          <w:cols w:equalWidth="0" w:num="1">
            <w:col w:w="11000"/>
          </w:cols>
          <w:pgMar w:left="440" w:top="269" w:right="459"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57"/>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Commitment</w:t>
            </w:r>
          </w:p>
        </w:tc>
        <w:tc>
          <w:tcPr>
            <w:tcW w:w="6620" w:type="dxa"/>
            <w:vAlign w:val="bottom"/>
          </w:tcPr>
          <w:p>
            <w:pPr>
              <w:jc w:val="right"/>
              <w:ind w:right="12"/>
              <w:spacing w:after="0" w:line="157" w:lineRule="exact"/>
              <w:rPr>
                <w:sz w:val="20"/>
                <w:szCs w:val="20"/>
                <w:color w:val="auto"/>
              </w:rPr>
            </w:pPr>
            <w:r>
              <w:rPr>
                <w:rFonts w:ascii="Arial" w:cs="Arial" w:eastAsia="Arial" w:hAnsi="Arial"/>
                <w:sz w:val="14"/>
                <w:szCs w:val="14"/>
                <w:b w:val="1"/>
                <w:bCs w:val="1"/>
                <w:color w:val="auto"/>
              </w:rPr>
              <w:t>Scheme Reference</w:t>
            </w:r>
          </w:p>
        </w:tc>
        <w:tc>
          <w:tcPr>
            <w:tcW w:w="8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of Tax</w:t>
            </w:r>
          </w:p>
        </w:tc>
        <w:tc>
          <w:tcPr>
            <w:tcW w:w="0" w:type="dxa"/>
            <w:vAlign w:val="bottom"/>
          </w:tcPr>
          <w:p>
            <w:pPr>
              <w:spacing w:after="0"/>
              <w:rPr>
                <w:sz w:val="1"/>
                <w:szCs w:val="1"/>
                <w:color w:val="auto"/>
              </w:rPr>
            </w:pPr>
          </w:p>
        </w:tc>
      </w:tr>
      <w:tr>
        <w:trPr>
          <w:trHeight w:val="175"/>
        </w:trPr>
        <w:tc>
          <w:tcPr>
            <w:tcW w:w="224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20" w:type="dxa"/>
            <w:vAlign w:val="bottom"/>
          </w:tcPr>
          <w:p>
            <w:pPr>
              <w:jc w:val="right"/>
              <w:ind w:right="12"/>
              <w:spacing w:after="0"/>
              <w:rPr>
                <w:sz w:val="20"/>
                <w:szCs w:val="20"/>
                <w:color w:val="auto"/>
              </w:rPr>
            </w:pPr>
            <w:r>
              <w:rPr>
                <w:rFonts w:ascii="Arial" w:cs="Arial" w:eastAsia="Arial" w:hAnsi="Arial"/>
                <w:sz w:val="14"/>
                <w:szCs w:val="14"/>
                <w:b w:val="1"/>
                <w:bCs w:val="1"/>
                <w:color w:val="auto"/>
              </w:rPr>
              <w:t>Number</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Residence</w:t>
            </w: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BNP Paribas</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5/B/255139/DTTP</w:t>
            </w:r>
          </w:p>
        </w:tc>
        <w:tc>
          <w:tcPr>
            <w:tcW w:w="84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Commerzbank AG New York</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7/C/25382/DTTP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Credit Agricole Corporate</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and Investment Bank</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5/C/0222082/DTTP</w:t>
            </w:r>
          </w:p>
        </w:tc>
        <w:tc>
          <w:tcPr>
            <w:tcW w:w="84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Deutsche Bank AG New York</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07/D/70006/DTTP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Goldman Sachs Bank USA</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13/G/0351779/DTTP</w:t>
            </w:r>
          </w:p>
        </w:tc>
        <w:tc>
          <w:tcPr>
            <w:tcW w:w="8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Industrial and Commercial</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of China Limited,</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Branch</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23/I/358686/DTTP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Lloyds Bank Corporate</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Markets plc</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43/M/274822/DTTP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Morgan Stanley Senior</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Funding, Inc.</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13/M/227953/DTTP</w:t>
            </w:r>
          </w:p>
        </w:tc>
        <w:tc>
          <w:tcPr>
            <w:tcW w:w="8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13/M/307216/DTTP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Royal Bank of Canada</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3/R/70780/DTTP</w:t>
            </w:r>
          </w:p>
        </w:tc>
        <w:tc>
          <w:tcPr>
            <w:tcW w:w="84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Societe Generale</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5/S/70085/DTTP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Sumitomo Mitsui Banking</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Corporation</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43/S/274647/DTTP</w:t>
            </w:r>
          </w:p>
        </w:tc>
        <w:tc>
          <w:tcPr>
            <w:tcW w:w="84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003/T/0366714/DTTP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w w:val="96"/>
              </w:rPr>
              <w:t>The Toronto-Dominion Bank,</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New York Branch</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3/T/80000/DTTP</w:t>
            </w:r>
          </w:p>
        </w:tc>
        <w:tc>
          <w:tcPr>
            <w:tcW w:w="84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Intesa Sanpaolo S.p.A.—New</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York Branch</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N/A (with respect to Intesa Sanpaolo S.p.A., London Branch as applicable lending office)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Canadian Imperial Bank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180"/>
              <w:spacing w:after="0"/>
              <w:rPr>
                <w:sz w:val="20"/>
                <w:szCs w:val="20"/>
                <w:color w:val="auto"/>
              </w:rPr>
            </w:pPr>
            <w:r>
              <w:rPr>
                <w:rFonts w:ascii="Arial" w:cs="Arial" w:eastAsia="Arial" w:hAnsi="Arial"/>
                <w:sz w:val="18"/>
                <w:szCs w:val="18"/>
                <w:color w:val="auto"/>
              </w:rPr>
              <w:t>Commerce, New York</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Branch</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3/C/80001/DTTP</w:t>
            </w:r>
          </w:p>
        </w:tc>
        <w:tc>
          <w:tcPr>
            <w:tcW w:w="84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UniCredit Bank AG, New</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York Branch</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7/U/237605/DTTP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DBS Bank Ltd.</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20" w:type="dxa"/>
            <w:vAlign w:val="bottom"/>
          </w:tcPr>
          <w:p>
            <w:pPr>
              <w:jc w:val="right"/>
              <w:ind w:right="12"/>
              <w:spacing w:after="0"/>
              <w:rPr>
                <w:sz w:val="20"/>
                <w:szCs w:val="20"/>
                <w:color w:val="auto"/>
              </w:rPr>
            </w:pPr>
            <w:r>
              <w:rPr>
                <w:rFonts w:ascii="Arial" w:cs="Arial" w:eastAsia="Arial" w:hAnsi="Arial"/>
                <w:sz w:val="18"/>
                <w:szCs w:val="18"/>
                <w:color w:val="auto"/>
              </w:rPr>
              <w:t>67/D/363894/DTTP</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Singapore</w:t>
            </w: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Bank National</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Association</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13/U/62184/DTTP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00"/>
          </w:cols>
          <w:pgMar w:left="440" w:top="252"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76" w:name="page477"/>
    <w:bookmarkEnd w:id="476"/>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57"/>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80" w:type="dxa"/>
            <w:vAlign w:val="bottom"/>
          </w:tcPr>
          <w:p>
            <w:pPr>
              <w:spacing w:after="0"/>
              <w:rPr>
                <w:sz w:val="13"/>
                <w:szCs w:val="13"/>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Commitment</w:t>
            </w:r>
          </w:p>
        </w:tc>
        <w:tc>
          <w:tcPr>
            <w:tcW w:w="6140" w:type="dxa"/>
            <w:vAlign w:val="bottom"/>
            <w:gridSpan w:val="2"/>
          </w:tcPr>
          <w:p>
            <w:pPr>
              <w:jc w:val="right"/>
              <w:ind w:right="140"/>
              <w:spacing w:after="0" w:line="157" w:lineRule="exact"/>
              <w:rPr>
                <w:sz w:val="20"/>
                <w:szCs w:val="20"/>
                <w:color w:val="auto"/>
              </w:rPr>
            </w:pPr>
            <w:r>
              <w:rPr>
                <w:rFonts w:ascii="Arial" w:cs="Arial" w:eastAsia="Arial" w:hAnsi="Arial"/>
                <w:sz w:val="14"/>
                <w:szCs w:val="14"/>
                <w:b w:val="1"/>
                <w:bCs w:val="1"/>
                <w:color w:val="auto"/>
              </w:rPr>
              <w:t>Scheme Reference</w:t>
            </w:r>
          </w:p>
        </w:tc>
        <w:tc>
          <w:tcPr>
            <w:tcW w:w="8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of Tax</w:t>
            </w:r>
          </w:p>
        </w:tc>
        <w:tc>
          <w:tcPr>
            <w:tcW w:w="0" w:type="dxa"/>
            <w:vAlign w:val="bottom"/>
          </w:tcPr>
          <w:p>
            <w:pPr>
              <w:spacing w:after="0"/>
              <w:rPr>
                <w:sz w:val="1"/>
                <w:szCs w:val="1"/>
                <w:color w:val="auto"/>
              </w:rPr>
            </w:pPr>
          </w:p>
        </w:tc>
      </w:tr>
      <w:tr>
        <w:trPr>
          <w:trHeight w:val="175"/>
        </w:trPr>
        <w:tc>
          <w:tcPr>
            <w:tcW w:w="2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6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Residence</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Bank of China New York Branch</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23/B/368424/DTTP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w w:val="94"/>
              </w:rPr>
              <w:t>Bank of Montreal, Chicago Branch</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tcPr>
          <w:p>
            <w:pPr>
              <w:jc w:val="right"/>
              <w:ind w:right="140"/>
              <w:spacing w:after="0"/>
              <w:rPr>
                <w:sz w:val="20"/>
                <w:szCs w:val="20"/>
                <w:color w:val="auto"/>
              </w:rPr>
            </w:pPr>
            <w:r>
              <w:rPr>
                <w:rFonts w:ascii="Arial" w:cs="Arial" w:eastAsia="Arial" w:hAnsi="Arial"/>
                <w:sz w:val="18"/>
                <w:szCs w:val="18"/>
                <w:color w:val="auto"/>
              </w:rPr>
              <w:t>3/M/270436/DTTP</w:t>
            </w:r>
          </w:p>
        </w:tc>
        <w:tc>
          <w:tcPr>
            <w:tcW w:w="86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Banco Santander, S.A.</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013/S/357603/DTTP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MUFG Bank, Ltd.</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tcPr>
          <w:p>
            <w:pPr>
              <w:jc w:val="right"/>
              <w:ind w:right="140"/>
              <w:spacing w:after="0"/>
              <w:rPr>
                <w:sz w:val="20"/>
                <w:szCs w:val="20"/>
                <w:color w:val="auto"/>
              </w:rPr>
            </w:pPr>
            <w:r>
              <w:rPr>
                <w:rFonts w:ascii="Arial" w:cs="Arial" w:eastAsia="Arial" w:hAnsi="Arial"/>
                <w:sz w:val="18"/>
                <w:szCs w:val="18"/>
                <w:color w:val="auto"/>
              </w:rPr>
              <w:t>43/B/322072/DTTP</w:t>
            </w:r>
          </w:p>
        </w:tc>
        <w:tc>
          <w:tcPr>
            <w:tcW w:w="86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13/B/357401/DTTP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auto"/>
              </w:rPr>
              <w:t>Agricultural Bank of China Ltd.,</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New York Branch</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ING Bank N.V., Dublin Branch</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12-I-371270-DTTP (with respect to ING Ireland DAC as applicable lending office)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auto"/>
              </w:rPr>
              <w:t>Wells Fargo Bank, National</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Association</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tcPr>
          <w:p>
            <w:pPr>
              <w:jc w:val="right"/>
              <w:ind w:right="140"/>
              <w:spacing w:after="0"/>
              <w:rPr>
                <w:sz w:val="20"/>
                <w:szCs w:val="20"/>
                <w:color w:val="auto"/>
              </w:rPr>
            </w:pPr>
            <w:r>
              <w:rPr>
                <w:rFonts w:ascii="Arial" w:cs="Arial" w:eastAsia="Arial" w:hAnsi="Arial"/>
                <w:sz w:val="18"/>
                <w:szCs w:val="18"/>
                <w:color w:val="auto"/>
              </w:rPr>
              <w:t>13/W/61173/DTTP</w:t>
            </w:r>
          </w:p>
        </w:tc>
        <w:tc>
          <w:tcPr>
            <w:tcW w:w="86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Citizens Bank, N.A.</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13/C/356159/DTTP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Truist Bank</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tcPr>
          <w:p>
            <w:pPr>
              <w:jc w:val="right"/>
              <w:ind w:right="140"/>
              <w:spacing w:after="0"/>
              <w:rPr>
                <w:sz w:val="20"/>
                <w:szCs w:val="20"/>
                <w:color w:val="auto"/>
              </w:rPr>
            </w:pPr>
            <w:r>
              <w:rPr>
                <w:rFonts w:ascii="Arial" w:cs="Arial" w:eastAsia="Arial" w:hAnsi="Arial"/>
                <w:sz w:val="18"/>
                <w:szCs w:val="18"/>
                <w:color w:val="auto"/>
              </w:rPr>
              <w:t>13S/67712/DTTP</w:t>
            </w:r>
          </w:p>
        </w:tc>
        <w:tc>
          <w:tcPr>
            <w:tcW w:w="86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13/F/24267/DTTP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NBAD Americas N.V.</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Curacao</w:t>
            </w: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China CITIC Bank International</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US-NY</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spacing w:after="0"/>
              <w:rPr>
                <w:sz w:val="19"/>
                <w:szCs w:val="19"/>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w:t>
            </w:r>
          </w:p>
        </w:tc>
        <w:tc>
          <w:tcPr>
            <w:tcW w:w="6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Multicurrency Non-Extending Commitment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Commitment</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National Westminister Bank plc</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Banco Bradesco S.A.</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Banco do Brasil S.A.</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Itau Unibanco S.A., New York Branch</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00"/>
          </w:cols>
          <w:pgMar w:left="440" w:top="252" w:right="459" w:bottom="1440" w:gutter="0" w:footer="0" w:header="0"/>
        </w:sectPr>
      </w:pPr>
    </w:p>
    <w:bookmarkStart w:id="477" w:name="page478"/>
    <w:bookmarkEnd w:id="4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Commitment</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138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China Construction Bank Corporation, New York Branch</w:t>
            </w:r>
          </w:p>
        </w:tc>
        <w:tc>
          <w:tcPr>
            <w:tcW w:w="138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138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Westpac Banking Corporation</w:t>
            </w:r>
          </w:p>
        </w:tc>
        <w:tc>
          <w:tcPr>
            <w:tcW w:w="138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Commerzbank AG New York Branch</w:t>
            </w:r>
          </w:p>
        </w:tc>
        <w:tc>
          <w:tcPr>
            <w:tcW w:w="1380" w:type="dxa"/>
            <w:vAlign w:val="bottom"/>
          </w:tcPr>
          <w:p>
            <w:pPr>
              <w:jc w:val="right"/>
              <w:spacing w:after="0" w:line="223" w:lineRule="exact"/>
              <w:rPr>
                <w:sz w:val="20"/>
                <w:szCs w:val="20"/>
                <w:color w:val="auto"/>
              </w:rPr>
            </w:pPr>
            <w:r>
              <w:rPr>
                <w:rFonts w:ascii="Arial" w:cs="Arial" w:eastAsia="Arial" w:hAnsi="Arial"/>
                <w:sz w:val="20"/>
                <w:szCs w:val="20"/>
                <w:color w:val="auto"/>
              </w:rPr>
              <w:t>$[***]</w:t>
            </w:r>
          </w:p>
        </w:tc>
      </w:tr>
      <w:tr>
        <w:trPr>
          <w:trHeight w:val="256"/>
        </w:trPr>
        <w:tc>
          <w:tcPr>
            <w:tcW w:w="468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10019"/>
          </w:cols>
          <w:pgMar w:left="440" w:top="258" w:right="1440" w:bottom="1440" w:gutter="0" w:footer="0" w:header="0"/>
        </w:sectPr>
      </w:pPr>
    </w:p>
    <w:bookmarkStart w:id="478" w:name="page479"/>
    <w:bookmarkEnd w:id="4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SCHEDULE 1.1B</w:t>
            </w:r>
          </w:p>
        </w:tc>
      </w:tr>
      <w:tr>
        <w:trPr>
          <w:trHeight w:val="215"/>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right"/>
              <w:ind w:right="631"/>
              <w:spacing w:after="0"/>
              <w:rPr>
                <w:sz w:val="20"/>
                <w:szCs w:val="20"/>
                <w:color w:val="auto"/>
              </w:rPr>
            </w:pPr>
            <w:r>
              <w:rPr>
                <w:rFonts w:ascii="Arial" w:cs="Arial" w:eastAsia="Arial" w:hAnsi="Arial"/>
                <w:sz w:val="18"/>
                <w:szCs w:val="18"/>
                <w:color w:val="auto"/>
              </w:rPr>
              <w:t>to</w:t>
            </w:r>
          </w:p>
        </w:tc>
      </w:tr>
      <w:tr>
        <w:trPr>
          <w:trHeight w:val="230"/>
        </w:trPr>
        <w:tc>
          <w:tcPr>
            <w:tcW w:w="9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Credit Agreement</w:t>
            </w:r>
          </w:p>
        </w:tc>
      </w:tr>
      <w:tr>
        <w:trPr>
          <w:trHeight w:val="606"/>
        </w:trPr>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00" w:type="dxa"/>
            <w:vAlign w:val="bottom"/>
            <w:gridSpan w:val="3"/>
          </w:tcPr>
          <w:p>
            <w:pPr>
              <w:jc w:val="right"/>
              <w:ind w:right="4091"/>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UBSIDIARIES</w:t>
            </w:r>
          </w:p>
        </w:tc>
      </w:tr>
      <w:tr>
        <w:trPr>
          <w:trHeight w:val="43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Name of Entity</w:t>
            </w:r>
          </w:p>
        </w:tc>
        <w:tc>
          <w:tcPr>
            <w:tcW w:w="324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02"/>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Cruise LLC</w:t>
            </w:r>
          </w:p>
        </w:tc>
        <w:tc>
          <w:tcPr>
            <w:tcW w:w="26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Motors Ventures LLC</w:t>
            </w: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Canada Holdings LLC</w:t>
            </w: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GMGP Holdings LLC</w:t>
            </w: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OnStar LLC</w:t>
            </w: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OnStar Global Services Corporation</w:t>
            </w: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BrightDrop LLC</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BD Motors Solutions LLC</w:t>
            </w: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BrightDrop Vehicle Distribution LLC</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 Insurance Holdings LLC</w:t>
            </w: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OnStar Insurance Services, Inc.</w:t>
            </w:r>
          </w:p>
        </w:tc>
        <w:tc>
          <w:tcPr>
            <w:tcW w:w="2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349"/>
        </w:trPr>
        <w:tc>
          <w:tcPr>
            <w:tcW w:w="420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2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00"/>
          </w:cols>
          <w:pgMar w:left="440" w:top="273" w:right="459" w:bottom="1440" w:gutter="0" w:footer="0" w:header="0"/>
        </w:sectPr>
      </w:pPr>
    </w:p>
    <w:bookmarkStart w:id="479" w:name="page480"/>
    <w:bookmarkEnd w:id="4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ind w:left="100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w w:val="90"/>
              </w:rPr>
              <w:t>Credit Agreement</w:t>
            </w:r>
          </w:p>
        </w:tc>
        <w:tc>
          <w:tcPr>
            <w:tcW w:w="0" w:type="dxa"/>
            <w:vAlign w:val="bottom"/>
          </w:tcPr>
          <w:p>
            <w:pPr>
              <w:spacing w:after="0"/>
              <w:rPr>
                <w:sz w:val="1"/>
                <w:szCs w:val="1"/>
                <w:color w:val="auto"/>
              </w:rPr>
            </w:pPr>
          </w:p>
        </w:tc>
      </w:tr>
      <w:tr>
        <w:trPr>
          <w:trHeight w:val="646"/>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40" w:type="dxa"/>
            <w:vAlign w:val="bottom"/>
            <w:gridSpan w:val="4"/>
          </w:tcPr>
          <w:p>
            <w:pPr>
              <w:ind w:left="320"/>
              <w:spacing w:after="0"/>
              <w:rPr>
                <w:sz w:val="20"/>
                <w:szCs w:val="20"/>
                <w:color w:val="auto"/>
              </w:rPr>
            </w:pPr>
            <w:r>
              <w:rPr>
                <w:rFonts w:ascii="Arial" w:cs="Arial" w:eastAsia="Arial" w:hAnsi="Arial"/>
                <w:sz w:val="18"/>
                <w:szCs w:val="18"/>
                <w:b w:val="1"/>
                <w:bCs w:val="1"/>
                <w:color w:val="auto"/>
              </w:rPr>
              <w:t>PRICING GRID</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PART A</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Facility Fee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Applicable Margin</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Applicable Margin</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All-in Spread for</w:t>
            </w:r>
          </w:p>
        </w:tc>
        <w:tc>
          <w:tcPr>
            <w:tcW w:w="0" w:type="dxa"/>
            <w:vAlign w:val="bottom"/>
          </w:tcPr>
          <w:p>
            <w:pPr>
              <w:spacing w:after="0"/>
              <w:rPr>
                <w:sz w:val="1"/>
                <w:szCs w:val="1"/>
                <w:color w:val="auto"/>
              </w:rPr>
            </w:pPr>
          </w:p>
        </w:tc>
      </w:tr>
      <w:tr>
        <w:trPr>
          <w:trHeight w:val="148"/>
        </w:trPr>
        <w:tc>
          <w:tcPr>
            <w:tcW w:w="45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7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5"/>
              </w:rPr>
              <w:t>for Eurocurrency</w:t>
            </w:r>
          </w:p>
        </w:tc>
        <w:tc>
          <w:tcPr>
            <w:tcW w:w="1960" w:type="dxa"/>
            <w:vAlign w:val="bottom"/>
            <w:gridSpan w:val="2"/>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Company’s Rating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Loans</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 ABR Loans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Eurocurrency Loans</w:t>
            </w:r>
          </w:p>
        </w:tc>
        <w:tc>
          <w:tcPr>
            <w:tcW w:w="0" w:type="dxa"/>
            <w:vAlign w:val="bottom"/>
          </w:tcPr>
          <w:p>
            <w:pPr>
              <w:spacing w:after="0"/>
              <w:rPr>
                <w:sz w:val="1"/>
                <w:szCs w:val="1"/>
                <w:color w:val="auto"/>
              </w:rPr>
            </w:pPr>
          </w:p>
        </w:tc>
      </w:tr>
      <w:tr>
        <w:trPr>
          <w:trHeight w:val="215"/>
        </w:trPr>
        <w:tc>
          <w:tcPr>
            <w:tcW w:w="1160" w:type="dxa"/>
            <w:vAlign w:val="bottom"/>
            <w:tcBorders>
              <w:top w:val="single" w:sz="8" w:color="auto"/>
            </w:tcBorders>
            <w:shd w:val="clear" w:color="auto" w:fill="CCEEFF"/>
          </w:tcPr>
          <w:p>
            <w:pPr>
              <w:spacing w:after="0"/>
              <w:rPr>
                <w:sz w:val="18"/>
                <w:szCs w:val="18"/>
                <w:color w:val="auto"/>
              </w:rPr>
            </w:pPr>
          </w:p>
        </w:tc>
        <w:tc>
          <w:tcPr>
            <w:tcW w:w="3380" w:type="dxa"/>
            <w:vAlign w:val="bottom"/>
            <w:tcBorders>
              <w:top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color w:val="auto"/>
                <w:w w:val="98"/>
              </w:rPr>
              <w:t>³ A/A2/A</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80" w:type="dxa"/>
            <w:vAlign w:val="bottom"/>
          </w:tcPr>
          <w:p>
            <w:pPr>
              <w:jc w:val="center"/>
              <w:ind w:right="1190"/>
              <w:spacing w:after="0"/>
              <w:rPr>
                <w:sz w:val="20"/>
                <w:szCs w:val="20"/>
                <w:color w:val="auto"/>
              </w:rPr>
            </w:pPr>
            <w:r>
              <w:rPr>
                <w:rFonts w:ascii="Arial" w:cs="Arial" w:eastAsia="Arial" w:hAnsi="Arial"/>
                <w:sz w:val="18"/>
                <w:szCs w:val="18"/>
                <w:color w:val="auto"/>
              </w:rPr>
              <w:t>A-/A3/A-</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338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5"/>
              </w:rPr>
              <w:t>BBB+ / Baa1 / BBB+</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80" w:type="dxa"/>
            <w:vAlign w:val="bottom"/>
          </w:tcPr>
          <w:p>
            <w:pPr>
              <w:jc w:val="center"/>
              <w:ind w:right="1190"/>
              <w:spacing w:after="0"/>
              <w:rPr>
                <w:sz w:val="20"/>
                <w:szCs w:val="20"/>
                <w:color w:val="auto"/>
              </w:rPr>
            </w:pPr>
            <w:r>
              <w:rPr>
                <w:rFonts w:ascii="Arial" w:cs="Arial" w:eastAsia="Arial" w:hAnsi="Arial"/>
                <w:sz w:val="18"/>
                <w:szCs w:val="18"/>
                <w:color w:val="auto"/>
                <w:w w:val="95"/>
              </w:rPr>
              <w:t>BBB / Baa2 / BBB</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338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6"/>
              </w:rPr>
              <w:t>BBB- / Baa3 / BBB-</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80" w:type="dxa"/>
            <w:vAlign w:val="bottom"/>
          </w:tcPr>
          <w:p>
            <w:pPr>
              <w:jc w:val="center"/>
              <w:ind w:right="1190"/>
              <w:spacing w:after="0"/>
              <w:rPr>
                <w:sz w:val="20"/>
                <w:szCs w:val="20"/>
                <w:color w:val="auto"/>
              </w:rPr>
            </w:pPr>
            <w:r>
              <w:rPr>
                <w:rFonts w:ascii="Arial" w:cs="Arial" w:eastAsia="Arial" w:hAnsi="Arial"/>
                <w:sz w:val="18"/>
                <w:szCs w:val="18"/>
                <w:color w:val="auto"/>
                <w:w w:val="96"/>
              </w:rPr>
              <w:t xml:space="preserve">BB+ / Ba1 </w:t>
            </w:r>
            <w:r>
              <w:rPr>
                <w:rFonts w:ascii="Arial" w:cs="Arial" w:eastAsia="Arial" w:hAnsi="Arial"/>
                <w:sz w:val="18"/>
                <w:szCs w:val="18"/>
                <w:b w:val="1"/>
                <w:bCs w:val="1"/>
                <w:color w:val="auto"/>
                <w:w w:val="96"/>
              </w:rPr>
              <w:t>/</w:t>
            </w:r>
            <w:r>
              <w:rPr>
                <w:rFonts w:ascii="Arial" w:cs="Arial" w:eastAsia="Arial" w:hAnsi="Arial"/>
                <w:sz w:val="18"/>
                <w:szCs w:val="18"/>
                <w:color w:val="auto"/>
                <w:w w:val="96"/>
              </w:rPr>
              <w:t xml:space="preserve"> BB+</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338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4"/>
              </w:rPr>
              <w:t>£ BB / Ba2 / BB</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9"/>
        </w:trPr>
        <w:tc>
          <w:tcPr>
            <w:tcW w:w="4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PART B</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Facility Fee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Applicable Margin</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Applicable Margin</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All-in Spread for</w:t>
            </w:r>
          </w:p>
        </w:tc>
        <w:tc>
          <w:tcPr>
            <w:tcW w:w="0" w:type="dxa"/>
            <w:vAlign w:val="bottom"/>
          </w:tcPr>
          <w:p>
            <w:pPr>
              <w:spacing w:after="0"/>
              <w:rPr>
                <w:sz w:val="1"/>
                <w:szCs w:val="1"/>
                <w:color w:val="auto"/>
              </w:rPr>
            </w:pPr>
          </w:p>
        </w:tc>
      </w:tr>
      <w:tr>
        <w:trPr>
          <w:trHeight w:val="148"/>
        </w:trPr>
        <w:tc>
          <w:tcPr>
            <w:tcW w:w="45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7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5"/>
              </w:rPr>
              <w:t>for Eurocurrency</w:t>
            </w:r>
          </w:p>
        </w:tc>
        <w:tc>
          <w:tcPr>
            <w:tcW w:w="1960" w:type="dxa"/>
            <w:vAlign w:val="bottom"/>
            <w:gridSpan w:val="2"/>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Company’s Rating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Loans</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 ABR Loans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Eurocurrency Loans</w:t>
            </w:r>
          </w:p>
        </w:tc>
        <w:tc>
          <w:tcPr>
            <w:tcW w:w="0" w:type="dxa"/>
            <w:vAlign w:val="bottom"/>
          </w:tcPr>
          <w:p>
            <w:pPr>
              <w:spacing w:after="0"/>
              <w:rPr>
                <w:sz w:val="1"/>
                <w:szCs w:val="1"/>
                <w:color w:val="auto"/>
              </w:rPr>
            </w:pPr>
          </w:p>
        </w:tc>
      </w:tr>
      <w:tr>
        <w:trPr>
          <w:trHeight w:val="215"/>
        </w:trPr>
        <w:tc>
          <w:tcPr>
            <w:tcW w:w="1160" w:type="dxa"/>
            <w:vAlign w:val="bottom"/>
            <w:tcBorders>
              <w:top w:val="single" w:sz="8" w:color="auto"/>
            </w:tcBorders>
            <w:shd w:val="clear" w:color="auto" w:fill="CCEEFF"/>
          </w:tcPr>
          <w:p>
            <w:pPr>
              <w:spacing w:after="0"/>
              <w:rPr>
                <w:sz w:val="18"/>
                <w:szCs w:val="18"/>
                <w:color w:val="auto"/>
              </w:rPr>
            </w:pPr>
          </w:p>
        </w:tc>
        <w:tc>
          <w:tcPr>
            <w:tcW w:w="3380" w:type="dxa"/>
            <w:vAlign w:val="bottom"/>
            <w:tcBorders>
              <w:top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color w:val="auto"/>
                <w:w w:val="98"/>
              </w:rPr>
              <w:t>³ A/A2/A</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80" w:type="dxa"/>
            <w:vAlign w:val="bottom"/>
          </w:tcPr>
          <w:p>
            <w:pPr>
              <w:jc w:val="center"/>
              <w:ind w:right="1190"/>
              <w:spacing w:after="0"/>
              <w:rPr>
                <w:sz w:val="20"/>
                <w:szCs w:val="20"/>
                <w:color w:val="auto"/>
              </w:rPr>
            </w:pPr>
            <w:r>
              <w:rPr>
                <w:rFonts w:ascii="Arial" w:cs="Arial" w:eastAsia="Arial" w:hAnsi="Arial"/>
                <w:sz w:val="18"/>
                <w:szCs w:val="18"/>
                <w:color w:val="auto"/>
              </w:rPr>
              <w:t>A-/A3/A-</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338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5"/>
              </w:rPr>
              <w:t>BBB+ / Baa1 / BBB+</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80" w:type="dxa"/>
            <w:vAlign w:val="bottom"/>
          </w:tcPr>
          <w:p>
            <w:pPr>
              <w:jc w:val="center"/>
              <w:ind w:right="1190"/>
              <w:spacing w:after="0"/>
              <w:rPr>
                <w:sz w:val="20"/>
                <w:szCs w:val="20"/>
                <w:color w:val="auto"/>
              </w:rPr>
            </w:pPr>
            <w:r>
              <w:rPr>
                <w:rFonts w:ascii="Arial" w:cs="Arial" w:eastAsia="Arial" w:hAnsi="Arial"/>
                <w:sz w:val="18"/>
                <w:szCs w:val="18"/>
                <w:color w:val="auto"/>
                <w:w w:val="95"/>
              </w:rPr>
              <w:t>BBB / Baa2 / BBB</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338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6"/>
              </w:rPr>
              <w:t>BBB- / Baa3 / BBB-</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80" w:type="dxa"/>
            <w:vAlign w:val="bottom"/>
          </w:tcPr>
          <w:p>
            <w:pPr>
              <w:jc w:val="center"/>
              <w:ind w:right="1190"/>
              <w:spacing w:after="0"/>
              <w:rPr>
                <w:sz w:val="20"/>
                <w:szCs w:val="20"/>
                <w:color w:val="auto"/>
              </w:rPr>
            </w:pPr>
            <w:r>
              <w:rPr>
                <w:rFonts w:ascii="Arial" w:cs="Arial" w:eastAsia="Arial" w:hAnsi="Arial"/>
                <w:sz w:val="18"/>
                <w:szCs w:val="18"/>
                <w:color w:val="auto"/>
                <w:w w:val="96"/>
              </w:rPr>
              <w:t xml:space="preserve">BB+ / Ba1 </w:t>
            </w:r>
            <w:r>
              <w:rPr>
                <w:rFonts w:ascii="Arial" w:cs="Arial" w:eastAsia="Arial" w:hAnsi="Arial"/>
                <w:sz w:val="18"/>
                <w:szCs w:val="18"/>
                <w:b w:val="1"/>
                <w:bCs w:val="1"/>
                <w:color w:val="auto"/>
                <w:w w:val="96"/>
              </w:rPr>
              <w:t>/</w:t>
            </w:r>
            <w:r>
              <w:rPr>
                <w:rFonts w:ascii="Arial" w:cs="Arial" w:eastAsia="Arial" w:hAnsi="Arial"/>
                <w:sz w:val="18"/>
                <w:szCs w:val="18"/>
                <w:color w:val="auto"/>
                <w:w w:val="96"/>
              </w:rPr>
              <w:t xml:space="preserve"> BB+</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338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4"/>
              </w:rPr>
              <w:t>£ BB / Ba2 / BB</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Changes in the Applicable Margin and Facility Fee Rate shall become effective on the date on which S&amp;P, Moody’s and/or Fitch changes the rating it has issued with respect to the Company’s Applicable rating (as determined in the manner set forth in the last sentence of this paragraph) or, in the absence of any such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ectPr>
          <w:pgSz w:w="11900" w:h="16838" w:orient="portrait"/>
          <w:cols w:equalWidth="0" w:num="1">
            <w:col w:w="11000"/>
          </w:cols>
          <w:pgMar w:left="440" w:top="273" w:right="459" w:bottom="1440" w:gutter="0" w:footer="0" w:header="0"/>
        </w:sectPr>
      </w:pPr>
    </w:p>
    <w:bookmarkStart w:id="480" w:name="page481"/>
    <w:bookmarkEnd w:id="480"/>
    <w:p>
      <w:pPr>
        <w:ind w:left="9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D</w:t>
      </w:r>
    </w:p>
    <w:p>
      <w:pPr>
        <w:spacing w:after="0" w:line="34"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IENS</w:t>
      </w:r>
    </w:p>
    <w:p>
      <w:pPr>
        <w:spacing w:after="0" w:line="228" w:lineRule="exact"/>
        <w:rPr>
          <w:sz w:val="20"/>
          <w:szCs w:val="20"/>
          <w:color w:val="auto"/>
        </w:rPr>
      </w:pPr>
    </w:p>
    <w:p>
      <w:pPr>
        <w:ind w:right="1620"/>
        <w:spacing w:after="0" w:line="448" w:lineRule="auto"/>
        <w:rPr>
          <w:sz w:val="20"/>
          <w:szCs w:val="20"/>
          <w:color w:val="auto"/>
        </w:rPr>
      </w:pPr>
      <w:r>
        <w:rPr>
          <w:rFonts w:ascii="Arial" w:cs="Arial" w:eastAsia="Arial" w:hAnsi="Arial"/>
          <w:sz w:val="18"/>
          <w:szCs w:val="18"/>
          <w:color w:val="auto"/>
        </w:rPr>
        <w:t>Liens reflected in the lien search results, dated as of April 4, 2021 delivered to the Administrative Agent prior to the Closing Date. Credit Agreement Schedule 1.1D</w:t>
      </w:r>
    </w:p>
    <w:p>
      <w:pPr>
        <w:sectPr>
          <w:pgSz w:w="11900" w:h="16838" w:orient="portrait"/>
          <w:cols w:equalWidth="0" w:num="1">
            <w:col w:w="11000"/>
          </w:cols>
          <w:pgMar w:left="440" w:top="273" w:right="459" w:bottom="1440" w:gutter="0" w:footer="0" w:header="0"/>
        </w:sectPr>
      </w:pPr>
    </w:p>
    <w:bookmarkStart w:id="481" w:name="page482"/>
    <w:bookmarkEnd w:id="481"/>
    <w:p>
      <w:pPr>
        <w:ind w:left="96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E</w:t>
      </w:r>
    </w:p>
    <w:p>
      <w:pPr>
        <w:spacing w:after="0" w:line="46"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4"/>
          <w:szCs w:val="14"/>
          <w:b w:val="1"/>
          <w:bCs w:val="1"/>
          <w:u w:val="single" w:color="auto"/>
          <w:color w:val="auto"/>
        </w:rPr>
        <w:t>USINESSES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ectPr>
          <w:pgSz w:w="11900" w:h="16838" w:orient="portrait"/>
          <w:cols w:equalWidth="0" w:num="1">
            <w:col w:w="11000"/>
          </w:cols>
          <w:pgMar w:left="440" w:top="273" w:right="459" w:bottom="1440" w:gutter="0" w:footer="0" w:header="0"/>
        </w:sectPr>
      </w:pPr>
    </w:p>
    <w:bookmarkStart w:id="482" w:name="page483"/>
    <w:bookmarkEnd w:id="482"/>
    <w:p>
      <w:pPr>
        <w:ind w:left="9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46"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ITIGATION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000"/>
          </w:cols>
          <w:pgMar w:left="440" w:top="273" w:right="459" w:bottom="1440" w:gutter="0" w:footer="0" w:header="0"/>
        </w:sectPr>
      </w:pPr>
    </w:p>
    <w:bookmarkStart w:id="483" w:name="page484"/>
    <w:bookmarkEnd w:id="4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AMENDMENT NO. 1</w:t>
      </w:r>
    </w:p>
    <w:p>
      <w:pPr>
        <w:spacing w:after="0" w:line="21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000"/>
          </w:cols>
          <w:pgMar w:left="1440" w:top="269" w:right="459"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EXHIBIT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CONFORMED THROUGH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-122555</wp:posOffset>
            </wp:positionV>
            <wp:extent cx="59880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98805" cy="8255"/>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13970</wp:posOffset>
            </wp:positionV>
            <wp:extent cx="248856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5-YEAR REVOLVING CREDIT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FINANCIAL COMPANY,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DO BRASIL LTDA.,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FF0000"/>
          <w:strike w:val="1"/>
        </w:rPr>
        <w:t>GM GLOBAL TREASURY CENTRE LIMITED,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 FROM TIME TO TIME PARTIES HERETO,</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320" w:type="dxa"/>
            <w:vAlign w:val="bottom"/>
            <w:gridSpan w:val="6"/>
          </w:tcPr>
          <w:p>
            <w:pPr>
              <w:ind w:left="320"/>
              <w:spacing w:after="0"/>
              <w:rPr>
                <w:sz w:val="20"/>
                <w:szCs w:val="20"/>
                <w:color w:val="auto"/>
              </w:rPr>
            </w:pPr>
            <w:r>
              <w:rPr>
                <w:rFonts w:ascii="Arial" w:cs="Arial" w:eastAsia="Arial" w:hAnsi="Arial"/>
                <w:sz w:val="18"/>
                <w:szCs w:val="18"/>
                <w:color w:val="auto"/>
              </w:rPr>
              <w:t>Dated as of April 18, 2018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4220" w:type="dxa"/>
            <w:vAlign w:val="bottom"/>
            <w:gridSpan w:val="4"/>
          </w:tcPr>
          <w:p>
            <w:pPr>
              <w:jc w:val="center"/>
              <w:ind w:left="1330"/>
              <w:spacing w:after="0"/>
              <w:rPr>
                <w:sz w:val="20"/>
                <w:szCs w:val="20"/>
                <w:color w:val="auto"/>
              </w:rPr>
            </w:pPr>
            <w:r>
              <w:rPr>
                <w:rFonts w:ascii="Arial" w:cs="Arial" w:eastAsia="Arial" w:hAnsi="Arial"/>
                <w:sz w:val="18"/>
                <w:szCs w:val="18"/>
                <w:color w:val="auto"/>
                <w:w w:val="96"/>
              </w:rPr>
              <w:t>JPMORGAN CHASE BANK, N.A.,</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20" w:type="dxa"/>
            <w:vAlign w:val="bottom"/>
            <w:gridSpan w:val="9"/>
          </w:tcPr>
          <w:p>
            <w:pPr>
              <w:jc w:val="center"/>
              <w:ind w:right="170"/>
              <w:spacing w:after="0"/>
              <w:rPr>
                <w:sz w:val="20"/>
                <w:szCs w:val="20"/>
                <w:color w:val="auto"/>
              </w:rPr>
            </w:pPr>
            <w:r>
              <w:rPr>
                <w:rFonts w:ascii="Arial" w:cs="Arial" w:eastAsia="Arial" w:hAnsi="Arial"/>
                <w:sz w:val="18"/>
                <w:szCs w:val="18"/>
                <w:color w:val="auto"/>
              </w:rPr>
              <w:t>CITIBANK, N.A.,</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20" w:type="dxa"/>
            <w:vAlign w:val="bottom"/>
            <w:gridSpan w:val="9"/>
          </w:tcPr>
          <w:p>
            <w:pPr>
              <w:jc w:val="center"/>
              <w:ind w:right="180"/>
              <w:spacing w:after="0"/>
              <w:rPr>
                <w:sz w:val="20"/>
                <w:szCs w:val="20"/>
                <w:color w:val="auto"/>
              </w:rPr>
            </w:pPr>
            <w:r>
              <w:rPr>
                <w:rFonts w:ascii="Arial" w:cs="Arial" w:eastAsia="Arial" w:hAnsi="Arial"/>
                <w:sz w:val="18"/>
                <w:szCs w:val="18"/>
                <w:i w:val="1"/>
                <w:iCs w:val="1"/>
                <w:color w:val="auto"/>
                <w:w w:val="92"/>
              </w:rPr>
              <w:t>as Administrative Agent</w:t>
            </w:r>
            <w:r>
              <w:rPr>
                <w:rFonts w:ascii="Arial" w:cs="Arial" w:eastAsia="Arial" w:hAnsi="Arial"/>
                <w:sz w:val="18"/>
                <w:szCs w:val="18"/>
                <w:color w:val="auto"/>
                <w:w w:val="92"/>
              </w:rPr>
              <w:t>,</w:t>
            </w:r>
            <w:r>
              <w:rPr>
                <w:rFonts w:ascii="Arial" w:cs="Arial" w:eastAsia="Arial" w:hAnsi="Arial"/>
                <w:sz w:val="18"/>
                <w:szCs w:val="18"/>
                <w:i w:val="1"/>
                <w:iCs w:val="1"/>
                <w:color w:val="auto"/>
                <w:w w:val="92"/>
              </w:rPr>
              <w:t xml:space="preserve"> Global Coordinator,</w:t>
            </w:r>
          </w:p>
        </w:tc>
        <w:tc>
          <w:tcPr>
            <w:tcW w:w="1720" w:type="dxa"/>
            <w:vAlign w:val="bottom"/>
          </w:tcPr>
          <w:p>
            <w:pPr>
              <w:spacing w:after="0"/>
              <w:rPr>
                <w:sz w:val="18"/>
                <w:szCs w:val="18"/>
                <w:color w:val="auto"/>
              </w:rPr>
            </w:pPr>
          </w:p>
        </w:tc>
        <w:tc>
          <w:tcPr>
            <w:tcW w:w="1920" w:type="dxa"/>
            <w:vAlign w:val="bottom"/>
            <w:gridSpan w:val="9"/>
          </w:tcPr>
          <w:p>
            <w:pPr>
              <w:jc w:val="center"/>
              <w:ind w:right="190"/>
              <w:spacing w:after="0"/>
              <w:rPr>
                <w:sz w:val="20"/>
                <w:szCs w:val="20"/>
                <w:color w:val="auto"/>
              </w:rPr>
            </w:pPr>
            <w:r>
              <w:rPr>
                <w:rFonts w:ascii="Arial" w:cs="Arial" w:eastAsia="Arial" w:hAnsi="Arial"/>
                <w:sz w:val="18"/>
                <w:szCs w:val="18"/>
                <w:i w:val="1"/>
                <w:iCs w:val="1"/>
                <w:color w:val="auto"/>
                <w:w w:val="89"/>
              </w:rPr>
              <w:t>as Syndication Agent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9"/>
          </w:tcPr>
          <w:p>
            <w:pPr>
              <w:jc w:val="center"/>
              <w:ind w:right="200"/>
              <w:spacing w:after="0"/>
              <w:rPr>
                <w:sz w:val="20"/>
                <w:szCs w:val="20"/>
                <w:color w:val="auto"/>
              </w:rPr>
            </w:pPr>
            <w:r>
              <w:rPr>
                <w:rFonts w:ascii="Arial" w:cs="Arial" w:eastAsia="Arial" w:hAnsi="Arial"/>
                <w:sz w:val="18"/>
                <w:szCs w:val="18"/>
                <w:i w:val="1"/>
                <w:iCs w:val="1"/>
                <w:color w:val="auto"/>
                <w:w w:val="92"/>
              </w:rPr>
              <w:t>Joint Lead Arranger and Joint Bookrunner</w:t>
            </w: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1"/>
          </w:tcPr>
          <w:p>
            <w:pPr>
              <w:jc w:val="center"/>
              <w:ind w:right="10"/>
              <w:spacing w:after="0"/>
              <w:rPr>
                <w:sz w:val="20"/>
                <w:szCs w:val="20"/>
                <w:color w:val="auto"/>
              </w:rPr>
            </w:pPr>
            <w:r>
              <w:rPr>
                <w:rFonts w:ascii="Arial" w:cs="Arial" w:eastAsia="Arial" w:hAnsi="Arial"/>
                <w:sz w:val="18"/>
                <w:szCs w:val="18"/>
                <w:color w:val="auto"/>
                <w:w w:val="97"/>
              </w:rPr>
              <w:t>CITIGROUP GLOBAL MARKETS INC.,</w:t>
            </w: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gridSpan w:val="11"/>
          </w:tcPr>
          <w:p>
            <w:pPr>
              <w:jc w:val="center"/>
              <w:spacing w:after="0"/>
              <w:rPr>
                <w:sz w:val="20"/>
                <w:szCs w:val="20"/>
                <w:color w:val="auto"/>
              </w:rPr>
            </w:pPr>
            <w:r>
              <w:rPr>
                <w:rFonts w:ascii="Arial" w:cs="Arial" w:eastAsia="Arial" w:hAnsi="Arial"/>
                <w:sz w:val="18"/>
                <w:szCs w:val="18"/>
                <w:i w:val="1"/>
                <w:iCs w:val="1"/>
                <w:color w:val="auto"/>
                <w:w w:val="92"/>
              </w:rPr>
              <w:t>as Global Coordinator, Joint Lead Arranger and</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920" w:type="dxa"/>
            <w:vAlign w:val="bottom"/>
            <w:gridSpan w:val="9"/>
          </w:tcPr>
          <w:p>
            <w:pPr>
              <w:jc w:val="center"/>
              <w:ind w:right="170"/>
              <w:spacing w:after="0"/>
              <w:rPr>
                <w:sz w:val="20"/>
                <w:szCs w:val="20"/>
                <w:color w:val="auto"/>
              </w:rPr>
            </w:pPr>
            <w:r>
              <w:rPr>
                <w:rFonts w:ascii="Arial" w:cs="Arial" w:eastAsia="Arial" w:hAnsi="Arial"/>
                <w:sz w:val="18"/>
                <w:szCs w:val="18"/>
                <w:i w:val="1"/>
                <w:iCs w:val="1"/>
                <w:color w:val="auto"/>
                <w:w w:val="92"/>
              </w:rPr>
              <w:t>Joint Bookrunner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700" w:type="dxa"/>
            <w:vAlign w:val="bottom"/>
            <w:tcBorders>
              <w:bottom w:val="single" w:sz="8" w:color="auto"/>
            </w:tcBorders>
            <w:gridSpan w:val="2"/>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27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477"/>
        </w:trPr>
        <w:tc>
          <w:tcPr>
            <w:tcW w:w="2700" w:type="dxa"/>
            <w:vAlign w:val="bottom"/>
            <w:gridSpan w:val="2"/>
          </w:tcPr>
          <w:p>
            <w:pPr>
              <w:jc w:val="center"/>
              <w:ind w:left="290"/>
              <w:spacing w:after="0"/>
              <w:rPr>
                <w:sz w:val="20"/>
                <w:szCs w:val="20"/>
                <w:color w:val="auto"/>
              </w:rPr>
            </w:pPr>
            <w:r>
              <w:rPr>
                <w:rFonts w:ascii="Arial" w:cs="Arial" w:eastAsia="Arial" w:hAnsi="Arial"/>
                <w:sz w:val="18"/>
                <w:szCs w:val="18"/>
                <w:color w:val="auto"/>
              </w:rPr>
              <w:t>INDUSTRIAL AND</w:t>
            </w:r>
          </w:p>
        </w:tc>
        <w:tc>
          <w:tcPr>
            <w:tcW w:w="80" w:type="dxa"/>
            <w:vAlign w:val="bottom"/>
          </w:tcPr>
          <w:p>
            <w:pPr>
              <w:spacing w:after="0"/>
              <w:rPr>
                <w:sz w:val="24"/>
                <w:szCs w:val="24"/>
                <w:color w:val="auto"/>
              </w:rPr>
            </w:pPr>
          </w:p>
        </w:tc>
        <w:tc>
          <w:tcPr>
            <w:tcW w:w="3040" w:type="dxa"/>
            <w:vAlign w:val="bottom"/>
            <w:gridSpan w:val="6"/>
          </w:tcPr>
          <w:p>
            <w:pPr>
              <w:jc w:val="center"/>
              <w:ind w:left="330"/>
              <w:spacing w:after="0"/>
              <w:rPr>
                <w:sz w:val="20"/>
                <w:szCs w:val="20"/>
                <w:color w:val="auto"/>
              </w:rPr>
            </w:pPr>
            <w:r>
              <w:rPr>
                <w:rFonts w:ascii="Arial" w:cs="Arial" w:eastAsia="Arial" w:hAnsi="Arial"/>
                <w:sz w:val="18"/>
                <w:szCs w:val="18"/>
                <w:color w:val="auto"/>
              </w:rPr>
              <w:t>LLOYDS BANK</w:t>
            </w:r>
          </w:p>
        </w:tc>
        <w:tc>
          <w:tcPr>
            <w:tcW w:w="2200" w:type="dxa"/>
            <w:vAlign w:val="bottom"/>
            <w:gridSpan w:val="4"/>
          </w:tcPr>
          <w:p>
            <w:pPr>
              <w:jc w:val="center"/>
              <w:ind w:left="550"/>
              <w:spacing w:after="0"/>
              <w:rPr>
                <w:sz w:val="20"/>
                <w:szCs w:val="20"/>
                <w:color w:val="auto"/>
              </w:rPr>
            </w:pPr>
            <w:r>
              <w:rPr>
                <w:rFonts w:ascii="Arial" w:cs="Arial" w:eastAsia="Arial" w:hAnsi="Arial"/>
                <w:sz w:val="18"/>
                <w:szCs w:val="18"/>
                <w:color w:val="auto"/>
                <w:w w:val="94"/>
              </w:rPr>
              <w:t>THE TORONTO</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2"/>
          </w:tcPr>
          <w:p>
            <w:pPr>
              <w:jc w:val="center"/>
              <w:ind w:right="210"/>
              <w:spacing w:after="0"/>
              <w:rPr>
                <w:sz w:val="20"/>
                <w:szCs w:val="20"/>
                <w:color w:val="auto"/>
              </w:rPr>
            </w:pPr>
            <w:r>
              <w:rPr>
                <w:rFonts w:ascii="Arial" w:cs="Arial" w:eastAsia="Arial" w:hAnsi="Arial"/>
                <w:sz w:val="18"/>
                <w:szCs w:val="18"/>
                <w:color w:val="auto"/>
                <w:w w:val="98"/>
              </w:rPr>
              <w:t>BANCO DO BRASIL</w:t>
            </w:r>
          </w:p>
        </w:tc>
        <w:tc>
          <w:tcPr>
            <w:tcW w:w="0" w:type="dxa"/>
            <w:vAlign w:val="bottom"/>
          </w:tcPr>
          <w:p>
            <w:pPr>
              <w:spacing w:after="0"/>
              <w:rPr>
                <w:sz w:val="1"/>
                <w:szCs w:val="1"/>
                <w:color w:val="auto"/>
              </w:rPr>
            </w:pPr>
          </w:p>
        </w:tc>
      </w:tr>
      <w:tr>
        <w:trPr>
          <w:trHeight w:val="215"/>
        </w:trPr>
        <w:tc>
          <w:tcPr>
            <w:tcW w:w="2700" w:type="dxa"/>
            <w:vAlign w:val="bottom"/>
            <w:gridSpan w:val="2"/>
          </w:tcPr>
          <w:p>
            <w:pPr>
              <w:jc w:val="center"/>
              <w:ind w:left="310"/>
              <w:spacing w:after="0"/>
              <w:rPr>
                <w:sz w:val="20"/>
                <w:szCs w:val="20"/>
                <w:color w:val="auto"/>
              </w:rPr>
            </w:pPr>
            <w:r>
              <w:rPr>
                <w:rFonts w:ascii="Arial" w:cs="Arial" w:eastAsia="Arial" w:hAnsi="Arial"/>
                <w:sz w:val="18"/>
                <w:szCs w:val="18"/>
                <w:color w:val="auto"/>
                <w:w w:val="99"/>
              </w:rPr>
              <w:t>COMMERCIAL</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gridSpan w:val="5"/>
          </w:tcPr>
          <w:p>
            <w:pPr>
              <w:jc w:val="center"/>
              <w:ind w:right="104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2200" w:type="dxa"/>
            <w:vAlign w:val="bottom"/>
            <w:gridSpan w:val="4"/>
          </w:tcPr>
          <w:p>
            <w:pPr>
              <w:jc w:val="center"/>
              <w:ind w:left="550"/>
              <w:spacing w:after="0"/>
              <w:rPr>
                <w:sz w:val="20"/>
                <w:szCs w:val="20"/>
                <w:color w:val="auto"/>
              </w:rPr>
            </w:pPr>
            <w:r>
              <w:rPr>
                <w:rFonts w:ascii="Arial" w:cs="Arial" w:eastAsia="Arial" w:hAnsi="Arial"/>
                <w:sz w:val="18"/>
                <w:szCs w:val="18"/>
                <w:color w:val="auto"/>
              </w:rPr>
              <w:t>DOMINION BANK,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center"/>
              <w:ind w:right="670"/>
              <w:spacing w:after="0"/>
              <w:rPr>
                <w:sz w:val="20"/>
                <w:szCs w:val="20"/>
                <w:color w:val="auto"/>
              </w:rPr>
            </w:pPr>
            <w:r>
              <w:rPr>
                <w:rFonts w:ascii="Arial" w:cs="Arial" w:eastAsia="Arial" w:hAnsi="Arial"/>
                <w:sz w:val="18"/>
                <w:szCs w:val="18"/>
                <w:color w:val="auto"/>
                <w:w w:val="89"/>
              </w:rPr>
              <w:t>S.A.</w:t>
            </w:r>
            <w:r>
              <w:rPr>
                <w:rFonts w:ascii="Arial" w:cs="Arial" w:eastAsia="Arial" w:hAnsi="Arial"/>
                <w:sz w:val="15"/>
                <w:szCs w:val="15"/>
                <w:color w:val="auto"/>
                <w:w w:val="89"/>
              </w:rPr>
              <w:t>3</w:t>
            </w:r>
          </w:p>
        </w:tc>
        <w:tc>
          <w:tcPr>
            <w:tcW w:w="0" w:type="dxa"/>
            <w:vAlign w:val="bottom"/>
          </w:tcPr>
          <w:p>
            <w:pPr>
              <w:spacing w:after="0"/>
              <w:rPr>
                <w:sz w:val="1"/>
                <w:szCs w:val="1"/>
                <w:color w:val="auto"/>
              </w:rPr>
            </w:pPr>
          </w:p>
        </w:tc>
      </w:tr>
      <w:tr>
        <w:trPr>
          <w:trHeight w:val="215"/>
        </w:trPr>
        <w:tc>
          <w:tcPr>
            <w:tcW w:w="270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BANK OF CHINA</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gridSpan w:val="4"/>
          </w:tcPr>
          <w:p>
            <w:pPr>
              <w:jc w:val="center"/>
              <w:ind w:left="550"/>
              <w:spacing w:after="0"/>
              <w:rPr>
                <w:sz w:val="20"/>
                <w:szCs w:val="20"/>
                <w:color w:val="auto"/>
              </w:rPr>
            </w:pPr>
            <w:r>
              <w:rPr>
                <w:rFonts w:ascii="Arial" w:cs="Arial" w:eastAsia="Arial" w:hAnsi="Arial"/>
                <w:sz w:val="18"/>
                <w:szCs w:val="18"/>
                <w:color w:val="auto"/>
                <w:w w:val="97"/>
              </w:rPr>
              <w:t>NEW YORK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2"/>
          </w:tcPr>
          <w:p>
            <w:pPr>
              <w:jc w:val="center"/>
              <w:ind w:right="210"/>
              <w:spacing w:after="0"/>
              <w:rPr>
                <w:sz w:val="20"/>
                <w:szCs w:val="20"/>
                <w:color w:val="auto"/>
              </w:rPr>
            </w:pPr>
            <w:r>
              <w:rPr>
                <w:rFonts w:ascii="Arial" w:cs="Arial" w:eastAsia="Arial" w:hAnsi="Arial"/>
                <w:sz w:val="18"/>
                <w:szCs w:val="18"/>
                <w:color w:val="auto"/>
                <w:w w:val="95"/>
              </w:rPr>
              <w:t>BANCO BRADESCO</w:t>
            </w:r>
          </w:p>
        </w:tc>
        <w:tc>
          <w:tcPr>
            <w:tcW w:w="0" w:type="dxa"/>
            <w:vAlign w:val="bottom"/>
          </w:tcPr>
          <w:p>
            <w:pPr>
              <w:spacing w:after="0"/>
              <w:rPr>
                <w:sz w:val="1"/>
                <w:szCs w:val="1"/>
                <w:color w:val="auto"/>
              </w:rPr>
            </w:pPr>
          </w:p>
        </w:tc>
      </w:tr>
      <w:tr>
        <w:trPr>
          <w:trHeight w:val="215"/>
        </w:trPr>
        <w:tc>
          <w:tcPr>
            <w:tcW w:w="2700" w:type="dxa"/>
            <w:vAlign w:val="bottom"/>
            <w:gridSpan w:val="2"/>
          </w:tcPr>
          <w:p>
            <w:pPr>
              <w:jc w:val="center"/>
              <w:ind w:left="310"/>
              <w:spacing w:after="0"/>
              <w:rPr>
                <w:sz w:val="20"/>
                <w:szCs w:val="20"/>
                <w:color w:val="auto"/>
              </w:rPr>
            </w:pPr>
            <w:r>
              <w:rPr>
                <w:rFonts w:ascii="Arial" w:cs="Arial" w:eastAsia="Arial" w:hAnsi="Arial"/>
                <w:sz w:val="18"/>
                <w:szCs w:val="18"/>
                <w:color w:val="auto"/>
                <w:w w:val="99"/>
              </w:rPr>
              <w:t>LIMITED NEW YORK</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gridSpan w:val="4"/>
          </w:tcPr>
          <w:p>
            <w:pPr>
              <w:jc w:val="center"/>
              <w:ind w:left="53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center"/>
              <w:ind w:right="690"/>
              <w:spacing w:after="0"/>
              <w:rPr>
                <w:sz w:val="20"/>
                <w:szCs w:val="20"/>
                <w:color w:val="auto"/>
              </w:rPr>
            </w:pPr>
            <w:r>
              <w:rPr>
                <w:rFonts w:ascii="Arial" w:cs="Arial" w:eastAsia="Arial" w:hAnsi="Arial"/>
                <w:sz w:val="18"/>
                <w:szCs w:val="18"/>
                <w:color w:val="auto"/>
                <w:w w:val="93"/>
              </w:rPr>
              <w:t>S.A.</w:t>
            </w:r>
          </w:p>
        </w:tc>
        <w:tc>
          <w:tcPr>
            <w:tcW w:w="0" w:type="dxa"/>
            <w:vAlign w:val="bottom"/>
          </w:tcPr>
          <w:p>
            <w:pPr>
              <w:spacing w:after="0"/>
              <w:rPr>
                <w:sz w:val="1"/>
                <w:szCs w:val="1"/>
                <w:color w:val="auto"/>
              </w:rPr>
            </w:pPr>
          </w:p>
        </w:tc>
      </w:tr>
      <w:tr>
        <w:trPr>
          <w:trHeight w:val="230"/>
        </w:trPr>
        <w:tc>
          <w:tcPr>
            <w:tcW w:w="2700" w:type="dxa"/>
            <w:vAlign w:val="bottom"/>
            <w:gridSpan w:val="2"/>
          </w:tcPr>
          <w:p>
            <w:pPr>
              <w:jc w:val="center"/>
              <w:ind w:left="31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700" w:type="dxa"/>
            <w:vAlign w:val="bottom"/>
            <w:gridSpan w:val="2"/>
          </w:tcPr>
          <w:p>
            <w:pPr>
              <w:jc w:val="center"/>
              <w:ind w:left="290"/>
              <w:spacing w:after="0"/>
              <w:rPr>
                <w:sz w:val="20"/>
                <w:szCs w:val="20"/>
                <w:color w:val="auto"/>
              </w:rPr>
            </w:pPr>
            <w:r>
              <w:rPr>
                <w:rFonts w:ascii="Arial" w:cs="Arial" w:eastAsia="Arial" w:hAnsi="Arial"/>
                <w:sz w:val="18"/>
                <w:szCs w:val="18"/>
                <w:i w:val="1"/>
                <w:iCs w:val="1"/>
                <w:color w:val="auto"/>
                <w:w w:val="91"/>
              </w:rPr>
              <w:t>as Asian Pacific</w:t>
            </w:r>
          </w:p>
        </w:tc>
        <w:tc>
          <w:tcPr>
            <w:tcW w:w="80" w:type="dxa"/>
            <w:vAlign w:val="bottom"/>
          </w:tcPr>
          <w:p>
            <w:pPr>
              <w:spacing w:after="0"/>
              <w:rPr>
                <w:sz w:val="24"/>
                <w:szCs w:val="24"/>
                <w:color w:val="auto"/>
              </w:rPr>
            </w:pPr>
          </w:p>
        </w:tc>
        <w:tc>
          <w:tcPr>
            <w:tcW w:w="3040" w:type="dxa"/>
            <w:vAlign w:val="bottom"/>
            <w:gridSpan w:val="6"/>
          </w:tcPr>
          <w:p>
            <w:pPr>
              <w:jc w:val="center"/>
              <w:ind w:left="310"/>
              <w:spacing w:after="0"/>
              <w:rPr>
                <w:sz w:val="20"/>
                <w:szCs w:val="20"/>
                <w:color w:val="auto"/>
              </w:rPr>
            </w:pPr>
            <w:r>
              <w:rPr>
                <w:rFonts w:ascii="Arial" w:cs="Arial" w:eastAsia="Arial" w:hAnsi="Arial"/>
                <w:sz w:val="18"/>
                <w:szCs w:val="18"/>
                <w:i w:val="1"/>
                <w:iCs w:val="1"/>
                <w:color w:val="auto"/>
                <w:w w:val="89"/>
              </w:rPr>
              <w:t>as European Regional</w:t>
            </w:r>
          </w:p>
        </w:tc>
        <w:tc>
          <w:tcPr>
            <w:tcW w:w="2200" w:type="dxa"/>
            <w:vAlign w:val="bottom"/>
            <w:gridSpan w:val="4"/>
          </w:tcPr>
          <w:p>
            <w:pPr>
              <w:jc w:val="center"/>
              <w:ind w:left="550"/>
              <w:spacing w:after="0"/>
              <w:rPr>
                <w:sz w:val="20"/>
                <w:szCs w:val="20"/>
                <w:color w:val="auto"/>
              </w:rPr>
            </w:pPr>
            <w:r>
              <w:rPr>
                <w:rFonts w:ascii="Arial" w:cs="Arial" w:eastAsia="Arial" w:hAnsi="Arial"/>
                <w:sz w:val="18"/>
                <w:szCs w:val="18"/>
                <w:i w:val="1"/>
                <w:iCs w:val="1"/>
                <w:color w:val="auto"/>
                <w:w w:val="91"/>
              </w:rPr>
              <w:t>as North American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1"/>
              </w:rPr>
              <w:t>as Co-Latin American</w:t>
            </w:r>
          </w:p>
        </w:tc>
        <w:tc>
          <w:tcPr>
            <w:tcW w:w="0" w:type="dxa"/>
            <w:vAlign w:val="bottom"/>
          </w:tcPr>
          <w:p>
            <w:pPr>
              <w:spacing w:after="0"/>
              <w:rPr>
                <w:sz w:val="1"/>
                <w:szCs w:val="1"/>
                <w:color w:val="auto"/>
              </w:rPr>
            </w:pPr>
          </w:p>
        </w:tc>
      </w:tr>
      <w:tr>
        <w:trPr>
          <w:trHeight w:val="243"/>
        </w:trPr>
        <w:tc>
          <w:tcPr>
            <w:tcW w:w="2700" w:type="dxa"/>
            <w:vAlign w:val="bottom"/>
            <w:gridSpan w:val="2"/>
          </w:tcPr>
          <w:p>
            <w:pPr>
              <w:jc w:val="center"/>
              <w:ind w:left="310"/>
              <w:spacing w:after="0"/>
              <w:rPr>
                <w:sz w:val="20"/>
                <w:szCs w:val="20"/>
                <w:color w:val="auto"/>
              </w:rPr>
            </w:pPr>
            <w:r>
              <w:rPr>
                <w:rFonts w:ascii="Arial" w:cs="Arial" w:eastAsia="Arial" w:hAnsi="Arial"/>
                <w:sz w:val="18"/>
                <w:szCs w:val="18"/>
                <w:i w:val="1"/>
                <w:iCs w:val="1"/>
                <w:color w:val="auto"/>
                <w:w w:val="92"/>
              </w:rPr>
              <w:t>Regional Coordinator</w:t>
            </w:r>
          </w:p>
        </w:tc>
        <w:tc>
          <w:tcPr>
            <w:tcW w:w="80" w:type="dxa"/>
            <w:vAlign w:val="bottom"/>
          </w:tcPr>
          <w:p>
            <w:pPr>
              <w:spacing w:after="0"/>
              <w:rPr>
                <w:sz w:val="21"/>
                <w:szCs w:val="21"/>
                <w:color w:val="auto"/>
              </w:rPr>
            </w:pPr>
          </w:p>
        </w:tc>
        <w:tc>
          <w:tcPr>
            <w:tcW w:w="3040" w:type="dxa"/>
            <w:vAlign w:val="bottom"/>
            <w:gridSpan w:val="6"/>
          </w:tcPr>
          <w:p>
            <w:pPr>
              <w:jc w:val="center"/>
              <w:ind w:left="310"/>
              <w:spacing w:after="0"/>
              <w:rPr>
                <w:sz w:val="20"/>
                <w:szCs w:val="20"/>
                <w:color w:val="auto"/>
              </w:rPr>
            </w:pPr>
            <w:r>
              <w:rPr>
                <w:rFonts w:ascii="Arial" w:cs="Arial" w:eastAsia="Arial" w:hAnsi="Arial"/>
                <w:sz w:val="18"/>
                <w:szCs w:val="18"/>
                <w:i w:val="1"/>
                <w:iCs w:val="1"/>
                <w:color w:val="auto"/>
                <w:w w:val="93"/>
              </w:rPr>
              <w:t>Coordinator</w:t>
            </w:r>
          </w:p>
        </w:tc>
        <w:tc>
          <w:tcPr>
            <w:tcW w:w="2200" w:type="dxa"/>
            <w:vAlign w:val="bottom"/>
            <w:gridSpan w:val="4"/>
          </w:tcPr>
          <w:p>
            <w:pPr>
              <w:jc w:val="center"/>
              <w:ind w:left="530"/>
              <w:spacing w:after="0"/>
              <w:rPr>
                <w:sz w:val="20"/>
                <w:szCs w:val="20"/>
                <w:color w:val="auto"/>
              </w:rPr>
            </w:pPr>
            <w:r>
              <w:rPr>
                <w:rFonts w:ascii="Arial" w:cs="Arial" w:eastAsia="Arial" w:hAnsi="Arial"/>
                <w:sz w:val="18"/>
                <w:szCs w:val="18"/>
                <w:i w:val="1"/>
                <w:iCs w:val="1"/>
                <w:color w:val="auto"/>
                <w:w w:val="92"/>
              </w:rPr>
              <w:t>Regional Coordinator</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2"/>
              </w:rPr>
              <w:t>Regional Coordinators</w:t>
            </w:r>
          </w:p>
        </w:tc>
        <w:tc>
          <w:tcPr>
            <w:tcW w:w="0" w:type="dxa"/>
            <w:vAlign w:val="bottom"/>
          </w:tcPr>
          <w:p>
            <w:pPr>
              <w:spacing w:after="0"/>
              <w:rPr>
                <w:sz w:val="1"/>
                <w:szCs w:val="1"/>
                <w:color w:val="auto"/>
              </w:rPr>
            </w:pPr>
          </w:p>
        </w:tc>
      </w:tr>
      <w:tr>
        <w:trPr>
          <w:trHeight w:val="443"/>
        </w:trPr>
        <w:tc>
          <w:tcPr>
            <w:tcW w:w="1740" w:type="dxa"/>
            <w:vAlign w:val="bottom"/>
          </w:tcPr>
          <w:p>
            <w:pPr>
              <w:jc w:val="center"/>
              <w:ind w:left="390"/>
              <w:spacing w:after="0"/>
              <w:rPr>
                <w:sz w:val="20"/>
                <w:szCs w:val="20"/>
                <w:color w:val="auto"/>
              </w:rPr>
            </w:pPr>
            <w:r>
              <w:rPr>
                <w:rFonts w:ascii="Arial" w:cs="Arial" w:eastAsia="Arial" w:hAnsi="Arial"/>
                <w:sz w:val="18"/>
                <w:szCs w:val="18"/>
                <w:color w:val="auto"/>
                <w:w w:val="97"/>
              </w:rPr>
              <w:t>BARCLAYS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center"/>
              <w:ind w:right="530"/>
              <w:spacing w:after="0"/>
              <w:rPr>
                <w:sz w:val="20"/>
                <w:szCs w:val="20"/>
                <w:color w:val="auto"/>
              </w:rPr>
            </w:pPr>
            <w:r>
              <w:rPr>
                <w:rFonts w:ascii="Arial" w:cs="Arial" w:eastAsia="Arial" w:hAnsi="Arial"/>
                <w:sz w:val="18"/>
                <w:szCs w:val="18"/>
                <w:color w:val="auto"/>
                <w:w w:val="96"/>
              </w:rPr>
              <w:t>BANCO</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4"/>
          </w:tcPr>
          <w:p>
            <w:pPr>
              <w:jc w:val="center"/>
              <w:ind w:right="810"/>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1920" w:type="dxa"/>
            <w:vAlign w:val="bottom"/>
            <w:gridSpan w:val="9"/>
          </w:tcPr>
          <w:p>
            <w:pPr>
              <w:jc w:val="center"/>
              <w:ind w:right="110"/>
              <w:spacing w:after="0"/>
              <w:rPr>
                <w:sz w:val="20"/>
                <w:szCs w:val="20"/>
                <w:color w:val="auto"/>
              </w:rPr>
            </w:pPr>
            <w:r>
              <w:rPr>
                <w:rFonts w:ascii="Arial" w:cs="Arial" w:eastAsia="Arial" w:hAnsi="Arial"/>
                <w:sz w:val="18"/>
                <w:szCs w:val="18"/>
                <w:color w:val="auto"/>
                <w:w w:val="98"/>
              </w:rPr>
              <w:t>COMMERZBANK</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5"/>
              </w:rPr>
              <w:t>CREDIT</w:t>
            </w:r>
          </w:p>
        </w:tc>
        <w:tc>
          <w:tcPr>
            <w:tcW w:w="0" w:type="dxa"/>
            <w:vAlign w:val="bottom"/>
          </w:tcPr>
          <w:p>
            <w:pPr>
              <w:spacing w:after="0"/>
              <w:rPr>
                <w:sz w:val="1"/>
                <w:szCs w:val="1"/>
                <w:color w:val="auto"/>
              </w:rPr>
            </w:pPr>
          </w:p>
        </w:tc>
      </w:tr>
      <w:tr>
        <w:trPr>
          <w:trHeight w:val="215"/>
        </w:trPr>
        <w:tc>
          <w:tcPr>
            <w:tcW w:w="1740" w:type="dxa"/>
            <w:vAlign w:val="bottom"/>
          </w:tcPr>
          <w:p>
            <w:pPr>
              <w:jc w:val="center"/>
              <w:ind w:left="390"/>
              <w:spacing w:after="0"/>
              <w:rPr>
                <w:sz w:val="20"/>
                <w:szCs w:val="20"/>
                <w:color w:val="auto"/>
              </w:rPr>
            </w:pPr>
            <w:r>
              <w:rPr>
                <w:rFonts w:ascii="Arial" w:cs="Arial" w:eastAsia="Arial" w:hAnsi="Arial"/>
                <w:sz w:val="18"/>
                <w:szCs w:val="18"/>
                <w:color w:val="auto"/>
                <w:w w:val="96"/>
              </w:rPr>
              <w:t>BANK PLC</w:t>
            </w:r>
            <w:r>
              <w:rPr>
                <w:rFonts w:ascii="Arial" w:cs="Arial" w:eastAsia="Arial" w:hAnsi="Arial"/>
                <w:sz w:val="15"/>
                <w:szCs w:val="15"/>
                <w:color w:val="auto"/>
                <w:w w:val="96"/>
              </w:rPr>
              <w:t>1,2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530"/>
              <w:spacing w:after="0"/>
              <w:rPr>
                <w:sz w:val="20"/>
                <w:szCs w:val="20"/>
                <w:color w:val="auto"/>
              </w:rPr>
            </w:pPr>
            <w:r>
              <w:rPr>
                <w:rFonts w:ascii="Arial" w:cs="Arial" w:eastAsia="Arial" w:hAnsi="Arial"/>
                <w:sz w:val="18"/>
                <w:szCs w:val="18"/>
                <w:color w:val="auto"/>
              </w:rPr>
              <w:t>BILBAO</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FF0000"/>
                <w:strike w:val="1"/>
              </w:rPr>
              <w:t>CAPITAL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8"/>
              </w:rPr>
              <w:t>AGRICOLE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530"/>
              <w:spacing w:after="0" w:line="189" w:lineRule="exact"/>
              <w:rPr>
                <w:sz w:val="20"/>
                <w:szCs w:val="20"/>
                <w:color w:val="auto"/>
              </w:rPr>
            </w:pPr>
            <w:r>
              <w:rPr>
                <w:rFonts w:ascii="Arial" w:cs="Arial" w:eastAsia="Arial" w:hAnsi="Arial"/>
                <w:sz w:val="18"/>
                <w:szCs w:val="18"/>
                <w:color w:val="auto"/>
              </w:rPr>
              <w:t>VIZCAYA</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gridSpan w:val="4"/>
          </w:tcPr>
          <w:p>
            <w:pPr>
              <w:ind w:left="280"/>
              <w:spacing w:after="0" w:line="189" w:lineRule="exact"/>
              <w:rPr>
                <w:sz w:val="20"/>
                <w:szCs w:val="20"/>
                <w:color w:val="auto"/>
              </w:rPr>
            </w:pPr>
            <w:r>
              <w:rPr>
                <w:rFonts w:ascii="Arial" w:cs="Arial" w:eastAsia="Arial" w:hAnsi="Arial"/>
                <w:sz w:val="18"/>
                <w:szCs w:val="18"/>
                <w:color w:val="FF0000"/>
                <w:strike w:val="1"/>
                <w:w w:val="96"/>
              </w:rPr>
              <w:t>MARKETS</w:t>
            </w:r>
          </w:p>
        </w:tc>
        <w:tc>
          <w:tcPr>
            <w:tcW w:w="780" w:type="dxa"/>
            <w:vAlign w:val="bottom"/>
            <w:gridSpan w:val="5"/>
          </w:tcPr>
          <w:p>
            <w:pPr>
              <w:jc w:val="center"/>
              <w:ind w:right="390"/>
              <w:spacing w:after="0" w:line="189" w:lineRule="exact"/>
              <w:rPr>
                <w:sz w:val="20"/>
                <w:szCs w:val="20"/>
                <w:color w:val="auto"/>
              </w:rPr>
            </w:pPr>
            <w:r>
              <w:rPr>
                <w:rFonts w:ascii="Arial" w:cs="Arial" w:eastAsia="Arial" w:hAnsi="Arial"/>
                <w:sz w:val="18"/>
                <w:szCs w:val="18"/>
                <w:color w:val="0000FF"/>
                <w:w w:val="96"/>
              </w:rPr>
              <w:t>AG,</w:t>
            </w:r>
          </w:p>
        </w:tc>
        <w:tc>
          <w:tcPr>
            <w:tcW w:w="15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1"/>
              </w:rPr>
              <w:t>CORPORATE</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480" w:type="dxa"/>
            <w:vAlign w:val="bottom"/>
            <w:gridSpan w:val="3"/>
            <w:vMerge w:val="restart"/>
          </w:tcPr>
          <w:p>
            <w:pPr>
              <w:jc w:val="center"/>
              <w:ind w:left="310"/>
              <w:spacing w:after="0" w:line="195" w:lineRule="exact"/>
              <w:rPr>
                <w:sz w:val="20"/>
                <w:szCs w:val="20"/>
                <w:color w:val="auto"/>
              </w:rPr>
            </w:pPr>
            <w:r>
              <w:rPr>
                <w:rFonts w:ascii="Arial" w:cs="Arial" w:eastAsia="Arial" w:hAnsi="Arial"/>
                <w:sz w:val="18"/>
                <w:szCs w:val="18"/>
                <w:color w:val="auto"/>
                <w:w w:val="98"/>
              </w:rPr>
              <w:t>ARGENTARIA,</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540" w:type="dxa"/>
            <w:vAlign w:val="bottom"/>
            <w:vMerge w:val="restart"/>
          </w:tcPr>
          <w:p>
            <w:pPr>
              <w:jc w:val="center"/>
              <w:ind w:right="10"/>
              <w:spacing w:after="0" w:line="195" w:lineRule="exact"/>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6"/>
          </w:tcPr>
          <w:p>
            <w:pPr>
              <w:jc w:val="center"/>
              <w:ind w:right="100"/>
              <w:spacing w:after="0" w:line="155" w:lineRule="exact"/>
              <w:rPr>
                <w:sz w:val="20"/>
                <w:szCs w:val="20"/>
                <w:color w:val="auto"/>
              </w:rPr>
            </w:pPr>
            <w:r>
              <w:rPr>
                <w:rFonts w:ascii="Arial" w:cs="Arial" w:eastAsia="Arial" w:hAnsi="Arial"/>
                <w:sz w:val="17"/>
                <w:szCs w:val="17"/>
                <w:color w:val="0000FF"/>
              </w:rPr>
              <w:t>NEW YORK</w:t>
            </w:r>
          </w:p>
        </w:tc>
        <w:tc>
          <w:tcPr>
            <w:tcW w:w="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480" w:type="dxa"/>
            <w:vAlign w:val="bottom"/>
            <w:gridSpan w:val="3"/>
            <w:vMerge w:val="restart"/>
          </w:tcPr>
          <w:p>
            <w:pPr>
              <w:jc w:val="center"/>
              <w:ind w:left="310"/>
              <w:spacing w:after="0" w:line="195" w:lineRule="exact"/>
              <w:rPr>
                <w:sz w:val="20"/>
                <w:szCs w:val="20"/>
                <w:color w:val="auto"/>
              </w:rPr>
            </w:pPr>
            <w:r>
              <w:rPr>
                <w:rFonts w:ascii="Arial" w:cs="Arial" w:eastAsia="Arial" w:hAnsi="Arial"/>
                <w:sz w:val="18"/>
                <w:szCs w:val="18"/>
                <w:color w:val="auto"/>
                <w:w w:val="96"/>
              </w:rPr>
              <w:t>S.A. NEW YORK</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1540" w:type="dxa"/>
            <w:vAlign w:val="bottom"/>
            <w:vMerge w:val="restart"/>
          </w:tcPr>
          <w:p>
            <w:pPr>
              <w:jc w:val="center"/>
              <w:ind w:right="10"/>
              <w:spacing w:after="0" w:line="195" w:lineRule="exact"/>
              <w:rPr>
                <w:sz w:val="20"/>
                <w:szCs w:val="20"/>
                <w:color w:val="auto"/>
              </w:rPr>
            </w:pPr>
            <w:r>
              <w:rPr>
                <w:rFonts w:ascii="Arial" w:cs="Arial" w:eastAsia="Arial" w:hAnsi="Arial"/>
                <w:sz w:val="18"/>
                <w:szCs w:val="18"/>
                <w:color w:val="auto"/>
                <w:w w:val="99"/>
              </w:rPr>
              <w:t>INVESTMENT</w:t>
            </w: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center"/>
              <w:ind w:right="20"/>
              <w:spacing w:after="0" w:line="155" w:lineRule="exact"/>
              <w:rPr>
                <w:sz w:val="20"/>
                <w:szCs w:val="20"/>
                <w:color w:val="auto"/>
              </w:rPr>
            </w:pPr>
            <w:r>
              <w:rPr>
                <w:rFonts w:ascii="Arial" w:cs="Arial" w:eastAsia="Arial" w:hAnsi="Arial"/>
                <w:sz w:val="17"/>
                <w:szCs w:val="17"/>
                <w:color w:val="0000FF"/>
              </w:rPr>
              <w:t>BRANCH</w:t>
            </w:r>
            <w:r>
              <w:rPr>
                <w:rFonts w:ascii="Arial" w:cs="Arial" w:eastAsia="Arial" w:hAnsi="Arial"/>
                <w:sz w:val="14"/>
                <w:szCs w:val="14"/>
                <w:color w:val="000000"/>
              </w:rPr>
              <w:t>1,2</w:t>
            </w:r>
          </w:p>
        </w:tc>
        <w:tc>
          <w:tcPr>
            <w:tcW w:w="580" w:type="dxa"/>
            <w:vAlign w:val="bottom"/>
            <w:gridSpan w:val="3"/>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gridSpan w:val="2"/>
            <w:vMerge w:val="restart"/>
          </w:tcPr>
          <w:p>
            <w:pPr>
              <w:jc w:val="center"/>
              <w:ind w:right="45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vMerge w:val="restart"/>
          </w:tcPr>
          <w:p>
            <w:pPr>
              <w:jc w:val="center"/>
              <w:ind w:right="30"/>
              <w:spacing w:after="0"/>
              <w:rPr>
                <w:sz w:val="20"/>
                <w:szCs w:val="20"/>
                <w:color w:val="auto"/>
              </w:rPr>
            </w:pPr>
            <w:r>
              <w:rPr>
                <w:rFonts w:ascii="Arial" w:cs="Arial" w:eastAsia="Arial" w:hAnsi="Arial"/>
                <w:sz w:val="18"/>
                <w:szCs w:val="18"/>
                <w:color w:val="auto"/>
              </w:rPr>
              <w:t>BANK</w:t>
            </w: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40" w:type="dxa"/>
            <w:vAlign w:val="bottom"/>
          </w:tcPr>
          <w:p>
            <w:pPr>
              <w:jc w:val="center"/>
              <w:ind w:left="390"/>
              <w:spacing w:after="0"/>
              <w:rPr>
                <w:sz w:val="20"/>
                <w:szCs w:val="20"/>
                <w:color w:val="auto"/>
              </w:rPr>
            </w:pPr>
            <w:r>
              <w:rPr>
                <w:rFonts w:ascii="Arial" w:cs="Arial" w:eastAsia="Arial" w:hAnsi="Arial"/>
                <w:sz w:val="18"/>
                <w:szCs w:val="18"/>
                <w:color w:val="auto"/>
                <w:w w:val="94"/>
              </w:rPr>
              <w:t>DEUTSCHE</w:t>
            </w:r>
          </w:p>
        </w:tc>
        <w:tc>
          <w:tcPr>
            <w:tcW w:w="960" w:type="dxa"/>
            <w:vAlign w:val="bottom"/>
          </w:tcPr>
          <w:p>
            <w:pPr>
              <w:spacing w:after="0"/>
              <w:rPr>
                <w:sz w:val="18"/>
                <w:szCs w:val="18"/>
                <w:color w:val="auto"/>
              </w:rPr>
            </w:pPr>
          </w:p>
        </w:tc>
        <w:tc>
          <w:tcPr>
            <w:tcW w:w="1520" w:type="dxa"/>
            <w:vAlign w:val="bottom"/>
            <w:gridSpan w:val="2"/>
          </w:tcPr>
          <w:p>
            <w:pPr>
              <w:jc w:val="center"/>
              <w:ind w:right="470"/>
              <w:spacing w:after="0"/>
              <w:rPr>
                <w:sz w:val="20"/>
                <w:szCs w:val="20"/>
                <w:color w:val="auto"/>
              </w:rPr>
            </w:pPr>
            <w:r>
              <w:rPr>
                <w:rFonts w:ascii="Arial" w:cs="Arial" w:eastAsia="Arial" w:hAnsi="Arial"/>
                <w:sz w:val="18"/>
                <w:szCs w:val="18"/>
                <w:color w:val="auto"/>
              </w:rPr>
              <w:t>GOLDMAN</w:t>
            </w:r>
          </w:p>
        </w:tc>
        <w:tc>
          <w:tcPr>
            <w:tcW w:w="3320" w:type="dxa"/>
            <w:vAlign w:val="bottom"/>
            <w:gridSpan w:val="6"/>
          </w:tcPr>
          <w:p>
            <w:pPr>
              <w:jc w:val="center"/>
              <w:ind w:right="250"/>
              <w:spacing w:after="0"/>
              <w:rPr>
                <w:sz w:val="20"/>
                <w:szCs w:val="20"/>
                <w:color w:val="auto"/>
              </w:rPr>
            </w:pPr>
            <w:r>
              <w:rPr>
                <w:rFonts w:ascii="Arial" w:cs="Arial" w:eastAsia="Arial" w:hAnsi="Arial"/>
                <w:sz w:val="18"/>
                <w:szCs w:val="18"/>
                <w:color w:val="auto"/>
                <w:w w:val="93"/>
              </w:rPr>
              <w:t>INTESA SANPAOLO S.P.A. - NEW</w:t>
            </w:r>
          </w:p>
        </w:tc>
        <w:tc>
          <w:tcPr>
            <w:tcW w:w="1920" w:type="dxa"/>
            <w:vAlign w:val="bottom"/>
            <w:gridSpan w:val="9"/>
          </w:tcPr>
          <w:p>
            <w:pPr>
              <w:jc w:val="center"/>
              <w:ind w:right="110"/>
              <w:spacing w:after="0"/>
              <w:rPr>
                <w:sz w:val="20"/>
                <w:szCs w:val="20"/>
                <w:color w:val="auto"/>
              </w:rPr>
            </w:pPr>
            <w:r>
              <w:rPr>
                <w:rFonts w:ascii="Arial" w:cs="Arial" w:eastAsia="Arial" w:hAnsi="Arial"/>
                <w:sz w:val="18"/>
                <w:szCs w:val="18"/>
                <w:color w:val="auto"/>
                <w:w w:val="98"/>
              </w:rPr>
              <w:t>BANK OF AMERICA,</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rPr>
              <w:t>MIZUHO BANK,</w:t>
            </w:r>
          </w:p>
        </w:tc>
        <w:tc>
          <w:tcPr>
            <w:tcW w:w="0" w:type="dxa"/>
            <w:vAlign w:val="bottom"/>
          </w:tcPr>
          <w:p>
            <w:pPr>
              <w:spacing w:after="0"/>
              <w:rPr>
                <w:sz w:val="1"/>
                <w:szCs w:val="1"/>
                <w:color w:val="auto"/>
              </w:rPr>
            </w:pPr>
          </w:p>
        </w:tc>
      </w:tr>
      <w:tr>
        <w:trPr>
          <w:trHeight w:val="215"/>
        </w:trPr>
        <w:tc>
          <w:tcPr>
            <w:tcW w:w="1740" w:type="dxa"/>
            <w:vAlign w:val="bottom"/>
          </w:tcPr>
          <w:p>
            <w:pPr>
              <w:jc w:val="center"/>
              <w:ind w:left="390"/>
              <w:spacing w:after="0"/>
              <w:rPr>
                <w:sz w:val="20"/>
                <w:szCs w:val="20"/>
                <w:color w:val="auto"/>
              </w:rPr>
            </w:pPr>
            <w:r>
              <w:rPr>
                <w:rFonts w:ascii="Arial" w:cs="Arial" w:eastAsia="Arial" w:hAnsi="Arial"/>
                <w:sz w:val="18"/>
                <w:szCs w:val="18"/>
                <w:color w:val="auto"/>
              </w:rPr>
              <w:t>BANK</w:t>
            </w:r>
          </w:p>
        </w:tc>
        <w:tc>
          <w:tcPr>
            <w:tcW w:w="248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SACHS BANK</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jc w:val="center"/>
              <w:ind w:right="790"/>
              <w:spacing w:after="0"/>
              <w:rPr>
                <w:sz w:val="20"/>
                <w:szCs w:val="20"/>
                <w:color w:val="auto"/>
              </w:rPr>
            </w:pPr>
            <w:r>
              <w:rPr>
                <w:rFonts w:ascii="Arial" w:cs="Arial" w:eastAsia="Arial" w:hAnsi="Arial"/>
                <w:sz w:val="18"/>
                <w:szCs w:val="18"/>
                <w:color w:val="auto"/>
                <w:w w:val="98"/>
              </w:rPr>
              <w:t>YORK BRANCH</w:t>
            </w:r>
            <w:r>
              <w:rPr>
                <w:rFonts w:ascii="Arial" w:cs="Arial" w:eastAsia="Arial" w:hAnsi="Arial"/>
                <w:sz w:val="15"/>
                <w:szCs w:val="15"/>
                <w:color w:val="auto"/>
                <w:w w:val="98"/>
              </w:rPr>
              <w:t>1,2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6"/>
          </w:tcPr>
          <w:p>
            <w:pPr>
              <w:jc w:val="center"/>
              <w:ind w:right="59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3"/>
              </w:rPr>
              <w:t>LTD.</w:t>
            </w:r>
            <w:r>
              <w:rPr>
                <w:rFonts w:ascii="Arial" w:cs="Arial" w:eastAsia="Arial" w:hAnsi="Arial"/>
                <w:sz w:val="15"/>
                <w:szCs w:val="15"/>
                <w:color w:val="auto"/>
                <w:w w:val="93"/>
              </w:rPr>
              <w:t>1,2</w:t>
            </w:r>
          </w:p>
        </w:tc>
        <w:tc>
          <w:tcPr>
            <w:tcW w:w="0" w:type="dxa"/>
            <w:vAlign w:val="bottom"/>
          </w:tcPr>
          <w:p>
            <w:pPr>
              <w:spacing w:after="0"/>
              <w:rPr>
                <w:sz w:val="1"/>
                <w:szCs w:val="1"/>
                <w:color w:val="auto"/>
              </w:rPr>
            </w:pPr>
          </w:p>
        </w:tc>
      </w:tr>
      <w:tr>
        <w:trPr>
          <w:trHeight w:val="215"/>
        </w:trPr>
        <w:tc>
          <w:tcPr>
            <w:tcW w:w="1740" w:type="dxa"/>
            <w:vAlign w:val="bottom"/>
          </w:tcPr>
          <w:p>
            <w:pPr>
              <w:jc w:val="center"/>
              <w:ind w:left="390"/>
              <w:spacing w:after="0"/>
              <w:rPr>
                <w:sz w:val="20"/>
                <w:szCs w:val="20"/>
                <w:color w:val="auto"/>
              </w:rPr>
            </w:pPr>
            <w:r>
              <w:rPr>
                <w:rFonts w:ascii="Arial" w:cs="Arial" w:eastAsia="Arial" w:hAnsi="Arial"/>
                <w:sz w:val="18"/>
                <w:szCs w:val="18"/>
                <w:color w:val="auto"/>
                <w:w w:val="94"/>
              </w:rPr>
              <w:t>SECURITIES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530"/>
              <w:spacing w:after="0"/>
              <w:rPr>
                <w:sz w:val="20"/>
                <w:szCs w:val="20"/>
                <w:color w:val="auto"/>
              </w:rPr>
            </w:pPr>
            <w:r>
              <w:rPr>
                <w:rFonts w:ascii="Arial" w:cs="Arial" w:eastAsia="Arial" w:hAnsi="Arial"/>
                <w:sz w:val="18"/>
                <w:szCs w:val="18"/>
                <w:color w:val="auto"/>
                <w:w w:val="93"/>
              </w:rPr>
              <w:t>USA</w:t>
            </w:r>
            <w:r>
              <w:rPr>
                <w:rFonts w:ascii="Arial" w:cs="Arial" w:eastAsia="Arial" w:hAnsi="Arial"/>
                <w:sz w:val="15"/>
                <w:szCs w:val="15"/>
                <w:color w:val="auto"/>
                <w:w w:val="93"/>
              </w:rPr>
              <w:t>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gridSpan w:val="9"/>
          </w:tcPr>
          <w:p>
            <w:pPr>
              <w:jc w:val="center"/>
              <w:ind w:right="110"/>
              <w:spacing w:after="0"/>
              <w:rPr>
                <w:sz w:val="20"/>
                <w:szCs w:val="20"/>
                <w:color w:val="auto"/>
              </w:rPr>
            </w:pPr>
            <w:r>
              <w:rPr>
                <w:rFonts w:ascii="Arial" w:cs="Arial" w:eastAsia="Arial" w:hAnsi="Arial"/>
                <w:sz w:val="18"/>
                <w:szCs w:val="18"/>
                <w:i w:val="1"/>
                <w:iCs w:val="1"/>
                <w:color w:val="auto"/>
                <w:w w:val="90"/>
              </w:rPr>
              <w:t>as Co-Syndication</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left="39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6"/>
          </w:tcPr>
          <w:p>
            <w:pPr>
              <w:jc w:val="center"/>
              <w:ind w:right="590"/>
              <w:spacing w:after="0"/>
              <w:rPr>
                <w:sz w:val="20"/>
                <w:szCs w:val="20"/>
                <w:color w:val="auto"/>
              </w:rPr>
            </w:pPr>
            <w:r>
              <w:rPr>
                <w:rFonts w:ascii="Arial" w:cs="Arial" w:eastAsia="Arial" w:hAnsi="Arial"/>
                <w:sz w:val="18"/>
                <w:szCs w:val="18"/>
                <w:i w:val="1"/>
                <w:iCs w:val="1"/>
                <w:color w:val="auto"/>
                <w:w w:val="84"/>
              </w:rPr>
              <w:t>Agent</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740" w:type="dxa"/>
            <w:vAlign w:val="bottom"/>
          </w:tcPr>
          <w:p>
            <w:pPr>
              <w:jc w:val="center"/>
              <w:ind w:right="90"/>
              <w:spacing w:after="0"/>
              <w:rPr>
                <w:sz w:val="20"/>
                <w:szCs w:val="20"/>
                <w:color w:val="auto"/>
              </w:rPr>
            </w:pPr>
            <w:r>
              <w:rPr>
                <w:rFonts w:ascii="Arial" w:cs="Arial" w:eastAsia="Arial" w:hAnsi="Arial"/>
                <w:sz w:val="18"/>
                <w:szCs w:val="18"/>
                <w:color w:val="auto"/>
                <w:w w:val="98"/>
              </w:rPr>
              <w:t>MORGAN</w:t>
            </w: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4"/>
              </w:rPr>
              <w:t>RBC</w:t>
            </w:r>
          </w:p>
        </w:tc>
        <w:tc>
          <w:tcPr>
            <w:tcW w:w="80" w:type="dxa"/>
            <w:vAlign w:val="bottom"/>
          </w:tcPr>
          <w:p>
            <w:pPr>
              <w:spacing w:after="0"/>
              <w:rPr>
                <w:sz w:val="24"/>
                <w:szCs w:val="24"/>
                <w:color w:val="auto"/>
              </w:rPr>
            </w:pPr>
          </w:p>
        </w:tc>
        <w:tc>
          <w:tcPr>
            <w:tcW w:w="1440" w:type="dxa"/>
            <w:vAlign w:val="bottom"/>
          </w:tcPr>
          <w:p>
            <w:pPr>
              <w:jc w:val="center"/>
              <w:ind w:left="350"/>
              <w:spacing w:after="0"/>
              <w:rPr>
                <w:sz w:val="20"/>
                <w:szCs w:val="20"/>
                <w:color w:val="auto"/>
              </w:rPr>
            </w:pPr>
            <w:r>
              <w:rPr>
                <w:rFonts w:ascii="Arial" w:cs="Arial" w:eastAsia="Arial" w:hAnsi="Arial"/>
                <w:sz w:val="18"/>
                <w:szCs w:val="18"/>
                <w:color w:val="auto"/>
                <w:w w:val="97"/>
              </w:rPr>
              <w:t>THE ROYAL</w:t>
            </w:r>
          </w:p>
        </w:tc>
        <w:tc>
          <w:tcPr>
            <w:tcW w:w="520" w:type="dxa"/>
            <w:vAlign w:val="bottom"/>
          </w:tcPr>
          <w:p>
            <w:pPr>
              <w:spacing w:after="0"/>
              <w:rPr>
                <w:sz w:val="24"/>
                <w:szCs w:val="24"/>
                <w:color w:val="auto"/>
              </w:rPr>
            </w:pPr>
          </w:p>
        </w:tc>
        <w:tc>
          <w:tcPr>
            <w:tcW w:w="10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5"/>
              </w:rPr>
              <w:t>SANTANDER</w:t>
            </w:r>
          </w:p>
        </w:tc>
        <w:tc>
          <w:tcPr>
            <w:tcW w:w="1720" w:type="dxa"/>
            <w:vAlign w:val="bottom"/>
          </w:tcPr>
          <w:p>
            <w:pPr>
              <w:jc w:val="center"/>
              <w:ind w:left="610"/>
              <w:spacing w:after="0"/>
              <w:rPr>
                <w:sz w:val="20"/>
                <w:szCs w:val="20"/>
                <w:color w:val="auto"/>
              </w:rPr>
            </w:pPr>
            <w:r>
              <w:rPr>
                <w:rFonts w:ascii="Arial" w:cs="Arial" w:eastAsia="Arial" w:hAnsi="Arial"/>
                <w:sz w:val="18"/>
                <w:szCs w:val="18"/>
                <w:color w:val="auto"/>
                <w:w w:val="98"/>
              </w:rPr>
              <w:t>SUMITOMO</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6"/>
          </w:tcPr>
          <w:p>
            <w:pPr>
              <w:jc w:val="center"/>
              <w:ind w:left="130"/>
              <w:spacing w:after="0"/>
              <w:rPr>
                <w:sz w:val="20"/>
                <w:szCs w:val="20"/>
                <w:color w:val="auto"/>
              </w:rPr>
            </w:pPr>
            <w:r>
              <w:rPr>
                <w:rFonts w:ascii="Arial" w:cs="Arial" w:eastAsia="Arial" w:hAnsi="Arial"/>
                <w:sz w:val="18"/>
                <w:szCs w:val="18"/>
                <w:color w:val="auto"/>
                <w:w w:val="93"/>
              </w:rPr>
              <w:t>SOCIÉTÉ</w:t>
            </w:r>
          </w:p>
        </w:tc>
        <w:tc>
          <w:tcPr>
            <w:tcW w:w="1540" w:type="dxa"/>
            <w:vAlign w:val="bottom"/>
          </w:tcPr>
          <w:p>
            <w:pPr>
              <w:jc w:val="center"/>
              <w:ind w:left="150"/>
              <w:spacing w:after="0"/>
              <w:rPr>
                <w:sz w:val="20"/>
                <w:szCs w:val="20"/>
                <w:color w:val="auto"/>
              </w:rPr>
            </w:pPr>
            <w:r>
              <w:rPr>
                <w:rFonts w:ascii="Arial" w:cs="Arial" w:eastAsia="Arial" w:hAnsi="Arial"/>
                <w:sz w:val="18"/>
                <w:szCs w:val="18"/>
                <w:color w:val="auto"/>
                <w:w w:val="98"/>
              </w:rPr>
              <w:t>THE BANK OF</w:t>
            </w:r>
          </w:p>
        </w:tc>
        <w:tc>
          <w:tcPr>
            <w:tcW w:w="0" w:type="dxa"/>
            <w:vAlign w:val="bottom"/>
          </w:tcPr>
          <w:p>
            <w:pPr>
              <w:spacing w:after="0"/>
              <w:rPr>
                <w:sz w:val="1"/>
                <w:szCs w:val="1"/>
                <w:color w:val="auto"/>
              </w:rPr>
            </w:pPr>
          </w:p>
        </w:tc>
      </w:tr>
      <w:tr>
        <w:trPr>
          <w:trHeight w:val="34"/>
        </w:trPr>
        <w:tc>
          <w:tcPr>
            <w:tcW w:w="1740" w:type="dxa"/>
            <w:vAlign w:val="bottom"/>
            <w:vMerge w:val="restart"/>
          </w:tcPr>
          <w:p>
            <w:pPr>
              <w:jc w:val="center"/>
              <w:ind w:right="90"/>
              <w:spacing w:after="0" w:line="162" w:lineRule="exact"/>
              <w:rPr>
                <w:sz w:val="20"/>
                <w:szCs w:val="20"/>
                <w:color w:val="auto"/>
              </w:rPr>
            </w:pPr>
            <w:r>
              <w:rPr>
                <w:rFonts w:ascii="Arial" w:cs="Arial" w:eastAsia="Arial" w:hAnsi="Arial"/>
                <w:sz w:val="18"/>
                <w:szCs w:val="18"/>
                <w:color w:val="auto"/>
                <w:w w:val="97"/>
              </w:rPr>
              <w:t>STANLEY</w:t>
            </w:r>
          </w:p>
        </w:tc>
        <w:tc>
          <w:tcPr>
            <w:tcW w:w="960" w:type="dxa"/>
            <w:vAlign w:val="bottom"/>
            <w:vMerge w:val="restart"/>
          </w:tcPr>
          <w:p>
            <w:pPr>
              <w:jc w:val="center"/>
              <w:ind w:left="90"/>
              <w:spacing w:after="0" w:line="162" w:lineRule="exact"/>
              <w:rPr>
                <w:sz w:val="20"/>
                <w:szCs w:val="20"/>
                <w:color w:val="auto"/>
              </w:rPr>
            </w:pPr>
            <w:r>
              <w:rPr>
                <w:rFonts w:ascii="Arial" w:cs="Arial" w:eastAsia="Arial" w:hAnsi="Arial"/>
                <w:sz w:val="18"/>
                <w:szCs w:val="18"/>
                <w:color w:val="auto"/>
                <w:w w:val="98"/>
              </w:rPr>
              <w:t>CAPITAL</w:t>
            </w:r>
          </w:p>
        </w:tc>
        <w:tc>
          <w:tcPr>
            <w:tcW w:w="80" w:type="dxa"/>
            <w:vAlign w:val="bottom"/>
          </w:tcPr>
          <w:p>
            <w:pPr>
              <w:spacing w:after="0"/>
              <w:rPr>
                <w:sz w:val="2"/>
                <w:szCs w:val="2"/>
                <w:color w:val="auto"/>
              </w:rPr>
            </w:pPr>
          </w:p>
        </w:tc>
        <w:tc>
          <w:tcPr>
            <w:tcW w:w="1440" w:type="dxa"/>
            <w:vAlign w:val="bottom"/>
            <w:vMerge w:val="restart"/>
          </w:tcPr>
          <w:p>
            <w:pPr>
              <w:jc w:val="center"/>
              <w:ind w:left="350"/>
              <w:spacing w:after="0" w:line="162" w:lineRule="exact"/>
              <w:rPr>
                <w:sz w:val="20"/>
                <w:szCs w:val="20"/>
                <w:color w:val="auto"/>
              </w:rPr>
            </w:pPr>
            <w:r>
              <w:rPr>
                <w:rFonts w:ascii="Arial" w:cs="Arial" w:eastAsia="Arial" w:hAnsi="Arial"/>
                <w:sz w:val="18"/>
                <w:szCs w:val="18"/>
                <w:color w:val="auto"/>
              </w:rPr>
              <w:t>BANK OF</w:t>
            </w:r>
          </w:p>
        </w:tc>
        <w:tc>
          <w:tcPr>
            <w:tcW w:w="5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6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200" w:type="dxa"/>
            <w:vAlign w:val="bottom"/>
            <w:gridSpan w:val="4"/>
            <w:vMerge w:val="restart"/>
          </w:tcPr>
          <w:p>
            <w:pPr>
              <w:jc w:val="center"/>
              <w:ind w:left="130"/>
              <w:spacing w:after="0" w:line="162" w:lineRule="exact"/>
              <w:rPr>
                <w:sz w:val="20"/>
                <w:szCs w:val="20"/>
                <w:color w:val="auto"/>
              </w:rPr>
            </w:pPr>
            <w:r>
              <w:rPr>
                <w:rFonts w:ascii="Arial" w:cs="Arial" w:eastAsia="Arial" w:hAnsi="Arial"/>
                <w:sz w:val="18"/>
                <w:szCs w:val="18"/>
                <w:color w:val="auto"/>
              </w:rPr>
              <w:t>MITSUI BANKING</w:t>
            </w:r>
          </w:p>
        </w:tc>
        <w:tc>
          <w:tcPr>
            <w:tcW w:w="1440" w:type="dxa"/>
            <w:vAlign w:val="bottom"/>
            <w:gridSpan w:val="6"/>
            <w:vMerge w:val="restart"/>
          </w:tcPr>
          <w:p>
            <w:pPr>
              <w:jc w:val="center"/>
              <w:ind w:left="130"/>
              <w:spacing w:after="0" w:line="162" w:lineRule="exact"/>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1540" w:type="dxa"/>
            <w:vAlign w:val="bottom"/>
            <w:vMerge w:val="restart"/>
          </w:tcPr>
          <w:p>
            <w:pPr>
              <w:jc w:val="center"/>
              <w:ind w:left="150"/>
              <w:spacing w:after="0" w:line="162" w:lineRule="exact"/>
              <w:rPr>
                <w:sz w:val="20"/>
                <w:szCs w:val="20"/>
                <w:color w:val="auto"/>
              </w:rPr>
            </w:pPr>
            <w:r>
              <w:rPr>
                <w:rFonts w:ascii="Arial" w:cs="Arial" w:eastAsia="Arial" w:hAnsi="Arial"/>
                <w:sz w:val="18"/>
                <w:szCs w:val="18"/>
                <w:color w:val="auto"/>
                <w:w w:val="97"/>
              </w:rPr>
              <w:t>NOVA</w:t>
            </w:r>
          </w:p>
        </w:tc>
        <w:tc>
          <w:tcPr>
            <w:tcW w:w="0" w:type="dxa"/>
            <w:vAlign w:val="bottom"/>
          </w:tcPr>
          <w:p>
            <w:pPr>
              <w:spacing w:after="0"/>
              <w:rPr>
                <w:sz w:val="1"/>
                <w:szCs w:val="1"/>
                <w:color w:val="auto"/>
              </w:rPr>
            </w:pPr>
          </w:p>
        </w:tc>
      </w:tr>
      <w:tr>
        <w:trPr>
          <w:trHeight w:val="142"/>
        </w:trPr>
        <w:tc>
          <w:tcPr>
            <w:tcW w:w="17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ind w:left="20"/>
              <w:spacing w:after="0" w:line="115" w:lineRule="exact"/>
              <w:rPr>
                <w:sz w:val="20"/>
                <w:szCs w:val="20"/>
                <w:color w:val="auto"/>
              </w:rPr>
            </w:pPr>
            <w:r>
              <w:rPr>
                <w:rFonts w:ascii="Arial" w:cs="Arial" w:eastAsia="Arial" w:hAnsi="Arial"/>
                <w:sz w:val="13"/>
                <w:szCs w:val="13"/>
                <w:color w:val="0000FF"/>
              </w:rPr>
              <w:t>BANK, N.A.</w:t>
            </w:r>
          </w:p>
        </w:tc>
        <w:tc>
          <w:tcPr>
            <w:tcW w:w="60" w:type="dxa"/>
            <w:vAlign w:val="bottom"/>
            <w:tcBorders>
              <w:bottom w:val="single" w:sz="8" w:color="0000FF"/>
            </w:tcBorders>
          </w:tcPr>
          <w:p>
            <w:pPr>
              <w:jc w:val="right"/>
              <w:spacing w:after="0" w:line="102" w:lineRule="exact"/>
              <w:rPr>
                <w:sz w:val="20"/>
                <w:szCs w:val="20"/>
                <w:color w:val="auto"/>
              </w:rPr>
            </w:pPr>
            <w:r>
              <w:rPr>
                <w:rFonts w:ascii="Arial" w:cs="Arial" w:eastAsia="Arial" w:hAnsi="Arial"/>
                <w:sz w:val="10"/>
                <w:szCs w:val="10"/>
                <w:color w:val="0000FF"/>
                <w:w w:val="71"/>
              </w:rPr>
              <w:t>1</w:t>
            </w:r>
          </w:p>
        </w:tc>
        <w:tc>
          <w:tcPr>
            <w:tcW w:w="4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4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SENIOR</w:t>
            </w:r>
          </w:p>
        </w:tc>
        <w:tc>
          <w:tcPr>
            <w:tcW w:w="10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1440" w:type="dxa"/>
            <w:vAlign w:val="bottom"/>
            <w:vMerge w:val="restart"/>
          </w:tcPr>
          <w:p>
            <w:pPr>
              <w:jc w:val="center"/>
              <w:ind w:left="350"/>
              <w:spacing w:after="0"/>
              <w:rPr>
                <w:sz w:val="20"/>
                <w:szCs w:val="20"/>
                <w:color w:val="auto"/>
              </w:rPr>
            </w:pPr>
            <w:r>
              <w:rPr>
                <w:rFonts w:ascii="Arial" w:cs="Arial" w:eastAsia="Arial" w:hAnsi="Arial"/>
                <w:sz w:val="18"/>
                <w:szCs w:val="18"/>
                <w:color w:val="auto"/>
                <w:w w:val="97"/>
              </w:rPr>
              <w:t>SCOTLAND</w:t>
            </w: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0" w:type="dxa"/>
            <w:vAlign w:val="bottom"/>
            <w:gridSpan w:val="4"/>
            <w:vMerge w:val="restart"/>
          </w:tcPr>
          <w:p>
            <w:pPr>
              <w:jc w:val="center"/>
              <w:ind w:left="130"/>
              <w:spacing w:after="0"/>
              <w:rPr>
                <w:sz w:val="20"/>
                <w:szCs w:val="20"/>
                <w:color w:val="auto"/>
              </w:rPr>
            </w:pPr>
            <w:r>
              <w:rPr>
                <w:rFonts w:ascii="Arial" w:cs="Arial" w:eastAsia="Arial" w:hAnsi="Arial"/>
                <w:sz w:val="18"/>
                <w:szCs w:val="18"/>
                <w:color w:val="auto"/>
                <w:w w:val="94"/>
              </w:rPr>
              <w:t>CORPORATION</w:t>
            </w:r>
            <w:r>
              <w:rPr>
                <w:rFonts w:ascii="Arial" w:cs="Arial" w:eastAsia="Arial" w:hAnsi="Arial"/>
                <w:sz w:val="15"/>
                <w:szCs w:val="15"/>
                <w:color w:val="auto"/>
                <w:w w:val="94"/>
              </w:rPr>
              <w:t>1,2</w:t>
            </w: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vMerge w:val="restart"/>
          </w:tcPr>
          <w:p>
            <w:pPr>
              <w:jc w:val="center"/>
              <w:ind w:left="130"/>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c>
          <w:tcPr>
            <w:tcW w:w="0" w:type="dxa"/>
            <w:vAlign w:val="bottom"/>
          </w:tcPr>
          <w:p>
            <w:pPr>
              <w:spacing w:after="0"/>
              <w:rPr>
                <w:sz w:val="1"/>
                <w:szCs w:val="1"/>
                <w:color w:val="auto"/>
              </w:rPr>
            </w:pPr>
          </w:p>
        </w:tc>
      </w:tr>
      <w:tr>
        <w:trPr>
          <w:trHeight w:val="168"/>
        </w:trPr>
        <w:tc>
          <w:tcPr>
            <w:tcW w:w="17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40" w:type="dxa"/>
            <w:vAlign w:val="bottom"/>
          </w:tcPr>
          <w:p>
            <w:pPr>
              <w:jc w:val="center"/>
              <w:ind w:right="90"/>
              <w:spacing w:after="0"/>
              <w:rPr>
                <w:sz w:val="20"/>
                <w:szCs w:val="20"/>
                <w:color w:val="auto"/>
              </w:rPr>
            </w:pPr>
            <w:r>
              <w:rPr>
                <w:rFonts w:ascii="Arial" w:cs="Arial" w:eastAsia="Arial" w:hAnsi="Arial"/>
                <w:sz w:val="18"/>
                <w:szCs w:val="18"/>
                <w:color w:val="auto"/>
                <w:w w:val="96"/>
              </w:rPr>
              <w:t>FUNDING,</w:t>
            </w: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8"/>
              </w:rPr>
              <w:t>ROYAL</w:t>
            </w:r>
          </w:p>
        </w:tc>
        <w:tc>
          <w:tcPr>
            <w:tcW w:w="80" w:type="dxa"/>
            <w:vAlign w:val="bottom"/>
          </w:tcPr>
          <w:p>
            <w:pPr>
              <w:spacing w:after="0"/>
              <w:rPr>
                <w:sz w:val="18"/>
                <w:szCs w:val="18"/>
                <w:color w:val="auto"/>
              </w:rPr>
            </w:pPr>
          </w:p>
        </w:tc>
        <w:tc>
          <w:tcPr>
            <w:tcW w:w="1440" w:type="dxa"/>
            <w:vAlign w:val="bottom"/>
          </w:tcPr>
          <w:p>
            <w:pPr>
              <w:jc w:val="center"/>
              <w:ind w:left="35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jc w:val="center"/>
              <w:ind w:right="11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960" w:type="dxa"/>
            <w:vAlign w:val="bottom"/>
          </w:tcPr>
          <w:p>
            <w:pPr>
              <w:jc w:val="center"/>
              <w:ind w:left="90"/>
              <w:spacing w:after="0"/>
              <w:rPr>
                <w:sz w:val="20"/>
                <w:szCs w:val="20"/>
                <w:color w:val="auto"/>
              </w:rPr>
            </w:pPr>
            <w:r>
              <w:rPr>
                <w:rFonts w:ascii="Arial" w:cs="Arial" w:eastAsia="Arial" w:hAnsi="Arial"/>
                <w:sz w:val="18"/>
                <w:szCs w:val="18"/>
                <w:color w:val="auto"/>
                <w:w w:val="98"/>
              </w:rPr>
              <w:t>BANK OF</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9" w:right="459" w:bottom="1440" w:gutter="0" w:footer="0" w:header="0"/>
        </w:sectPr>
      </w:pPr>
    </w:p>
    <w:bookmarkStart w:id="485" w:name="page486"/>
    <w:bookmarkEnd w:id="485"/>
    <w:p>
      <w:pPr>
        <w:jc w:val="center"/>
        <w:ind w:left="340" w:right="339"/>
        <w:spacing w:after="0" w:line="27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as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 and as Brazilian Administrative Agent when noted ( </w:t>
      </w:r>
      <w:r>
        <w:rPr>
          <w:rFonts w:ascii="Arial" w:cs="Arial" w:eastAsia="Arial" w:hAnsi="Arial"/>
          <w:sz w:val="15"/>
          <w:szCs w:val="15"/>
          <w:i w:val="1"/>
          <w:iCs w:val="1"/>
          <w:color w:val="auto"/>
        </w:rPr>
        <w:t>3</w:t>
      </w:r>
      <w:r>
        <w:rPr>
          <w:rFonts w:ascii="Arial" w:cs="Arial" w:eastAsia="Arial" w:hAnsi="Arial"/>
          <w:sz w:val="18"/>
          <w:szCs w:val="18"/>
          <w:i w:val="1"/>
          <w:iCs w:val="1"/>
          <w:color w:val="auto"/>
        </w:rPr>
        <w:t xml:space="preserve"> )</w:t>
      </w:r>
    </w:p>
    <w:p>
      <w:pPr>
        <w:sectPr>
          <w:pgSz w:w="11900" w:h="16838" w:orient="portrait"/>
          <w:cols w:equalWidth="0" w:num="1">
            <w:col w:w="9019"/>
          </w:cols>
          <w:pgMar w:left="1440" w:top="273" w:right="1440" w:bottom="1440" w:gutter="0" w:footer="0" w:header="0"/>
        </w:sectPr>
      </w:pPr>
    </w:p>
    <w:bookmarkStart w:id="486" w:name="page487"/>
    <w:bookmarkEnd w:id="486"/>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60" w:type="dxa"/>
            <w:vAlign w:val="bottom"/>
          </w:tcPr>
          <w:p>
            <w:pPr>
              <w:ind w:left="1340"/>
              <w:spacing w:after="0"/>
              <w:rPr>
                <w:sz w:val="20"/>
                <w:szCs w:val="20"/>
                <w:color w:val="auto"/>
              </w:rPr>
            </w:pPr>
            <w:r>
              <w:rPr>
                <w:rFonts w:ascii="Arial" w:cs="Arial" w:eastAsia="Arial" w:hAnsi="Arial"/>
                <w:sz w:val="18"/>
                <w:szCs w:val="18"/>
                <w:color w:val="auto"/>
              </w:rPr>
              <w:t>Table of Contents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6"/>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89"/>
        </w:trPr>
        <w:tc>
          <w:tcPr>
            <w:tcW w:w="10580" w:type="dxa"/>
            <w:vAlign w:val="bottom"/>
            <w:gridSpan w:val="8"/>
          </w:tcPr>
          <w:p>
            <w:pPr>
              <w:spacing w:after="0" w:line="189" w:lineRule="exact"/>
              <w:rPr>
                <w:sz w:val="20"/>
                <w:szCs w:val="20"/>
                <w:color w:val="auto"/>
              </w:rPr>
            </w:pPr>
            <w:r>
              <w:rPr>
                <w:rFonts w:ascii="Arial" w:cs="Arial" w:eastAsia="Arial" w:hAnsi="Arial"/>
                <w:sz w:val="18"/>
                <w:szCs w:val="18"/>
                <w:color w:val="auto"/>
              </w:rPr>
              <w:t>SECTION 1. DEFINITIONS</w:t>
            </w:r>
          </w:p>
        </w:tc>
        <w:tc>
          <w:tcPr>
            <w:tcW w:w="180" w:type="dxa"/>
            <w:vAlign w:val="bottom"/>
          </w:tcPr>
          <w:p>
            <w:pPr>
              <w:spacing w:after="0"/>
              <w:rPr>
                <w:sz w:val="16"/>
                <w:szCs w:val="16"/>
                <w:color w:val="auto"/>
              </w:rPr>
            </w:pPr>
          </w:p>
        </w:tc>
        <w:tc>
          <w:tcPr>
            <w:tcW w:w="100" w:type="dxa"/>
            <w:vAlign w:val="bottom"/>
            <w:gridSpan w:val="2"/>
          </w:tcPr>
          <w:p>
            <w:pPr>
              <w:jc w:val="center"/>
              <w:spacing w:after="0" w:line="189" w:lineRule="exact"/>
              <w:rPr>
                <w:sz w:val="20"/>
                <w:szCs w:val="20"/>
                <w:color w:val="auto"/>
              </w:rPr>
            </w:pPr>
            <w:r>
              <w:rPr>
                <w:rFonts w:ascii="Arial" w:cs="Arial" w:eastAsia="Arial" w:hAnsi="Arial"/>
                <w:sz w:val="18"/>
                <w:szCs w:val="18"/>
                <w:color w:val="FF0000"/>
                <w:strike w:val="1"/>
                <w:w w:val="99"/>
              </w:rPr>
              <w:t>1</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Defined Terms</w:t>
            </w:r>
          </w:p>
        </w:tc>
        <w:tc>
          <w:tcPr>
            <w:tcW w:w="180" w:type="dxa"/>
            <w:vAlign w:val="bottom"/>
          </w:tcPr>
          <w:p>
            <w:pPr>
              <w:spacing w:after="0"/>
              <w:rPr>
                <w:sz w:val="21"/>
                <w:szCs w:val="21"/>
                <w:color w:val="auto"/>
              </w:rPr>
            </w:pPr>
          </w:p>
        </w:tc>
        <w:tc>
          <w:tcPr>
            <w:tcW w:w="100" w:type="dxa"/>
            <w:vAlign w:val="bottom"/>
            <w:gridSpan w:val="2"/>
          </w:tcPr>
          <w:p>
            <w:pPr>
              <w:jc w:val="center"/>
              <w:spacing w:after="0"/>
              <w:rPr>
                <w:sz w:val="20"/>
                <w:szCs w:val="20"/>
                <w:color w:val="auto"/>
              </w:rPr>
            </w:pPr>
            <w:r>
              <w:rPr>
                <w:rFonts w:ascii="Arial" w:cs="Arial" w:eastAsia="Arial" w:hAnsi="Arial"/>
                <w:sz w:val="18"/>
                <w:szCs w:val="18"/>
                <w:color w:val="FF0000"/>
                <w:strike w:val="1"/>
                <w:w w:val="99"/>
              </w:rPr>
              <w:t>1</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1.2</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Other Definitional Provisions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38</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1.3</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Conversion of Foreign Currencies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39</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1.4</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Other Interpretive Provisions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40</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0000FF"/>
                <w:w w:val="79"/>
              </w:rPr>
              <w:t>1.</w:t>
            </w:r>
            <w:r>
              <w:rPr>
                <w:rFonts w:ascii="Arial" w:cs="Arial" w:eastAsia="Arial" w:hAnsi="Arial"/>
                <w:sz w:val="18"/>
                <w:szCs w:val="18"/>
                <w:u w:val="single" w:color="auto"/>
                <w:color w:val="0000FF"/>
                <w:w w:val="79"/>
              </w:rPr>
              <w:t>5</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0000FF"/>
              </w:rPr>
              <w:t>Interest Rates; LIBOR Notification</w:t>
            </w:r>
          </w:p>
        </w:tc>
        <w:tc>
          <w:tcPr>
            <w:tcW w:w="360" w:type="dxa"/>
            <w:vAlign w:val="bottom"/>
            <w:gridSpan w:val="4"/>
          </w:tcPr>
          <w:p>
            <w:pPr>
              <w:jc w:val="right"/>
              <w:spacing w:after="0"/>
              <w:rPr>
                <w:sz w:val="20"/>
                <w:szCs w:val="20"/>
                <w:color w:val="auto"/>
              </w:rPr>
            </w:pPr>
            <w:r>
              <w:rPr>
                <w:rFonts w:ascii="Arial" w:cs="Arial" w:eastAsia="Arial" w:hAnsi="Arial"/>
                <w:sz w:val="18"/>
                <w:szCs w:val="18"/>
                <w:color w:val="0000FF"/>
              </w:rPr>
              <w:t>40</w:t>
            </w:r>
          </w:p>
        </w:tc>
      </w:tr>
      <w:tr>
        <w:trPr>
          <w:trHeight w:val="34"/>
        </w:trPr>
        <w:tc>
          <w:tcPr>
            <w:tcW w:w="34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18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0000FF"/>
                <w:w w:val="79"/>
              </w:rPr>
              <w:t>1.</w:t>
            </w:r>
            <w:r>
              <w:rPr>
                <w:rFonts w:ascii="Arial" w:cs="Arial" w:eastAsia="Arial" w:hAnsi="Arial"/>
                <w:sz w:val="18"/>
                <w:szCs w:val="18"/>
                <w:u w:val="single" w:color="auto"/>
                <w:color w:val="0000FF"/>
                <w:w w:val="79"/>
              </w:rPr>
              <w:t>6</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0000FF"/>
              </w:rPr>
              <w:t>Divisions</w:t>
            </w:r>
          </w:p>
        </w:tc>
        <w:tc>
          <w:tcPr>
            <w:tcW w:w="360" w:type="dxa"/>
            <w:vAlign w:val="bottom"/>
            <w:gridSpan w:val="4"/>
          </w:tcPr>
          <w:p>
            <w:pPr>
              <w:jc w:val="right"/>
              <w:spacing w:after="0"/>
              <w:rPr>
                <w:sz w:val="20"/>
                <w:szCs w:val="20"/>
                <w:color w:val="auto"/>
              </w:rPr>
            </w:pPr>
            <w:r>
              <w:rPr>
                <w:rFonts w:ascii="Arial" w:cs="Arial" w:eastAsia="Arial" w:hAnsi="Arial"/>
                <w:sz w:val="18"/>
                <w:szCs w:val="18"/>
                <w:color w:val="0000FF"/>
              </w:rPr>
              <w:t>40</w:t>
            </w:r>
          </w:p>
        </w:tc>
      </w:tr>
      <w:tr>
        <w:trPr>
          <w:trHeight w:val="34"/>
        </w:trPr>
        <w:tc>
          <w:tcPr>
            <w:tcW w:w="34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r>
      <w:tr>
        <w:trPr>
          <w:trHeight w:val="357"/>
        </w:trPr>
        <w:tc>
          <w:tcPr>
            <w:tcW w:w="10580" w:type="dxa"/>
            <w:vAlign w:val="bottom"/>
            <w:gridSpan w:val="8"/>
          </w:tcPr>
          <w:p>
            <w:pPr>
              <w:spacing w:after="0"/>
              <w:rPr>
                <w:sz w:val="20"/>
                <w:szCs w:val="20"/>
                <w:color w:val="auto"/>
              </w:rPr>
            </w:pPr>
            <w:r>
              <w:rPr>
                <w:rFonts w:ascii="Arial" w:cs="Arial" w:eastAsia="Arial" w:hAnsi="Arial"/>
                <w:sz w:val="18"/>
                <w:szCs w:val="18"/>
                <w:color w:val="auto"/>
              </w:rPr>
              <w:t>SECTION 2. AMOUNT AND TERMS OF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40</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2.1</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Domestic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40</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2.2</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Procedure for Domestic Loan Borrowing</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41</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2.3</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Multicurrency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41</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2.4</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Procedure for Multicurrency Loan Borrowing</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42</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2.5</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Brazilian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43</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2.6</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Brazilian Reporting</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43</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2.7</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Competitive Bid Procedure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43</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2.8</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Facility Fees, etc</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46</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560" w:type="dxa"/>
            <w:vAlign w:val="bottom"/>
            <w:gridSpan w:val="2"/>
          </w:tcPr>
          <w:p>
            <w:pPr>
              <w:ind w:left="340"/>
              <w:spacing w:after="0"/>
              <w:rPr>
                <w:sz w:val="20"/>
                <w:szCs w:val="20"/>
                <w:color w:val="auto"/>
              </w:rPr>
            </w:pPr>
            <w:r>
              <w:rPr>
                <w:rFonts w:ascii="Arial" w:cs="Arial" w:eastAsia="Arial" w:hAnsi="Arial"/>
                <w:sz w:val="18"/>
                <w:szCs w:val="18"/>
                <w:color w:val="auto"/>
                <w:w w:val="79"/>
              </w:rPr>
              <w:t>2.9</w:t>
            </w:r>
          </w:p>
        </w:tc>
        <w:tc>
          <w:tcPr>
            <w:tcW w:w="260" w:type="dxa"/>
            <w:vAlign w:val="bottom"/>
          </w:tcPr>
          <w:p>
            <w:pPr>
              <w:spacing w:after="0"/>
              <w:rPr>
                <w:sz w:val="21"/>
                <w:szCs w:val="21"/>
                <w:color w:val="auto"/>
              </w:rPr>
            </w:pP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Termination, Reduction and Reallocation of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46</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2.10</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Optional Prepayments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48</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2.11</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Mandatory Prepayments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49</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2.12</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Conversion and Continuation Options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49</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2.13</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Limitations on Eurocurrency Tranches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50</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2.14</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Interest Rates and Payment Dates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50</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2.15</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Computation of Interest and Fees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51</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2.16</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Inability to Determine Interest Rate; Illegality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51</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2.17</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Pro Rata Treatment and Payments; Evidence of Debt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53</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2.18</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Requirements of Law</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55</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2.19</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50</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56</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2.20</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Indemnity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59</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2.21</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Change of Applicable Lending Office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60</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r>
        <w:trPr>
          <w:trHeight w:val="249"/>
        </w:trPr>
        <w:tc>
          <w:tcPr>
            <w:tcW w:w="820" w:type="dxa"/>
            <w:vAlign w:val="bottom"/>
            <w:gridSpan w:val="3"/>
          </w:tcPr>
          <w:p>
            <w:pPr>
              <w:ind w:left="340"/>
              <w:spacing w:after="0"/>
              <w:rPr>
                <w:sz w:val="20"/>
                <w:szCs w:val="20"/>
                <w:color w:val="auto"/>
              </w:rPr>
            </w:pPr>
            <w:r>
              <w:rPr>
                <w:rFonts w:ascii="Arial" w:cs="Arial" w:eastAsia="Arial" w:hAnsi="Arial"/>
                <w:sz w:val="18"/>
                <w:szCs w:val="18"/>
                <w:color w:val="auto"/>
              </w:rPr>
              <w:t>2.22</w:t>
            </w:r>
          </w:p>
        </w:tc>
        <w:tc>
          <w:tcPr>
            <w:tcW w:w="9760" w:type="dxa"/>
            <w:vAlign w:val="bottom"/>
            <w:gridSpan w:val="5"/>
          </w:tcPr>
          <w:p>
            <w:pPr>
              <w:ind w:left="160"/>
              <w:spacing w:after="0"/>
              <w:rPr>
                <w:sz w:val="20"/>
                <w:szCs w:val="20"/>
                <w:color w:val="auto"/>
              </w:rPr>
            </w:pPr>
            <w:r>
              <w:rPr>
                <w:rFonts w:ascii="Arial" w:cs="Arial" w:eastAsia="Arial" w:hAnsi="Arial"/>
                <w:sz w:val="18"/>
                <w:szCs w:val="18"/>
                <w:color w:val="auto"/>
              </w:rPr>
              <w:t>Replacement/Termination of Lenders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60</w:t>
            </w:r>
          </w:p>
        </w:tc>
      </w:tr>
      <w:tr>
        <w:trPr>
          <w:trHeight w:val="34"/>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r>
    </w:tbl>
    <w:p>
      <w:pPr>
        <w:spacing w:after="0"/>
        <w:rPr>
          <w:sz w:val="20"/>
          <w:szCs w:val="20"/>
          <w:color w:val="auto"/>
        </w:rPr>
        <w:sectPr>
          <w:pgSz w:w="11900" w:h="16838" w:orient="portrait"/>
          <w:cols w:equalWidth="0" w:num="1">
            <w:col w:w="10940"/>
          </w:cols>
          <w:pgMar w:left="440" w:top="27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87" w:name="page488"/>
    <w:bookmarkEnd w:id="487"/>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89"/>
        </w:trPr>
        <w:tc>
          <w:tcPr>
            <w:tcW w:w="820" w:type="dxa"/>
            <w:vAlign w:val="bottom"/>
          </w:tcPr>
          <w:p>
            <w:pPr>
              <w:ind w:left="340"/>
              <w:spacing w:after="0" w:line="189" w:lineRule="exact"/>
              <w:rPr>
                <w:sz w:val="20"/>
                <w:szCs w:val="20"/>
                <w:color w:val="auto"/>
              </w:rPr>
            </w:pPr>
            <w:r>
              <w:rPr>
                <w:rFonts w:ascii="Arial" w:cs="Arial" w:eastAsia="Arial" w:hAnsi="Arial"/>
                <w:sz w:val="18"/>
                <w:szCs w:val="18"/>
                <w:color w:val="auto"/>
              </w:rPr>
              <w:t>2.23</w:t>
            </w:r>
          </w:p>
        </w:tc>
        <w:tc>
          <w:tcPr>
            <w:tcW w:w="9760" w:type="dxa"/>
            <w:vAlign w:val="bottom"/>
          </w:tcPr>
          <w:p>
            <w:pPr>
              <w:ind w:left="160"/>
              <w:spacing w:after="0" w:line="189" w:lineRule="exact"/>
              <w:rPr>
                <w:sz w:val="20"/>
                <w:szCs w:val="20"/>
                <w:color w:val="auto"/>
              </w:rPr>
            </w:pPr>
            <w:r>
              <w:rPr>
                <w:rFonts w:ascii="Arial" w:cs="Arial" w:eastAsia="Arial" w:hAnsi="Arial"/>
                <w:sz w:val="18"/>
                <w:szCs w:val="18"/>
                <w:color w:val="auto"/>
              </w:rPr>
              <w:t>Defaulting Lender</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61</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2.24</w:t>
            </w:r>
          </w:p>
        </w:tc>
        <w:tc>
          <w:tcPr>
            <w:tcW w:w="9760" w:type="dxa"/>
            <w:vAlign w:val="bottom"/>
          </w:tcPr>
          <w:p>
            <w:pPr>
              <w:ind w:left="160"/>
              <w:spacing w:after="0"/>
              <w:rPr>
                <w:sz w:val="20"/>
                <w:szCs w:val="20"/>
                <w:color w:val="auto"/>
              </w:rPr>
            </w:pPr>
            <w:r>
              <w:rPr>
                <w:rFonts w:ascii="Arial" w:cs="Arial" w:eastAsia="Arial" w:hAnsi="Arial"/>
                <w:sz w:val="18"/>
                <w:szCs w:val="18"/>
                <w:color w:val="auto"/>
              </w:rPr>
              <w:t>Reallocation of Payments for the Account of Defaulting Lenders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2.25</w:t>
            </w:r>
          </w:p>
        </w:tc>
        <w:tc>
          <w:tcPr>
            <w:tcW w:w="9760" w:type="dxa"/>
            <w:vAlign w:val="bottom"/>
          </w:tcPr>
          <w:p>
            <w:pPr>
              <w:ind w:left="160"/>
              <w:spacing w:after="0"/>
              <w:rPr>
                <w:sz w:val="20"/>
                <w:szCs w:val="20"/>
                <w:color w:val="auto"/>
              </w:rPr>
            </w:pPr>
            <w:r>
              <w:rPr>
                <w:rFonts w:ascii="Arial" w:cs="Arial" w:eastAsia="Arial" w:hAnsi="Arial"/>
                <w:sz w:val="18"/>
                <w:szCs w:val="18"/>
                <w:color w:val="auto"/>
              </w:rPr>
              <w:t>New Local Facilities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2.26</w:t>
            </w:r>
          </w:p>
        </w:tc>
        <w:tc>
          <w:tcPr>
            <w:tcW w:w="9760" w:type="dxa"/>
            <w:vAlign w:val="bottom"/>
          </w:tcPr>
          <w:p>
            <w:pPr>
              <w:ind w:left="160"/>
              <w:spacing w:after="0"/>
              <w:rPr>
                <w:sz w:val="20"/>
                <w:szCs w:val="20"/>
                <w:color w:val="auto"/>
              </w:rPr>
            </w:pPr>
            <w:r>
              <w:rPr>
                <w:rFonts w:ascii="Arial" w:cs="Arial" w:eastAsia="Arial" w:hAnsi="Arial"/>
                <w:sz w:val="18"/>
                <w:szCs w:val="18"/>
                <w:color w:val="auto"/>
              </w:rPr>
              <w:t>Incremental Commitments/Facilities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64</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2.27</w:t>
            </w:r>
          </w:p>
        </w:tc>
        <w:tc>
          <w:tcPr>
            <w:tcW w:w="9760" w:type="dxa"/>
            <w:vAlign w:val="bottom"/>
          </w:tcPr>
          <w:p>
            <w:pPr>
              <w:ind w:left="160"/>
              <w:spacing w:after="0"/>
              <w:rPr>
                <w:sz w:val="20"/>
                <w:szCs w:val="20"/>
                <w:color w:val="auto"/>
              </w:rPr>
            </w:pPr>
            <w:r>
              <w:rPr>
                <w:rFonts w:ascii="Arial" w:cs="Arial" w:eastAsia="Arial" w:hAnsi="Arial"/>
                <w:sz w:val="18"/>
                <w:szCs w:val="18"/>
                <w:color w:val="auto"/>
              </w:rPr>
              <w:t>Termination Date Extension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65</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357"/>
        </w:trPr>
        <w:tc>
          <w:tcPr>
            <w:tcW w:w="10580" w:type="dxa"/>
            <w:vAlign w:val="bottom"/>
            <w:gridSpan w:val="2"/>
          </w:tcPr>
          <w:p>
            <w:pPr>
              <w:spacing w:after="0"/>
              <w:rPr>
                <w:sz w:val="20"/>
                <w:szCs w:val="20"/>
                <w:color w:val="auto"/>
              </w:rPr>
            </w:pPr>
            <w:r>
              <w:rPr>
                <w:rFonts w:ascii="Arial" w:cs="Arial" w:eastAsia="Arial" w:hAnsi="Arial"/>
                <w:sz w:val="18"/>
                <w:szCs w:val="18"/>
                <w:color w:val="auto"/>
              </w:rPr>
              <w:t>SECTION 3. LETTERS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66</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3.1</w:t>
            </w:r>
          </w:p>
        </w:tc>
        <w:tc>
          <w:tcPr>
            <w:tcW w:w="9760" w:type="dxa"/>
            <w:vAlign w:val="bottom"/>
          </w:tcPr>
          <w:p>
            <w:pPr>
              <w:ind w:left="160"/>
              <w:spacing w:after="0"/>
              <w:rPr>
                <w:sz w:val="20"/>
                <w:szCs w:val="20"/>
                <w:color w:val="auto"/>
              </w:rPr>
            </w:pPr>
            <w:r>
              <w:rPr>
                <w:rFonts w:ascii="Arial" w:cs="Arial" w:eastAsia="Arial" w:hAnsi="Arial"/>
                <w:sz w:val="18"/>
                <w:szCs w:val="18"/>
                <w:color w:val="auto"/>
              </w:rPr>
              <w:t>L/C Commitment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66</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3.2</w:t>
            </w:r>
          </w:p>
        </w:tc>
        <w:tc>
          <w:tcPr>
            <w:tcW w:w="9760" w:type="dxa"/>
            <w:vAlign w:val="bottom"/>
          </w:tcPr>
          <w:p>
            <w:pPr>
              <w:ind w:left="160"/>
              <w:spacing w:after="0"/>
              <w:rPr>
                <w:sz w:val="20"/>
                <w:szCs w:val="20"/>
                <w:color w:val="auto"/>
              </w:rPr>
            </w:pPr>
            <w:r>
              <w:rPr>
                <w:rFonts w:ascii="Arial" w:cs="Arial" w:eastAsia="Arial" w:hAnsi="Arial"/>
                <w:sz w:val="18"/>
                <w:szCs w:val="18"/>
                <w:color w:val="auto"/>
              </w:rPr>
              <w:t>Procedure for Issuance of Letters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67</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3.3</w:t>
            </w:r>
          </w:p>
        </w:tc>
        <w:tc>
          <w:tcPr>
            <w:tcW w:w="9760" w:type="dxa"/>
            <w:vAlign w:val="bottom"/>
          </w:tcPr>
          <w:p>
            <w:pPr>
              <w:ind w:left="160"/>
              <w:spacing w:after="0"/>
              <w:rPr>
                <w:sz w:val="20"/>
                <w:szCs w:val="20"/>
                <w:color w:val="auto"/>
              </w:rPr>
            </w:pPr>
            <w:r>
              <w:rPr>
                <w:rFonts w:ascii="Arial" w:cs="Arial" w:eastAsia="Arial" w:hAnsi="Arial"/>
                <w:sz w:val="18"/>
                <w:szCs w:val="18"/>
                <w:color w:val="auto"/>
              </w:rPr>
              <w:t>Fees and Other Charges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68</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3.4</w:t>
            </w:r>
          </w:p>
        </w:tc>
        <w:tc>
          <w:tcPr>
            <w:tcW w:w="9760" w:type="dxa"/>
            <w:vAlign w:val="bottom"/>
          </w:tcPr>
          <w:p>
            <w:pPr>
              <w:ind w:left="160"/>
              <w:spacing w:after="0"/>
              <w:rPr>
                <w:sz w:val="20"/>
                <w:szCs w:val="20"/>
                <w:color w:val="auto"/>
              </w:rPr>
            </w:pPr>
            <w:r>
              <w:rPr>
                <w:rFonts w:ascii="Arial" w:cs="Arial" w:eastAsia="Arial" w:hAnsi="Arial"/>
                <w:sz w:val="18"/>
                <w:szCs w:val="18"/>
                <w:color w:val="auto"/>
              </w:rPr>
              <w:t>L/C Participations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68</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3.5</w:t>
            </w:r>
          </w:p>
        </w:tc>
        <w:tc>
          <w:tcPr>
            <w:tcW w:w="9760" w:type="dxa"/>
            <w:vAlign w:val="bottom"/>
          </w:tcPr>
          <w:p>
            <w:pPr>
              <w:ind w:left="160"/>
              <w:spacing w:after="0"/>
              <w:rPr>
                <w:sz w:val="20"/>
                <w:szCs w:val="20"/>
                <w:color w:val="auto"/>
              </w:rPr>
            </w:pPr>
            <w:r>
              <w:rPr>
                <w:rFonts w:ascii="Arial" w:cs="Arial" w:eastAsia="Arial" w:hAnsi="Arial"/>
                <w:sz w:val="18"/>
                <w:szCs w:val="18"/>
                <w:color w:val="auto"/>
              </w:rPr>
              <w:t>Reimbursement Obligation of the Company and the Applicable Account Party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69</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3.6</w:t>
            </w:r>
          </w:p>
        </w:tc>
        <w:tc>
          <w:tcPr>
            <w:tcW w:w="9760" w:type="dxa"/>
            <w:vAlign w:val="bottom"/>
          </w:tcPr>
          <w:p>
            <w:pPr>
              <w:ind w:left="160"/>
              <w:spacing w:after="0"/>
              <w:rPr>
                <w:sz w:val="20"/>
                <w:szCs w:val="20"/>
                <w:color w:val="auto"/>
              </w:rPr>
            </w:pPr>
            <w:r>
              <w:rPr>
                <w:rFonts w:ascii="Arial" w:cs="Arial" w:eastAsia="Arial" w:hAnsi="Arial"/>
                <w:sz w:val="18"/>
                <w:szCs w:val="18"/>
                <w:color w:val="auto"/>
              </w:rPr>
              <w:t>Obligations Absolute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70</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3.7</w:t>
            </w:r>
          </w:p>
        </w:tc>
        <w:tc>
          <w:tcPr>
            <w:tcW w:w="9760" w:type="dxa"/>
            <w:vAlign w:val="bottom"/>
          </w:tcPr>
          <w:p>
            <w:pPr>
              <w:ind w:left="160"/>
              <w:spacing w:after="0"/>
              <w:rPr>
                <w:sz w:val="20"/>
                <w:szCs w:val="20"/>
                <w:color w:val="auto"/>
              </w:rPr>
            </w:pPr>
            <w:r>
              <w:rPr>
                <w:rFonts w:ascii="Arial" w:cs="Arial" w:eastAsia="Arial" w:hAnsi="Arial"/>
                <w:sz w:val="18"/>
                <w:szCs w:val="18"/>
                <w:color w:val="auto"/>
              </w:rPr>
              <w:t>Letter of Credit Payments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70</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3.8</w:t>
            </w:r>
          </w:p>
        </w:tc>
        <w:tc>
          <w:tcPr>
            <w:tcW w:w="9760" w:type="dxa"/>
            <w:vAlign w:val="bottom"/>
          </w:tcPr>
          <w:p>
            <w:pPr>
              <w:ind w:left="160"/>
              <w:spacing w:after="0"/>
              <w:rPr>
                <w:sz w:val="20"/>
                <w:szCs w:val="20"/>
                <w:color w:val="auto"/>
              </w:rPr>
            </w:pPr>
            <w:r>
              <w:rPr>
                <w:rFonts w:ascii="Arial" w:cs="Arial" w:eastAsia="Arial" w:hAnsi="Arial"/>
                <w:sz w:val="18"/>
                <w:szCs w:val="18"/>
                <w:color w:val="auto"/>
              </w:rPr>
              <w:t>Applications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70</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3.9</w:t>
            </w:r>
          </w:p>
        </w:tc>
        <w:tc>
          <w:tcPr>
            <w:tcW w:w="9760" w:type="dxa"/>
            <w:vAlign w:val="bottom"/>
          </w:tcPr>
          <w:p>
            <w:pPr>
              <w:ind w:left="160"/>
              <w:spacing w:after="0"/>
              <w:rPr>
                <w:sz w:val="20"/>
                <w:szCs w:val="20"/>
                <w:color w:val="auto"/>
              </w:rPr>
            </w:pPr>
            <w:r>
              <w:rPr>
                <w:rFonts w:ascii="Arial" w:cs="Arial" w:eastAsia="Arial" w:hAnsi="Arial"/>
                <w:sz w:val="18"/>
                <w:szCs w:val="18"/>
                <w:color w:val="auto"/>
              </w:rPr>
              <w:t>Collateralization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71</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3.10</w:t>
            </w:r>
          </w:p>
        </w:tc>
        <w:tc>
          <w:tcPr>
            <w:tcW w:w="9760" w:type="dxa"/>
            <w:vAlign w:val="bottom"/>
          </w:tcPr>
          <w:p>
            <w:pPr>
              <w:ind w:left="160"/>
              <w:spacing w:after="0"/>
              <w:rPr>
                <w:sz w:val="20"/>
                <w:szCs w:val="20"/>
                <w:color w:val="auto"/>
              </w:rPr>
            </w:pPr>
            <w:r>
              <w:rPr>
                <w:rFonts w:ascii="Arial" w:cs="Arial" w:eastAsia="Arial" w:hAnsi="Arial"/>
                <w:sz w:val="18"/>
                <w:szCs w:val="18"/>
                <w:color w:val="auto"/>
              </w:rPr>
              <w:t>New Issuing Lenders; L/C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71</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3.11</w:t>
            </w:r>
          </w:p>
        </w:tc>
        <w:tc>
          <w:tcPr>
            <w:tcW w:w="9760" w:type="dxa"/>
            <w:vAlign w:val="bottom"/>
          </w:tcPr>
          <w:p>
            <w:pPr>
              <w:ind w:left="160"/>
              <w:spacing w:after="0"/>
              <w:rPr>
                <w:sz w:val="20"/>
                <w:szCs w:val="20"/>
                <w:color w:val="auto"/>
              </w:rPr>
            </w:pPr>
            <w:r>
              <w:rPr>
                <w:rFonts w:ascii="Arial" w:cs="Arial" w:eastAsia="Arial" w:hAnsi="Arial"/>
                <w:sz w:val="18"/>
                <w:szCs w:val="18"/>
                <w:color w:val="auto"/>
              </w:rPr>
              <w:t>Conflicts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71</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357"/>
        </w:trPr>
        <w:tc>
          <w:tcPr>
            <w:tcW w:w="1058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4.1</w:t>
            </w:r>
          </w:p>
        </w:tc>
        <w:tc>
          <w:tcPr>
            <w:tcW w:w="9760" w:type="dxa"/>
            <w:vAlign w:val="bottom"/>
          </w:tcPr>
          <w:p>
            <w:pPr>
              <w:ind w:left="160"/>
              <w:spacing w:after="0"/>
              <w:rPr>
                <w:sz w:val="20"/>
                <w:szCs w:val="20"/>
                <w:color w:val="auto"/>
              </w:rPr>
            </w:pPr>
            <w:r>
              <w:rPr>
                <w:rFonts w:ascii="Arial" w:cs="Arial" w:eastAsia="Arial" w:hAnsi="Arial"/>
                <w:sz w:val="18"/>
                <w:szCs w:val="18"/>
                <w:color w:val="auto"/>
              </w:rPr>
              <w:t>Financial Condition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4.2</w:t>
            </w:r>
          </w:p>
        </w:tc>
        <w:tc>
          <w:tcPr>
            <w:tcW w:w="9760" w:type="dxa"/>
            <w:vAlign w:val="bottom"/>
          </w:tcPr>
          <w:p>
            <w:pPr>
              <w:ind w:left="160"/>
              <w:spacing w:after="0"/>
              <w:rPr>
                <w:sz w:val="20"/>
                <w:szCs w:val="20"/>
                <w:color w:val="auto"/>
              </w:rPr>
            </w:pPr>
            <w:r>
              <w:rPr>
                <w:rFonts w:ascii="Arial" w:cs="Arial" w:eastAsia="Arial" w:hAnsi="Arial"/>
                <w:sz w:val="18"/>
                <w:szCs w:val="18"/>
                <w:color w:val="auto"/>
              </w:rPr>
              <w:t>No Change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4.3</w:t>
            </w:r>
          </w:p>
        </w:tc>
        <w:tc>
          <w:tcPr>
            <w:tcW w:w="9760" w:type="dxa"/>
            <w:vAlign w:val="bottom"/>
          </w:tcPr>
          <w:p>
            <w:pPr>
              <w:ind w:left="160"/>
              <w:spacing w:after="0"/>
              <w:rPr>
                <w:sz w:val="20"/>
                <w:szCs w:val="20"/>
                <w:color w:val="auto"/>
              </w:rPr>
            </w:pPr>
            <w:r>
              <w:rPr>
                <w:rFonts w:ascii="Arial" w:cs="Arial" w:eastAsia="Arial" w:hAnsi="Arial"/>
                <w:sz w:val="18"/>
                <w:szCs w:val="18"/>
                <w:color w:val="auto"/>
              </w:rPr>
              <w:t>Existence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4.4</w:t>
            </w:r>
          </w:p>
        </w:tc>
        <w:tc>
          <w:tcPr>
            <w:tcW w:w="9760" w:type="dxa"/>
            <w:vAlign w:val="bottom"/>
          </w:tcPr>
          <w:p>
            <w:pPr>
              <w:ind w:left="160"/>
              <w:spacing w:after="0"/>
              <w:rPr>
                <w:sz w:val="20"/>
                <w:szCs w:val="20"/>
                <w:color w:val="auto"/>
              </w:rPr>
            </w:pPr>
            <w:r>
              <w:rPr>
                <w:rFonts w:ascii="Arial" w:cs="Arial" w:eastAsia="Arial" w:hAnsi="Arial"/>
                <w:sz w:val="18"/>
                <w:szCs w:val="18"/>
                <w:color w:val="auto"/>
              </w:rPr>
              <w:t>Power; Authorization; Enforceable Obligations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4.5</w:t>
            </w:r>
          </w:p>
        </w:tc>
        <w:tc>
          <w:tcPr>
            <w:tcW w:w="9760" w:type="dxa"/>
            <w:vAlign w:val="bottom"/>
          </w:tcPr>
          <w:p>
            <w:pPr>
              <w:ind w:left="160"/>
              <w:spacing w:after="0"/>
              <w:rPr>
                <w:sz w:val="20"/>
                <w:szCs w:val="20"/>
                <w:color w:val="auto"/>
              </w:rPr>
            </w:pPr>
            <w:r>
              <w:rPr>
                <w:rFonts w:ascii="Arial" w:cs="Arial" w:eastAsia="Arial" w:hAnsi="Arial"/>
                <w:sz w:val="18"/>
                <w:szCs w:val="18"/>
                <w:color w:val="auto"/>
              </w:rPr>
              <w:t>No Legal Bar</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4.6</w:t>
            </w:r>
          </w:p>
        </w:tc>
        <w:tc>
          <w:tcPr>
            <w:tcW w:w="976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4.7</w:t>
            </w:r>
          </w:p>
        </w:tc>
        <w:tc>
          <w:tcPr>
            <w:tcW w:w="9760" w:type="dxa"/>
            <w:vAlign w:val="bottom"/>
          </w:tcPr>
          <w:p>
            <w:pPr>
              <w:ind w:left="160"/>
              <w:spacing w:after="0"/>
              <w:rPr>
                <w:sz w:val="20"/>
                <w:szCs w:val="20"/>
                <w:color w:val="auto"/>
              </w:rPr>
            </w:pPr>
            <w:r>
              <w:rPr>
                <w:rFonts w:ascii="Arial" w:cs="Arial" w:eastAsia="Arial" w:hAnsi="Arial"/>
                <w:sz w:val="18"/>
                <w:szCs w:val="18"/>
                <w:color w:val="auto"/>
              </w:rPr>
              <w:t>No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4.8</w:t>
            </w:r>
          </w:p>
        </w:tc>
        <w:tc>
          <w:tcPr>
            <w:tcW w:w="9760" w:type="dxa"/>
            <w:vAlign w:val="bottom"/>
          </w:tcPr>
          <w:p>
            <w:pPr>
              <w:ind w:left="160"/>
              <w:spacing w:after="0"/>
              <w:rPr>
                <w:sz w:val="20"/>
                <w:szCs w:val="20"/>
                <w:color w:val="auto"/>
              </w:rPr>
            </w:pPr>
            <w:r>
              <w:rPr>
                <w:rFonts w:ascii="Arial" w:cs="Arial" w:eastAsia="Arial" w:hAnsi="Arial"/>
                <w:sz w:val="18"/>
                <w:szCs w:val="18"/>
                <w:color w:val="auto"/>
              </w:rPr>
              <w:t>Ownership of Property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4.9</w:t>
            </w:r>
          </w:p>
        </w:tc>
        <w:tc>
          <w:tcPr>
            <w:tcW w:w="976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4.10</w:t>
            </w:r>
          </w:p>
        </w:tc>
        <w:tc>
          <w:tcPr>
            <w:tcW w:w="9760" w:type="dxa"/>
            <w:vAlign w:val="bottom"/>
          </w:tcPr>
          <w:p>
            <w:pPr>
              <w:ind w:left="160"/>
              <w:spacing w:after="0"/>
              <w:rPr>
                <w:sz w:val="20"/>
                <w:szCs w:val="20"/>
                <w:color w:val="auto"/>
              </w:rPr>
            </w:pPr>
            <w:r>
              <w:rPr>
                <w:rFonts w:ascii="Arial" w:cs="Arial" w:eastAsia="Arial" w:hAnsi="Arial"/>
                <w:sz w:val="18"/>
                <w:szCs w:val="18"/>
                <w:color w:val="auto"/>
              </w:rPr>
              <w:t>Federal Regulations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4.11</w:t>
            </w:r>
          </w:p>
        </w:tc>
        <w:tc>
          <w:tcPr>
            <w:tcW w:w="9760" w:type="dxa"/>
            <w:vAlign w:val="bottom"/>
          </w:tcPr>
          <w:p>
            <w:pPr>
              <w:ind w:left="160"/>
              <w:spacing w:after="0"/>
              <w:rPr>
                <w:sz w:val="20"/>
                <w:szCs w:val="20"/>
                <w:color w:val="auto"/>
              </w:rPr>
            </w:pPr>
            <w:r>
              <w:rPr>
                <w:rFonts w:ascii="Arial" w:cs="Arial" w:eastAsia="Arial" w:hAnsi="Arial"/>
                <w:sz w:val="18"/>
                <w:szCs w:val="18"/>
                <w:color w:val="auto"/>
              </w:rPr>
              <w:t>ERISA</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4.12</w:t>
            </w:r>
          </w:p>
        </w:tc>
        <w:tc>
          <w:tcPr>
            <w:tcW w:w="9760" w:type="dxa"/>
            <w:vAlign w:val="bottom"/>
          </w:tcPr>
          <w:p>
            <w:pPr>
              <w:ind w:left="160"/>
              <w:spacing w:after="0"/>
              <w:rPr>
                <w:sz w:val="20"/>
                <w:szCs w:val="20"/>
                <w:color w:val="auto"/>
              </w:rPr>
            </w:pPr>
            <w:r>
              <w:rPr>
                <w:rFonts w:ascii="Arial" w:cs="Arial" w:eastAsia="Arial" w:hAnsi="Arial"/>
                <w:sz w:val="18"/>
                <w:szCs w:val="18"/>
                <w:color w:val="auto"/>
              </w:rPr>
              <w:t>Investment Company Act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4.13</w:t>
            </w:r>
          </w:p>
        </w:tc>
        <w:tc>
          <w:tcPr>
            <w:tcW w:w="9760" w:type="dxa"/>
            <w:vAlign w:val="bottom"/>
          </w:tcPr>
          <w:p>
            <w:pPr>
              <w:ind w:left="160"/>
              <w:spacing w:after="0"/>
              <w:rPr>
                <w:sz w:val="20"/>
                <w:szCs w:val="20"/>
                <w:color w:val="auto"/>
              </w:rPr>
            </w:pPr>
            <w:r>
              <w:rPr>
                <w:rFonts w:ascii="Arial" w:cs="Arial" w:eastAsia="Arial" w:hAnsi="Arial"/>
                <w:sz w:val="18"/>
                <w:szCs w:val="18"/>
                <w:color w:val="auto"/>
              </w:rPr>
              <w:t>Ownership of the Subsidiary Borrowers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4.14</w:t>
            </w:r>
          </w:p>
        </w:tc>
        <w:tc>
          <w:tcPr>
            <w:tcW w:w="976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4.15</w:t>
            </w:r>
          </w:p>
        </w:tc>
        <w:tc>
          <w:tcPr>
            <w:tcW w:w="9760" w:type="dxa"/>
            <w:vAlign w:val="bottom"/>
          </w:tcPr>
          <w:p>
            <w:pPr>
              <w:ind w:left="160"/>
              <w:spacing w:after="0"/>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bl>
    <w:p>
      <w:pPr>
        <w:spacing w:after="0"/>
        <w:rPr>
          <w:sz w:val="20"/>
          <w:szCs w:val="20"/>
          <w:color w:val="auto"/>
        </w:rPr>
        <w:sectPr>
          <w:pgSz w:w="11900" w:h="16838" w:orient="portrait"/>
          <w:cols w:equalWidth="0" w:num="1">
            <w:col w:w="10940"/>
          </w:cols>
          <w:pgMar w:left="440" w:top="261"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88" w:name="page489"/>
    <w:bookmarkEnd w:id="488"/>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580" w:type="dxa"/>
            <w:vAlign w:val="bottom"/>
            <w:gridSpan w:val="2"/>
          </w:tcPr>
          <w:p>
            <w:pPr>
              <w:spacing w:after="0" w:line="189" w:lineRule="exact"/>
              <w:rPr>
                <w:sz w:val="20"/>
                <w:szCs w:val="20"/>
                <w:color w:val="auto"/>
              </w:rPr>
            </w:pPr>
            <w:r>
              <w:rPr>
                <w:rFonts w:ascii="Arial" w:cs="Arial" w:eastAsia="Arial" w:hAnsi="Arial"/>
                <w:sz w:val="18"/>
                <w:szCs w:val="18"/>
                <w:color w:val="auto"/>
              </w:rPr>
              <w:t>SECTION 5. CONDITIONS PRECEDENT</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FF0000"/>
                <w:strike w:val="1"/>
                <w:w w:val="79"/>
              </w:rPr>
              <w:t>70</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5.1</w:t>
            </w:r>
          </w:p>
        </w:tc>
        <w:tc>
          <w:tcPr>
            <w:tcW w:w="9760" w:type="dxa"/>
            <w:vAlign w:val="bottom"/>
          </w:tcPr>
          <w:p>
            <w:pPr>
              <w:ind w:left="160"/>
              <w:spacing w:after="0"/>
              <w:rPr>
                <w:sz w:val="20"/>
                <w:szCs w:val="20"/>
                <w:color w:val="auto"/>
              </w:rPr>
            </w:pPr>
            <w:r>
              <w:rPr>
                <w:rFonts w:ascii="Arial" w:cs="Arial" w:eastAsia="Arial" w:hAnsi="Arial"/>
                <w:sz w:val="18"/>
                <w:szCs w:val="18"/>
                <w:color w:val="auto"/>
              </w:rPr>
              <w:t>Conditions to Closing Date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5.2</w:t>
            </w:r>
          </w:p>
        </w:tc>
        <w:tc>
          <w:tcPr>
            <w:tcW w:w="9760" w:type="dxa"/>
            <w:vAlign w:val="bottom"/>
          </w:tcPr>
          <w:p>
            <w:pPr>
              <w:ind w:left="160"/>
              <w:spacing w:after="0"/>
              <w:rPr>
                <w:sz w:val="20"/>
                <w:szCs w:val="20"/>
                <w:color w:val="auto"/>
              </w:rPr>
            </w:pPr>
            <w:r>
              <w:rPr>
                <w:rFonts w:ascii="Arial" w:cs="Arial" w:eastAsia="Arial" w:hAnsi="Arial"/>
                <w:sz w:val="18"/>
                <w:szCs w:val="18"/>
                <w:color w:val="auto"/>
              </w:rPr>
              <w:t>Conditions to Each Extension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75</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1058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6.1</w:t>
            </w:r>
          </w:p>
        </w:tc>
        <w:tc>
          <w:tcPr>
            <w:tcW w:w="976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6.2</w:t>
            </w:r>
          </w:p>
        </w:tc>
        <w:tc>
          <w:tcPr>
            <w:tcW w:w="9760" w:type="dxa"/>
            <w:vAlign w:val="bottom"/>
          </w:tcPr>
          <w:p>
            <w:pPr>
              <w:ind w:left="160"/>
              <w:spacing w:after="0"/>
              <w:rPr>
                <w:sz w:val="20"/>
                <w:szCs w:val="20"/>
                <w:color w:val="auto"/>
              </w:rPr>
            </w:pPr>
            <w:r>
              <w:rPr>
                <w:rFonts w:ascii="Arial" w:cs="Arial" w:eastAsia="Arial" w:hAnsi="Arial"/>
                <w:sz w:val="18"/>
                <w:szCs w:val="18"/>
                <w:color w:val="auto"/>
              </w:rPr>
              <w:t>Compliance Certificates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6.3</w:t>
            </w:r>
          </w:p>
        </w:tc>
        <w:tc>
          <w:tcPr>
            <w:tcW w:w="9760" w:type="dxa"/>
            <w:vAlign w:val="bottom"/>
          </w:tcPr>
          <w:p>
            <w:pPr>
              <w:ind w:left="160"/>
              <w:spacing w:after="0"/>
              <w:rPr>
                <w:sz w:val="20"/>
                <w:szCs w:val="20"/>
                <w:color w:val="auto"/>
              </w:rPr>
            </w:pPr>
            <w:r>
              <w:rPr>
                <w:rFonts w:ascii="Arial" w:cs="Arial" w:eastAsia="Arial" w:hAnsi="Arial"/>
                <w:sz w:val="18"/>
                <w:szCs w:val="18"/>
                <w:color w:val="auto"/>
              </w:rPr>
              <w:t>Maintenance of Business; Existence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6.4</w:t>
            </w:r>
          </w:p>
        </w:tc>
        <w:tc>
          <w:tcPr>
            <w:tcW w:w="976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6.5</w:t>
            </w:r>
          </w:p>
        </w:tc>
        <w:tc>
          <w:tcPr>
            <w:tcW w:w="9760" w:type="dxa"/>
            <w:vAlign w:val="bottom"/>
          </w:tcPr>
          <w:p>
            <w:pPr>
              <w:ind w:left="160"/>
              <w:spacing w:after="0"/>
              <w:rPr>
                <w:sz w:val="20"/>
                <w:szCs w:val="20"/>
                <w:color w:val="auto"/>
              </w:rPr>
            </w:pPr>
            <w:r>
              <w:rPr>
                <w:rFonts w:ascii="Arial" w:cs="Arial" w:eastAsia="Arial" w:hAnsi="Arial"/>
                <w:sz w:val="18"/>
                <w:szCs w:val="18"/>
                <w:color w:val="auto"/>
              </w:rPr>
              <w:t>Notices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6.6</w:t>
            </w:r>
          </w:p>
        </w:tc>
        <w:tc>
          <w:tcPr>
            <w:tcW w:w="9760" w:type="dxa"/>
            <w:vAlign w:val="bottom"/>
          </w:tcPr>
          <w:p>
            <w:pPr>
              <w:ind w:left="160"/>
              <w:spacing w:after="0"/>
              <w:rPr>
                <w:sz w:val="20"/>
                <w:szCs w:val="20"/>
                <w:color w:val="auto"/>
              </w:rPr>
            </w:pPr>
            <w:r>
              <w:rPr>
                <w:rFonts w:ascii="Arial" w:cs="Arial" w:eastAsia="Arial" w:hAnsi="Arial"/>
                <w:sz w:val="18"/>
                <w:szCs w:val="18"/>
                <w:color w:val="auto"/>
              </w:rPr>
              <w:t>Reinstated Guarantors, etc.</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6.7</w:t>
            </w:r>
          </w:p>
        </w:tc>
        <w:tc>
          <w:tcPr>
            <w:tcW w:w="976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6.8</w:t>
            </w:r>
          </w:p>
        </w:tc>
        <w:tc>
          <w:tcPr>
            <w:tcW w:w="9760" w:type="dxa"/>
            <w:vAlign w:val="bottom"/>
          </w:tcPr>
          <w:p>
            <w:pPr>
              <w:ind w:left="160"/>
              <w:spacing w:after="0"/>
              <w:rPr>
                <w:sz w:val="20"/>
                <w:szCs w:val="20"/>
                <w:color w:val="auto"/>
              </w:rPr>
            </w:pPr>
            <w:r>
              <w:rPr>
                <w:rFonts w:ascii="Arial" w:cs="Arial" w:eastAsia="Arial" w:hAnsi="Arial"/>
                <w:sz w:val="18"/>
                <w:szCs w:val="18"/>
                <w:color w:val="auto"/>
              </w:rPr>
              <w:t>Ratings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1058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7.1</w:t>
            </w:r>
          </w:p>
        </w:tc>
        <w:tc>
          <w:tcPr>
            <w:tcW w:w="9760" w:type="dxa"/>
            <w:vAlign w:val="bottom"/>
          </w:tcPr>
          <w:p>
            <w:pPr>
              <w:ind w:left="160"/>
              <w:spacing w:after="0"/>
              <w:rPr>
                <w:sz w:val="20"/>
                <w:szCs w:val="20"/>
                <w:color w:val="auto"/>
              </w:rPr>
            </w:pPr>
            <w:r>
              <w:rPr>
                <w:rFonts w:ascii="Arial" w:cs="Arial" w:eastAsia="Arial" w:hAnsi="Arial"/>
                <w:sz w:val="18"/>
                <w:szCs w:val="18"/>
                <w:color w:val="auto"/>
              </w:rPr>
              <w:t>Minimum Liquidity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7.2</w:t>
            </w:r>
          </w:p>
        </w:tc>
        <w:tc>
          <w:tcPr>
            <w:tcW w:w="976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7.3</w:t>
            </w:r>
          </w:p>
        </w:tc>
        <w:tc>
          <w:tcPr>
            <w:tcW w:w="9760" w:type="dxa"/>
            <w:vAlign w:val="bottom"/>
          </w:tcPr>
          <w:p>
            <w:pPr>
              <w:ind w:left="160"/>
              <w:spacing w:after="0"/>
              <w:rPr>
                <w:sz w:val="20"/>
                <w:szCs w:val="20"/>
                <w:color w:val="auto"/>
              </w:rPr>
            </w:pPr>
            <w:r>
              <w:rPr>
                <w:rFonts w:ascii="Arial" w:cs="Arial" w:eastAsia="Arial" w:hAnsi="Arial"/>
                <w:sz w:val="18"/>
                <w:szCs w:val="18"/>
                <w:color w:val="auto"/>
              </w:rPr>
              <w:t>Asset Sale Restrictions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7.4</w:t>
            </w:r>
          </w:p>
        </w:tc>
        <w:tc>
          <w:tcPr>
            <w:tcW w:w="9760" w:type="dxa"/>
            <w:vAlign w:val="bottom"/>
          </w:tcPr>
          <w:p>
            <w:pPr>
              <w:ind w:left="160"/>
              <w:spacing w:after="0"/>
              <w:rPr>
                <w:sz w:val="20"/>
                <w:szCs w:val="20"/>
                <w:color w:val="auto"/>
              </w:rPr>
            </w:pPr>
            <w:r>
              <w:rPr>
                <w:rFonts w:ascii="Arial" w:cs="Arial" w:eastAsia="Arial" w:hAnsi="Arial"/>
                <w:sz w:val="18"/>
                <w:szCs w:val="18"/>
                <w:color w:val="auto"/>
              </w:rPr>
              <w:t>Fundamental Changes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7.5</w:t>
            </w:r>
          </w:p>
        </w:tc>
        <w:tc>
          <w:tcPr>
            <w:tcW w:w="9760" w:type="dxa"/>
            <w:vAlign w:val="bottom"/>
          </w:tcPr>
          <w:p>
            <w:pPr>
              <w:ind w:left="160"/>
              <w:spacing w:after="0"/>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79</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1058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79</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1058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81</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9.1</w:t>
            </w:r>
          </w:p>
        </w:tc>
        <w:tc>
          <w:tcPr>
            <w:tcW w:w="9760" w:type="dxa"/>
            <w:vAlign w:val="bottom"/>
          </w:tcPr>
          <w:p>
            <w:pPr>
              <w:ind w:left="160"/>
              <w:spacing w:after="0"/>
              <w:rPr>
                <w:sz w:val="20"/>
                <w:szCs w:val="20"/>
                <w:color w:val="auto"/>
              </w:rPr>
            </w:pPr>
            <w:r>
              <w:rPr>
                <w:rFonts w:ascii="Arial" w:cs="Arial" w:eastAsia="Arial" w:hAnsi="Arial"/>
                <w:sz w:val="18"/>
                <w:szCs w:val="18"/>
                <w:color w:val="auto"/>
              </w:rPr>
              <w:t>Appointment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81</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9.2</w:t>
            </w:r>
          </w:p>
        </w:tc>
        <w:tc>
          <w:tcPr>
            <w:tcW w:w="9760" w:type="dxa"/>
            <w:vAlign w:val="bottom"/>
          </w:tcPr>
          <w:p>
            <w:pPr>
              <w:ind w:left="160"/>
              <w:spacing w:after="0"/>
              <w:rPr>
                <w:sz w:val="20"/>
                <w:szCs w:val="20"/>
                <w:color w:val="auto"/>
              </w:rPr>
            </w:pPr>
            <w:r>
              <w:rPr>
                <w:rFonts w:ascii="Arial" w:cs="Arial" w:eastAsia="Arial" w:hAnsi="Arial"/>
                <w:sz w:val="18"/>
                <w:szCs w:val="18"/>
                <w:color w:val="auto"/>
              </w:rPr>
              <w:t>Delegation of Duties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81</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9.3</w:t>
            </w:r>
          </w:p>
        </w:tc>
        <w:tc>
          <w:tcPr>
            <w:tcW w:w="9760" w:type="dxa"/>
            <w:vAlign w:val="bottom"/>
          </w:tcPr>
          <w:p>
            <w:pPr>
              <w:ind w:left="160"/>
              <w:spacing w:after="0"/>
              <w:rPr>
                <w:sz w:val="20"/>
                <w:szCs w:val="20"/>
                <w:color w:val="auto"/>
              </w:rPr>
            </w:pPr>
            <w:r>
              <w:rPr>
                <w:rFonts w:ascii="Arial" w:cs="Arial" w:eastAsia="Arial" w:hAnsi="Arial"/>
                <w:sz w:val="18"/>
                <w:szCs w:val="18"/>
                <w:color w:val="auto"/>
              </w:rPr>
              <w:t>Exculpatory Provisions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81</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9.4</w:t>
            </w:r>
          </w:p>
        </w:tc>
        <w:tc>
          <w:tcPr>
            <w:tcW w:w="9760" w:type="dxa"/>
            <w:vAlign w:val="bottom"/>
          </w:tcPr>
          <w:p>
            <w:pPr>
              <w:ind w:left="160"/>
              <w:spacing w:after="0"/>
              <w:rPr>
                <w:sz w:val="20"/>
                <w:szCs w:val="20"/>
                <w:color w:val="auto"/>
              </w:rPr>
            </w:pPr>
            <w:r>
              <w:rPr>
                <w:rFonts w:ascii="Arial" w:cs="Arial" w:eastAsia="Arial" w:hAnsi="Arial"/>
                <w:sz w:val="18"/>
                <w:szCs w:val="18"/>
                <w:color w:val="auto"/>
              </w:rPr>
              <w:t>Reliance by Administrative Agent and the Brazilian Administrative Agent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9.5</w:t>
            </w:r>
          </w:p>
        </w:tc>
        <w:tc>
          <w:tcPr>
            <w:tcW w:w="9760" w:type="dxa"/>
            <w:vAlign w:val="bottom"/>
          </w:tcPr>
          <w:p>
            <w:pPr>
              <w:ind w:left="160"/>
              <w:spacing w:after="0"/>
              <w:rPr>
                <w:sz w:val="20"/>
                <w:szCs w:val="20"/>
                <w:color w:val="auto"/>
              </w:rPr>
            </w:pPr>
            <w:r>
              <w:rPr>
                <w:rFonts w:ascii="Arial" w:cs="Arial" w:eastAsia="Arial" w:hAnsi="Arial"/>
                <w:sz w:val="18"/>
                <w:szCs w:val="18"/>
                <w:color w:val="auto"/>
              </w:rPr>
              <w:t>Notice of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9.6</w:t>
            </w:r>
          </w:p>
        </w:tc>
        <w:tc>
          <w:tcPr>
            <w:tcW w:w="9760" w:type="dxa"/>
            <w:vAlign w:val="bottom"/>
          </w:tcPr>
          <w:p>
            <w:pPr>
              <w:ind w:left="160"/>
              <w:spacing w:after="0"/>
              <w:rPr>
                <w:sz w:val="20"/>
                <w:szCs w:val="20"/>
                <w:color w:val="auto"/>
              </w:rPr>
            </w:pPr>
            <w:r>
              <w:rPr>
                <w:rFonts w:ascii="Arial" w:cs="Arial" w:eastAsia="Arial" w:hAnsi="Arial"/>
                <w:sz w:val="18"/>
                <w:szCs w:val="18"/>
                <w:color w:val="auto"/>
              </w:rPr>
              <w:t>Non-Reliance on Agents and Other Lenders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9.7</w:t>
            </w:r>
          </w:p>
        </w:tc>
        <w:tc>
          <w:tcPr>
            <w:tcW w:w="976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9.8</w:t>
            </w:r>
          </w:p>
        </w:tc>
        <w:tc>
          <w:tcPr>
            <w:tcW w:w="976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9.9</w:t>
            </w:r>
          </w:p>
        </w:tc>
        <w:tc>
          <w:tcPr>
            <w:tcW w:w="9760" w:type="dxa"/>
            <w:vAlign w:val="bottom"/>
          </w:tcPr>
          <w:p>
            <w:pPr>
              <w:ind w:left="160"/>
              <w:spacing w:after="0"/>
              <w:rPr>
                <w:sz w:val="20"/>
                <w:szCs w:val="20"/>
                <w:color w:val="auto"/>
              </w:rPr>
            </w:pPr>
            <w:r>
              <w:rPr>
                <w:rFonts w:ascii="Arial" w:cs="Arial" w:eastAsia="Arial" w:hAnsi="Arial"/>
                <w:sz w:val="18"/>
                <w:szCs w:val="18"/>
                <w:color w:val="auto"/>
              </w:rPr>
              <w:t>Successor Administrative Agent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20" w:type="dxa"/>
            <w:vAlign w:val="bottom"/>
          </w:tcPr>
          <w:p>
            <w:pPr>
              <w:ind w:left="340"/>
              <w:spacing w:after="0"/>
              <w:rPr>
                <w:sz w:val="20"/>
                <w:szCs w:val="20"/>
                <w:color w:val="auto"/>
              </w:rPr>
            </w:pPr>
            <w:r>
              <w:rPr>
                <w:rFonts w:ascii="Arial" w:cs="Arial" w:eastAsia="Arial" w:hAnsi="Arial"/>
                <w:sz w:val="18"/>
                <w:szCs w:val="18"/>
                <w:color w:val="auto"/>
              </w:rPr>
              <w:t>9.10</w:t>
            </w:r>
          </w:p>
        </w:tc>
        <w:tc>
          <w:tcPr>
            <w:tcW w:w="9760" w:type="dxa"/>
            <w:vAlign w:val="bottom"/>
          </w:tcPr>
          <w:p>
            <w:pPr>
              <w:ind w:left="160"/>
              <w:spacing w:after="0"/>
              <w:rPr>
                <w:sz w:val="20"/>
                <w:szCs w:val="20"/>
                <w:color w:val="auto"/>
              </w:rPr>
            </w:pPr>
            <w:r>
              <w:rPr>
                <w:rFonts w:ascii="Arial" w:cs="Arial" w:eastAsia="Arial" w:hAnsi="Arial"/>
                <w:sz w:val="18"/>
                <w:szCs w:val="18"/>
                <w:color w:val="auto"/>
              </w:rPr>
              <w:t>Replacement of Brazilian Administrative Agent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34"/>
        </w:trPr>
        <w:tc>
          <w:tcPr>
            <w:tcW w:w="820" w:type="dxa"/>
            <w:vAlign w:val="bottom"/>
            <w:vMerge w:val="restart"/>
          </w:tcPr>
          <w:p>
            <w:pPr>
              <w:ind w:left="340"/>
              <w:spacing w:after="0"/>
              <w:rPr>
                <w:sz w:val="20"/>
                <w:szCs w:val="20"/>
                <w:color w:val="auto"/>
              </w:rPr>
            </w:pPr>
            <w:r>
              <w:rPr>
                <w:rFonts w:ascii="Arial" w:cs="Arial" w:eastAsia="Arial" w:hAnsi="Arial"/>
                <w:sz w:val="18"/>
                <w:szCs w:val="18"/>
                <w:color w:val="auto"/>
              </w:rPr>
              <w:t>9.11</w:t>
            </w:r>
          </w:p>
        </w:tc>
        <w:tc>
          <w:tcPr>
            <w:tcW w:w="9760" w:type="dxa"/>
            <w:vAlign w:val="bottom"/>
            <w:vMerge w:val="restart"/>
          </w:tcPr>
          <w:p>
            <w:pPr>
              <w:ind w:left="160"/>
              <w:spacing w:after="0"/>
              <w:rPr>
                <w:sz w:val="20"/>
                <w:szCs w:val="20"/>
                <w:color w:val="auto"/>
              </w:rPr>
            </w:pPr>
            <w:r>
              <w:rPr>
                <w:rFonts w:ascii="Arial" w:cs="Arial" w:eastAsia="Arial" w:hAnsi="Arial"/>
                <w:sz w:val="18"/>
                <w:szCs w:val="18"/>
                <w:color w:val="auto"/>
              </w:rPr>
              <w:t>Bookrunners, Lead Arrangers, Global and Regional Coordinators, Documentation Agents,</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20" w:type="dxa"/>
            <w:vAlign w:val="bottom"/>
            <w:vMerge w:val="continue"/>
          </w:tcPr>
          <w:p>
            <w:pPr>
              <w:spacing w:after="0"/>
              <w:rPr>
                <w:sz w:val="23"/>
                <w:szCs w:val="23"/>
                <w:color w:val="auto"/>
              </w:rPr>
            </w:pPr>
          </w:p>
        </w:tc>
        <w:tc>
          <w:tcPr>
            <w:tcW w:w="97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9760" w:type="dxa"/>
            <w:vAlign w:val="bottom"/>
          </w:tcPr>
          <w:p>
            <w:pPr>
              <w:ind w:left="160"/>
              <w:spacing w:after="0" w:line="189" w:lineRule="exact"/>
              <w:rPr>
                <w:sz w:val="20"/>
                <w:szCs w:val="20"/>
                <w:color w:val="auto"/>
              </w:rPr>
            </w:pPr>
            <w:r>
              <w:rPr>
                <w:rFonts w:ascii="Arial" w:cs="Arial" w:eastAsia="Arial" w:hAnsi="Arial"/>
                <w:sz w:val="18"/>
                <w:szCs w:val="18"/>
                <w:color w:val="auto"/>
              </w:rPr>
              <w:t>Syndication Agent and Co-Syndication Agent</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FF0000"/>
                <w:strike w:val="1"/>
                <w:w w:val="79"/>
              </w:rPr>
              <w:t>80</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440" w:top="260"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89" w:name="page490"/>
    <w:bookmarkEnd w:id="489"/>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Arial" w:cs="Arial" w:eastAsia="Arial" w:hAnsi="Arial"/>
                <w:sz w:val="14"/>
                <w:szCs w:val="14"/>
                <w:b w:val="1"/>
                <w:bCs w:val="1"/>
                <w:color w:val="auto"/>
              </w:rPr>
              <w:t>Page</w:t>
            </w:r>
          </w:p>
        </w:tc>
      </w:tr>
      <w:tr>
        <w:trPr>
          <w:trHeight w:val="189"/>
        </w:trPr>
        <w:tc>
          <w:tcPr>
            <w:tcW w:w="640" w:type="dxa"/>
            <w:vAlign w:val="bottom"/>
            <w:gridSpan w:val="2"/>
          </w:tcPr>
          <w:p>
            <w:pPr>
              <w:ind w:left="340"/>
              <w:spacing w:after="0" w:line="189" w:lineRule="exact"/>
              <w:rPr>
                <w:sz w:val="20"/>
                <w:szCs w:val="20"/>
                <w:color w:val="auto"/>
              </w:rPr>
            </w:pPr>
            <w:r>
              <w:rPr>
                <w:rFonts w:ascii="Arial" w:cs="Arial" w:eastAsia="Arial" w:hAnsi="Arial"/>
                <w:sz w:val="18"/>
                <w:szCs w:val="18"/>
                <w:color w:val="auto"/>
                <w:w w:val="79"/>
              </w:rPr>
              <w:t>9.12</w:t>
            </w:r>
          </w:p>
        </w:tc>
        <w:tc>
          <w:tcPr>
            <w:tcW w:w="100" w:type="dxa"/>
            <w:vAlign w:val="bottom"/>
          </w:tcPr>
          <w:p>
            <w:pPr>
              <w:spacing w:after="0"/>
              <w:rPr>
                <w:sz w:val="16"/>
                <w:szCs w:val="16"/>
                <w:color w:val="auto"/>
              </w:rPr>
            </w:pPr>
          </w:p>
        </w:tc>
        <w:tc>
          <w:tcPr>
            <w:tcW w:w="9760" w:type="dxa"/>
            <w:vAlign w:val="bottom"/>
            <w:gridSpan w:val="12"/>
          </w:tcPr>
          <w:p>
            <w:pPr>
              <w:ind w:left="240"/>
              <w:spacing w:after="0" w:line="189" w:lineRule="exact"/>
              <w:rPr>
                <w:sz w:val="20"/>
                <w:szCs w:val="20"/>
                <w:color w:val="auto"/>
              </w:rPr>
            </w:pPr>
            <w:r>
              <w:rPr>
                <w:rFonts w:ascii="Arial" w:cs="Arial" w:eastAsia="Arial" w:hAnsi="Arial"/>
                <w:sz w:val="18"/>
                <w:szCs w:val="18"/>
                <w:color w:val="auto"/>
              </w:rPr>
              <w:t>Certain ERISA Matters</w:t>
            </w:r>
          </w:p>
        </w:tc>
        <w:tc>
          <w:tcPr>
            <w:tcW w:w="260" w:type="dxa"/>
            <w:vAlign w:val="bottom"/>
            <w:gridSpan w:val="2"/>
          </w:tcPr>
          <w:p>
            <w:pPr>
              <w:jc w:val="right"/>
              <w:spacing w:after="0" w:line="189" w:lineRule="exact"/>
              <w:rPr>
                <w:sz w:val="20"/>
                <w:szCs w:val="20"/>
                <w:color w:val="auto"/>
              </w:rPr>
            </w:pPr>
            <w:r>
              <w:rPr>
                <w:rFonts w:ascii="Arial" w:cs="Arial" w:eastAsia="Arial" w:hAnsi="Arial"/>
                <w:sz w:val="18"/>
                <w:szCs w:val="18"/>
                <w:color w:val="FF0000"/>
                <w:strike w:val="1"/>
              </w:rPr>
              <w:t>80</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85</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0000FF"/>
                <w:w w:val="79"/>
              </w:rPr>
              <w:t>9.</w:t>
            </w:r>
            <w:r>
              <w:rPr>
                <w:rFonts w:ascii="Arial" w:cs="Arial" w:eastAsia="Arial" w:hAnsi="Arial"/>
                <w:sz w:val="18"/>
                <w:szCs w:val="18"/>
                <w:u w:val="single" w:color="auto"/>
                <w:color w:val="0000FF"/>
                <w:w w:val="79"/>
              </w:rPr>
              <w:t>13</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0000FF"/>
              </w:rPr>
              <w:t>Acknowledgements of Lenders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FF"/>
              </w:rPr>
              <w:t>86</w:t>
            </w:r>
          </w:p>
        </w:tc>
      </w:tr>
      <w:tr>
        <w:trPr>
          <w:trHeight w:val="34"/>
        </w:trPr>
        <w:tc>
          <w:tcPr>
            <w:tcW w:w="340" w:type="dxa"/>
            <w:vAlign w:val="bottom"/>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2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r>
      <w:tr>
        <w:trPr>
          <w:trHeight w:val="357"/>
        </w:trPr>
        <w:tc>
          <w:tcPr>
            <w:tcW w:w="10500" w:type="dxa"/>
            <w:vAlign w:val="bottom"/>
            <w:gridSpan w:val="15"/>
          </w:tcPr>
          <w:p>
            <w:pPr>
              <w:spacing w:after="0"/>
              <w:rPr>
                <w:sz w:val="20"/>
                <w:szCs w:val="20"/>
                <w:color w:val="auto"/>
              </w:rPr>
            </w:pPr>
            <w:r>
              <w:rPr>
                <w:rFonts w:ascii="Arial" w:cs="Arial" w:eastAsia="Arial" w:hAnsi="Arial"/>
                <w:sz w:val="18"/>
                <w:szCs w:val="18"/>
                <w:color w:val="auto"/>
              </w:rPr>
              <w:t>SECTION 10. MISCELLANEOUS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82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10.1</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Amendments and Waivers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82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10.2</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Notices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85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90</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10.3</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No Waiver; Cumulative Remedies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88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93</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10.4</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Survival of Representations and Warranties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88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93</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Payment of Expenses</w:t>
            </w:r>
            <w:r>
              <w:rPr>
                <w:rFonts w:ascii="Arial" w:cs="Arial" w:eastAsia="Arial" w:hAnsi="Arial"/>
                <w:sz w:val="18"/>
                <w:szCs w:val="18"/>
                <w:color w:val="0000FF"/>
              </w:rPr>
              <w:t>; Limitation of Liability; Indemnity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88</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93</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10.6</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Successors and Assigns; Participations and Assignments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90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95</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10.7</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Adjustments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93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98</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10.8</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Counterparts</w:t>
            </w:r>
            <w:r>
              <w:rPr>
                <w:rFonts w:ascii="Arial" w:cs="Arial" w:eastAsia="Arial" w:hAnsi="Arial"/>
                <w:sz w:val="18"/>
                <w:szCs w:val="18"/>
                <w:color w:val="0000FF"/>
              </w:rPr>
              <w:t>; Electronic Execution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93</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99</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r>
      <w:tr>
        <w:trPr>
          <w:trHeight w:val="249"/>
        </w:trPr>
        <w:tc>
          <w:tcPr>
            <w:tcW w:w="640" w:type="dxa"/>
            <w:vAlign w:val="bottom"/>
            <w:gridSpan w:val="2"/>
          </w:tcPr>
          <w:p>
            <w:pPr>
              <w:ind w:left="340"/>
              <w:spacing w:after="0"/>
              <w:rPr>
                <w:sz w:val="20"/>
                <w:szCs w:val="20"/>
                <w:color w:val="auto"/>
              </w:rPr>
            </w:pPr>
            <w:r>
              <w:rPr>
                <w:rFonts w:ascii="Arial" w:cs="Arial" w:eastAsia="Arial" w:hAnsi="Arial"/>
                <w:sz w:val="18"/>
                <w:szCs w:val="18"/>
                <w:color w:val="auto"/>
                <w:w w:val="79"/>
              </w:rPr>
              <w:t>10.9</w:t>
            </w:r>
          </w:p>
        </w:tc>
        <w:tc>
          <w:tcPr>
            <w:tcW w:w="100" w:type="dxa"/>
            <w:vAlign w:val="bottom"/>
          </w:tcPr>
          <w:p>
            <w:pPr>
              <w:spacing w:after="0"/>
              <w:rPr>
                <w:sz w:val="21"/>
                <w:szCs w:val="21"/>
                <w:color w:val="auto"/>
              </w:rPr>
            </w:pP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Severability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93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99</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10.10</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Integration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93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99</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10.11</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GOVERNING LAW</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rPr>
              <w:t>94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99</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10.12</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Submission to Jurisdiction; Waivers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94</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100</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10.13</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Judgment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94</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100</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10.14</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Acknowledgments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95</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101</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10.15</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Releases of Guarantees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95</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101</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10.16</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Confidentiality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96</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102</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10.17</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WAIVERS OF JURY TRIAL</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96</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102</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10.18</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USA Patriot Act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96</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102</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10.19</w:t>
            </w:r>
          </w:p>
        </w:tc>
        <w:tc>
          <w:tcPr>
            <w:tcW w:w="9760" w:type="dxa"/>
            <w:vAlign w:val="bottom"/>
            <w:gridSpan w:val="12"/>
          </w:tcPr>
          <w:p>
            <w:pPr>
              <w:ind w:left="240"/>
              <w:spacing w:after="0"/>
              <w:rPr>
                <w:sz w:val="20"/>
                <w:szCs w:val="20"/>
                <w:color w:val="auto"/>
              </w:rPr>
            </w:pPr>
            <w:r>
              <w:rPr>
                <w:rFonts w:ascii="Arial" w:cs="Arial" w:eastAsia="Arial" w:hAnsi="Arial"/>
                <w:sz w:val="18"/>
                <w:szCs w:val="18"/>
                <w:color w:val="auto"/>
              </w:rPr>
              <w:t>No Novation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97</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103</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auto"/>
                <w:w w:val="84"/>
              </w:rPr>
              <w:t>10.20</w:t>
            </w:r>
          </w:p>
        </w:tc>
        <w:tc>
          <w:tcPr>
            <w:tcW w:w="3500" w:type="dxa"/>
            <w:vAlign w:val="bottom"/>
            <w:gridSpan w:val="6"/>
          </w:tcPr>
          <w:p>
            <w:pPr>
              <w:ind w:left="240"/>
              <w:spacing w:after="0"/>
              <w:rPr>
                <w:sz w:val="20"/>
                <w:szCs w:val="20"/>
                <w:color w:val="auto"/>
              </w:rPr>
            </w:pPr>
            <w:r>
              <w:rPr>
                <w:rFonts w:ascii="Arial" w:cs="Arial" w:eastAsia="Arial" w:hAnsi="Arial"/>
                <w:sz w:val="18"/>
                <w:szCs w:val="18"/>
                <w:color w:val="auto"/>
                <w:w w:val="92"/>
              </w:rPr>
              <w:t>Acknowledgement and Consent to Bail-In of</w:t>
            </w:r>
          </w:p>
        </w:tc>
        <w:tc>
          <w:tcPr>
            <w:tcW w:w="360" w:type="dxa"/>
            <w:vAlign w:val="bottom"/>
          </w:tcPr>
          <w:p>
            <w:pPr>
              <w:spacing w:after="0"/>
              <w:rPr>
                <w:sz w:val="20"/>
                <w:szCs w:val="20"/>
                <w:color w:val="auto"/>
              </w:rPr>
            </w:pPr>
            <w:r>
              <w:rPr>
                <w:rFonts w:ascii="Arial" w:cs="Arial" w:eastAsia="Arial" w:hAnsi="Arial"/>
                <w:sz w:val="18"/>
                <w:szCs w:val="18"/>
                <w:color w:val="FF0000"/>
                <w:strike w:val="1"/>
                <w:w w:val="94"/>
              </w:rPr>
              <w:t>EEA</w:t>
            </w:r>
          </w:p>
        </w:tc>
        <w:tc>
          <w:tcPr>
            <w:tcW w:w="5900" w:type="dxa"/>
            <w:vAlign w:val="bottom"/>
            <w:gridSpan w:val="5"/>
          </w:tcPr>
          <w:p>
            <w:pPr>
              <w:spacing w:after="0"/>
              <w:rPr>
                <w:sz w:val="20"/>
                <w:szCs w:val="20"/>
                <w:color w:val="auto"/>
              </w:rPr>
            </w:pPr>
            <w:r>
              <w:rPr>
                <w:rFonts w:ascii="Arial" w:cs="Arial" w:eastAsia="Arial" w:hAnsi="Arial"/>
                <w:sz w:val="18"/>
                <w:szCs w:val="18"/>
                <w:color w:val="0000FF"/>
              </w:rPr>
              <w:t xml:space="preserve">Affected </w:t>
            </w:r>
            <w:r>
              <w:rPr>
                <w:rFonts w:ascii="Arial" w:cs="Arial" w:eastAsia="Arial" w:hAnsi="Arial"/>
                <w:sz w:val="18"/>
                <w:szCs w:val="18"/>
                <w:color w:val="000000"/>
              </w:rPr>
              <w:t>Financial Institutions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97</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103</w:t>
            </w:r>
          </w:p>
        </w:tc>
      </w:tr>
      <w:tr>
        <w:trPr>
          <w:trHeight w:val="34"/>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r>
      <w:tr>
        <w:trPr>
          <w:trHeight w:val="249"/>
        </w:trPr>
        <w:tc>
          <w:tcPr>
            <w:tcW w:w="740" w:type="dxa"/>
            <w:vAlign w:val="bottom"/>
            <w:gridSpan w:val="3"/>
          </w:tcPr>
          <w:p>
            <w:pPr>
              <w:ind w:left="340"/>
              <w:spacing w:after="0"/>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p>
        </w:tc>
        <w:tc>
          <w:tcPr>
            <w:tcW w:w="9760" w:type="dxa"/>
            <w:vAlign w:val="bottom"/>
            <w:gridSpan w:val="12"/>
          </w:tcPr>
          <w:p>
            <w:pPr>
              <w:ind w:left="240"/>
              <w:spacing w:after="0"/>
              <w:rPr>
                <w:sz w:val="20"/>
                <w:szCs w:val="20"/>
                <w:color w:val="auto"/>
              </w:rPr>
            </w:pPr>
            <w:r>
              <w:rPr>
                <w:rFonts w:ascii="Arial" w:cs="Arial" w:eastAsia="Arial" w:hAnsi="Arial"/>
                <w:sz w:val="18"/>
                <w:szCs w:val="18"/>
                <w:color w:val="0000FF"/>
              </w:rPr>
              <w:t>Acknowledgement Regarding Any Supported QFCs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FF"/>
              </w:rPr>
              <w:t>103</w:t>
            </w:r>
          </w:p>
        </w:tc>
      </w:tr>
      <w:tr>
        <w:trPr>
          <w:trHeight w:val="34"/>
        </w:trPr>
        <w:tc>
          <w:tcPr>
            <w:tcW w:w="340" w:type="dxa"/>
            <w:vAlign w:val="bottom"/>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2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r>
    </w:tbl>
    <w:p>
      <w:pPr>
        <w:spacing w:after="0"/>
        <w:rPr>
          <w:sz w:val="20"/>
          <w:szCs w:val="20"/>
          <w:color w:val="auto"/>
        </w:rPr>
        <w:sectPr>
          <w:pgSz w:w="11900" w:h="16838" w:orient="portrait"/>
          <w:cols w:equalWidth="0" w:num="1">
            <w:col w:w="10940"/>
          </w:cols>
          <w:pgMar w:left="440" w:top="260"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90" w:name="page491"/>
    <w:bookmarkEnd w:id="490"/>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3"/>
              </w:rPr>
              <w:t>SCHEDULES:</w:t>
            </w:r>
          </w:p>
        </w:tc>
        <w:tc>
          <w:tcPr>
            <w:tcW w:w="5580" w:type="dxa"/>
            <w:vAlign w:val="bottom"/>
          </w:tcPr>
          <w:p>
            <w:pPr>
              <w:spacing w:after="0"/>
              <w:rPr>
                <w:sz w:val="19"/>
                <w:szCs w:val="19"/>
                <w:color w:val="auto"/>
              </w:rPr>
            </w:pPr>
          </w:p>
        </w:tc>
      </w:tr>
      <w:tr>
        <w:trPr>
          <w:trHeight w:val="417"/>
        </w:trPr>
        <w:tc>
          <w:tcPr>
            <w:tcW w:w="1100" w:type="dxa"/>
            <w:vAlign w:val="bottom"/>
          </w:tcPr>
          <w:p>
            <w:pPr>
              <w:spacing w:after="0"/>
              <w:rPr>
                <w:sz w:val="20"/>
                <w:szCs w:val="20"/>
                <w:color w:val="auto"/>
              </w:rPr>
            </w:pPr>
            <w:r>
              <w:rPr>
                <w:rFonts w:ascii="Arial" w:cs="Arial" w:eastAsia="Arial" w:hAnsi="Arial"/>
                <w:sz w:val="18"/>
                <w:szCs w:val="18"/>
                <w:color w:val="auto"/>
              </w:rPr>
              <w:t>1.1A</w:t>
            </w:r>
          </w:p>
        </w:tc>
        <w:tc>
          <w:tcPr>
            <w:tcW w:w="5580" w:type="dxa"/>
            <w:vAlign w:val="bottom"/>
          </w:tcPr>
          <w:p>
            <w:pPr>
              <w:ind w:left="20"/>
              <w:spacing w:after="0"/>
              <w:rPr>
                <w:sz w:val="20"/>
                <w:szCs w:val="20"/>
                <w:color w:val="auto"/>
              </w:rPr>
            </w:pPr>
            <w:r>
              <w:rPr>
                <w:rFonts w:ascii="Arial" w:cs="Arial" w:eastAsia="Arial" w:hAnsi="Arial"/>
                <w:sz w:val="18"/>
                <w:szCs w:val="18"/>
                <w:color w:val="auto"/>
                <w:w w:val="89"/>
              </w:rPr>
              <w:t>Commitments; Scheme Reference Number and Jurisdiction of Tax Residence</w:t>
            </w:r>
          </w:p>
        </w:tc>
      </w:tr>
      <w:tr>
        <w:trPr>
          <w:trHeight w:val="215"/>
        </w:trPr>
        <w:tc>
          <w:tcPr>
            <w:tcW w:w="1100" w:type="dxa"/>
            <w:vAlign w:val="bottom"/>
          </w:tcPr>
          <w:p>
            <w:pPr>
              <w:spacing w:after="0"/>
              <w:rPr>
                <w:sz w:val="20"/>
                <w:szCs w:val="20"/>
                <w:color w:val="auto"/>
              </w:rPr>
            </w:pPr>
            <w:r>
              <w:rPr>
                <w:rFonts w:ascii="Arial" w:cs="Arial" w:eastAsia="Arial" w:hAnsi="Arial"/>
                <w:sz w:val="18"/>
                <w:szCs w:val="18"/>
                <w:color w:val="auto"/>
              </w:rPr>
              <w:t>1.1B</w:t>
            </w:r>
          </w:p>
        </w:tc>
        <w:tc>
          <w:tcPr>
            <w:tcW w:w="5580" w:type="dxa"/>
            <w:vAlign w:val="bottom"/>
          </w:tcPr>
          <w:p>
            <w:pPr>
              <w:ind w:left="20"/>
              <w:spacing w:after="0"/>
              <w:rPr>
                <w:sz w:val="20"/>
                <w:szCs w:val="20"/>
                <w:color w:val="auto"/>
              </w:rPr>
            </w:pPr>
            <w:r>
              <w:rPr>
                <w:rFonts w:ascii="Arial" w:cs="Arial" w:eastAsia="Arial" w:hAnsi="Arial"/>
                <w:sz w:val="18"/>
                <w:szCs w:val="18"/>
                <w:color w:val="auto"/>
              </w:rPr>
              <w:t>Initial Excluded Subsidiaries</w:t>
            </w:r>
          </w:p>
        </w:tc>
      </w:tr>
      <w:tr>
        <w:trPr>
          <w:trHeight w:val="215"/>
        </w:trPr>
        <w:tc>
          <w:tcPr>
            <w:tcW w:w="1100" w:type="dxa"/>
            <w:vAlign w:val="bottom"/>
          </w:tcPr>
          <w:p>
            <w:pPr>
              <w:spacing w:after="0"/>
              <w:rPr>
                <w:sz w:val="20"/>
                <w:szCs w:val="20"/>
                <w:color w:val="auto"/>
              </w:rPr>
            </w:pPr>
            <w:r>
              <w:rPr>
                <w:rFonts w:ascii="Arial" w:cs="Arial" w:eastAsia="Arial" w:hAnsi="Arial"/>
                <w:sz w:val="18"/>
                <w:szCs w:val="18"/>
                <w:color w:val="auto"/>
              </w:rPr>
              <w:t>1.1C</w:t>
            </w:r>
          </w:p>
        </w:tc>
        <w:tc>
          <w:tcPr>
            <w:tcW w:w="5580" w:type="dxa"/>
            <w:vAlign w:val="bottom"/>
          </w:tcPr>
          <w:p>
            <w:pPr>
              <w:ind w:left="20"/>
              <w:spacing w:after="0"/>
              <w:rPr>
                <w:sz w:val="20"/>
                <w:szCs w:val="20"/>
                <w:color w:val="auto"/>
              </w:rPr>
            </w:pPr>
            <w:r>
              <w:rPr>
                <w:rFonts w:ascii="Arial" w:cs="Arial" w:eastAsia="Arial" w:hAnsi="Arial"/>
                <w:sz w:val="18"/>
                <w:szCs w:val="18"/>
                <w:color w:val="auto"/>
              </w:rPr>
              <w:t>Applicable Pricing Grid</w:t>
            </w:r>
          </w:p>
        </w:tc>
      </w:tr>
      <w:tr>
        <w:trPr>
          <w:trHeight w:val="215"/>
        </w:trPr>
        <w:tc>
          <w:tcPr>
            <w:tcW w:w="1100" w:type="dxa"/>
            <w:vAlign w:val="bottom"/>
          </w:tcPr>
          <w:p>
            <w:pPr>
              <w:spacing w:after="0"/>
              <w:rPr>
                <w:sz w:val="20"/>
                <w:szCs w:val="20"/>
                <w:color w:val="auto"/>
              </w:rPr>
            </w:pPr>
            <w:r>
              <w:rPr>
                <w:rFonts w:ascii="Arial" w:cs="Arial" w:eastAsia="Arial" w:hAnsi="Arial"/>
                <w:sz w:val="18"/>
                <w:szCs w:val="18"/>
                <w:color w:val="auto"/>
              </w:rPr>
              <w:t>1.1D</w:t>
            </w:r>
          </w:p>
        </w:tc>
        <w:tc>
          <w:tcPr>
            <w:tcW w:w="5580" w:type="dxa"/>
            <w:vAlign w:val="bottom"/>
          </w:tcPr>
          <w:p>
            <w:pPr>
              <w:ind w:left="20"/>
              <w:spacing w:after="0"/>
              <w:rPr>
                <w:sz w:val="20"/>
                <w:szCs w:val="20"/>
                <w:color w:val="auto"/>
              </w:rPr>
            </w:pPr>
            <w:r>
              <w:rPr>
                <w:rFonts w:ascii="Arial" w:cs="Arial" w:eastAsia="Arial" w:hAnsi="Arial"/>
                <w:sz w:val="18"/>
                <w:szCs w:val="18"/>
                <w:color w:val="auto"/>
              </w:rPr>
              <w:t>Existing Liens</w:t>
            </w:r>
          </w:p>
        </w:tc>
      </w:tr>
      <w:tr>
        <w:trPr>
          <w:trHeight w:val="215"/>
        </w:trPr>
        <w:tc>
          <w:tcPr>
            <w:tcW w:w="1100" w:type="dxa"/>
            <w:vAlign w:val="bottom"/>
          </w:tcPr>
          <w:p>
            <w:pPr>
              <w:spacing w:after="0"/>
              <w:rPr>
                <w:sz w:val="20"/>
                <w:szCs w:val="20"/>
                <w:color w:val="auto"/>
              </w:rPr>
            </w:pPr>
            <w:r>
              <w:rPr>
                <w:rFonts w:ascii="Arial" w:cs="Arial" w:eastAsia="Arial" w:hAnsi="Arial"/>
                <w:sz w:val="18"/>
                <w:szCs w:val="18"/>
                <w:color w:val="auto"/>
              </w:rPr>
              <w:t>1.1E</w:t>
            </w:r>
          </w:p>
        </w:tc>
        <w:tc>
          <w:tcPr>
            <w:tcW w:w="5580" w:type="dxa"/>
            <w:vAlign w:val="bottom"/>
          </w:tcPr>
          <w:p>
            <w:pPr>
              <w:ind w:left="20"/>
              <w:spacing w:after="0"/>
              <w:rPr>
                <w:sz w:val="20"/>
                <w:szCs w:val="20"/>
                <w:color w:val="auto"/>
              </w:rPr>
            </w:pPr>
            <w:r>
              <w:rPr>
                <w:rFonts w:ascii="Arial" w:cs="Arial" w:eastAsia="Arial" w:hAnsi="Arial"/>
                <w:sz w:val="18"/>
                <w:szCs w:val="18"/>
                <w:color w:val="auto"/>
              </w:rPr>
              <w:t>Excluded Subsidiary Businesses</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4.6</w:t>
            </w:r>
          </w:p>
        </w:tc>
        <w:tc>
          <w:tcPr>
            <w:tcW w:w="5580" w:type="dxa"/>
            <w:vAlign w:val="bottom"/>
          </w:tcPr>
          <w:p>
            <w:pPr>
              <w:ind w:left="20"/>
              <w:spacing w:after="0"/>
              <w:rPr>
                <w:sz w:val="20"/>
                <w:szCs w:val="20"/>
                <w:color w:val="auto"/>
              </w:rPr>
            </w:pPr>
            <w:r>
              <w:rPr>
                <w:rFonts w:ascii="Arial" w:cs="Arial" w:eastAsia="Arial" w:hAnsi="Arial"/>
                <w:sz w:val="18"/>
                <w:szCs w:val="18"/>
                <w:color w:val="auto"/>
              </w:rPr>
              <w:t>Litigation</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224" w:lineRule="exact"/>
        <w:rPr>
          <w:sz w:val="20"/>
          <w:szCs w:val="20"/>
          <w:color w:val="auto"/>
        </w:rPr>
      </w:pPr>
    </w:p>
    <w:p>
      <w:pPr>
        <w:ind w:left="1120" w:hanging="1111"/>
        <w:spacing w:after="0"/>
        <w:tabs>
          <w:tab w:leader="none" w:pos="11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left="1120" w:hanging="1111"/>
        <w:spacing w:after="0"/>
        <w:tabs>
          <w:tab w:leader="none" w:pos="11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ind w:left="1120" w:hanging="1111"/>
        <w:spacing w:after="0"/>
        <w:tabs>
          <w:tab w:leader="none" w:pos="11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ind w:left="1120" w:hanging="1111"/>
        <w:spacing w:after="0"/>
        <w:tabs>
          <w:tab w:leader="none" w:pos="11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ind w:left="1120" w:hanging="1111"/>
        <w:spacing w:after="0"/>
        <w:tabs>
          <w:tab w:leader="none" w:pos="11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Form of Incremental Loan Activation Notice</w:t>
      </w:r>
    </w:p>
    <w:p>
      <w:pPr>
        <w:spacing w:after="0" w:line="9" w:lineRule="exact"/>
        <w:rPr>
          <w:sz w:val="20"/>
          <w:szCs w:val="20"/>
          <w:color w:val="auto"/>
        </w:rPr>
      </w:pPr>
    </w:p>
    <w:p>
      <w:pPr>
        <w:ind w:left="1120" w:hanging="1111"/>
        <w:spacing w:after="0"/>
        <w:tabs>
          <w:tab w:leader="none" w:pos="11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left="1120" w:hanging="1111"/>
        <w:spacing w:after="0"/>
        <w:tabs>
          <w:tab w:leader="none" w:pos="11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1120" w:hanging="1111"/>
        <w:spacing w:after="0"/>
        <w:tabs>
          <w:tab w:leader="none" w:pos="11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Form of Borrower Joinder Agreement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I-1</w:t>
            </w:r>
          </w:p>
        </w:tc>
        <w:tc>
          <w:tcPr>
            <w:tcW w:w="5780" w:type="dxa"/>
            <w:vAlign w:val="bottom"/>
          </w:tcPr>
          <w:p>
            <w:pPr>
              <w:ind w:left="460"/>
              <w:spacing w:after="0"/>
              <w:rPr>
                <w:sz w:val="20"/>
                <w:szCs w:val="20"/>
                <w:color w:val="auto"/>
              </w:rPr>
            </w:pPr>
            <w:r>
              <w:rPr>
                <w:rFonts w:ascii="Arial" w:cs="Arial" w:eastAsia="Arial" w:hAnsi="Arial"/>
                <w:sz w:val="18"/>
                <w:szCs w:val="18"/>
                <w:color w:val="auto"/>
                <w:w w:val="96"/>
              </w:rPr>
              <w:t>Form of Exemption Certificate for Non-Partnership Non-U.S. Lenders</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I-2</w:t>
            </w:r>
          </w:p>
        </w:tc>
        <w:tc>
          <w:tcPr>
            <w:tcW w:w="5780" w:type="dxa"/>
            <w:vAlign w:val="bottom"/>
          </w:tcPr>
          <w:p>
            <w:pPr>
              <w:ind w:left="460"/>
              <w:spacing w:after="0"/>
              <w:rPr>
                <w:sz w:val="20"/>
                <w:szCs w:val="20"/>
                <w:color w:val="auto"/>
              </w:rPr>
            </w:pPr>
            <w:r>
              <w:rPr>
                <w:rFonts w:ascii="Arial" w:cs="Arial" w:eastAsia="Arial" w:hAnsi="Arial"/>
                <w:sz w:val="18"/>
                <w:szCs w:val="18"/>
                <w:color w:val="auto"/>
              </w:rPr>
              <w:t>Form of Exemption Certificate for Partnership Non-U.S. Lenders</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I-3</w:t>
            </w:r>
          </w:p>
        </w:tc>
        <w:tc>
          <w:tcPr>
            <w:tcW w:w="5780" w:type="dxa"/>
            <w:vAlign w:val="bottom"/>
          </w:tcPr>
          <w:p>
            <w:pPr>
              <w:ind w:left="460"/>
              <w:spacing w:after="0"/>
              <w:rPr>
                <w:sz w:val="20"/>
                <w:szCs w:val="20"/>
                <w:color w:val="auto"/>
              </w:rPr>
            </w:pPr>
            <w:r>
              <w:rPr>
                <w:rFonts w:ascii="Arial" w:cs="Arial" w:eastAsia="Arial" w:hAnsi="Arial"/>
                <w:sz w:val="18"/>
                <w:szCs w:val="18"/>
                <w:color w:val="auto"/>
                <w:w w:val="91"/>
              </w:rPr>
              <w:t>Form of Exemption Certificate for Non-Partnership Non-U.S. Participants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I-4</w:t>
            </w:r>
          </w:p>
        </w:tc>
        <w:tc>
          <w:tcPr>
            <w:tcW w:w="5780" w:type="dxa"/>
            <w:vAlign w:val="bottom"/>
          </w:tcPr>
          <w:p>
            <w:pPr>
              <w:ind w:left="460"/>
              <w:spacing w:after="0"/>
              <w:rPr>
                <w:sz w:val="20"/>
                <w:szCs w:val="20"/>
                <w:color w:val="auto"/>
              </w:rPr>
            </w:pPr>
            <w:r>
              <w:rPr>
                <w:rFonts w:ascii="Arial" w:cs="Arial" w:eastAsia="Arial" w:hAnsi="Arial"/>
                <w:sz w:val="18"/>
                <w:szCs w:val="18"/>
                <w:color w:val="auto"/>
                <w:w w:val="98"/>
              </w:rPr>
              <w:t>Form of Exemption Certificate for Partnership Non-U.S. Participants</w:t>
            </w:r>
          </w:p>
        </w:tc>
      </w:tr>
    </w:tbl>
    <w:p>
      <w:pPr>
        <w:ind w:left="1120" w:hanging="1111"/>
        <w:spacing w:after="0"/>
        <w:tabs>
          <w:tab w:leader="none" w:pos="11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1120" w:hanging="1111"/>
        <w:spacing w:after="0"/>
        <w:tabs>
          <w:tab w:leader="none" w:pos="11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1120" w:hanging="1111"/>
        <w:spacing w:after="0"/>
        <w:tabs>
          <w:tab w:leader="none" w:pos="11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Form of Borrowing Request</w:t>
      </w:r>
    </w:p>
    <w:p>
      <w:pPr>
        <w:sectPr>
          <w:pgSz w:w="11900" w:h="16838" w:orient="portrait"/>
          <w:cols w:equalWidth="0" w:num="1">
            <w:col w:w="10019"/>
          </w:cols>
          <w:pgMar w:left="440" w:top="273" w:right="1440" w:bottom="1440" w:gutter="0" w:footer="0" w:header="0"/>
        </w:sectPr>
      </w:pPr>
    </w:p>
    <w:bookmarkStart w:id="491" w:name="page492"/>
    <w:bookmarkEnd w:id="491"/>
    <w:p>
      <w:pPr>
        <w:ind w:right="60" w:firstLine="439"/>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AMENDED AND RESTATED FIVE YEAR REVOLVING CREDIT AGREEMENT, dated as of April 18, 2018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xml:space="preserve">”), </w:t>
      </w:r>
      <w:r>
        <w:rPr>
          <w:rFonts w:ascii="Arial" w:cs="Arial" w:eastAsia="Arial" w:hAnsi="Arial"/>
          <w:sz w:val="16"/>
          <w:szCs w:val="16"/>
          <w:color w:val="008000"/>
          <w:strike w:val="1"/>
        </w:rPr>
        <w:t>GM Global Treasury Centre Limited, a private limited company incorporated under the laws of England and Wales</w:t>
      </w:r>
      <w:r>
        <w:rPr>
          <w:rFonts w:ascii="Arial" w:cs="Arial" w:eastAsia="Arial" w:hAnsi="Arial"/>
          <w:sz w:val="16"/>
          <w:szCs w:val="16"/>
          <w:color w:val="auto"/>
        </w:rPr>
        <w:t xml:space="preserve"> </w:t>
      </w:r>
      <w:r>
        <w:rPr>
          <w:rFonts w:ascii="Arial" w:cs="Arial" w:eastAsia="Arial" w:hAnsi="Arial"/>
          <w:sz w:val="16"/>
          <w:szCs w:val="16"/>
          <w:color w:val="FF0000"/>
          <w:strike w:val="1"/>
        </w:rPr>
        <w:t>(“GMGTC”),</w:t>
      </w:r>
      <w:r>
        <w:rPr>
          <w:rFonts w:ascii="Arial" w:cs="Arial" w:eastAsia="Arial" w:hAnsi="Arial"/>
          <w:sz w:val="16"/>
          <w:szCs w:val="16"/>
          <w:color w:val="auto"/>
        </w:rPr>
        <w:t xml:space="preserve"> General Motors do Brasil Ltda., a Brazilian limited liability company (“</w:t>
      </w:r>
      <w:r>
        <w:rPr>
          <w:rFonts w:ascii="Arial" w:cs="Arial" w:eastAsia="Arial" w:hAnsi="Arial"/>
          <w:sz w:val="16"/>
          <w:szCs w:val="16"/>
          <w:u w:val="single" w:color="auto"/>
          <w:color w:val="auto"/>
        </w:rPr>
        <w:t>GMB</w:t>
      </w:r>
      <w:r>
        <w:rPr>
          <w:rFonts w:ascii="Arial" w:cs="Arial" w:eastAsia="Arial" w:hAnsi="Arial"/>
          <w:sz w:val="16"/>
          <w:szCs w:val="16"/>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(and any of its branches and affiliates acting on its behalf in such capacity),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(and any of its branches and affiliates acting on its behalf in such capacity), as administrative agent for the Brazilian Lenders (in such capacity, the “</w:t>
      </w:r>
      <w:r>
        <w:rPr>
          <w:rFonts w:ascii="Arial" w:cs="Arial" w:eastAsia="Arial" w:hAnsi="Arial"/>
          <w:sz w:val="16"/>
          <w:szCs w:val="16"/>
          <w:u w:val="single" w:color="auto"/>
          <w:color w:val="auto"/>
        </w:rPr>
        <w:t>Brazilian Administrative Agent</w:t>
      </w:r>
      <w:r>
        <w:rPr>
          <w:rFonts w:ascii="Arial" w:cs="Arial" w:eastAsia="Arial" w:hAnsi="Arial"/>
          <w:sz w:val="16"/>
          <w:szCs w:val="16"/>
          <w:color w:val="auto"/>
        </w:rPr>
        <w: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w:t>
      </w:r>
    </w:p>
    <w:p>
      <w:pPr>
        <w:spacing w:after="0" w:line="168" w:lineRule="exact"/>
        <w:rPr>
          <w:sz w:val="20"/>
          <w:szCs w:val="20"/>
          <w:color w:val="auto"/>
        </w:rPr>
      </w:pPr>
    </w:p>
    <w:p>
      <w:pPr>
        <w:ind w:right="40" w:firstLine="439"/>
        <w:spacing w:after="0" w:line="258" w:lineRule="auto"/>
        <w:rPr>
          <w:sz w:val="20"/>
          <w:szCs w:val="20"/>
          <w:color w:val="auto"/>
        </w:rPr>
      </w:pPr>
      <w:r>
        <w:rPr>
          <w:rFonts w:ascii="Arial" w:cs="Arial" w:eastAsia="Arial" w:hAnsi="Arial"/>
          <w:sz w:val="18"/>
          <w:szCs w:val="18"/>
          <w:color w:val="auto"/>
        </w:rPr>
        <w:t>WHEREAS, the Company entered into that certain Second Amended and Restated Five Year Revolving Credit Agreement, dated as of May 26, 2016 (the “</w:t>
      </w:r>
      <w:r>
        <w:rPr>
          <w:rFonts w:ascii="Arial" w:cs="Arial" w:eastAsia="Arial" w:hAnsi="Arial"/>
          <w:sz w:val="18"/>
          <w:szCs w:val="18"/>
          <w:u w:val="single" w:color="auto"/>
          <w:color w:val="auto"/>
        </w:rPr>
        <w:t>Existing Five Year Credit Agreement</w:t>
      </w:r>
      <w:r>
        <w:rPr>
          <w:rFonts w:ascii="Arial" w:cs="Arial" w:eastAsia="Arial" w:hAnsi="Arial"/>
          <w:sz w:val="18"/>
          <w:szCs w:val="18"/>
          <w:color w:val="auto"/>
        </w:rPr>
        <w:t>”), with GMF,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7" w:lineRule="exact"/>
        <w:rPr>
          <w:sz w:val="20"/>
          <w:szCs w:val="20"/>
          <w:color w:val="auto"/>
        </w:rPr>
      </w:pPr>
    </w:p>
    <w:p>
      <w:pPr>
        <w:ind w:right="660" w:firstLine="439"/>
        <w:spacing w:after="0" w:line="341" w:lineRule="auto"/>
        <w:rPr>
          <w:sz w:val="20"/>
          <w:szCs w:val="20"/>
          <w:color w:val="auto"/>
        </w:rPr>
      </w:pPr>
      <w:r>
        <w:rPr>
          <w:rFonts w:ascii="Arial" w:cs="Arial" w:eastAsia="Arial" w:hAnsi="Arial"/>
          <w:sz w:val="16"/>
          <w:szCs w:val="16"/>
          <w:color w:val="auto"/>
        </w:rPr>
        <w:t>WHEREAS, the parties have agreed to amend and restate the Existing Five Year Credit Agreement as provided in this Agreement, which Agreement shall become effective upon the satisfaction (or waiver pursuant to Section 10.1) of the conditions set forth in Section 5.1;</w:t>
      </w:r>
    </w:p>
    <w:p>
      <w:pPr>
        <w:spacing w:after="0" w:line="124" w:lineRule="exact"/>
        <w:rPr>
          <w:sz w:val="20"/>
          <w:szCs w:val="20"/>
          <w:color w:val="auto"/>
        </w:rPr>
      </w:pPr>
    </w:p>
    <w:p>
      <w:pPr>
        <w:ind w:right="160" w:firstLine="439"/>
        <w:spacing w:after="0" w:line="341"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Five Year Credit Agreement shall be amended and restated in its entirety as follows:</w:t>
      </w:r>
    </w:p>
    <w:p>
      <w:pPr>
        <w:spacing w:after="0" w:line="22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u w:val="single" w:color="auto"/>
          <w:color w:val="auto"/>
        </w:rPr>
        <w:t>SECTION 1.</w:t>
        <w:tab/>
        <w:t>DEFINITIONS</w:t>
      </w:r>
    </w:p>
    <w:p>
      <w:pPr>
        <w:spacing w:after="0" w:line="120" w:lineRule="exact"/>
        <w:rPr>
          <w:sz w:val="20"/>
          <w:szCs w:val="20"/>
          <w:color w:val="auto"/>
        </w:rPr>
      </w:pPr>
    </w:p>
    <w:p>
      <w:pPr>
        <w:ind w:right="860" w:firstLine="439"/>
        <w:spacing w:after="0" w:line="276" w:lineRule="auto"/>
        <w:rPr>
          <w:sz w:val="20"/>
          <w:szCs w:val="20"/>
          <w:color w:val="auto"/>
        </w:rPr>
      </w:pPr>
      <w:r>
        <w:rPr>
          <w:rFonts w:ascii="Arial" w:cs="Arial" w:eastAsia="Arial" w:hAnsi="Arial"/>
          <w:sz w:val="18"/>
          <w:szCs w:val="18"/>
          <w:color w:val="auto"/>
        </w:rPr>
        <w:t>1.1 Defined Terms. As used in this Agreement, the terms listed in this Section 1.1 shall have the respective meanings set forth in this Section 1.1.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10-K</w:t>
      </w:r>
      <w:r>
        <w:rPr>
          <w:rFonts w:ascii="Arial" w:cs="Arial" w:eastAsia="Arial" w:hAnsi="Arial"/>
          <w:sz w:val="18"/>
          <w:szCs w:val="18"/>
          <w:color w:val="auto"/>
        </w:rPr>
        <w:t>” has the meaning assigned to such term in Section 4.1.</w:t>
      </w:r>
    </w:p>
    <w:p>
      <w:pPr>
        <w:spacing w:after="0" w:line="224" w:lineRule="exact"/>
        <w:rPr>
          <w:sz w:val="20"/>
          <w:szCs w:val="20"/>
          <w:color w:val="auto"/>
        </w:rPr>
      </w:pPr>
    </w:p>
    <w:p>
      <w:pPr>
        <w:ind w:right="400" w:firstLine="439"/>
        <w:spacing w:after="0" w:line="276" w:lineRule="auto"/>
        <w:rPr>
          <w:sz w:val="20"/>
          <w:szCs w:val="20"/>
          <w:color w:val="auto"/>
        </w:rPr>
      </w:pPr>
      <w:r>
        <w:rPr>
          <w:rFonts w:ascii="Arial" w:cs="Arial" w:eastAsia="Arial" w:hAnsi="Arial"/>
          <w:sz w:val="18"/>
          <w:szCs w:val="18"/>
          <w:u w:val="single" w:color="auto"/>
          <w:color w:val="0000FF"/>
        </w:rPr>
        <w:t>“2021 Extending Lender” means an “Extending and Consenting Lender”, as such term is defined in the First Amendment, and any permitted assignee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64141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76962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50" w:lineRule="exact"/>
        <w:rPr>
          <w:sz w:val="20"/>
          <w:szCs w:val="20"/>
          <w:color w:val="auto"/>
        </w:rPr>
      </w:pPr>
    </w:p>
    <w:p>
      <w:pPr>
        <w:ind w:right="300" w:firstLine="439"/>
        <w:spacing w:after="0" w:line="311" w:lineRule="auto"/>
        <w:rPr>
          <w:sz w:val="20"/>
          <w:szCs w:val="20"/>
          <w:color w:val="auto"/>
        </w:rPr>
      </w:pPr>
      <w:r>
        <w:rPr>
          <w:rFonts w:ascii="Arial" w:cs="Arial" w:eastAsia="Arial" w:hAnsi="Arial"/>
          <w:sz w:val="16"/>
          <w:szCs w:val="16"/>
          <w:u w:val="single" w:color="auto"/>
          <w:color w:val="0000FF"/>
        </w:rPr>
        <w:t xml:space="preserve">“2021 Non-Extending Lender” means any </w:t>
      </w:r>
      <w:r>
        <w:rPr>
          <w:rFonts w:ascii="Arial" w:cs="Arial" w:eastAsia="Arial" w:hAnsi="Arial"/>
          <w:sz w:val="16"/>
          <w:szCs w:val="16"/>
          <w:u w:val="single" w:color="auto"/>
          <w:color w:val="008000"/>
        </w:rPr>
        <w:t>Lender that is not a</w:t>
      </w:r>
      <w:r>
        <w:rPr>
          <w:rFonts w:ascii="Arial" w:cs="Arial" w:eastAsia="Arial" w:hAnsi="Arial"/>
          <w:sz w:val="16"/>
          <w:szCs w:val="16"/>
          <w:u w:val="single" w:color="auto"/>
          <w:color w:val="0000FF"/>
        </w:rPr>
        <w:t xml:space="preserve"> 2021 Extending Lender or a permitted assignee thereof; provided that any 2021 Extending Lender with Commitments that do not constitute Extended Commitments (as defined in the First Amendment) shall be deemed a 2021 Non-Extending Lender with respect to the portion of its Commitments that are not Extended Commitments (as defined in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-299085</wp:posOffset>
            </wp:positionV>
            <wp:extent cx="648271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4827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-161925</wp:posOffset>
            </wp:positionV>
            <wp:extent cx="662813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6281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-25400</wp:posOffset>
            </wp:positionV>
            <wp:extent cx="660209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602095" cy="8255"/>
                    </a:xfrm>
                    <a:prstGeom prst="rect">
                      <a:avLst/>
                    </a:prstGeom>
                    <a:noFill/>
                  </pic:spPr>
                </pic:pic>
              </a:graphicData>
            </a:graphic>
          </wp:anchor>
        </w:drawing>
      </w:r>
    </w:p>
    <w:p>
      <w:pPr>
        <w:spacing w:after="0" w:line="127" w:lineRule="exact"/>
        <w:rPr>
          <w:sz w:val="20"/>
          <w:szCs w:val="20"/>
          <w:color w:val="auto"/>
        </w:rPr>
      </w:pPr>
    </w:p>
    <w:p>
      <w:pPr>
        <w:ind w:firstLine="43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Revolving Credit Agreement</w:t>
      </w:r>
      <w:r>
        <w:rPr>
          <w:rFonts w:ascii="Arial" w:cs="Arial" w:eastAsia="Arial" w:hAnsi="Arial"/>
          <w:sz w:val="16"/>
          <w:szCs w:val="16"/>
          <w:color w:val="auto"/>
        </w:rPr>
        <w:t xml:space="preserve">” means (i) that certain </w:t>
      </w:r>
      <w:r>
        <w:rPr>
          <w:rFonts w:ascii="Arial" w:cs="Arial" w:eastAsia="Arial" w:hAnsi="Arial"/>
          <w:sz w:val="16"/>
          <w:szCs w:val="16"/>
          <w:color w:val="FF0000"/>
          <w:strike w:val="1"/>
        </w:rPr>
        <w:t>Third</w:t>
      </w:r>
      <w:r>
        <w:rPr>
          <w:rFonts w:ascii="Arial" w:cs="Arial" w:eastAsia="Arial" w:hAnsi="Arial"/>
          <w:sz w:val="16"/>
          <w:szCs w:val="16"/>
          <w:u w:val="single" w:color="auto"/>
          <w:color w:val="0000FF"/>
        </w:rPr>
        <w:t>Fourth</w:t>
      </w:r>
      <w:r>
        <w:rPr>
          <w:rFonts w:ascii="Arial" w:cs="Arial" w:eastAsia="Arial" w:hAnsi="Arial"/>
          <w:sz w:val="16"/>
          <w:szCs w:val="16"/>
          <w:color w:val="auto"/>
        </w:rPr>
        <w:t xml:space="preserve"> Amended and Restated Three Year Revolving Credit Agreement, dated as of </w:t>
      </w:r>
      <w:r>
        <w:rPr>
          <w:rFonts w:ascii="Arial" w:cs="Arial" w:eastAsia="Arial" w:hAnsi="Arial"/>
          <w:sz w:val="16"/>
          <w:szCs w:val="16"/>
          <w:color w:val="FF0000"/>
          <w:strike w:val="1"/>
        </w:rPr>
        <w:t>the date hereof</w:t>
      </w:r>
      <w:r>
        <w:rPr>
          <w:rFonts w:ascii="Arial" w:cs="Arial" w:eastAsia="Arial" w:hAnsi="Arial"/>
          <w:sz w:val="16"/>
          <w:szCs w:val="16"/>
          <w:u w:val="single" w:color="auto"/>
          <w:color w:val="0000FF"/>
        </w:rPr>
        <w:t>April 7, 2021</w:t>
      </w:r>
      <w:r>
        <w:rPr>
          <w:rFonts w:ascii="Arial" w:cs="Arial" w:eastAsia="Arial" w:hAnsi="Arial"/>
          <w:sz w:val="16"/>
          <w:szCs w:val="16"/>
          <w:color w:val="auto"/>
        </w:rPr>
        <w:t>, among the Company, GMF</w:t>
      </w:r>
      <w:r>
        <w:rPr>
          <w:rFonts w:ascii="Arial" w:cs="Arial" w:eastAsia="Arial" w:hAnsi="Arial"/>
          <w:sz w:val="16"/>
          <w:szCs w:val="16"/>
          <w:color w:val="FF0000"/>
          <w:strike w:val="1"/>
        </w:rPr>
        <w:t>, GMGTC, GMB</w:t>
      </w:r>
      <w:r>
        <w:rPr>
          <w:rFonts w:ascii="Arial" w:cs="Arial" w:eastAsia="Arial" w:hAnsi="Arial"/>
          <w:sz w:val="16"/>
          <w:szCs w:val="16"/>
          <w:color w:val="auto"/>
        </w:rPr>
        <w:t>,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-565150</wp:posOffset>
            </wp:positionV>
            <wp:extent cx="30797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-428625</wp:posOffset>
            </wp:positionV>
            <wp:extent cx="6070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07060" cy="8255"/>
                    </a:xfrm>
                    <a:prstGeom prst="rect">
                      <a:avLst/>
                    </a:prstGeom>
                    <a:noFill/>
                  </pic:spPr>
                </pic:pic>
              </a:graphicData>
            </a:graphic>
          </wp:anchor>
        </w:drawing>
      </w:r>
    </w:p>
    <w:p>
      <w:pPr>
        <w:sectPr>
          <w:pgSz w:w="11900" w:h="16838" w:orient="portrait"/>
          <w:cols w:equalWidth="0" w:num="1">
            <w:col w:w="10960"/>
          </w:cols>
          <w:pgMar w:left="440" w:top="273" w:right="499" w:bottom="1440" w:gutter="0" w:footer="0" w:header="0"/>
        </w:sectPr>
      </w:pPr>
    </w:p>
    <w:bookmarkStart w:id="492" w:name="page493"/>
    <w:bookmarkEnd w:id="492"/>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w:t>
      </w:r>
      <w:r>
        <w:rPr>
          <w:rFonts w:ascii="Arial" w:cs="Arial" w:eastAsia="Arial" w:hAnsi="Arial"/>
          <w:sz w:val="18"/>
          <w:szCs w:val="18"/>
          <w:color w:val="FF0000"/>
          <w:strike w:val="1"/>
        </w:rPr>
        <w:t>Third</w:t>
      </w:r>
      <w:r>
        <w:rPr>
          <w:rFonts w:ascii="Arial" w:cs="Arial" w:eastAsia="Arial" w:hAnsi="Arial"/>
          <w:sz w:val="18"/>
          <w:szCs w:val="18"/>
          <w:u w:val="single" w:color="auto"/>
          <w:color w:val="0000FF"/>
        </w:rPr>
        <w:t>Fourth</w:t>
      </w:r>
      <w:r>
        <w:rPr>
          <w:rFonts w:ascii="Arial" w:cs="Arial" w:eastAsia="Arial" w:hAnsi="Arial"/>
          <w:sz w:val="18"/>
          <w:szCs w:val="18"/>
          <w:color w:val="FF0000"/>
        </w:rPr>
        <w:t xml:space="preserve"> </w:t>
      </w:r>
      <w:r>
        <w:rPr>
          <w:rFonts w:ascii="Arial" w:cs="Arial" w:eastAsia="Arial" w:hAnsi="Arial"/>
          <w:sz w:val="18"/>
          <w:szCs w:val="18"/>
          <w:color w:val="000000"/>
        </w:rPr>
        <w:t>Amended and Restated Three Year Revolving Credit Agreement referred to in clause (i) above or any other agreement or instrument</w:t>
      </w:r>
      <w:r>
        <w:rPr>
          <w:rFonts w:ascii="Arial" w:cs="Arial" w:eastAsia="Arial" w:hAnsi="Arial"/>
          <w:sz w:val="18"/>
          <w:szCs w:val="18"/>
          <w:color w:val="FF0000"/>
        </w:rPr>
        <w:t xml:space="preserve"> </w:t>
      </w:r>
      <w:r>
        <w:rPr>
          <w:rFonts w:ascii="Arial" w:cs="Arial" w:eastAsia="Arial" w:hAnsi="Arial"/>
          <w:sz w:val="18"/>
          <w:szCs w:val="18"/>
          <w:color w:val="000000"/>
        </w:rPr>
        <w:t>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-408940</wp:posOffset>
            </wp:positionV>
            <wp:extent cx="29908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169"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ind w:right="40" w:firstLine="43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Commitments</w:t>
      </w:r>
      <w:r>
        <w:rPr>
          <w:rFonts w:ascii="Arial" w:cs="Arial" w:eastAsia="Arial" w:hAnsi="Arial"/>
          <w:sz w:val="16"/>
          <w:szCs w:val="16"/>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47" w:lineRule="exact"/>
        <w:rPr>
          <w:sz w:val="20"/>
          <w:szCs w:val="20"/>
          <w:color w:val="auto"/>
        </w:rPr>
      </w:pPr>
    </w:p>
    <w:p>
      <w:pPr>
        <w:ind w:right="160" w:firstLine="43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Extensions of Credit</w:t>
      </w:r>
      <w:r>
        <w:rPr>
          <w:rFonts w:ascii="Arial" w:cs="Arial" w:eastAsia="Arial" w:hAnsi="Arial"/>
          <w:sz w:val="18"/>
          <w:szCs w:val="18"/>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87" w:lineRule="exact"/>
        <w:rPr>
          <w:sz w:val="20"/>
          <w:szCs w:val="20"/>
          <w:color w:val="auto"/>
        </w:rPr>
      </w:pPr>
    </w:p>
    <w:p>
      <w:pPr>
        <w:ind w:right="20" w:firstLine="439"/>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1.00% and (c) the Eurocurrency Rate, calculated as of such date </w:t>
      </w:r>
      <w:r>
        <w:rPr>
          <w:rFonts w:ascii="Arial" w:cs="Arial" w:eastAsia="Arial" w:hAnsi="Arial"/>
          <w:sz w:val="17"/>
          <w:szCs w:val="17"/>
          <w:u w:val="single" w:color="auto"/>
          <w:color w:val="0000FF"/>
        </w:rPr>
        <w:t>(or if such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day is not a Business Day, the immediately preceding Business Day)</w:t>
      </w:r>
      <w:r>
        <w:rPr>
          <w:rFonts w:ascii="Arial" w:cs="Arial" w:eastAsia="Arial" w:hAnsi="Arial"/>
          <w:sz w:val="17"/>
          <w:szCs w:val="17"/>
          <w:color w:val="0000FF"/>
        </w:rPr>
        <w:t xml:space="preserve"> </w:t>
      </w:r>
      <w:r>
        <w:rPr>
          <w:rFonts w:ascii="Arial" w:cs="Arial" w:eastAsia="Arial" w:hAnsi="Arial"/>
          <w:sz w:val="17"/>
          <w:szCs w:val="17"/>
          <w:color w:val="000000"/>
        </w:rPr>
        <w:t>in respect of a proposed Eurocurrency Loan denominated in Dollars with a</w:t>
      </w:r>
      <w:r>
        <w:rPr>
          <w:rFonts w:ascii="Arial" w:cs="Arial" w:eastAsia="Arial" w:hAnsi="Arial"/>
          <w:sz w:val="17"/>
          <w:szCs w:val="17"/>
          <w:color w:val="0000FF"/>
        </w:rPr>
        <w:t xml:space="preserve"> </w:t>
      </w:r>
      <w:r>
        <w:rPr>
          <w:rFonts w:ascii="Arial" w:cs="Arial" w:eastAsia="Arial" w:hAnsi="Arial"/>
          <w:sz w:val="17"/>
          <w:szCs w:val="17"/>
          <w:color w:val="000000"/>
        </w:rPr>
        <w:t xml:space="preserve">one-month interest period,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1.00%;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w:t>
      </w:r>
      <w:r>
        <w:rPr>
          <w:rFonts w:ascii="Arial" w:cs="Arial" w:eastAsia="Arial" w:hAnsi="Arial"/>
          <w:sz w:val="17"/>
          <w:szCs w:val="17"/>
          <w:color w:val="008000"/>
          <w:strike w:val="1"/>
        </w:rPr>
        <w:t>if the rate determined pursuant to this definition of “ABR” shall be less than</w:t>
      </w:r>
      <w:r>
        <w:rPr>
          <w:rFonts w:ascii="Arial" w:cs="Arial" w:eastAsia="Arial" w:hAnsi="Arial"/>
          <w:sz w:val="17"/>
          <w:szCs w:val="17"/>
          <w:color w:val="000000"/>
        </w:rPr>
        <w:t xml:space="preserve"> </w:t>
      </w:r>
      <w:r>
        <w:rPr>
          <w:rFonts w:ascii="Arial" w:cs="Arial" w:eastAsia="Arial" w:hAnsi="Arial"/>
          <w:sz w:val="17"/>
          <w:szCs w:val="17"/>
          <w:color w:val="FF0000"/>
          <w:strike w:val="1"/>
        </w:rPr>
        <w:t>zero</w:t>
      </w:r>
      <w:r>
        <w:rPr>
          <w:rFonts w:ascii="Arial" w:cs="Arial" w:eastAsia="Arial" w:hAnsi="Arial"/>
          <w:sz w:val="17"/>
          <w:szCs w:val="17"/>
          <w:color w:val="008000"/>
          <w:strike w:val="1"/>
        </w:rPr>
        <w:t>, such rate shall</w:t>
      </w:r>
      <w:r>
        <w:rPr>
          <w:rFonts w:ascii="Arial" w:cs="Arial" w:eastAsia="Arial" w:hAnsi="Arial"/>
          <w:sz w:val="17"/>
          <w:szCs w:val="17"/>
          <w:color w:val="000000"/>
        </w:rPr>
        <w:t xml:space="preserve"> </w:t>
      </w:r>
      <w:r>
        <w:rPr>
          <w:rFonts w:ascii="Arial" w:cs="Arial" w:eastAsia="Arial" w:hAnsi="Arial"/>
          <w:sz w:val="17"/>
          <w:szCs w:val="17"/>
          <w:color w:val="008000"/>
          <w:strike w:val="1"/>
        </w:rPr>
        <w:t xml:space="preserve">be deemed to be </w:t>
      </w:r>
      <w:r>
        <w:rPr>
          <w:rFonts w:ascii="Arial" w:cs="Arial" w:eastAsia="Arial" w:hAnsi="Arial"/>
          <w:sz w:val="17"/>
          <w:szCs w:val="17"/>
          <w:color w:val="FF0000"/>
          <w:strike w:val="1"/>
        </w:rPr>
        <w:t>zero</w:t>
      </w:r>
      <w:r>
        <w:rPr>
          <w:rFonts w:ascii="Arial" w:cs="Arial" w:eastAsia="Arial" w:hAnsi="Arial"/>
          <w:sz w:val="17"/>
          <w:szCs w:val="17"/>
          <w:color w:val="008000"/>
          <w:strike w:val="1"/>
        </w:rPr>
        <w:t xml:space="preserve"> for purposes of this Agreement</w:t>
      </w:r>
      <w:r>
        <w:rPr>
          <w:rFonts w:ascii="Arial" w:cs="Arial" w:eastAsia="Arial" w:hAnsi="Arial"/>
          <w:sz w:val="17"/>
          <w:szCs w:val="17"/>
          <w:u w:val="single" w:color="auto"/>
          <w:color w:val="0000FF"/>
          <w:strike w:val="1"/>
        </w:rPr>
        <w:t>for the purpose of this definition, the Eurocurrency Rate for any day shall be based on the LIBO</w:t>
      </w:r>
      <w:r>
        <w:rPr>
          <w:rFonts w:ascii="Arial" w:cs="Arial" w:eastAsia="Arial" w:hAnsi="Arial"/>
          <w:sz w:val="17"/>
          <w:szCs w:val="17"/>
          <w:color w:val="008000"/>
          <w:strike w:val="1"/>
        </w:rPr>
        <w:t xml:space="preserve"> </w:t>
      </w:r>
      <w:r>
        <w:rPr>
          <w:rFonts w:ascii="Arial" w:cs="Arial" w:eastAsia="Arial" w:hAnsi="Arial"/>
          <w:sz w:val="17"/>
          <w:szCs w:val="17"/>
          <w:u w:val="single" w:color="auto"/>
          <w:color w:val="0000FF"/>
          <w:strike w:val="1"/>
        </w:rPr>
        <w:t>Screen Rate (or if the LIBO Screen Rate is not available for such one month Interest Period, the Interpolated Rate) at approximately 11:00 a.m. London time on such day</w:t>
      </w:r>
      <w:r>
        <w:rPr>
          <w:rFonts w:ascii="Arial" w:cs="Arial" w:eastAsia="Arial" w:hAnsi="Arial"/>
          <w:sz w:val="17"/>
          <w:szCs w:val="17"/>
          <w:color w:val="000000"/>
          <w:strike w:val="1"/>
        </w:rPr>
        <w:t>. Any change in the ABR due to a change in the Prime Rate, the NYFRB Rate or the Eurocurrency Rate shall be effective as of the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opening of business on the effective day of such change in the Prime Rate, the NYFRB Rate or the Eurocurrency Rate, respectively. If the ABR is being used as an alternate rate of interest pursuant to Section 2.16 hereof </w:t>
      </w:r>
      <w:r>
        <w:rPr>
          <w:rFonts w:ascii="Arial" w:cs="Arial" w:eastAsia="Arial" w:hAnsi="Arial"/>
          <w:sz w:val="17"/>
          <w:szCs w:val="17"/>
          <w:color w:val="0000FF"/>
          <w:strike w:val="1"/>
        </w:rPr>
        <w:t>(for the avoidance of doubt, only until the Benchmark Replacement has been</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determined pursuant to Section 2.16(b))</w:t>
      </w:r>
      <w:r>
        <w:rPr>
          <w:rFonts w:ascii="Arial" w:cs="Arial" w:eastAsia="Arial" w:hAnsi="Arial"/>
          <w:sz w:val="17"/>
          <w:szCs w:val="17"/>
          <w:color w:val="000000"/>
          <w:strike w:val="1"/>
        </w:rPr>
        <w:t>, then the ABR shall be the greater of clause</w:t>
      </w:r>
      <w:r>
        <w:rPr>
          <w:rFonts w:ascii="Arial" w:cs="Arial" w:eastAsia="Arial" w:hAnsi="Arial"/>
          <w:sz w:val="17"/>
          <w:szCs w:val="17"/>
          <w:u w:val="single" w:color="auto"/>
          <w:color w:val="0000FF"/>
          <w:strike w:val="1"/>
        </w:rPr>
        <w:t>s</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(a) and (b) above and shall be determined without reference to</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clause (c) above. </w:t>
      </w:r>
      <w:r>
        <w:rPr>
          <w:rFonts w:ascii="Arial" w:cs="Arial" w:eastAsia="Arial" w:hAnsi="Arial"/>
          <w:sz w:val="17"/>
          <w:szCs w:val="17"/>
          <w:color w:val="0000FF"/>
          <w:strike w:val="1"/>
        </w:rPr>
        <w:t>For the avoidance of doubt,</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000"/>
          <w:strike w:val="1"/>
        </w:rPr>
        <w:t>if the rate determined pursuant to this definition of “ABR” shall be less than</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1.0%</w:t>
      </w:r>
      <w:r>
        <w:rPr>
          <w:rFonts w:ascii="Arial" w:cs="Arial" w:eastAsia="Arial" w:hAnsi="Arial"/>
          <w:sz w:val="17"/>
          <w:szCs w:val="17"/>
          <w:u w:val="single" w:color="auto"/>
          <w:color w:val="008000"/>
          <w:strike w:val="1"/>
        </w:rPr>
        <w:t>, such rate shall be</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000"/>
          <w:strike w:val="1"/>
        </w:rPr>
        <w:t xml:space="preserve">deemed to be </w:t>
      </w:r>
      <w:r>
        <w:rPr>
          <w:rFonts w:ascii="Arial" w:cs="Arial" w:eastAsia="Arial" w:hAnsi="Arial"/>
          <w:sz w:val="17"/>
          <w:szCs w:val="17"/>
          <w:u w:val="single" w:color="auto"/>
          <w:color w:val="0000FF"/>
          <w:strike w:val="1"/>
        </w:rPr>
        <w:t>1.0%</w:t>
      </w:r>
      <w:r>
        <w:rPr>
          <w:rFonts w:ascii="Arial" w:cs="Arial" w:eastAsia="Arial" w:hAnsi="Arial"/>
          <w:sz w:val="17"/>
          <w:szCs w:val="17"/>
          <w:u w:val="single" w:color="auto"/>
          <w:color w:val="008000"/>
          <w:strike w:val="1"/>
        </w:rPr>
        <w:t xml:space="preserve"> for purposes of this Agreement</w:t>
      </w:r>
      <w:r>
        <w:rPr>
          <w:rFonts w:ascii="Arial" w:cs="Arial" w:eastAsia="Arial" w:hAnsi="Arial"/>
          <w:sz w:val="17"/>
          <w:szCs w:val="17"/>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-1362710</wp:posOffset>
            </wp:positionV>
            <wp:extent cx="47053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705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-1226185</wp:posOffset>
            </wp:positionV>
            <wp:extent cx="312991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129915" cy="8255"/>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-952500</wp:posOffset>
            </wp:positionV>
            <wp:extent cx="437896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37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-815340</wp:posOffset>
            </wp:positionV>
            <wp:extent cx="691007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-678815</wp:posOffset>
            </wp:positionV>
            <wp:extent cx="77851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78510" cy="825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-405130</wp:posOffset>
            </wp:positionV>
            <wp:extent cx="353187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-439420</wp:posOffset>
            </wp:positionV>
            <wp:extent cx="35356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5356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-267970</wp:posOffset>
            </wp:positionV>
            <wp:extent cx="182181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82181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-267970</wp:posOffset>
            </wp:positionV>
            <wp:extent cx="4254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-165735</wp:posOffset>
            </wp:positionV>
            <wp:extent cx="589343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893435" cy="425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234315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343150" cy="8255"/>
                    </a:xfrm>
                    <a:prstGeom prst="rect">
                      <a:avLst/>
                    </a:prstGeom>
                    <a:noFill/>
                  </pic:spPr>
                </pic:pic>
              </a:graphicData>
            </a:graphic>
          </wp:anchor>
        </w:drawing>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4" w:lineRule="exact"/>
        <w:rPr>
          <w:sz w:val="20"/>
          <w:szCs w:val="20"/>
          <w:color w:val="auto"/>
        </w:rPr>
      </w:pPr>
    </w:p>
    <w:p>
      <w:pPr>
        <w:ind w:firstLine="439"/>
        <w:spacing w:after="0" w:line="276" w:lineRule="auto"/>
        <w:rPr>
          <w:sz w:val="20"/>
          <w:szCs w:val="20"/>
          <w:color w:val="auto"/>
        </w:rPr>
      </w:pPr>
      <w:r>
        <w:rPr>
          <w:rFonts w:ascii="Arial" w:cs="Arial" w:eastAsia="Arial" w:hAnsi="Arial"/>
          <w:sz w:val="18"/>
          <w:szCs w:val="18"/>
          <w:u w:val="single" w:color="auto"/>
          <w:color w:val="0000FF"/>
        </w:rPr>
        <w:t>“Adjusted EURIBOR Rate” means, with respect to any Eurocurrency Borrowing denominated in Euros for any Interest Period, an interest rate per annum equal to (a) the EURIBOR Rate for such Interest Period multiplied by (b)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667067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6706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96062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960620" cy="8255"/>
                    </a:xfrm>
                    <a:prstGeom prst="rect">
                      <a:avLst/>
                    </a:prstGeom>
                    <a:noFill/>
                  </pic:spPr>
                </pic:pic>
              </a:graphicData>
            </a:graphic>
          </wp:anchor>
        </w:drawing>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3" w:right="499" w:bottom="1440" w:gutter="0" w:footer="0" w:header="0"/>
        </w:sectPr>
      </w:pPr>
    </w:p>
    <w:bookmarkStart w:id="493" w:name="page494"/>
    <w:bookmarkEnd w:id="493"/>
    <w:p>
      <w:pPr>
        <w:ind w:firstLine="439"/>
        <w:spacing w:after="0" w:line="276"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TIBOR Rate” means, with respect to any Eurocurrency Borrowing denominated in Japanese Yen for any Interest Period, an interest rate per annum equal to (a) the TIBOR Rate for such Interest Period multiplied by (b)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667956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97776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97776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2.16(a)(iii).</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“Affected Financial Institution”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22860</wp:posOffset>
            </wp:positionV>
            <wp:extent cx="496062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960620" cy="8255"/>
                    </a:xfrm>
                    <a:prstGeom prst="rect">
                      <a:avLst/>
                    </a:prstGeom>
                    <a:noFill/>
                  </pic:spPr>
                </pic:pic>
              </a:graphicData>
            </a:graphic>
          </wp:anchor>
        </w:drawing>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Brazilian Administrative Agent, collectively.</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Alternate</w:t>
      </w:r>
      <w:r>
        <w:rPr>
          <w:rFonts w:ascii="Arial" w:cs="Arial" w:eastAsia="Arial" w:hAnsi="Arial"/>
          <w:sz w:val="18"/>
          <w:szCs w:val="18"/>
          <w:color w:val="FF0000"/>
        </w:rPr>
        <w:t xml:space="preserve"> </w:t>
      </w:r>
      <w:r>
        <w:rPr>
          <w:rFonts w:ascii="Arial" w:cs="Arial" w:eastAsia="Arial" w:hAnsi="Arial"/>
          <w:sz w:val="18"/>
          <w:szCs w:val="18"/>
          <w:u w:val="single" w:color="auto"/>
          <w:color w:val="008000"/>
        </w:rPr>
        <w:t>Rate</w:t>
      </w:r>
      <w:r>
        <w:rPr>
          <w:rFonts w:ascii="Arial" w:cs="Arial" w:eastAsia="Arial" w:hAnsi="Arial"/>
          <w:sz w:val="18"/>
          <w:szCs w:val="18"/>
          <w:color w:val="008000"/>
        </w:rPr>
        <w:t>” means, for any day</w:t>
      </w:r>
      <w:r>
        <w:rPr>
          <w:rFonts w:ascii="Arial" w:cs="Arial" w:eastAsia="Arial" w:hAnsi="Arial"/>
          <w:sz w:val="18"/>
          <w:szCs w:val="18"/>
          <w:color w:val="FF0000"/>
          <w:strike w:val="1"/>
        </w:rPr>
        <w:t>, the sum of (a) a rate per annum selected by the Administrative Agent, in its reasonable discretion based on</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market conditions in consultation with the Company (and any applicable Subsidiary Borrower) and the relevant Lenders, </w:t>
      </w:r>
      <w:r>
        <w:rPr>
          <w:rFonts w:ascii="Arial" w:cs="Arial" w:eastAsia="Arial" w:hAnsi="Arial"/>
          <w:sz w:val="18"/>
          <w:szCs w:val="18"/>
          <w:u w:val="single" w:color="auto"/>
          <w:color w:val="FF4338"/>
          <w:strike w:val="1"/>
        </w:rPr>
        <w:t>plus</w:t>
      </w:r>
      <w:r>
        <w:rPr>
          <w:rFonts w:ascii="Arial" w:cs="Arial" w:eastAsia="Arial" w:hAnsi="Arial"/>
          <w:sz w:val="18"/>
          <w:szCs w:val="18"/>
          <w:color w:val="FF0000"/>
          <w:strike w:val="1"/>
        </w:rPr>
        <w:t xml:space="preserve"> (b) the Applicable Margin for Eurocurrency Loans. When </w:t>
      </w:r>
      <w:r>
        <w:rPr>
          <w:rFonts w:ascii="Arial" w:cs="Arial" w:eastAsia="Arial" w:hAnsi="Arial"/>
          <w:sz w:val="18"/>
          <w:szCs w:val="18"/>
          <w:color w:val="008000"/>
          <w:strike w:val="1"/>
        </w:rPr>
        <w:t>used in reference to any Loan</w:t>
      </w:r>
      <w:r>
        <w:rPr>
          <w:rFonts w:ascii="Arial" w:cs="Arial" w:eastAsia="Arial" w:hAnsi="Arial"/>
          <w:sz w:val="18"/>
          <w:szCs w:val="18"/>
          <w:color w:val="FF0000"/>
          <w:strike w:val="1"/>
        </w:rPr>
        <w:t xml:space="preserve">, “Alternate Rate” </w:t>
      </w:r>
      <w:r>
        <w:rPr>
          <w:rFonts w:ascii="Arial" w:cs="Arial" w:eastAsia="Arial" w:hAnsi="Arial"/>
          <w:sz w:val="18"/>
          <w:szCs w:val="18"/>
          <w:color w:val="008000"/>
          <w:strike w:val="1"/>
        </w:rPr>
        <w:t>refers to whether such Loan</w:t>
      </w:r>
      <w:r>
        <w:rPr>
          <w:rFonts w:ascii="Arial" w:cs="Arial" w:eastAsia="Arial" w:hAnsi="Arial"/>
          <w:sz w:val="18"/>
          <w:szCs w:val="18"/>
          <w:color w:val="FF0000"/>
          <w:strike w:val="1"/>
        </w:rPr>
        <w:t xml:space="preserve"> is </w:t>
      </w:r>
      <w:r>
        <w:rPr>
          <w:rFonts w:ascii="Arial" w:cs="Arial" w:eastAsia="Arial" w:hAnsi="Arial"/>
          <w:sz w:val="18"/>
          <w:szCs w:val="18"/>
          <w:color w:val="008000"/>
          <w:strike w:val="1"/>
        </w:rPr>
        <w:t>bearing interest at a rate determined by</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reference to the </w:t>
      </w:r>
      <w:r>
        <w:rPr>
          <w:rFonts w:ascii="Arial" w:cs="Arial" w:eastAsia="Arial" w:hAnsi="Arial"/>
          <w:sz w:val="18"/>
          <w:szCs w:val="18"/>
          <w:color w:val="FF0000"/>
          <w:strike w:val="1"/>
        </w:rPr>
        <w:t>Alternate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-487045</wp:posOffset>
            </wp:positionV>
            <wp:extent cx="115506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“Ancillary Document” has the meaning assigned to it in Section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22860</wp:posOffset>
            </wp:positionV>
            <wp:extent cx="317309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173095" cy="8255"/>
                    </a:xfrm>
                    <a:prstGeom prst="rect">
                      <a:avLst/>
                    </a:prstGeom>
                    <a:noFill/>
                  </pic:spPr>
                </pic:pic>
              </a:graphicData>
            </a:graphic>
          </wp:anchor>
        </w:drawing>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224"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2.21, be changed by such Lender upon 10 days’ prior written notice to the Administrative Agent and the Company.</w:t>
      </w:r>
    </w:p>
    <w:p>
      <w:pPr>
        <w:spacing w:after="0" w:line="189" w:lineRule="exact"/>
        <w:rPr>
          <w:sz w:val="20"/>
          <w:szCs w:val="20"/>
          <w:color w:val="auto"/>
        </w:rPr>
      </w:pPr>
    </w:p>
    <w:p>
      <w:pPr>
        <w:ind w:right="60" w:firstLine="43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for any day, with respect to any ABR Loan, CDI Loan or Eurocurrency Loan, as the case may be, the applicable rate per annum set forth under the relevant column heading in the Applicable Pricing Grid, based upon the Applicable Rating in effect on such day.</w:t>
      </w:r>
    </w:p>
    <w:p>
      <w:pPr>
        <w:spacing w:after="0" w:line="124" w:lineRule="exact"/>
        <w:rPr>
          <w:sz w:val="20"/>
          <w:szCs w:val="20"/>
          <w:color w:val="auto"/>
        </w:rPr>
      </w:pPr>
    </w:p>
    <w:p>
      <w:pPr>
        <w:ind w:right="20" w:firstLine="43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Pricing Grid</w:t>
      </w:r>
      <w:r>
        <w:rPr>
          <w:rFonts w:ascii="Arial" w:cs="Arial" w:eastAsia="Arial" w:hAnsi="Arial"/>
          <w:sz w:val="16"/>
          <w:szCs w:val="16"/>
          <w:color w:val="auto"/>
        </w:rPr>
        <w:t>” means, (</w:t>
      </w:r>
      <w:r>
        <w:rPr>
          <w:rFonts w:ascii="Arial" w:cs="Arial" w:eastAsia="Arial" w:hAnsi="Arial"/>
          <w:sz w:val="16"/>
          <w:szCs w:val="16"/>
          <w:color w:val="FF0000"/>
          <w:strike w:val="1"/>
        </w:rPr>
        <w:t>i)</w:t>
      </w:r>
      <w:r>
        <w:rPr>
          <w:rFonts w:ascii="Arial" w:cs="Arial" w:eastAsia="Arial" w:hAnsi="Arial"/>
          <w:sz w:val="16"/>
          <w:szCs w:val="16"/>
          <w:u w:val="single" w:color="auto"/>
          <w:color w:val="0000FF"/>
        </w:rPr>
        <w:t>a) with respect to (i) any Loan held by, or Facility Fee owed to, a 2021 Non-Extending Lender and (ii) prior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to April 7, 2021, any Loan held by a 2021 Extending Lender (A)</w:t>
      </w:r>
      <w:r>
        <w:rPr>
          <w:rFonts w:ascii="Arial" w:cs="Arial" w:eastAsia="Arial" w:hAnsi="Arial"/>
          <w:sz w:val="16"/>
          <w:szCs w:val="16"/>
          <w:color w:val="0000FF"/>
        </w:rPr>
        <w:t xml:space="preserve"> </w:t>
      </w:r>
      <w:r>
        <w:rPr>
          <w:rFonts w:ascii="Arial" w:cs="Arial" w:eastAsia="Arial" w:hAnsi="Arial"/>
          <w:sz w:val="16"/>
          <w:szCs w:val="16"/>
          <w:color w:val="000000"/>
        </w:rPr>
        <w:t>in the case of any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such</w:t>
      </w:r>
      <w:r>
        <w:rPr>
          <w:rFonts w:ascii="Arial" w:cs="Arial" w:eastAsia="Arial" w:hAnsi="Arial"/>
          <w:sz w:val="16"/>
          <w:szCs w:val="16"/>
          <w:color w:val="0000FF"/>
        </w:rPr>
        <w:t xml:space="preserve"> </w:t>
      </w:r>
      <w:r>
        <w:rPr>
          <w:rFonts w:ascii="Arial" w:cs="Arial" w:eastAsia="Arial" w:hAnsi="Arial"/>
          <w:sz w:val="16"/>
          <w:szCs w:val="16"/>
          <w:color w:val="000000"/>
        </w:rPr>
        <w:t>Loan (other than a CDI Loan)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Facility Fee,</w:t>
      </w:r>
      <w:r>
        <w:rPr>
          <w:rFonts w:ascii="Arial" w:cs="Arial" w:eastAsia="Arial" w:hAnsi="Arial"/>
          <w:sz w:val="16"/>
          <w:szCs w:val="16"/>
          <w:color w:val="0000FF"/>
        </w:rPr>
        <w:t xml:space="preserve"> </w:t>
      </w:r>
      <w:r>
        <w:rPr>
          <w:rFonts w:ascii="Arial" w:cs="Arial" w:eastAsia="Arial" w:hAnsi="Arial"/>
          <w:sz w:val="16"/>
          <w:szCs w:val="16"/>
          <w:color w:val="000000"/>
        </w:rPr>
        <w:t>the table set forth</w:t>
      </w:r>
      <w:r>
        <w:rPr>
          <w:rFonts w:ascii="Arial" w:cs="Arial" w:eastAsia="Arial" w:hAnsi="Arial"/>
          <w:sz w:val="16"/>
          <w:szCs w:val="16"/>
          <w:color w:val="0000FF"/>
        </w:rPr>
        <w:t xml:space="preserve"> </w:t>
      </w:r>
      <w:r>
        <w:rPr>
          <w:rFonts w:ascii="Arial" w:cs="Arial" w:eastAsia="Arial" w:hAnsi="Arial"/>
          <w:sz w:val="16"/>
          <w:szCs w:val="16"/>
          <w:color w:val="000000"/>
        </w:rPr>
        <w:t xml:space="preserve">on </w:t>
      </w:r>
      <w:r>
        <w:rPr>
          <w:rFonts w:ascii="Arial" w:cs="Arial" w:eastAsia="Arial" w:hAnsi="Arial"/>
          <w:sz w:val="16"/>
          <w:szCs w:val="16"/>
          <w:u w:val="single" w:color="auto"/>
          <w:color w:val="0000FF"/>
        </w:rPr>
        <w:t>Part A of</w:t>
      </w:r>
      <w:r>
        <w:rPr>
          <w:rFonts w:ascii="Arial" w:cs="Arial" w:eastAsia="Arial" w:hAnsi="Arial"/>
          <w:sz w:val="16"/>
          <w:szCs w:val="16"/>
          <w:color w:val="000000"/>
        </w:rPr>
        <w:t xml:space="preserve"> Schedule 1.1C and (</w:t>
      </w:r>
      <w:r>
        <w:rPr>
          <w:rFonts w:ascii="Arial" w:cs="Arial" w:eastAsia="Arial" w:hAnsi="Arial"/>
          <w:sz w:val="16"/>
          <w:szCs w:val="16"/>
          <w:color w:val="FF0000"/>
          <w:strike w:val="1"/>
        </w:rPr>
        <w:t>ii</w:t>
      </w:r>
      <w:r>
        <w:rPr>
          <w:rFonts w:ascii="Arial" w:cs="Arial" w:eastAsia="Arial" w:hAnsi="Arial"/>
          <w:sz w:val="16"/>
          <w:szCs w:val="16"/>
          <w:u w:val="single" w:color="auto"/>
          <w:color w:val="0000FF"/>
        </w:rPr>
        <w:t>B</w:t>
      </w:r>
      <w:r>
        <w:rPr>
          <w:rFonts w:ascii="Arial" w:cs="Arial" w:eastAsia="Arial" w:hAnsi="Arial"/>
          <w:sz w:val="16"/>
          <w:szCs w:val="16"/>
          <w:color w:val="000000"/>
        </w:rPr>
        <w:t xml:space="preserve">) in the case of any </w:t>
      </w:r>
      <w:r>
        <w:rPr>
          <w:rFonts w:ascii="Arial" w:cs="Arial" w:eastAsia="Arial" w:hAnsi="Arial"/>
          <w:sz w:val="16"/>
          <w:szCs w:val="16"/>
          <w:u w:val="single" w:color="auto"/>
          <w:color w:val="0000FF"/>
        </w:rPr>
        <w:t>such</w:t>
      </w:r>
      <w:r>
        <w:rPr>
          <w:rFonts w:ascii="Arial" w:cs="Arial" w:eastAsia="Arial" w:hAnsi="Arial"/>
          <w:sz w:val="16"/>
          <w:szCs w:val="16"/>
          <w:color w:val="000000"/>
        </w:rPr>
        <w:t xml:space="preserve"> CDI Loan, the table set forth in Exhibit 3.2 in the applicable Brazilian Bank Certificate </w:t>
      </w:r>
      <w:r>
        <w:rPr>
          <w:rFonts w:ascii="Arial" w:cs="Arial" w:eastAsia="Arial" w:hAnsi="Arial"/>
          <w:sz w:val="16"/>
          <w:szCs w:val="16"/>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-264160</wp:posOffset>
            </wp:positionV>
            <wp:extent cx="490918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9091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-127000</wp:posOffset>
            </wp:positionV>
            <wp:extent cx="613219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132195" cy="8255"/>
                    </a:xfrm>
                    <a:prstGeom prst="rect">
                      <a:avLst/>
                    </a:prstGeom>
                    <a:noFill/>
                  </pic:spPr>
                </pic:pic>
              </a:graphicData>
            </a:graphic>
          </wp:anchor>
        </w:drawing>
      </w:r>
    </w:p>
    <w:p>
      <w:pPr>
        <w:ind w:right="320" w:firstLine="9"/>
        <w:spacing w:after="0" w:line="259" w:lineRule="auto"/>
        <w:tabs>
          <w:tab w:leader="none" w:pos="254" w:val="left"/>
        </w:tabs>
        <w:numPr>
          <w:ilvl w:val="0"/>
          <w:numId w:val="41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 with respect to any Facility Fee owed to a 2021 Extending Lender and (ii) on and after April 7, 2021, with respect to any Loan held by a 2021 Extending Lender, the table set forth in Part B of Schedule 1.1C</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-274320</wp:posOffset>
            </wp:positionV>
            <wp:extent cx="41910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19100" cy="8255"/>
                    </a:xfrm>
                    <a:prstGeom prst="rect">
                      <a:avLst/>
                    </a:prstGeom>
                    <a:noFill/>
                  </pic:spPr>
                </pic:pic>
              </a:graphicData>
            </a:graphic>
          </wp:anchor>
        </w:drawing>
        <w:drawing>
          <wp:anchor simplePos="0" relativeHeight="251657728" behindDoc="1" locked="0" layoutInCell="0" allowOverlap="1">
            <wp:simplePos x="0" y="0"/>
            <wp:positionH relativeFrom="column">
              <wp:posOffset>1579245</wp:posOffset>
            </wp:positionH>
            <wp:positionV relativeFrom="paragraph">
              <wp:posOffset>-274320</wp:posOffset>
            </wp:positionV>
            <wp:extent cx="7683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-274320</wp:posOffset>
            </wp:positionV>
            <wp:extent cx="20510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05105" cy="8255"/>
                    </a:xfrm>
                    <a:prstGeom prst="rect">
                      <a:avLst/>
                    </a:prstGeom>
                    <a:noFill/>
                  </pic:spPr>
                </pic:pic>
              </a:graphicData>
            </a:graphic>
          </wp:anchor>
        </w:drawing>
        <w:drawing>
          <wp:anchor simplePos="0" relativeHeight="251657728" behindDoc="1" locked="0" layoutInCell="0" allowOverlap="1">
            <wp:simplePos x="0" y="0"/>
            <wp:positionH relativeFrom="column">
              <wp:posOffset>6787515</wp:posOffset>
            </wp:positionH>
            <wp:positionV relativeFrom="paragraph">
              <wp:posOffset>-274320</wp:posOffset>
            </wp:positionV>
            <wp:extent cx="16256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7646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7646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29165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916555" cy="8255"/>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3" w:right="479" w:bottom="1440" w:gutter="0" w:footer="0" w:header="0"/>
        </w:sectPr>
      </w:pPr>
    </w:p>
    <w:bookmarkStart w:id="494" w:name="page495"/>
    <w:bookmarkEnd w:id="494"/>
    <w:p>
      <w:pPr>
        <w:ind w:right="160" w:firstLine="439"/>
        <w:spacing w:after="0" w:line="30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Applicable Rating</w:t>
      </w:r>
      <w:r>
        <w:rPr>
          <w:rFonts w:ascii="Arial" w:cs="Arial" w:eastAsia="Arial" w:hAnsi="Arial"/>
          <w:sz w:val="17"/>
          <w:szCs w:val="17"/>
          <w:color w:val="auto"/>
        </w:rPr>
        <w:t xml:space="preserve">” means the Index Debt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the Company has obtained or maintained a Facility Rating from at least two of Moody’s, S&amp;P or Fitch, the “Applicable Rating” shall be the Facility Rating in effect at any time of determination.</w:t>
      </w:r>
    </w:p>
    <w:p>
      <w:pPr>
        <w:spacing w:after="0" w:line="148" w:lineRule="exact"/>
        <w:rPr>
          <w:sz w:val="20"/>
          <w:szCs w:val="20"/>
          <w:color w:val="auto"/>
        </w:rPr>
      </w:pPr>
    </w:p>
    <w:p>
      <w:pPr>
        <w:ind w:right="360" w:firstLine="43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4" w:lineRule="exact"/>
        <w:rPr>
          <w:sz w:val="20"/>
          <w:szCs w:val="20"/>
          <w:color w:val="auto"/>
        </w:rPr>
      </w:pPr>
    </w:p>
    <w:p>
      <w:pPr>
        <w:ind w:firstLine="43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4"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u w:val="single" w:color="auto"/>
          <w:color w:val="0000FF"/>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-410210</wp:posOffset>
            </wp:positionV>
            <wp:extent cx="63455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3455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91896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72211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7221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419036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190365" cy="8255"/>
                    </a:xfrm>
                    <a:prstGeom prst="rect">
                      <a:avLst/>
                    </a:prstGeom>
                    <a:noFill/>
                  </pic:spPr>
                </pic:pic>
              </a:graphicData>
            </a:graphic>
          </wp:anchor>
        </w:drawing>
      </w:r>
    </w:p>
    <w:p>
      <w:pPr>
        <w:spacing w:after="0" w:line="167" w:lineRule="exact"/>
        <w:rPr>
          <w:sz w:val="20"/>
          <w:szCs w:val="20"/>
          <w:color w:val="auto"/>
        </w:rPr>
      </w:pPr>
    </w:p>
    <w:p>
      <w:pPr>
        <w:ind w:right="300" w:firstLine="43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-10160</wp:posOffset>
            </wp:positionV>
            <wp:extent cx="39370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150"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8"/>
          <w:szCs w:val="18"/>
          <w:u w:val="single" w:color="auto"/>
          <w:color w:val="0000FF"/>
        </w:rPr>
        <w:t>, regulation, rule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(b) with respect to the United Kingdom, Part I of the United Kingdom Banking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2009 (</w:t>
      </w:r>
      <w:r>
        <w:rPr>
          <w:rFonts w:ascii="Arial" w:cs="Arial" w:eastAsia="Arial" w:hAnsi="Arial"/>
          <w:sz w:val="18"/>
          <w:szCs w:val="18"/>
          <w:u w:val="single" w:color="auto"/>
          <w:color w:val="008000"/>
        </w:rPr>
        <w:t>as amended from time to time) and</w:t>
      </w:r>
      <w:r>
        <w:rPr>
          <w:rFonts w:ascii="Arial" w:cs="Arial" w:eastAsia="Arial" w:hAnsi="Arial"/>
          <w:sz w:val="18"/>
          <w:szCs w:val="18"/>
          <w:u w:val="single" w:color="auto"/>
          <w:color w:val="0000FF"/>
        </w:rPr>
        <w:t xml:space="preserve">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-682625</wp:posOffset>
            </wp:positionV>
            <wp:extent cx="12001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-546100</wp:posOffset>
            </wp:positionV>
            <wp:extent cx="145415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454150" cy="825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-408940</wp:posOffset>
            </wp:positionV>
            <wp:extent cx="379730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-272415</wp:posOffset>
            </wp:positionV>
            <wp:extent cx="696150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61098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61595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15950" cy="8255"/>
                    </a:xfrm>
                    <a:prstGeom prst="rect">
                      <a:avLst/>
                    </a:prstGeom>
                    <a:noFill/>
                  </pic:spPr>
                </pic:pic>
              </a:graphicData>
            </a:graphic>
          </wp:anchor>
        </w:drawing>
      </w:r>
    </w:p>
    <w:p>
      <w:pPr>
        <w:spacing w:after="0" w:line="169" w:lineRule="exact"/>
        <w:rPr>
          <w:sz w:val="20"/>
          <w:szCs w:val="20"/>
          <w:color w:val="auto"/>
        </w:rPr>
      </w:pPr>
    </w:p>
    <w:p>
      <w:pPr>
        <w:ind w:right="40" w:firstLine="439"/>
        <w:spacing w:after="0" w:line="271" w:lineRule="auto"/>
        <w:rPr>
          <w:sz w:val="20"/>
          <w:szCs w:val="20"/>
          <w:color w:val="auto"/>
        </w:rPr>
      </w:pPr>
      <w:r>
        <w:rPr>
          <w:rFonts w:ascii="Arial" w:cs="Arial" w:eastAsia="Arial" w:hAnsi="Arial"/>
          <w:sz w:val="17"/>
          <w:szCs w:val="17"/>
          <w:u w:val="single" w:color="auto"/>
          <w:color w:val="0000FF"/>
        </w:rPr>
        <w:t>“Basel III”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-826135</wp:posOffset>
            </wp:positionV>
            <wp:extent cx="665353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6535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-688975</wp:posOffset>
            </wp:positionV>
            <wp:extent cx="640588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-552450</wp:posOffset>
            </wp:positionV>
            <wp:extent cx="652526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5252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-415290</wp:posOffset>
            </wp:positionV>
            <wp:extent cx="686752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675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-278765</wp:posOffset>
            </wp:positionV>
            <wp:extent cx="693610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-141605</wp:posOffset>
            </wp:positionV>
            <wp:extent cx="695325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9532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268541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495" w:name="page496"/>
    <w:bookmarkEnd w:id="495"/>
    <w:p>
      <w:pPr>
        <w:ind w:firstLine="439"/>
        <w:spacing w:after="0" w:line="258"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means, initially, the Relevant Rate; provided that if a Benchmark Transition Event, a Term SOFR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clause (b) or clause (c) of Section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-410210</wp:posOffset>
            </wp:positionV>
            <wp:extent cx="644017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4401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97039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83323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25228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167" w:lineRule="exact"/>
        <w:rPr>
          <w:sz w:val="20"/>
          <w:szCs w:val="20"/>
          <w:color w:val="auto"/>
        </w:rPr>
      </w:pPr>
    </w:p>
    <w:p>
      <w:pPr>
        <w:ind w:right="280" w:firstLine="439"/>
        <w:spacing w:after="0" w:line="263" w:lineRule="auto"/>
        <w:rPr>
          <w:sz w:val="20"/>
          <w:szCs w:val="20"/>
          <w:color w:val="auto"/>
        </w:rPr>
      </w:pPr>
      <w:r>
        <w:rPr>
          <w:rFonts w:ascii="Arial" w:cs="Arial" w:eastAsia="Arial" w:hAnsi="Arial"/>
          <w:sz w:val="18"/>
          <w:szCs w:val="18"/>
          <w:u w:val="single" w:color="auto"/>
          <w:color w:val="0000FF"/>
        </w:rPr>
        <w:t>“Benchmark Replacement” means, for any Available Tenor, the first alternative set forth in the order below that can be determined by the Administrative Agent for the applicable Benchmark Replacement Date; provided that</w:t>
      </w:r>
      <w:r>
        <w:rPr>
          <w:rFonts w:ascii="Arial" w:cs="Arial" w:eastAsia="Arial" w:hAnsi="Arial"/>
          <w:sz w:val="18"/>
          <w:szCs w:val="18"/>
          <w:u w:val="single" w:color="auto"/>
          <w:color w:val="008000"/>
        </w:rPr>
        <w:t>, in the case of any</w:t>
      </w:r>
      <w:r>
        <w:rPr>
          <w:rFonts w:ascii="Arial" w:cs="Arial" w:eastAsia="Arial" w:hAnsi="Arial"/>
          <w:sz w:val="18"/>
          <w:szCs w:val="18"/>
          <w:u w:val="single" w:color="auto"/>
          <w:color w:val="0000FF"/>
        </w:rPr>
        <w:t xml:space="preserve"> Loan </w:t>
      </w:r>
      <w:r>
        <w:rPr>
          <w:rFonts w:ascii="Arial" w:cs="Arial" w:eastAsia="Arial" w:hAnsi="Arial"/>
          <w:sz w:val="18"/>
          <w:szCs w:val="18"/>
          <w:u w:val="single" w:color="auto"/>
          <w:color w:val="008000"/>
        </w:rPr>
        <w:t>denominated in an Optional Currency,</w:t>
      </w:r>
      <w:r>
        <w:rPr>
          <w:rFonts w:ascii="Arial" w:cs="Arial" w:eastAsia="Arial" w:hAnsi="Arial"/>
          <w:sz w:val="18"/>
          <w:szCs w:val="18"/>
          <w:u w:val="single" w:color="auto"/>
          <w:color w:val="0000FF"/>
        </w:rPr>
        <w:t xml:space="preserve"> “Benchmark Replacement” shall mean the alternative set forth in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-276860</wp:posOffset>
            </wp:positionV>
            <wp:extent cx="626046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2604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67906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347218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54" w:lineRule="exact"/>
        <w:rPr>
          <w:sz w:val="20"/>
          <w:szCs w:val="20"/>
          <w:color w:val="auto"/>
        </w:rPr>
      </w:pPr>
    </w:p>
    <w:p>
      <w:pPr>
        <w:ind w:left="700" w:hanging="252"/>
        <w:spacing w:after="0"/>
        <w:tabs>
          <w:tab w:leader="none" w:pos="700" w:val="left"/>
        </w:tabs>
        <w:numPr>
          <w:ilvl w:val="0"/>
          <w:numId w:val="41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any Loan denominated in Dollars, the sum of: (a) Term SOFR and (b) the related Benchmark Replacement Adjustment,</w:t>
      </w:r>
    </w:p>
    <w:p>
      <w:pPr>
        <w:spacing w:after="0" w:line="235" w:lineRule="exact"/>
        <w:rPr>
          <w:rFonts w:ascii="Arial" w:cs="Arial" w:eastAsia="Arial" w:hAnsi="Arial"/>
          <w:sz w:val="17"/>
          <w:szCs w:val="17"/>
          <w:u w:val="single" w:color="auto"/>
          <w:color w:val="0000FF"/>
        </w:rPr>
      </w:pPr>
    </w:p>
    <w:p>
      <w:pPr>
        <w:ind w:left="700" w:hanging="252"/>
        <w:spacing w:after="0"/>
        <w:tabs>
          <w:tab w:leader="none" w:pos="700" w:val="left"/>
        </w:tabs>
        <w:numPr>
          <w:ilvl w:val="0"/>
          <w:numId w:val="41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the case of any Loan denominated in Dollars, the sum of: (a) Daily Simple SOFR and (b) the related Benchmark Replacement Adjustment,</w:t>
      </w:r>
    </w:p>
    <w:p>
      <w:pPr>
        <w:spacing w:after="0" w:line="246" w:lineRule="exact"/>
        <w:rPr>
          <w:rFonts w:ascii="Arial" w:cs="Arial" w:eastAsia="Arial" w:hAnsi="Arial"/>
          <w:sz w:val="16"/>
          <w:szCs w:val="16"/>
          <w:u w:val="single" w:color="auto"/>
          <w:color w:val="0000FF"/>
        </w:rPr>
      </w:pPr>
    </w:p>
    <w:p>
      <w:pPr>
        <w:ind w:right="240" w:firstLine="448"/>
        <w:spacing w:after="0" w:line="275" w:lineRule="auto"/>
        <w:tabs>
          <w:tab w:leader="none" w:pos="694" w:val="left"/>
        </w:tabs>
        <w:numPr>
          <w:ilvl w:val="0"/>
          <w:numId w:val="41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-1103630</wp:posOffset>
            </wp:positionV>
            <wp:extent cx="625157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25157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-829945</wp:posOffset>
            </wp:positionV>
            <wp:extent cx="661924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61924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-556260</wp:posOffset>
            </wp:positionV>
            <wp:extent cx="652526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5252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-419100</wp:posOffset>
            </wp:positionV>
            <wp:extent cx="667956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-282575</wp:posOffset>
            </wp:positionV>
            <wp:extent cx="660209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6020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-145415</wp:posOffset>
            </wp:positionV>
            <wp:extent cx="660209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6020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-8890</wp:posOffset>
            </wp:positionV>
            <wp:extent cx="413067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130675" cy="8255"/>
                    </a:xfrm>
                    <a:prstGeom prst="rect">
                      <a:avLst/>
                    </a:prstGeom>
                    <a:noFill/>
                  </pic:spPr>
                </pic:pic>
              </a:graphicData>
            </a:graphic>
          </wp:anchor>
        </w:drawing>
      </w:r>
    </w:p>
    <w:p>
      <w:pPr>
        <w:spacing w:after="0" w:line="153"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u w:val="single" w:color="auto"/>
          <w:color w:val="0000FF"/>
        </w:rPr>
        <w:t>provided that, in the case of clause (1), such Unadjusted Benchmark Replacement is displayed on a screen or other information service that publishes such rate from time to time as selected by the Administrative Agent in its reasonable discretion; provided further that, solely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(A) of this definition (subject to the first proviso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-682625</wp:posOffset>
            </wp:positionV>
            <wp:extent cx="63455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3455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-546100</wp:posOffset>
            </wp:positionV>
            <wp:extent cx="690181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73100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7310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-272415</wp:posOffset>
            </wp:positionV>
            <wp:extent cx="695325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9532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8249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249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25742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69"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u w:val="single" w:color="auto"/>
          <w:color w:val="0000FF"/>
        </w:rPr>
        <w:t>If the Benchmark Replacement as determined pursuant to clause (1), (2) or (3) above would be less than the Floor, the Benchmark Replacement will be deemed to be the Floor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655955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5595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47294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472940" cy="8255"/>
                    </a:xfrm>
                    <a:prstGeom prst="rect">
                      <a:avLst/>
                    </a:prstGeom>
                    <a:noFill/>
                  </pic:spPr>
                </pic:pic>
              </a:graphicData>
            </a:graphic>
          </wp:anchor>
        </w:drawing>
      </w:r>
    </w:p>
    <w:p>
      <w:pPr>
        <w:spacing w:after="0" w:line="150" w:lineRule="exact"/>
        <w:rPr>
          <w:sz w:val="20"/>
          <w:szCs w:val="20"/>
          <w:color w:val="auto"/>
        </w:rPr>
      </w:pPr>
    </w:p>
    <w:p>
      <w:pPr>
        <w:ind w:right="240" w:firstLine="439"/>
        <w:spacing w:after="0" w:line="306" w:lineRule="auto"/>
        <w:rPr>
          <w:sz w:val="20"/>
          <w:szCs w:val="20"/>
          <w:color w:val="auto"/>
        </w:rPr>
      </w:pPr>
      <w:r>
        <w:rPr>
          <w:rFonts w:ascii="Arial" w:cs="Arial" w:eastAsia="Arial" w:hAnsi="Arial"/>
          <w:sz w:val="17"/>
          <w:szCs w:val="17"/>
          <w:u w:val="single" w:color="auto"/>
          <w:color w:val="0000FF"/>
        </w:rPr>
        <w:t>“Benchmark Replacement Adjustment” means, with respect to any replacement of the then-current Benchmark with an Unadjusted Benchmark Replacement for any applicable Interest Period and Available Tenor for any setting of such Unadjusted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-161290</wp:posOffset>
            </wp:positionV>
            <wp:extent cx="653415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-24765</wp:posOffset>
            </wp:positionV>
            <wp:extent cx="589280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892800" cy="8255"/>
                    </a:xfrm>
                    <a:prstGeom prst="rect">
                      <a:avLst/>
                    </a:prstGeom>
                    <a:noFill/>
                  </pic:spPr>
                </pic:pic>
              </a:graphicData>
            </a:graphic>
          </wp:anchor>
        </w:drawing>
      </w:r>
    </w:p>
    <w:p>
      <w:pPr>
        <w:spacing w:after="0" w:line="20" w:lineRule="exact"/>
        <w:rPr>
          <w:sz w:val="20"/>
          <w:szCs w:val="20"/>
          <w:color w:val="auto"/>
        </w:rPr>
      </w:pPr>
    </w:p>
    <w:p>
      <w:pPr>
        <w:ind w:right="140" w:firstLine="448"/>
        <w:spacing w:after="0" w:line="276" w:lineRule="auto"/>
        <w:tabs>
          <w:tab w:leader="none" w:pos="694" w:val="left"/>
        </w:tabs>
        <w:numPr>
          <w:ilvl w:val="0"/>
          <w:numId w:val="4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purposes of clauses (1) and (2) of the definition of “Benchmark Replacement,” the first alternative set forth in the order below that can be determined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659384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5938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187325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spacing w:after="0" w:line="43" w:lineRule="exact"/>
        <w:rPr>
          <w:sz w:val="20"/>
          <w:szCs w:val="20"/>
          <w:color w:val="auto"/>
        </w:rPr>
      </w:pPr>
    </w:p>
    <w:p>
      <w:pPr>
        <w:ind w:firstLine="448"/>
        <w:spacing w:after="0" w:line="258" w:lineRule="auto"/>
        <w:tabs>
          <w:tab w:leader="none" w:pos="683" w:val="left"/>
        </w:tabs>
        <w:numPr>
          <w:ilvl w:val="0"/>
          <w:numId w:val="41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-410210</wp:posOffset>
            </wp:positionV>
            <wp:extent cx="667956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55955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5595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91007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29908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3" w:right="479" w:bottom="1440" w:gutter="0" w:footer="0" w:header="0"/>
        </w:sectPr>
      </w:pPr>
    </w:p>
    <w:bookmarkStart w:id="496" w:name="page497"/>
    <w:bookmarkEnd w:id="496"/>
    <w:p>
      <w:pPr>
        <w:jc w:val="both"/>
        <w:ind w:right="140" w:firstLine="448"/>
        <w:spacing w:after="0" w:line="263" w:lineRule="auto"/>
        <w:tabs>
          <w:tab w:leader="none" w:pos="694" w:val="left"/>
        </w:tabs>
        <w:numPr>
          <w:ilvl w:val="0"/>
          <w:numId w:val="4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-276860</wp:posOffset>
            </wp:positionV>
            <wp:extent cx="658558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5855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690181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423354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233545" cy="8255"/>
                    </a:xfrm>
                    <a:prstGeom prst="rect">
                      <a:avLst/>
                    </a:prstGeom>
                    <a:noFill/>
                  </pic:spPr>
                </pic:pic>
              </a:graphicData>
            </a:graphic>
          </wp:anchor>
        </w:drawing>
      </w:r>
    </w:p>
    <w:p>
      <w:pPr>
        <w:spacing w:after="0" w:line="162" w:lineRule="exact"/>
        <w:rPr>
          <w:sz w:val="20"/>
          <w:szCs w:val="20"/>
          <w:color w:val="auto"/>
        </w:rPr>
      </w:pPr>
    </w:p>
    <w:p>
      <w:pPr>
        <w:ind w:firstLine="448"/>
        <w:spacing w:after="0" w:line="291" w:lineRule="auto"/>
        <w:tabs>
          <w:tab w:leader="none" w:pos="694" w:val="left"/>
        </w:tabs>
        <w:numPr>
          <w:ilvl w:val="0"/>
          <w:numId w:val="41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-836295</wp:posOffset>
            </wp:positionV>
            <wp:extent cx="668782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-699770</wp:posOffset>
            </wp:positionV>
            <wp:extent cx="673100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7310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-562610</wp:posOffset>
            </wp:positionV>
            <wp:extent cx="68160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16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86752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675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-288925</wp:posOffset>
            </wp:positionV>
            <wp:extent cx="680783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078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58558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5855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wp:posOffset>
            </wp:positionV>
            <wp:extent cx="554164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541645" cy="8255"/>
                    </a:xfrm>
                    <a:prstGeom prst="rect">
                      <a:avLst/>
                    </a:prstGeom>
                    <a:noFill/>
                  </pic:spPr>
                </pic:pic>
              </a:graphicData>
            </a:graphic>
          </wp:anchor>
        </w:drawing>
      </w:r>
    </w:p>
    <w:p>
      <w:pPr>
        <w:spacing w:after="0" w:line="142" w:lineRule="exact"/>
        <w:rPr>
          <w:sz w:val="20"/>
          <w:szCs w:val="20"/>
          <w:color w:val="auto"/>
        </w:rPr>
      </w:pPr>
    </w:p>
    <w:p>
      <w:pPr>
        <w:ind w:right="880" w:firstLine="439"/>
        <w:spacing w:after="0" w:line="341" w:lineRule="auto"/>
        <w:rPr>
          <w:sz w:val="20"/>
          <w:szCs w:val="20"/>
          <w:color w:val="auto"/>
        </w:rPr>
      </w:pPr>
      <w:r>
        <w:rPr>
          <w:rFonts w:ascii="Arial" w:cs="Arial" w:eastAsia="Arial" w:hAnsi="Arial"/>
          <w:sz w:val="16"/>
          <w:szCs w:val="16"/>
          <w:u w:val="single" w:color="auto"/>
          <w:color w:val="0000FF"/>
        </w:rPr>
        <w:t>provided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-177165</wp:posOffset>
            </wp:positionV>
            <wp:extent cx="614045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140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-40005</wp:posOffset>
            </wp:positionV>
            <wp:extent cx="566166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661660" cy="8255"/>
                    </a:xfrm>
                    <a:prstGeom prst="rect">
                      <a:avLst/>
                    </a:prstGeom>
                    <a:noFill/>
                  </pic:spPr>
                </pic:pic>
              </a:graphicData>
            </a:graphic>
          </wp:anchor>
        </w:drawing>
      </w:r>
    </w:p>
    <w:p>
      <w:pPr>
        <w:spacing w:after="0" w:line="104" w:lineRule="exact"/>
        <w:rPr>
          <w:sz w:val="20"/>
          <w:szCs w:val="20"/>
          <w:color w:val="auto"/>
        </w:rPr>
      </w:pPr>
    </w:p>
    <w:p>
      <w:pPr>
        <w:ind w:right="20" w:firstLine="439"/>
        <w:spacing w:after="0" w:line="269" w:lineRule="auto"/>
        <w:rPr>
          <w:sz w:val="20"/>
          <w:szCs w:val="20"/>
          <w:color w:val="auto"/>
        </w:rPr>
      </w:pPr>
      <w:r>
        <w:rPr>
          <w:rFonts w:ascii="Arial" w:cs="Arial" w:eastAsia="Arial" w:hAnsi="Arial"/>
          <w:sz w:val="17"/>
          <w:szCs w:val="17"/>
          <w:u w:val="single" w:color="auto"/>
          <w:color w:val="0000FF"/>
        </w:rPr>
        <w:t>“Benchmark Replacement Conforming Changes” means,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-1097280</wp:posOffset>
            </wp:positionV>
            <wp:extent cx="616648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1664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-960120</wp:posOffset>
            </wp:positionV>
            <wp:extent cx="672211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7221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-823595</wp:posOffset>
            </wp:positionV>
            <wp:extent cx="696150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-686435</wp:posOffset>
            </wp:positionV>
            <wp:extent cx="685038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8503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-549910</wp:posOffset>
            </wp:positionV>
            <wp:extent cx="691007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-412750</wp:posOffset>
            </wp:positionV>
            <wp:extent cx="687578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-276225</wp:posOffset>
            </wp:positionV>
            <wp:extent cx="675640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7564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-139065</wp:posOffset>
            </wp:positionV>
            <wp:extent cx="691896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-2540</wp:posOffset>
            </wp:positionV>
            <wp:extent cx="317309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173095" cy="8255"/>
                    </a:xfrm>
                    <a:prstGeom prst="rect">
                      <a:avLst/>
                    </a:prstGeom>
                    <a:noFill/>
                  </pic:spPr>
                </pic:pic>
              </a:graphicData>
            </a:graphic>
          </wp:anchor>
        </w:drawing>
      </w:r>
    </w:p>
    <w:p>
      <w:pPr>
        <w:spacing w:after="0" w:line="163" w:lineRule="exact"/>
        <w:rPr>
          <w:sz w:val="20"/>
          <w:szCs w:val="20"/>
          <w:color w:val="auto"/>
        </w:rPr>
      </w:pPr>
    </w:p>
    <w:p>
      <w:pPr>
        <w:ind w:right="280" w:firstLine="439"/>
        <w:spacing w:after="0" w:line="276" w:lineRule="auto"/>
        <w:rPr>
          <w:sz w:val="20"/>
          <w:szCs w:val="20"/>
          <w:color w:val="auto"/>
        </w:rPr>
      </w:pPr>
      <w:r>
        <w:rPr>
          <w:rFonts w:ascii="Arial" w:cs="Arial" w:eastAsia="Arial" w:hAnsi="Arial"/>
          <w:sz w:val="18"/>
          <w:szCs w:val="18"/>
          <w:u w:val="single" w:color="auto"/>
          <w:color w:val="0000FF"/>
        </w:rPr>
        <w:t>“Benchmark Replacement Date” means, with respect to any Benchmark, the earliest to occur of the following events with respect to such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651700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517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90678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43" w:lineRule="exact"/>
        <w:rPr>
          <w:sz w:val="20"/>
          <w:szCs w:val="20"/>
          <w:color w:val="auto"/>
        </w:rPr>
      </w:pPr>
    </w:p>
    <w:p>
      <w:pPr>
        <w:ind w:right="40" w:firstLine="448"/>
        <w:spacing w:after="0" w:line="285" w:lineRule="auto"/>
        <w:tabs>
          <w:tab w:leader="none" w:pos="694" w:val="left"/>
        </w:tabs>
        <w:numPr>
          <w:ilvl w:val="0"/>
          <w:numId w:val="41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5" w:lineRule="exact"/>
        <w:rPr>
          <w:rFonts w:ascii="Arial" w:cs="Arial" w:eastAsia="Arial" w:hAnsi="Arial"/>
          <w:sz w:val="17"/>
          <w:szCs w:val="17"/>
          <w:u w:val="single" w:color="auto"/>
          <w:color w:val="0000FF"/>
        </w:rPr>
      </w:pPr>
    </w:p>
    <w:p>
      <w:pPr>
        <w:ind w:right="460" w:firstLine="448"/>
        <w:spacing w:after="0" w:line="276" w:lineRule="auto"/>
        <w:tabs>
          <w:tab w:leader="none" w:pos="694" w:val="left"/>
        </w:tabs>
        <w:numPr>
          <w:ilvl w:val="0"/>
          <w:numId w:val="4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 (3) of the definition of “Benchmark Transition Event,” the date of the public statement or publication of information referenced therein;</w:t>
      </w:r>
    </w:p>
    <w:p>
      <w:pPr>
        <w:spacing w:after="0" w:line="170" w:lineRule="exact"/>
        <w:rPr>
          <w:rFonts w:ascii="Arial" w:cs="Arial" w:eastAsia="Arial" w:hAnsi="Arial"/>
          <w:sz w:val="18"/>
          <w:szCs w:val="18"/>
          <w:u w:val="single" w:color="auto"/>
          <w:color w:val="0000FF"/>
        </w:rPr>
      </w:pPr>
    </w:p>
    <w:p>
      <w:pPr>
        <w:ind w:right="20" w:firstLine="448"/>
        <w:spacing w:after="0" w:line="276" w:lineRule="auto"/>
        <w:tabs>
          <w:tab w:leader="none" w:pos="694" w:val="left"/>
        </w:tabs>
        <w:numPr>
          <w:ilvl w:val="0"/>
          <w:numId w:val="4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 Term SOFR Transition Event, the date that is thirty (30) days after the date a Term SOFR Notice is provided to the Lenders and the Borrower pursuant to Section 2.16(c);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-1104900</wp:posOffset>
            </wp:positionV>
            <wp:extent cx="667956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-968375</wp:posOffset>
            </wp:positionV>
            <wp:extent cx="680783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078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-831215</wp:posOffset>
            </wp:positionV>
            <wp:extent cx="566166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56616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-557530</wp:posOffset>
            </wp:positionV>
            <wp:extent cx="640588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-421005</wp:posOffset>
            </wp:positionV>
            <wp:extent cx="85534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5534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-147320</wp:posOffset>
            </wp:positionV>
            <wp:extent cx="668782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202692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97" w:name="page498"/>
    <w:bookmarkEnd w:id="497"/>
    <w:p>
      <w:pPr>
        <w:ind w:right="180" w:firstLine="448"/>
        <w:spacing w:after="0" w:line="258" w:lineRule="auto"/>
        <w:tabs>
          <w:tab w:leader="none" w:pos="694" w:val="left"/>
        </w:tabs>
        <w:numPr>
          <w:ilvl w:val="0"/>
          <w:numId w:val="41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-410210</wp:posOffset>
            </wp:positionV>
            <wp:extent cx="637984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3798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85927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8592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54240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5424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83820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67"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u w:val="single" w:color="auto"/>
          <w:color w:val="0000FF"/>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-546100</wp:posOffset>
            </wp:positionV>
            <wp:extent cx="631190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3119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75640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7564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-272415</wp:posOffset>
            </wp:positionV>
            <wp:extent cx="672211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7221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87578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277939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69" w:lineRule="exact"/>
        <w:rPr>
          <w:sz w:val="20"/>
          <w:szCs w:val="20"/>
          <w:color w:val="auto"/>
        </w:rPr>
      </w:pPr>
    </w:p>
    <w:p>
      <w:pPr>
        <w:ind w:right="60" w:firstLine="439"/>
        <w:spacing w:after="0" w:line="276" w:lineRule="auto"/>
        <w:rPr>
          <w:sz w:val="20"/>
          <w:szCs w:val="20"/>
          <w:color w:val="auto"/>
        </w:rPr>
      </w:pPr>
      <w:r>
        <w:rPr>
          <w:rFonts w:ascii="Arial" w:cs="Arial" w:eastAsia="Arial" w:hAnsi="Arial"/>
          <w:sz w:val="18"/>
          <w:szCs w:val="18"/>
          <w:u w:val="single" w:color="auto"/>
          <w:color w:val="0000FF"/>
        </w:rPr>
        <w:t>“Benchmark Transition Event” means, with respect to any Benchmark, the occurrence of one or more of the following events with respect to such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665353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6535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114617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43" w:lineRule="exact"/>
        <w:rPr>
          <w:sz w:val="20"/>
          <w:szCs w:val="20"/>
          <w:color w:val="auto"/>
        </w:rPr>
      </w:pPr>
    </w:p>
    <w:p>
      <w:pPr>
        <w:ind w:right="80" w:firstLine="448"/>
        <w:spacing w:after="0" w:line="258" w:lineRule="auto"/>
        <w:tabs>
          <w:tab w:leader="none" w:pos="694" w:val="left"/>
        </w:tabs>
        <w:numPr>
          <w:ilvl w:val="0"/>
          <w:numId w:val="41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18"/>
          <w:szCs w:val="18"/>
          <w:u w:val="single" w:color="auto"/>
          <w:color w:val="0000FF"/>
        </w:rPr>
      </w:pPr>
    </w:p>
    <w:p>
      <w:pPr>
        <w:ind w:firstLine="448"/>
        <w:spacing w:after="0" w:line="271" w:lineRule="auto"/>
        <w:tabs>
          <w:tab w:leader="none" w:pos="694" w:val="left"/>
        </w:tabs>
        <w:numPr>
          <w:ilvl w:val="0"/>
          <w:numId w:val="41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8" w:lineRule="exact"/>
        <w:rPr>
          <w:rFonts w:ascii="Arial" w:cs="Arial" w:eastAsia="Arial" w:hAnsi="Arial"/>
          <w:sz w:val="17"/>
          <w:szCs w:val="17"/>
          <w:u w:val="single" w:color="auto"/>
          <w:color w:val="0000FF"/>
        </w:rPr>
      </w:pPr>
    </w:p>
    <w:p>
      <w:pPr>
        <w:ind w:right="560" w:firstLine="448"/>
        <w:spacing w:after="0" w:line="263" w:lineRule="auto"/>
        <w:tabs>
          <w:tab w:leader="none" w:pos="694" w:val="left"/>
        </w:tabs>
        <w:numPr>
          <w:ilvl w:val="0"/>
          <w:numId w:val="41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-2056130</wp:posOffset>
            </wp:positionV>
            <wp:extent cx="659384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5938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-1918970</wp:posOffset>
            </wp:positionV>
            <wp:extent cx="655955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5595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-1782445</wp:posOffset>
            </wp:positionV>
            <wp:extent cx="691896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-1645285</wp:posOffset>
            </wp:positionV>
            <wp:extent cx="410527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410527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-1371600</wp:posOffset>
            </wp:positionV>
            <wp:extent cx="633730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-1235075</wp:posOffset>
            </wp:positionV>
            <wp:extent cx="684212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-1097915</wp:posOffset>
            </wp:positionV>
            <wp:extent cx="697039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-961390</wp:posOffset>
            </wp:positionV>
            <wp:extent cx="661098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-824230</wp:posOffset>
            </wp:positionV>
            <wp:extent cx="689292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929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-687705</wp:posOffset>
            </wp:positionV>
            <wp:extent cx="689292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929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-550545</wp:posOffset>
            </wp:positionV>
            <wp:extent cx="368617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-276860</wp:posOffset>
            </wp:positionV>
            <wp:extent cx="633730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651700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517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66738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162" w:lineRule="exact"/>
        <w:rPr>
          <w:sz w:val="20"/>
          <w:szCs w:val="20"/>
          <w:color w:val="auto"/>
        </w:rPr>
      </w:pPr>
    </w:p>
    <w:p>
      <w:pPr>
        <w:ind w:firstLine="439"/>
        <w:spacing w:after="0" w:line="263" w:lineRule="auto"/>
        <w:rPr>
          <w:sz w:val="20"/>
          <w:szCs w:val="20"/>
          <w:color w:val="auto"/>
        </w:rPr>
      </w:pPr>
      <w:r>
        <w:rPr>
          <w:rFonts w:ascii="Arial" w:cs="Arial" w:eastAsia="Arial" w:hAnsi="Arial"/>
          <w:sz w:val="18"/>
          <w:szCs w:val="18"/>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-276860</wp:posOffset>
            </wp:positionV>
            <wp:extent cx="668782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663638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6363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197548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975485" cy="8255"/>
                    </a:xfrm>
                    <a:prstGeom prst="rect">
                      <a:avLst/>
                    </a:prstGeom>
                    <a:noFill/>
                  </pic:spPr>
                </pic:pic>
              </a:graphicData>
            </a:graphic>
          </wp:anchor>
        </w:drawing>
      </w:r>
    </w:p>
    <w:p>
      <w:pPr>
        <w:spacing w:after="0" w:line="162" w:lineRule="exact"/>
        <w:rPr>
          <w:sz w:val="20"/>
          <w:szCs w:val="20"/>
          <w:color w:val="auto"/>
        </w:rPr>
      </w:pPr>
    </w:p>
    <w:p>
      <w:pPr>
        <w:ind w:right="360" w:firstLine="439"/>
        <w:spacing w:after="0" w:line="256" w:lineRule="auto"/>
        <w:rPr>
          <w:sz w:val="20"/>
          <w:szCs w:val="20"/>
          <w:color w:val="auto"/>
        </w:rPr>
      </w:pPr>
      <w:r>
        <w:rPr>
          <w:rFonts w:ascii="Arial" w:cs="Arial" w:eastAsia="Arial" w:hAnsi="Arial"/>
          <w:sz w:val="18"/>
          <w:szCs w:val="18"/>
          <w:u w:val="single" w:color="auto"/>
          <w:color w:val="0000FF"/>
        </w:rPr>
        <w:t>“Benchmark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-546100</wp:posOffset>
            </wp:positionV>
            <wp:extent cx="62947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2947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73100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7310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-272415</wp:posOffset>
            </wp:positionV>
            <wp:extent cx="650811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5081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67067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6706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59880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98805" cy="8255"/>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3" w:right="479" w:bottom="1440" w:gutter="0" w:footer="0" w:header="0"/>
        </w:sectPr>
      </w:pPr>
    </w:p>
    <w:bookmarkStart w:id="498" w:name="page499"/>
    <w:bookmarkEnd w:id="498"/>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Ownership Regulation” means 31 C.F.R. §1010.230.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22860</wp:posOffset>
            </wp:positionV>
            <wp:extent cx="295084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204" w:lineRule="exact"/>
        <w:rPr>
          <w:sz w:val="20"/>
          <w:szCs w:val="20"/>
          <w:color w:val="auto"/>
        </w:rPr>
      </w:pPr>
    </w:p>
    <w:p>
      <w:pPr>
        <w:ind w:right="60" w:firstLine="43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“BHC Act Affiliate”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-122555</wp:posOffset>
            </wp:positionV>
            <wp:extent cx="665353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6535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25654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4" w:lineRule="exact"/>
        <w:rPr>
          <w:sz w:val="20"/>
          <w:szCs w:val="20"/>
          <w:color w:val="auto"/>
        </w:rPr>
      </w:pPr>
    </w:p>
    <w:p>
      <w:pPr>
        <w:ind w:right="40" w:firstLine="43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means the Company, GMB, </w:t>
      </w:r>
      <w:r>
        <w:rPr>
          <w:rFonts w:ascii="Arial" w:cs="Arial" w:eastAsia="Arial" w:hAnsi="Arial"/>
          <w:sz w:val="17"/>
          <w:szCs w:val="17"/>
          <w:color w:val="FF0000"/>
          <w:strike w:val="1"/>
        </w:rPr>
        <w:t>GMGTC,</w:t>
      </w:r>
      <w:r>
        <w:rPr>
          <w:rFonts w:ascii="Arial" w:cs="Arial" w:eastAsia="Arial" w:hAnsi="Arial"/>
          <w:sz w:val="17"/>
          <w:szCs w:val="17"/>
          <w:color w:val="auto"/>
        </w:rPr>
        <w:t xml:space="preserve"> GMF or any other Subsidiary Borrower designated from time to time by the Company until (in the case of any Subsidiary Borrower) such time as such Subsidiary Borrower is removed as a party hereto pursuant to Section 10.1(d).</w:t>
      </w:r>
    </w:p>
    <w:p>
      <w:pPr>
        <w:spacing w:after="0" w:line="148" w:lineRule="exact"/>
        <w:rPr>
          <w:sz w:val="20"/>
          <w:szCs w:val="20"/>
          <w:color w:val="auto"/>
        </w:rPr>
      </w:pPr>
    </w:p>
    <w:p>
      <w:pPr>
        <w:ind w:firstLine="439"/>
        <w:spacing w:after="0" w:line="287"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Borrower DTTP Filing</w:t>
      </w:r>
      <w:r>
        <w:rPr>
          <w:rFonts w:ascii="Arial" w:cs="Arial" w:eastAsia="Arial" w:hAnsi="Arial"/>
          <w:sz w:val="16"/>
          <w:szCs w:val="16"/>
          <w:color w:val="FF0000"/>
          <w:strike w:val="1"/>
        </w:rPr>
        <w:t xml:space="preserve">” means an HMRC Form DTTP2, duly completed and filed by the relevant Borrower, which contains the scheme reference number and jurisdiction of tax residence provided by a UK Treaty Lender to the relevant UK Borrower and </w:t>
      </w:r>
      <w:r>
        <w:rPr>
          <w:rFonts w:ascii="Arial" w:cs="Arial" w:eastAsia="Arial" w:hAnsi="Arial"/>
          <w:sz w:val="16"/>
          <w:szCs w:val="16"/>
          <w:color w:val="008000"/>
          <w:strike w:val="1"/>
        </w:rPr>
        <w:t>the Administrative Agent in</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accordance with </w:t>
      </w:r>
      <w:r>
        <w:rPr>
          <w:rFonts w:ascii="Arial" w:cs="Arial" w:eastAsia="Arial" w:hAnsi="Arial"/>
          <w:sz w:val="16"/>
          <w:szCs w:val="16"/>
          <w:color w:val="FF0000"/>
          <w:strike w:val="1"/>
        </w:rPr>
        <w:t>Section 2.19(e) and which (a) where it relates to a UK Treaty Lender that is a Lender on the date of this Agreement, contains the</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scheme reference number and jurisdiction of tax residence stated opposite that Lender’s name in Schedule 1.1A to this Agreement, and (i) where the UK Borrower is a Borrower on the date of this Agreement, is filed with HMRC within 30 days of the date of this Agreement; or (ii) where the UK Borrower becomes a Borrower after the date of this Agreement, is filed with HMRC within 30 days of that date; or (b) where it relates to a UK Treaty </w:t>
      </w:r>
      <w:r>
        <w:rPr>
          <w:rFonts w:ascii="Arial" w:cs="Arial" w:eastAsia="Arial" w:hAnsi="Arial"/>
          <w:sz w:val="16"/>
          <w:szCs w:val="16"/>
          <w:color w:val="008000"/>
          <w:strike w:val="1"/>
        </w:rPr>
        <w:t>Lender that</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is not a </w:t>
      </w:r>
      <w:r>
        <w:rPr>
          <w:rFonts w:ascii="Arial" w:cs="Arial" w:eastAsia="Arial" w:hAnsi="Arial"/>
          <w:sz w:val="16"/>
          <w:szCs w:val="16"/>
          <w:color w:val="FF0000"/>
          <w:strike w:val="1"/>
        </w:rPr>
        <w:t>Lender on the date of this Agreement, contains the scheme reference number and jurisdiction of tax residence stated in respect of that Lender in</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the documentation which it executes on becoming a Lender; and (i) where the UK Borrower is a Borrower as at the date on which that UK Treaty Lender becomes a Lender, is filed with HMRC within 30 days of that date; or (ii) where the UK Borrower is not a Borrower as at the date on which that UK Treaty Lender becomes a Lender, is filed with HMRC within 30 days of the date on which that UK Borrower becomes a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4" w:lineRule="exact"/>
        <w:rPr>
          <w:sz w:val="20"/>
          <w:szCs w:val="20"/>
          <w:color w:val="auto"/>
        </w:rPr>
      </w:pPr>
    </w:p>
    <w:p>
      <w:pPr>
        <w:ind w:right="460" w:firstLine="43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any Borrower for a Domestic Loan or Multicurrency Loan, in substantially the form of Exhibit L.</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3" w:right="479" w:bottom="1440" w:gutter="0" w:footer="0" w:header="0"/>
        </w:sectPr>
      </w:pPr>
    </w:p>
    <w:bookmarkStart w:id="499" w:name="page500"/>
    <w:bookmarkEnd w:id="499"/>
    <w:p>
      <w:pPr>
        <w:ind w:right="280"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70" w:lineRule="exact"/>
        <w:rPr>
          <w:sz w:val="20"/>
          <w:szCs w:val="20"/>
          <w:color w:val="auto"/>
        </w:rPr>
      </w:pPr>
    </w:p>
    <w:p>
      <w:pPr>
        <w:ind w:right="40" w:firstLine="9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Brazilian Commitment</w:t>
      </w:r>
      <w:r>
        <w:rPr>
          <w:rFonts w:ascii="Arial" w:cs="Arial" w:eastAsia="Arial" w:hAnsi="Arial"/>
          <w:sz w:val="16"/>
          <w:szCs w:val="16"/>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 aggregate principal amount in Brazilian Reais of the Brazilian Commitment shall be</w:t>
      </w:r>
    </w:p>
    <w:p>
      <w:pPr>
        <w:spacing w:after="0" w:line="3" w:lineRule="exact"/>
        <w:rPr>
          <w:sz w:val="20"/>
          <w:szCs w:val="20"/>
          <w:color w:val="auto"/>
        </w:rPr>
      </w:pPr>
    </w:p>
    <w:p>
      <w:pPr>
        <w:ind w:firstLine="9"/>
        <w:spacing w:after="0" w:line="285" w:lineRule="auto"/>
        <w:tabs>
          <w:tab w:leader="none" w:pos="214" w:val="left"/>
        </w:tabs>
        <w:numPr>
          <w:ilvl w:val="0"/>
          <w:numId w:val="419"/>
        </w:numPr>
        <w:rPr>
          <w:rFonts w:ascii="Arial" w:cs="Arial" w:eastAsia="Arial" w:hAnsi="Arial"/>
          <w:sz w:val="16"/>
          <w:szCs w:val="16"/>
          <w:color w:val="auto"/>
        </w:rPr>
      </w:pPr>
      <w:r>
        <w:rPr>
          <w:rFonts w:ascii="Arial" w:cs="Arial" w:eastAsia="Arial" w:hAnsi="Arial"/>
          <w:sz w:val="16"/>
          <w:szCs w:val="16"/>
          <w:color w:val="auto"/>
        </w:rPr>
        <w:t>calculated based on the Real/U.S. Dollars exchange rate, expressed as the amount of Reais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 (iii) 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71" w:lineRule="exact"/>
        <w:rPr>
          <w:sz w:val="20"/>
          <w:szCs w:val="20"/>
          <w:color w:val="auto"/>
        </w:rPr>
      </w:pPr>
    </w:p>
    <w:p>
      <w:pPr>
        <w:ind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224" w:lineRule="exact"/>
        <w:rPr>
          <w:sz w:val="20"/>
          <w:szCs w:val="20"/>
          <w:color w:val="auto"/>
        </w:rPr>
      </w:pPr>
    </w:p>
    <w:p>
      <w:pPr>
        <w:ind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the Creditors’ Agreement (as defined in the Brazilian Bank Certificate dated as of the date hereof), if any, after the execution thereof.</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224" w:lineRule="exact"/>
        <w:rPr>
          <w:sz w:val="20"/>
          <w:szCs w:val="20"/>
          <w:color w:val="auto"/>
        </w:rPr>
      </w:pPr>
    </w:p>
    <w:p>
      <w:pPr>
        <w:ind w:right="14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Percentage</w:t>
      </w:r>
      <w:r>
        <w:rPr>
          <w:rFonts w:ascii="Arial" w:cs="Arial" w:eastAsia="Arial" w:hAnsi="Arial"/>
          <w:sz w:val="17"/>
          <w:szCs w:val="17"/>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224" w:lineRule="exact"/>
        <w:rPr>
          <w:sz w:val="20"/>
          <w:szCs w:val="20"/>
          <w:color w:val="auto"/>
        </w:rPr>
      </w:pPr>
    </w:p>
    <w:p>
      <w:pPr>
        <w:jc w:val="both"/>
        <w:ind w:right="3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500" w:name="page501"/>
    <w:bookmarkEnd w:id="500"/>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Brazilian Subsidiary Borrower</w:t>
      </w:r>
      <w:r>
        <w:rPr>
          <w:rFonts w:ascii="Arial" w:cs="Arial" w:eastAsia="Arial" w:hAnsi="Arial"/>
          <w:sz w:val="16"/>
          <w:szCs w:val="16"/>
          <w:color w:val="auto"/>
        </w:rPr>
        <w:t>” means GMB and any Subsidiary Borrower that is a Subsidiary of GMF or GMB and which is a Brazilian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0" w:lineRule="exact"/>
        <w:rPr>
          <w:sz w:val="20"/>
          <w:szCs w:val="20"/>
          <w:color w:val="auto"/>
        </w:rPr>
      </w:pPr>
    </w:p>
    <w:p>
      <w:pPr>
        <w:ind w:right="60" w:firstLine="98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when used in connection with (a) a Eurocurrency Loan, the term “Business Day” shall also exclude any day on which banks are not open for dealings in Dollar deposits or deposits in any Optional Currency, as applicable, in the London </w:t>
      </w:r>
      <w:r>
        <w:rPr>
          <w:rFonts w:ascii="Arial" w:cs="Arial" w:eastAsia="Arial" w:hAnsi="Arial"/>
          <w:sz w:val="16"/>
          <w:szCs w:val="16"/>
          <w:color w:val="FF0000"/>
          <w:strike w:val="1"/>
        </w:rPr>
        <w:t>I</w:t>
      </w:r>
      <w:r>
        <w:rPr>
          <w:rFonts w:ascii="Arial" w:cs="Arial" w:eastAsia="Arial" w:hAnsi="Arial"/>
          <w:sz w:val="16"/>
          <w:szCs w:val="16"/>
          <w:u w:val="single" w:color="auto"/>
          <w:color w:val="0000FF"/>
        </w:rPr>
        <w:t>i</w:t>
      </w:r>
      <w:r>
        <w:rPr>
          <w:rFonts w:ascii="Arial" w:cs="Arial" w:eastAsia="Arial" w:hAnsi="Arial"/>
          <w:sz w:val="16"/>
          <w:szCs w:val="16"/>
          <w:color w:val="auto"/>
        </w:rPr>
        <w:t>nterbank market, (b) an extension of credit denominated in Euros,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-426085</wp:posOffset>
            </wp:positionV>
            <wp:extent cx="342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2" w:lineRule="exact"/>
        <w:rPr>
          <w:sz w:val="20"/>
          <w:szCs w:val="20"/>
          <w:color w:val="auto"/>
        </w:rPr>
      </w:pPr>
    </w:p>
    <w:p>
      <w:pPr>
        <w:ind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2" w:lineRule="exact"/>
        <w:rPr>
          <w:sz w:val="20"/>
          <w:szCs w:val="20"/>
          <w:color w:val="auto"/>
        </w:rPr>
      </w:pPr>
    </w:p>
    <w:p>
      <w:pPr>
        <w:ind w:right="1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2" w:lineRule="exact"/>
        <w:rPr>
          <w:sz w:val="20"/>
          <w:szCs w:val="20"/>
          <w:color w:val="auto"/>
        </w:rPr>
      </w:pPr>
    </w:p>
    <w:p>
      <w:pPr>
        <w:ind w:right="5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w:t>
      </w:r>
      <w:r>
        <w:rPr>
          <w:rFonts w:ascii="Arial" w:cs="Arial" w:eastAsia="Arial" w:hAnsi="Arial"/>
          <w:sz w:val="18"/>
          <w:szCs w:val="18"/>
          <w:color w:val="auto"/>
        </w:rPr>
        <w:t>” means the daily average rate of the DI – Depósitos Interfinanceiros de um dia, “over extra-grupo”, expressed in the form of a percentage per annum, based upon 252 business days, calculated and published daily by the B3 S.A. – Brasil, Bolsa, Balcão, at the website http://www.cetip.com.br.</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224" w:lineRule="exact"/>
        <w:rPr>
          <w:sz w:val="20"/>
          <w:szCs w:val="20"/>
          <w:color w:val="auto"/>
        </w:rPr>
      </w:pPr>
    </w:p>
    <w:p>
      <w:pPr>
        <w:ind w:right="20" w:firstLine="98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2.18,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2.18,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2.19(a).</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501" w:name="page502"/>
    <w:bookmarkEnd w:id="501"/>
    <w:p>
      <w:pPr>
        <w:ind w:right="40" w:firstLine="989"/>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54" w:lineRule="exact"/>
        <w:rPr>
          <w:sz w:val="20"/>
          <w:szCs w:val="20"/>
          <w:color w:val="auto"/>
        </w:rPr>
      </w:pPr>
    </w:p>
    <w:p>
      <w:pPr>
        <w:ind w:right="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April 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4" w:lineRule="exact"/>
        <w:rPr>
          <w:sz w:val="20"/>
          <w:szCs w:val="20"/>
          <w:color w:val="auto"/>
        </w:rPr>
      </w:pPr>
    </w:p>
    <w:p>
      <w:pPr>
        <w:ind w:right="24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Collateralized</w:t>
      </w:r>
      <w:r>
        <w:rPr>
          <w:rFonts w:ascii="Arial" w:cs="Arial" w:eastAsia="Arial" w:hAnsi="Arial"/>
          <w:sz w:val="17"/>
          <w:szCs w:val="17"/>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66" w:lineRule="exact"/>
        <w:rPr>
          <w:sz w:val="20"/>
          <w:szCs w:val="20"/>
          <w:color w:val="auto"/>
        </w:rPr>
      </w:pPr>
    </w:p>
    <w:p>
      <w:pPr>
        <w:ind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and the Multicurrency Commitments. To the extent any Incremental Facility or New Local Facility is established, the “Commitments” shall, to the extent appropriate, include commitments under such Facilities.</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2.26(a).</w:t>
      </w:r>
    </w:p>
    <w:p>
      <w:pPr>
        <w:spacing w:after="0" w:line="224" w:lineRule="exact"/>
        <w:rPr>
          <w:sz w:val="20"/>
          <w:szCs w:val="20"/>
          <w:color w:val="auto"/>
        </w:rPr>
      </w:pPr>
    </w:p>
    <w:p>
      <w:pPr>
        <w:ind w:right="3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70" w:lineRule="exact"/>
        <w:rPr>
          <w:sz w:val="20"/>
          <w:szCs w:val="20"/>
          <w:color w:val="auto"/>
        </w:rPr>
      </w:pPr>
    </w:p>
    <w:p>
      <w:pPr>
        <w:jc w:val="both"/>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82" w:lineRule="exact"/>
        <w:rPr>
          <w:sz w:val="20"/>
          <w:szCs w:val="20"/>
          <w:color w:val="auto"/>
        </w:rPr>
      </w:pPr>
    </w:p>
    <w:p>
      <w:pPr>
        <w:ind w:right="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the other Loan Documents or the Brazilian Intercreditor Agreement.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2.7.</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 Accept/Reject Letter</w:t>
      </w:r>
      <w:r>
        <w:rPr>
          <w:rFonts w:ascii="Arial" w:cs="Arial" w:eastAsia="Arial" w:hAnsi="Arial"/>
          <w:sz w:val="17"/>
          <w:szCs w:val="17"/>
          <w:color w:val="auto"/>
        </w:rPr>
        <w:t>” means a notification made by the Company pursuant to Section 2.7, substantially in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form of Exhibit 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3" w:right="479" w:bottom="1440" w:gutter="0" w:footer="0" w:header="0"/>
        </w:sectPr>
      </w:pPr>
    </w:p>
    <w:bookmarkStart w:id="502" w:name="page503"/>
    <w:bookmarkEnd w:id="502"/>
    <w:p>
      <w:pPr>
        <w:ind w:firstLine="98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2.7, substantially in the form of Exhibit B.</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2.7.</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4" w:lineRule="exact"/>
        <w:rPr>
          <w:sz w:val="20"/>
          <w:szCs w:val="20"/>
          <w:color w:val="auto"/>
        </w:rPr>
      </w:pPr>
    </w:p>
    <w:p>
      <w:pPr>
        <w:ind w:right="100" w:firstLine="98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Domestic Liquidity</w:t>
      </w:r>
      <w:r>
        <w:rPr>
          <w:rFonts w:ascii="Arial" w:cs="Arial" w:eastAsia="Arial" w:hAnsi="Arial"/>
          <w:sz w:val="18"/>
          <w:szCs w:val="18"/>
          <w:color w:val="auto"/>
        </w:rPr>
        <w:t>” means, as of any date of determination, the sum of (a) the Total Available Commitments as of such date plus (b) the 3-Year Total Available Commitments at such date plus (c) the total available commitments (after giving effect to any applicable borrowing base limitations) under other then-effective committed credit facilities of the Company or any Domestic Subsidiary (including any Ancillary Commitments under and as defined in the 3-Year Revolving Credit Agreement, which may at such time be reallocated to provide availability to the Company or any Domestic Subsidiary</w:t>
      </w:r>
      <w:r>
        <w:rPr>
          <w:rFonts w:ascii="Arial" w:cs="Arial" w:eastAsia="Arial" w:hAnsi="Arial"/>
          <w:sz w:val="18"/>
          <w:szCs w:val="18"/>
          <w:u w:val="single" w:color="auto"/>
          <w:color w:val="0000FF"/>
        </w:rPr>
        <w:t>, but excluding any warehouse facility of GMF</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-544195</wp:posOffset>
            </wp:positionV>
            <wp:extent cx="213804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138045" cy="8255"/>
                    </a:xfrm>
                    <a:prstGeom prst="rect">
                      <a:avLst/>
                    </a:prstGeom>
                    <a:noFill/>
                  </pic:spPr>
                </pic:pic>
              </a:graphicData>
            </a:graphic>
          </wp:anchor>
        </w:drawing>
      </w:r>
    </w:p>
    <w:p>
      <w:pPr>
        <w:spacing w:after="0" w:line="171" w:lineRule="exact"/>
        <w:rPr>
          <w:sz w:val="20"/>
          <w:szCs w:val="20"/>
          <w:color w:val="auto"/>
        </w:rPr>
      </w:pPr>
    </w:p>
    <w:p>
      <w:pPr>
        <w:ind w:right="180" w:firstLine="98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Total Available Commitments as of such date plus (b) the 3-Year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total available commitments (after giving effect to any applicable borrowing base limitations) under other then-effective committed credit facilities of the Company or any of its Subsidiaries (including any Ancillary Commitments under and as defined in the 3-Year Revolving Credit Agreement available to the Company or any of its Subsidiaries, if applicable</w:t>
      </w:r>
      <w:r>
        <w:rPr>
          <w:rFonts w:ascii="Arial" w:cs="Arial" w:eastAsia="Arial" w:hAnsi="Arial"/>
          <w:sz w:val="16"/>
          <w:szCs w:val="16"/>
          <w:u w:val="single" w:color="auto"/>
          <w:color w:val="0000FF"/>
        </w:rPr>
        <w:t>, but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excluding any warehouse facility of GMF</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plus</w:t>
      </w:r>
      <w:r>
        <w:rPr>
          <w:rFonts w:ascii="Arial" w:cs="Arial" w:eastAsia="Arial" w:hAnsi="Arial"/>
          <w:sz w:val="16"/>
          <w:szCs w:val="16"/>
          <w:color w:val="0000FF"/>
        </w:rPr>
        <w:t xml:space="preserve"> </w:t>
      </w:r>
      <w:r>
        <w:rPr>
          <w:rFonts w:ascii="Arial" w:cs="Arial" w:eastAsia="Arial" w:hAnsi="Arial"/>
          <w:sz w:val="16"/>
          <w:szCs w:val="16"/>
          <w:color w:val="000000"/>
        </w:rPr>
        <w:t>(d) total cash (other than restricted cash), cash equivalents and Marketable Securities of the Company</w:t>
      </w:r>
      <w:r>
        <w:rPr>
          <w:rFonts w:ascii="Arial" w:cs="Arial" w:eastAsia="Arial" w:hAnsi="Arial"/>
          <w:sz w:val="16"/>
          <w:szCs w:val="16"/>
          <w:color w:val="0000FF"/>
        </w:rPr>
        <w:t xml:space="preserve"> </w:t>
      </w:r>
      <w:r>
        <w:rPr>
          <w:rFonts w:ascii="Arial" w:cs="Arial" w:eastAsia="Arial" w:hAnsi="Arial"/>
          <w:sz w:val="16"/>
          <w:szCs w:val="16"/>
          <w:color w:val="000000"/>
        </w:rPr>
        <w:t>and its Subsidiaries (other than Subsidiaries of the Company that constitute Finance Subsidiaries, if any),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6582410</wp:posOffset>
            </wp:positionH>
            <wp:positionV relativeFrom="paragraph">
              <wp:posOffset>-426085</wp:posOffset>
            </wp:positionV>
            <wp:extent cx="19685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-288925</wp:posOffset>
            </wp:positionV>
            <wp:extent cx="190690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142" w:lineRule="exact"/>
        <w:rPr>
          <w:sz w:val="20"/>
          <w:szCs w:val="20"/>
          <w:color w:val="auto"/>
        </w:rPr>
      </w:pPr>
    </w:p>
    <w:p>
      <w:pPr>
        <w:jc w:val="both"/>
        <w:ind w:right="20" w:firstLine="98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47" w:lineRule="exact"/>
        <w:rPr>
          <w:sz w:val="20"/>
          <w:szCs w:val="20"/>
          <w:color w:val="auto"/>
        </w:rPr>
      </w:pPr>
    </w:p>
    <w:p>
      <w:pPr>
        <w:jc w:val="both"/>
        <w:ind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503" w:name="page504"/>
    <w:bookmarkEnd w:id="503"/>
    <w:p>
      <w:pPr>
        <w:ind w:firstLine="98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520" w:firstLine="989"/>
        <w:spacing w:after="0" w:line="306" w:lineRule="auto"/>
        <w:rPr>
          <w:sz w:val="20"/>
          <w:szCs w:val="20"/>
          <w:color w:val="auto"/>
        </w:rPr>
      </w:pPr>
      <w:r>
        <w:rPr>
          <w:rFonts w:ascii="Arial" w:cs="Arial" w:eastAsia="Arial" w:hAnsi="Arial"/>
          <w:sz w:val="17"/>
          <w:szCs w:val="17"/>
          <w:u w:val="single" w:color="auto"/>
          <w:color w:val="0000FF"/>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-161290</wp:posOffset>
            </wp:positionV>
            <wp:extent cx="5977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9778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-24765</wp:posOffset>
            </wp:positionV>
            <wp:extent cx="543052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430520" cy="8255"/>
                    </a:xfrm>
                    <a:prstGeom prst="rect">
                      <a:avLst/>
                    </a:prstGeom>
                    <a:noFill/>
                  </pic:spPr>
                </pic:pic>
              </a:graphicData>
            </a:graphic>
          </wp:anchor>
        </w:drawing>
      </w:r>
    </w:p>
    <w:p>
      <w:pPr>
        <w:spacing w:after="0" w:line="128"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“Covered Entity” means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21037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96" w:lineRule="exact"/>
        <w:rPr>
          <w:sz w:val="20"/>
          <w:szCs w:val="20"/>
          <w:color w:val="auto"/>
        </w:rPr>
      </w:pPr>
    </w:p>
    <w:p>
      <w:pPr>
        <w:ind w:left="1340" w:hanging="342"/>
        <w:spacing w:after="0"/>
        <w:tabs>
          <w:tab w:leader="none" w:pos="1340" w:val="left"/>
        </w:tabs>
        <w:numPr>
          <w:ilvl w:val="0"/>
          <w:numId w:val="4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“covered entity” as that term is defined in, and interpreted in accordance with, 12 C.F.R. § 252.82(b);</w:t>
      </w:r>
    </w:p>
    <w:p>
      <w:pPr>
        <w:spacing w:after="0" w:line="224" w:lineRule="exact"/>
        <w:rPr>
          <w:rFonts w:ascii="Arial" w:cs="Arial" w:eastAsia="Arial" w:hAnsi="Arial"/>
          <w:sz w:val="18"/>
          <w:szCs w:val="18"/>
          <w:u w:val="single" w:color="auto"/>
          <w:color w:val="0000FF"/>
        </w:rPr>
      </w:pPr>
    </w:p>
    <w:p>
      <w:pPr>
        <w:ind w:left="1440" w:hanging="442"/>
        <w:spacing w:after="0"/>
        <w:tabs>
          <w:tab w:leader="none" w:pos="1440" w:val="left"/>
        </w:tabs>
        <w:numPr>
          <w:ilvl w:val="0"/>
          <w:numId w:val="4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“covered bank” as that term is defined in, and interpreted in accordance with, 12 C.F.R. § 47.3(b); or</w:t>
      </w:r>
    </w:p>
    <w:p>
      <w:pPr>
        <w:spacing w:after="0" w:line="224" w:lineRule="exact"/>
        <w:rPr>
          <w:rFonts w:ascii="Arial" w:cs="Arial" w:eastAsia="Arial" w:hAnsi="Arial"/>
          <w:sz w:val="18"/>
          <w:szCs w:val="18"/>
          <w:u w:val="single" w:color="auto"/>
          <w:color w:val="0000FF"/>
        </w:rPr>
      </w:pPr>
    </w:p>
    <w:p>
      <w:pPr>
        <w:ind w:left="1500" w:hanging="502"/>
        <w:spacing w:after="0"/>
        <w:tabs>
          <w:tab w:leader="none" w:pos="1500" w:val="left"/>
        </w:tabs>
        <w:numPr>
          <w:ilvl w:val="0"/>
          <w:numId w:val="4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“covered FSI” as that term is defined in, and interpreted in accordance with, 12 C.F.R. § 382.2(b).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-523875</wp:posOffset>
            </wp:positionV>
            <wp:extent cx="492633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4926330" cy="82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-250190</wp:posOffset>
            </wp:positionV>
            <wp:extent cx="495173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4951730" cy="82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22860</wp:posOffset>
            </wp:positionV>
            <wp:extent cx="485775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4857750" cy="8255"/>
                    </a:xfrm>
                    <a:prstGeom prst="rect">
                      <a:avLst/>
                    </a:prstGeom>
                    <a:noFill/>
                  </pic:spPr>
                </pic:pic>
              </a:graphicData>
            </a:graphic>
          </wp:anchor>
        </w:drawing>
      </w: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“Covered Party” has the meaning assigned to it in Section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295910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959100" cy="8255"/>
                    </a:xfrm>
                    <a:prstGeom prst="rect">
                      <a:avLst/>
                    </a:prstGeom>
                    <a:noFill/>
                  </pic:spPr>
                </pic:pic>
              </a:graphicData>
            </a:graphic>
          </wp:anchor>
        </w:drawing>
      </w: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224" w:lineRule="exact"/>
        <w:rPr>
          <w:sz w:val="20"/>
          <w:szCs w:val="20"/>
          <w:color w:val="auto"/>
        </w:rPr>
      </w:pPr>
    </w:p>
    <w:p>
      <w:pPr>
        <w:ind w:right="60" w:firstLine="989"/>
        <w:spacing w:after="0" w:line="301" w:lineRule="auto"/>
        <w:rPr>
          <w:sz w:val="20"/>
          <w:szCs w:val="20"/>
          <w:color w:val="auto"/>
        </w:rPr>
      </w:pPr>
      <w:r>
        <w:rPr>
          <w:rFonts w:ascii="Arial" w:cs="Arial" w:eastAsia="Arial" w:hAnsi="Arial"/>
          <w:sz w:val="16"/>
          <w:szCs w:val="16"/>
          <w:u w:val="single" w:color="auto"/>
          <w:color w:val="0000FF"/>
        </w:rPr>
        <w:t xml:space="preserve">“Daily Simple SOFR” means, for any day, SOFR, with the conventions for this rate (which may include a lookback) being established by </w:t>
      </w:r>
      <w:r>
        <w:rPr>
          <w:rFonts w:ascii="Arial" w:cs="Arial" w:eastAsia="Arial" w:hAnsi="Arial"/>
          <w:sz w:val="16"/>
          <w:szCs w:val="16"/>
          <w:u w:val="single" w:color="auto"/>
          <w:color w:val="00C000"/>
        </w:rPr>
        <w:t xml:space="preserve">the Administrative Agent in accordance with </w:t>
      </w:r>
      <w:r>
        <w:rPr>
          <w:rFonts w:ascii="Arial" w:cs="Arial" w:eastAsia="Arial" w:hAnsi="Arial"/>
          <w:sz w:val="16"/>
          <w:szCs w:val="16"/>
          <w:u w:val="single" w:color="auto"/>
          <w:color w:val="0000FF"/>
        </w:rPr>
        <w:t>the conventions for this rate selected or recommended by the Relevant Governmental Body for</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0000FF"/>
        </w:rPr>
        <w:t>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-431165</wp:posOffset>
            </wp:positionV>
            <wp:extent cx="626872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2687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-294005</wp:posOffset>
            </wp:positionV>
            <wp:extent cx="640588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-157480</wp:posOffset>
            </wp:positionV>
            <wp:extent cx="675640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7564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74751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747510" cy="8255"/>
                    </a:xfrm>
                    <a:prstGeom prst="rect">
                      <a:avLst/>
                    </a:prstGeom>
                    <a:noFill/>
                  </pic:spPr>
                </pic:pic>
              </a:graphicData>
            </a:graphic>
          </wp:anchor>
        </w:drawing>
      </w:r>
    </w:p>
    <w:p>
      <w:pPr>
        <w:spacing w:after="0" w:line="134" w:lineRule="exact"/>
        <w:rPr>
          <w:sz w:val="20"/>
          <w:szCs w:val="20"/>
          <w:color w:val="auto"/>
        </w:rPr>
      </w:pPr>
    </w:p>
    <w:p>
      <w:pPr>
        <w:ind w:right="4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2" w:lineRule="exact"/>
        <w:rPr>
          <w:sz w:val="20"/>
          <w:szCs w:val="20"/>
          <w:color w:val="auto"/>
        </w:rPr>
      </w:pPr>
    </w:p>
    <w:p>
      <w:pPr>
        <w:ind w:right="2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u w:val="single" w:color="auto"/>
          <w:color w:val="0000FF"/>
        </w:rPr>
        <w:t>“Default Right”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-122555</wp:posOffset>
            </wp:positionV>
            <wp:extent cx="626872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2687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62420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190" w:lineRule="exact"/>
        <w:rPr>
          <w:sz w:val="20"/>
          <w:szCs w:val="20"/>
          <w:color w:val="auto"/>
        </w:rPr>
      </w:pPr>
    </w:p>
    <w:p>
      <w:pPr>
        <w:ind w:firstLine="98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3" w:right="539" w:bottom="1440" w:gutter="0" w:footer="0" w:header="0"/>
        </w:sectPr>
      </w:pPr>
    </w:p>
    <w:bookmarkStart w:id="504" w:name="page505"/>
    <w:bookmarkEnd w:id="504"/>
    <w:p>
      <w:pPr>
        <w:ind w:right="60" w:firstLine="989"/>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Designated Principal Trade Name” means a Principal Trade Name, designated by the Company as the “Designated Principal Trade Name” in a written notice to the Administrative Agent pursuant to the terms hereof;</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that</w:t>
      </w:r>
      <w:r>
        <w:rPr>
          <w:rFonts w:ascii="Arial" w:cs="Arial" w:eastAsia="Arial" w:hAnsi="Arial"/>
          <w:sz w:val="18"/>
          <w:szCs w:val="18"/>
          <w:u w:val="single" w:color="auto"/>
          <w:color w:val="0000FF"/>
        </w:rPr>
        <w:t>, for the avoidance of doubt, only one Principal Trade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Name may be designated as a “Designated Principal Trade Name”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-276860</wp:posOffset>
            </wp:positionV>
            <wp:extent cx="5143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-276860</wp:posOffset>
            </wp:positionV>
            <wp:extent cx="442150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442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692721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927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463550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4635500" cy="8255"/>
                    </a:xfrm>
                    <a:prstGeom prst="rect">
                      <a:avLst/>
                    </a:prstGeom>
                    <a:noFill/>
                  </pic:spPr>
                </pic:pic>
              </a:graphicData>
            </a:graphic>
          </wp:anchor>
        </w:drawing>
      </w:r>
    </w:p>
    <w:p>
      <w:pPr>
        <w:spacing w:after="0" w:line="162" w:lineRule="exact"/>
        <w:rPr>
          <w:sz w:val="20"/>
          <w:szCs w:val="20"/>
          <w:color w:val="auto"/>
        </w:rPr>
      </w:pPr>
    </w:p>
    <w:p>
      <w:pPr>
        <w:jc w:val="both"/>
        <w:ind w:right="160"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w:t>
      </w:r>
    </w:p>
    <w:p>
      <w:pPr>
        <w:spacing w:after="0" w:line="34" w:lineRule="exact"/>
        <w:rPr>
          <w:sz w:val="20"/>
          <w:szCs w:val="20"/>
          <w:color w:val="auto"/>
        </w:rPr>
      </w:pPr>
    </w:p>
    <w:p>
      <w:pPr>
        <w:ind w:right="40" w:firstLine="9"/>
        <w:spacing w:after="0" w:line="268" w:lineRule="auto"/>
        <w:tabs>
          <w:tab w:leader="none" w:pos="254" w:val="left"/>
        </w:tabs>
        <w:numPr>
          <w:ilvl w:val="0"/>
          <w:numId w:val="422"/>
        </w:numPr>
        <w:rPr>
          <w:rFonts w:ascii="Arial" w:cs="Arial" w:eastAsia="Arial" w:hAnsi="Arial"/>
          <w:sz w:val="17"/>
          <w:szCs w:val="17"/>
          <w:color w:val="auto"/>
        </w:rPr>
      </w:pPr>
      <w:r>
        <w:rPr>
          <w:rFonts w:ascii="Arial" w:cs="Arial" w:eastAsia="Arial" w:hAnsi="Arial"/>
          <w:sz w:val="17"/>
          <w:szCs w:val="17"/>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4" w:lineRule="exact"/>
        <w:rPr>
          <w:sz w:val="20"/>
          <w:szCs w:val="20"/>
          <w:color w:val="auto"/>
        </w:rPr>
      </w:pPr>
    </w:p>
    <w:p>
      <w:pPr>
        <w:ind w:firstLine="98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Commitment</w:t>
      </w:r>
      <w:r>
        <w:rPr>
          <w:rFonts w:ascii="Arial" w:cs="Arial" w:eastAsia="Arial" w:hAnsi="Arial"/>
          <w:sz w:val="17"/>
          <w:szCs w:val="17"/>
          <w:color w:val="auto"/>
        </w:rPr>
        <w:t>” means as to any Lender, the obligation of such Lender, if any, to make Domestic Loans and participate in Letters of Credit in an aggregate principal and/or face amount the Dollar Equivalent of which shall not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224" w:lineRule="exact"/>
        <w:rPr>
          <w:sz w:val="20"/>
          <w:szCs w:val="20"/>
          <w:color w:val="auto"/>
        </w:rPr>
      </w:pPr>
    </w:p>
    <w:p>
      <w:pPr>
        <w:ind w:right="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sum of (a) the aggregate principal amount of all Domestic Loans held by such Lender then outstanding and (b) an amount equal to such Lender’s applicable Domestic Percentage of the aggregate L/C Obligations then outstanding.</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224" w:lineRule="exact"/>
        <w:rPr>
          <w:sz w:val="20"/>
          <w:szCs w:val="20"/>
          <w:color w:val="auto"/>
        </w:rPr>
      </w:pPr>
    </w:p>
    <w:p>
      <w:pPr>
        <w:ind w:right="3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Lender</w:t>
      </w:r>
      <w:r>
        <w:rPr>
          <w:rFonts w:ascii="Arial" w:cs="Arial" w:eastAsia="Arial" w:hAnsi="Arial"/>
          <w:sz w:val="18"/>
          <w:szCs w:val="18"/>
          <w:color w:val="auto"/>
        </w:rPr>
        <w:t>” means each Lender that has a Domestic Commitment or that holds Domestic Loans or other Loans made under the Domestic Facility.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3" w:right="479" w:bottom="1440" w:gutter="0" w:footer="0" w:header="0"/>
        </w:sectPr>
      </w:pPr>
    </w:p>
    <w:bookmarkStart w:id="505" w:name="page506"/>
    <w:bookmarkEnd w:id="505"/>
    <w:p>
      <w:pPr>
        <w:ind w:right="20" w:firstLine="98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89" w:lineRule="exact"/>
        <w:rPr>
          <w:sz w:val="20"/>
          <w:szCs w:val="20"/>
          <w:color w:val="auto"/>
        </w:rPr>
      </w:pPr>
    </w:p>
    <w:p>
      <w:pPr>
        <w:jc w:val="both"/>
        <w:ind w:right="42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“Early Opt-in Election” means, with respect to any Currency,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365188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10" w:lineRule="exact"/>
        <w:rPr>
          <w:sz w:val="20"/>
          <w:szCs w:val="20"/>
          <w:color w:val="auto"/>
        </w:rPr>
      </w:pPr>
    </w:p>
    <w:p>
      <w:pPr>
        <w:ind w:left="980" w:right="40" w:hanging="540"/>
        <w:spacing w:after="0" w:line="258" w:lineRule="auto"/>
        <w:tabs>
          <w:tab w:leader="none" w:pos="980" w:val="left"/>
        </w:tabs>
        <w:numPr>
          <w:ilvl w:val="0"/>
          <w:numId w:val="4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notification by the Administrative Agent to (or the request by the Borrower to the Administrative Agent to notify) each of the other parties hereto that syndicated credit facilities denominated in the applicable Currency being executed at such time, or that include language similar to that contained in Section 2.16 are being executed or amended, as applicable, to incorporate or adopt a new benchmark interest rate to replace the Relevant Rate, and</w:t>
      </w:r>
    </w:p>
    <w:p>
      <w:pPr>
        <w:spacing w:after="0" w:line="79" w:lineRule="exact"/>
        <w:rPr>
          <w:rFonts w:ascii="Arial" w:cs="Arial" w:eastAsia="Arial" w:hAnsi="Arial"/>
          <w:sz w:val="18"/>
          <w:szCs w:val="18"/>
          <w:u w:val="single" w:color="auto"/>
          <w:color w:val="0000FF"/>
        </w:rPr>
      </w:pPr>
    </w:p>
    <w:p>
      <w:pPr>
        <w:ind w:left="980" w:right="260" w:hanging="540"/>
        <w:spacing w:after="0" w:line="341" w:lineRule="auto"/>
        <w:tabs>
          <w:tab w:leader="none" w:pos="980" w:val="left"/>
        </w:tabs>
        <w:numPr>
          <w:ilvl w:val="0"/>
          <w:numId w:val="42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joint election by the Administrative Agent and the Borrower to declare that an Early Opt-in Election for such Currency has occurred and the provision, as applicable, by the Administrative Agent of written notice of such election to the Borrower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-792480</wp:posOffset>
            </wp:positionV>
            <wp:extent cx="63969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39699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-655955</wp:posOffset>
            </wp:positionV>
            <wp:extent cx="63455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3455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-518795</wp:posOffset>
            </wp:positionV>
            <wp:extent cx="620903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20903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-382270</wp:posOffset>
            </wp:positionV>
            <wp:extent cx="170180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701800" cy="8255"/>
                    </a:xfrm>
                    <a:prstGeom prst="rect">
                      <a:avLst/>
                    </a:prstGeom>
                    <a:noFill/>
                  </pic:spPr>
                </pic:pic>
              </a:graphicData>
            </a:graphic>
          </wp:anchor>
        </w:drawing>
      </w:r>
    </w:p>
    <w:p>
      <w:pPr>
        <w:spacing w:after="0" w:line="77" w:lineRule="exact"/>
        <w:rPr>
          <w:sz w:val="20"/>
          <w:szCs w:val="20"/>
          <w:color w:val="auto"/>
        </w:rPr>
      </w:pPr>
    </w:p>
    <w:p>
      <w:pPr>
        <w:ind w:right="240" w:firstLine="98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institution established in any EEA Member Country which is subject to the supervision of </w:t>
      </w:r>
      <w:r>
        <w:rPr>
          <w:rFonts w:ascii="Arial" w:cs="Arial" w:eastAsia="Arial" w:hAnsi="Arial"/>
          <w:sz w:val="16"/>
          <w:szCs w:val="16"/>
          <w:color w:val="FF0000"/>
          <w:strike w:val="1"/>
        </w:rPr>
        <w:t>an</w:t>
      </w:r>
      <w:r>
        <w:rPr>
          <w:rFonts w:ascii="Arial" w:cs="Arial" w:eastAsia="Arial" w:hAnsi="Arial"/>
          <w:sz w:val="16"/>
          <w:szCs w:val="16"/>
          <w:color w:val="auto"/>
        </w:rPr>
        <w:t xml:space="preserve"> </w:t>
      </w:r>
      <w:r>
        <w:rPr>
          <w:rFonts w:ascii="Arial" w:cs="Arial" w:eastAsia="Arial" w:hAnsi="Arial"/>
          <w:sz w:val="16"/>
          <w:szCs w:val="16"/>
          <w:color w:val="FF0000"/>
          <w:strike w:val="1"/>
        </w:rPr>
        <w:t>EEA</w:t>
      </w:r>
      <w:r>
        <w:rPr>
          <w:rFonts w:ascii="Arial" w:cs="Arial" w:eastAsia="Arial" w:hAnsi="Arial"/>
          <w:sz w:val="16"/>
          <w:szCs w:val="16"/>
          <w:u w:val="single" w:color="auto"/>
          <w:color w:val="0000FF"/>
        </w:rPr>
        <w:t>the applicable</w:t>
      </w:r>
      <w:r>
        <w:rPr>
          <w:rFonts w:ascii="Arial" w:cs="Arial" w:eastAsia="Arial" w:hAnsi="Arial"/>
          <w:sz w:val="16"/>
          <w:szCs w:val="16"/>
          <w:color w:val="FF0000"/>
        </w:rPr>
        <w:t xml:space="preserve"> </w:t>
      </w:r>
      <w:r>
        <w:rPr>
          <w:rFonts w:ascii="Arial" w:cs="Arial" w:eastAsia="Arial" w:hAnsi="Arial"/>
          <w:sz w:val="16"/>
          <w:szCs w:val="16"/>
          <w:color w:val="000000"/>
        </w:rPr>
        <w:t>Resolution Authority, (b) any entity established in an EEA Member Country which is a parent of an institution described in clause</w:t>
      </w:r>
    </w:p>
    <w:p>
      <w:pPr>
        <w:spacing w:after="0" w:line="1" w:lineRule="exact"/>
        <w:rPr>
          <w:sz w:val="20"/>
          <w:szCs w:val="20"/>
          <w:color w:val="auto"/>
        </w:rPr>
      </w:pPr>
    </w:p>
    <w:p>
      <w:pPr>
        <w:ind w:firstLine="9"/>
        <w:spacing w:after="0" w:line="259" w:lineRule="auto"/>
        <w:tabs>
          <w:tab w:leader="none" w:pos="24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of this definition or (c) any institution established in an EEA Member Country which is a subsidiary of an institution described in clauses (a) or (b) of this definition and is subject to consolidated supervision with its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-274320</wp:posOffset>
            </wp:positionV>
            <wp:extent cx="63309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4"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u w:val="single" w:color="auto"/>
          <w:color w:val="0000FF"/>
        </w:rPr>
        <w:t>“Electronic Signature” means an electronic symbol or process attached to a contract or other record and adopted by a Person with the intent to sign, authenticate or accept such contract or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-147320</wp:posOffset>
            </wp:positionV>
            <wp:extent cx="608076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275399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753995" cy="8255"/>
                    </a:xfrm>
                    <a:prstGeom prst="rect">
                      <a:avLst/>
                    </a:prstGeom>
                    <a:noFill/>
                  </pic:spPr>
                </pic:pic>
              </a:graphicData>
            </a:graphic>
          </wp:anchor>
        </w:drawing>
      </w:r>
    </w:p>
    <w:p>
      <w:pPr>
        <w:spacing w:after="0" w:line="150" w:lineRule="exact"/>
        <w:rPr>
          <w:sz w:val="20"/>
          <w:szCs w:val="20"/>
          <w:color w:val="auto"/>
        </w:rPr>
      </w:pPr>
    </w:p>
    <w:p>
      <w:pPr>
        <w:ind w:right="12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foreign, federal, state, provincial, local or municipal laws, rules, orders, regulations, statutes, ordinances, codes, decrees, requirements of any Governmental Authority or other Requirements of Law (including common law) regulating, relating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506" w:name="page507"/>
    <w:bookmarkEnd w:id="506"/>
    <w:p>
      <w:pPr>
        <w:ind w:right="4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imposing liability or standards of conduct concerning protection of human health, the environment or natural resources, as now or may at any time hereafter be in effect.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4" w:lineRule="exact"/>
        <w:rPr>
          <w:sz w:val="20"/>
          <w:szCs w:val="20"/>
          <w:color w:val="auto"/>
        </w:rPr>
      </w:pPr>
    </w:p>
    <w:p>
      <w:pPr>
        <w:ind w:right="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2" w:lineRule="exact"/>
        <w:rPr>
          <w:sz w:val="20"/>
          <w:szCs w:val="20"/>
          <w:color w:val="auto"/>
        </w:rPr>
      </w:pPr>
    </w:p>
    <w:p>
      <w:pPr>
        <w:ind w:firstLine="989"/>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8" w:lineRule="exact"/>
        <w:rPr>
          <w:sz w:val="20"/>
          <w:szCs w:val="20"/>
          <w:color w:val="auto"/>
        </w:rPr>
      </w:pPr>
    </w:p>
    <w:p>
      <w:pPr>
        <w:ind w:right="280" w:firstLine="9"/>
        <w:spacing w:after="0" w:line="254" w:lineRule="auto"/>
        <w:tabs>
          <w:tab w:leader="none" w:pos="30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90" w:lineRule="exact"/>
        <w:rPr>
          <w:sz w:val="20"/>
          <w:szCs w:val="20"/>
          <w:color w:val="auto"/>
        </w:rPr>
      </w:pPr>
    </w:p>
    <w:p>
      <w:pPr>
        <w:ind w:right="6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00C000"/>
          <w:strike w:val="1"/>
        </w:rPr>
        <w:t>“Euro” and “€” means the single currency of the Participating Member States.</w:t>
      </w:r>
    </w:p>
    <w:p>
      <w:pPr>
        <w:spacing w:after="0" w:line="224" w:lineRule="exact"/>
        <w:rPr>
          <w:sz w:val="20"/>
          <w:szCs w:val="20"/>
          <w:color w:val="auto"/>
        </w:rPr>
      </w:pPr>
    </w:p>
    <w:p>
      <w:pPr>
        <w:ind w:firstLine="98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Eurocurrency Base Rate” means, with respect to each day during each Interest Period pertaining to a Eurocurrency Loan, the London</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Interbank </w:t>
      </w:r>
      <w:r>
        <w:rPr>
          <w:rFonts w:ascii="Arial" w:cs="Arial" w:eastAsia="Arial" w:hAnsi="Arial"/>
          <w:sz w:val="16"/>
          <w:szCs w:val="16"/>
          <w:color w:val="00C000"/>
          <w:strike w:val="1"/>
        </w:rPr>
        <w:t>offered rate as administered by</w:t>
      </w:r>
      <w:r>
        <w:rPr>
          <w:rFonts w:ascii="Arial" w:cs="Arial" w:eastAsia="Arial" w:hAnsi="Arial"/>
          <w:sz w:val="16"/>
          <w:szCs w:val="16"/>
          <w:color w:val="FF0000"/>
          <w:strike w:val="1"/>
        </w:rPr>
        <w:t xml:space="preserve"> the </w:t>
      </w:r>
      <w:r>
        <w:rPr>
          <w:rFonts w:ascii="Arial" w:cs="Arial" w:eastAsia="Arial" w:hAnsi="Arial"/>
          <w:sz w:val="16"/>
          <w:szCs w:val="16"/>
          <w:color w:val="00C000"/>
          <w:strike w:val="1"/>
        </w:rPr>
        <w:t>ICE Benchmark Administration (or any other Person that takes over the administration of such rate) for</w:t>
      </w:r>
      <w:r>
        <w:rPr>
          <w:rFonts w:ascii="Arial" w:cs="Arial" w:eastAsia="Arial" w:hAnsi="Arial"/>
          <w:sz w:val="16"/>
          <w:szCs w:val="16"/>
          <w:color w:val="FF0000"/>
          <w:strike w:val="1"/>
        </w:rPr>
        <w:t xml:space="preserve"> the applicable </w:t>
      </w:r>
      <w:r>
        <w:rPr>
          <w:rFonts w:ascii="Arial" w:cs="Arial" w:eastAsia="Arial" w:hAnsi="Arial"/>
          <w:sz w:val="16"/>
          <w:szCs w:val="16"/>
          <w:color w:val="00C000"/>
          <w:strike w:val="1"/>
        </w:rPr>
        <w:t>Currency for a period equal</w:t>
      </w:r>
      <w:r>
        <w:rPr>
          <w:rFonts w:ascii="Arial" w:cs="Arial" w:eastAsia="Arial" w:hAnsi="Arial"/>
          <w:sz w:val="16"/>
          <w:szCs w:val="16"/>
          <w:color w:val="FF0000"/>
          <w:strike w:val="1"/>
        </w:rPr>
        <w:t xml:space="preserve"> to such Interest Period commencing on the first day of </w:t>
      </w:r>
      <w:r>
        <w:rPr>
          <w:rFonts w:ascii="Arial" w:cs="Arial" w:eastAsia="Arial" w:hAnsi="Arial"/>
          <w:sz w:val="16"/>
          <w:szCs w:val="16"/>
          <w:color w:val="00C000"/>
          <w:strike w:val="1"/>
        </w:rPr>
        <w:t>such Interest Period as displayed on</w:t>
      </w:r>
      <w:r>
        <w:rPr>
          <w:rFonts w:ascii="Arial" w:cs="Arial" w:eastAsia="Arial" w:hAnsi="Arial"/>
          <w:sz w:val="16"/>
          <w:szCs w:val="16"/>
          <w:color w:val="FF0000"/>
          <w:strike w:val="1"/>
        </w:rPr>
        <w:t xml:space="preserve"> page </w:t>
      </w:r>
      <w:r>
        <w:rPr>
          <w:rFonts w:ascii="Arial" w:cs="Arial" w:eastAsia="Arial" w:hAnsi="Arial"/>
          <w:sz w:val="16"/>
          <w:szCs w:val="16"/>
          <w:color w:val="00C000"/>
          <w:strike w:val="1"/>
        </w:rPr>
        <w:t>LIBOR01 or</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 xml:space="preserve">LIBOR02 of the Reuters </w:t>
      </w:r>
      <w:r>
        <w:rPr>
          <w:rFonts w:ascii="Arial" w:cs="Arial" w:eastAsia="Arial" w:hAnsi="Arial"/>
          <w:sz w:val="16"/>
          <w:szCs w:val="16"/>
          <w:color w:val="FF0000"/>
          <w:strike w:val="1"/>
        </w:rPr>
        <w:t>Screen</w:t>
      </w:r>
      <w:r>
        <w:rPr>
          <w:rFonts w:ascii="Arial" w:cs="Arial" w:eastAsia="Arial" w:hAnsi="Arial"/>
          <w:sz w:val="16"/>
          <w:szCs w:val="16"/>
          <w:color w:val="00C000"/>
          <w:strike w:val="1"/>
        </w:rPr>
        <w:t xml:space="preserve">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t>
      </w:r>
      <w:r>
        <w:rPr>
          <w:rFonts w:ascii="Arial" w:cs="Arial" w:eastAsia="Arial" w:hAnsi="Arial"/>
          <w:sz w:val="16"/>
          <w:szCs w:val="16"/>
          <w:color w:val="FF0000"/>
          <w:strike w:val="1"/>
        </w:rPr>
        <w:t>with the consent of the Company (such consent not to be unreasonably withheld); in each case, the “Screen</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 xml:space="preserve">Rate”) as of 11:00 A.M., London time, on the Quotation Date; provided, that, if the Screen </w:t>
      </w:r>
      <w:r>
        <w:rPr>
          <w:rFonts w:ascii="Arial" w:cs="Arial" w:eastAsia="Arial" w:hAnsi="Arial"/>
          <w:sz w:val="16"/>
          <w:szCs w:val="16"/>
          <w:color w:val="00C000"/>
          <w:strike w:val="1"/>
        </w:rPr>
        <w:t>Rate shall not be available at such time for such Interest</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 xml:space="preserve">Period (an “Impacted Interest Period”) with respect to </w:t>
      </w:r>
      <w:r>
        <w:rPr>
          <w:rFonts w:ascii="Arial" w:cs="Arial" w:eastAsia="Arial" w:hAnsi="Arial"/>
          <w:sz w:val="16"/>
          <w:szCs w:val="16"/>
          <w:color w:val="FF0000"/>
          <w:strike w:val="1"/>
        </w:rPr>
        <w:t>the applicable Currency,</w:t>
      </w:r>
      <w:r>
        <w:rPr>
          <w:rFonts w:ascii="Arial" w:cs="Arial" w:eastAsia="Arial" w:hAnsi="Arial"/>
          <w:sz w:val="16"/>
          <w:szCs w:val="16"/>
          <w:color w:val="00C000"/>
          <w:strike w:val="1"/>
        </w:rPr>
        <w:t xml:space="preserve"> then the Eurocurrency Base Rate shall be the </w:t>
      </w:r>
      <w:r>
        <w:rPr>
          <w:rFonts w:ascii="Arial" w:cs="Arial" w:eastAsia="Arial" w:hAnsi="Arial"/>
          <w:sz w:val="16"/>
          <w:szCs w:val="16"/>
          <w:color w:val="FF0000"/>
          <w:strike w:val="1"/>
        </w:rPr>
        <w:t>Interpolated Rate at such</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 xml:space="preserve">time; provided, further, that if the Screen Rate shall be </w:t>
      </w:r>
      <w:r>
        <w:rPr>
          <w:rFonts w:ascii="Arial" w:cs="Arial" w:eastAsia="Arial" w:hAnsi="Arial"/>
          <w:sz w:val="16"/>
          <w:szCs w:val="16"/>
          <w:color w:val="00C000"/>
          <w:strike w:val="1"/>
        </w:rPr>
        <w:t>less than zero, such rate shall be deemed to be zero for</w:t>
      </w:r>
      <w:r>
        <w:rPr>
          <w:rFonts w:ascii="Arial" w:cs="Arial" w:eastAsia="Arial" w:hAnsi="Arial"/>
          <w:sz w:val="16"/>
          <w:szCs w:val="16"/>
          <w:color w:val="FF0000"/>
          <w:strike w:val="1"/>
        </w:rPr>
        <w:t xml:space="preserve"> purposes of this Agreement. “</w:t>
      </w:r>
      <w:r>
        <w:rPr>
          <w:rFonts w:ascii="Arial" w:cs="Arial" w:eastAsia="Arial" w:hAnsi="Arial"/>
          <w:sz w:val="16"/>
          <w:szCs w:val="16"/>
          <w:u w:val="single" w:color="auto"/>
          <w:color w:val="0000FF"/>
          <w:strike w:val="1"/>
        </w:rPr>
        <w:t>EURIBOR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Interpolated Rate</w:t>
      </w:r>
      <w:r>
        <w:rPr>
          <w:rFonts w:ascii="Arial" w:cs="Arial" w:eastAsia="Arial" w:hAnsi="Arial"/>
          <w:sz w:val="16"/>
          <w:szCs w:val="16"/>
          <w:color w:val="000000"/>
          <w:strike w:val="1"/>
        </w:rPr>
        <w:t xml:space="preserve">” means, at any time, </w:t>
      </w:r>
      <w:r>
        <w:rPr>
          <w:rFonts w:ascii="Arial" w:cs="Arial" w:eastAsia="Arial" w:hAnsi="Arial"/>
          <w:sz w:val="16"/>
          <w:szCs w:val="16"/>
          <w:u w:val="single" w:color="auto"/>
          <w:color w:val="0000FF"/>
          <w:strike w:val="1"/>
        </w:rPr>
        <w:t>with respect to any Eurocurrency Borrowing denominated in Euros and for any Interest Period,</w:t>
      </w:r>
      <w:r>
        <w:rPr>
          <w:rFonts w:ascii="Arial" w:cs="Arial" w:eastAsia="Arial" w:hAnsi="Arial"/>
          <w:sz w:val="16"/>
          <w:szCs w:val="16"/>
          <w:color w:val="000000"/>
          <w:strike w:val="1"/>
        </w:rPr>
        <w:t xml:space="preserve"> the rate per annum </w:t>
      </w:r>
      <w:r>
        <w:rPr>
          <w:rFonts w:ascii="Arial" w:cs="Arial" w:eastAsia="Arial" w:hAnsi="Arial"/>
          <w:sz w:val="16"/>
          <w:szCs w:val="16"/>
          <w:u w:val="single" w:color="auto"/>
          <w:color w:val="0000FF"/>
          <w:strike w:val="1"/>
        </w:rPr>
        <w:t>(rounded to the same number of decimal places as the EURIBOR Screen Rate)</w:t>
      </w:r>
      <w:r>
        <w:rPr>
          <w:rFonts w:ascii="Arial" w:cs="Arial" w:eastAsia="Arial" w:hAnsi="Arial"/>
          <w:sz w:val="16"/>
          <w:szCs w:val="16"/>
          <w:color w:val="000000"/>
          <w:strike w:val="1"/>
        </w:rPr>
        <w:t xml:space="preserve"> determined by the Administrative Agent (which determination shall be conclusive and binding absent manifest error) to be equal to the rate that results from interpolating on a linear basis between: (a)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-421005</wp:posOffset>
            </wp:positionV>
            <wp:extent cx="50482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504825" cy="8255"/>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-283845</wp:posOffset>
            </wp:positionV>
            <wp:extent cx="433578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33578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-147320</wp:posOffset>
            </wp:positionV>
            <wp:extent cx="361759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3" w:right="479" w:bottom="1440" w:gutter="0" w:footer="0" w:header="0"/>
        </w:sectPr>
      </w:pPr>
    </w:p>
    <w:bookmarkStart w:id="507" w:name="page508"/>
    <w:bookmarkEnd w:id="507"/>
    <w:p>
      <w:pPr>
        <w:ind w:right="80"/>
        <w:spacing w:after="0" w:line="30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EURIBOR</w:t>
      </w:r>
      <w:r>
        <w:rPr>
          <w:rFonts w:ascii="Arial" w:cs="Arial" w:eastAsia="Arial" w:hAnsi="Arial"/>
          <w:sz w:val="16"/>
          <w:szCs w:val="16"/>
          <w:color w:val="0000FF"/>
        </w:rPr>
        <w:t xml:space="preserve"> </w:t>
      </w:r>
      <w:r>
        <w:rPr>
          <w:rFonts w:ascii="Arial" w:cs="Arial" w:eastAsia="Arial" w:hAnsi="Arial"/>
          <w:sz w:val="16"/>
          <w:szCs w:val="16"/>
          <w:color w:val="000000"/>
        </w:rPr>
        <w:t>Screen Rate for the longest period (for which</w:t>
      </w:r>
      <w:r>
        <w:rPr>
          <w:rFonts w:ascii="Arial" w:cs="Arial" w:eastAsia="Arial" w:hAnsi="Arial"/>
          <w:sz w:val="16"/>
          <w:szCs w:val="16"/>
          <w:color w:val="0000FF"/>
        </w:rPr>
        <w:t xml:space="preserve"> </w:t>
      </w:r>
      <w:r>
        <w:rPr>
          <w:rFonts w:ascii="Arial" w:cs="Arial" w:eastAsia="Arial" w:hAnsi="Arial"/>
          <w:sz w:val="16"/>
          <w:szCs w:val="16"/>
          <w:color w:val="FF0000"/>
          <w:strike w:val="1"/>
        </w:rPr>
        <w:t>that</w:t>
      </w:r>
      <w:r>
        <w:rPr>
          <w:rFonts w:ascii="Arial" w:cs="Arial" w:eastAsia="Arial" w:hAnsi="Arial"/>
          <w:sz w:val="16"/>
          <w:szCs w:val="16"/>
          <w:u w:val="single" w:color="auto"/>
          <w:color w:val="0000FF"/>
        </w:rPr>
        <w:t>the EURIBOR</w:t>
      </w:r>
      <w:r>
        <w:rPr>
          <w:rFonts w:ascii="Arial" w:cs="Arial" w:eastAsia="Arial" w:hAnsi="Arial"/>
          <w:sz w:val="16"/>
          <w:szCs w:val="16"/>
          <w:color w:val="0000FF"/>
        </w:rPr>
        <w:t xml:space="preserve"> </w:t>
      </w:r>
      <w:r>
        <w:rPr>
          <w:rFonts w:ascii="Arial" w:cs="Arial" w:eastAsia="Arial" w:hAnsi="Arial"/>
          <w:sz w:val="16"/>
          <w:szCs w:val="16"/>
          <w:color w:val="000000"/>
        </w:rPr>
        <w:t>Screen Rate is available for</w:t>
      </w:r>
      <w:r>
        <w:rPr>
          <w:rFonts w:ascii="Arial" w:cs="Arial" w:eastAsia="Arial" w:hAnsi="Arial"/>
          <w:sz w:val="16"/>
          <w:szCs w:val="16"/>
          <w:color w:val="0000FF"/>
        </w:rPr>
        <w:t xml:space="preserve"> </w:t>
      </w:r>
      <w:r>
        <w:rPr>
          <w:rFonts w:ascii="Arial" w:cs="Arial" w:eastAsia="Arial" w:hAnsi="Arial"/>
          <w:sz w:val="16"/>
          <w:szCs w:val="16"/>
          <w:color w:val="FF0000"/>
          <w:strike w:val="1"/>
        </w:rPr>
        <w:t>the applicable Currency</w:t>
      </w:r>
      <w:r>
        <w:rPr>
          <w:rFonts w:ascii="Arial" w:cs="Arial" w:eastAsia="Arial" w:hAnsi="Arial"/>
          <w:sz w:val="16"/>
          <w:szCs w:val="16"/>
          <w:u w:val="single" w:color="auto"/>
          <w:color w:val="0000FF"/>
        </w:rPr>
        <w:t>Euros</w:t>
      </w:r>
      <w:r>
        <w:rPr>
          <w:rFonts w:ascii="Arial" w:cs="Arial" w:eastAsia="Arial" w:hAnsi="Arial"/>
          <w:sz w:val="16"/>
          <w:szCs w:val="16"/>
          <w:color w:val="000000"/>
        </w:rPr>
        <w:t>) that is shorter</w:t>
      </w:r>
      <w:r>
        <w:rPr>
          <w:rFonts w:ascii="Arial" w:cs="Arial" w:eastAsia="Arial" w:hAnsi="Arial"/>
          <w:sz w:val="16"/>
          <w:szCs w:val="16"/>
          <w:color w:val="0000FF"/>
        </w:rPr>
        <w:t xml:space="preserve"> </w:t>
      </w:r>
      <w:r>
        <w:rPr>
          <w:rFonts w:ascii="Arial" w:cs="Arial" w:eastAsia="Arial" w:hAnsi="Arial"/>
          <w:sz w:val="16"/>
          <w:szCs w:val="16"/>
          <w:color w:val="000000"/>
        </w:rPr>
        <w:t xml:space="preserve">than the Impacted </w:t>
      </w:r>
      <w:r>
        <w:rPr>
          <w:rFonts w:ascii="Arial" w:cs="Arial" w:eastAsia="Arial" w:hAnsi="Arial"/>
          <w:sz w:val="16"/>
          <w:szCs w:val="16"/>
          <w:u w:val="single" w:color="auto"/>
          <w:color w:val="0000FF"/>
        </w:rPr>
        <w:t>EURIBOR Rate</w:t>
      </w:r>
      <w:r>
        <w:rPr>
          <w:rFonts w:ascii="Arial" w:cs="Arial" w:eastAsia="Arial" w:hAnsi="Arial"/>
          <w:sz w:val="16"/>
          <w:szCs w:val="16"/>
          <w:color w:val="000000"/>
        </w:rPr>
        <w:t xml:space="preserve"> Interest Period</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and (b) the </w:t>
      </w:r>
      <w:r>
        <w:rPr>
          <w:rFonts w:ascii="Arial" w:cs="Arial" w:eastAsia="Arial" w:hAnsi="Arial"/>
          <w:sz w:val="16"/>
          <w:szCs w:val="16"/>
          <w:u w:val="single" w:color="auto"/>
          <w:color w:val="0000FF"/>
        </w:rPr>
        <w:t>EURIBOR</w:t>
      </w:r>
      <w:r>
        <w:rPr>
          <w:rFonts w:ascii="Arial" w:cs="Arial" w:eastAsia="Arial" w:hAnsi="Arial"/>
          <w:sz w:val="16"/>
          <w:szCs w:val="16"/>
          <w:color w:val="000000"/>
        </w:rPr>
        <w:t xml:space="preserve"> Screen Rate for the shortest period (for which </w:t>
      </w:r>
      <w:r>
        <w:rPr>
          <w:rFonts w:ascii="Arial" w:cs="Arial" w:eastAsia="Arial" w:hAnsi="Arial"/>
          <w:sz w:val="16"/>
          <w:szCs w:val="16"/>
          <w:color w:val="FF0000"/>
          <w:strike w:val="1"/>
        </w:rPr>
        <w:t>tha</w:t>
      </w:r>
      <w:r>
        <w:rPr>
          <w:rFonts w:ascii="Arial" w:cs="Arial" w:eastAsia="Arial" w:hAnsi="Arial"/>
          <w:sz w:val="16"/>
          <w:szCs w:val="16"/>
          <w:color w:val="000000"/>
        </w:rPr>
        <w:t>t</w:t>
      </w:r>
      <w:r>
        <w:rPr>
          <w:rFonts w:ascii="Arial" w:cs="Arial" w:eastAsia="Arial" w:hAnsi="Arial"/>
          <w:sz w:val="16"/>
          <w:szCs w:val="16"/>
          <w:u w:val="single" w:color="auto"/>
          <w:color w:val="0000FF"/>
        </w:rPr>
        <w:t>the EURIBOR</w:t>
      </w:r>
      <w:r>
        <w:rPr>
          <w:rFonts w:ascii="Arial" w:cs="Arial" w:eastAsia="Arial" w:hAnsi="Arial"/>
          <w:sz w:val="16"/>
          <w:szCs w:val="16"/>
          <w:color w:val="000000"/>
        </w:rPr>
        <w:t xml:space="preserve"> Screen Rate is available for </w:t>
      </w:r>
      <w:r>
        <w:rPr>
          <w:rFonts w:ascii="Arial" w:cs="Arial" w:eastAsia="Arial" w:hAnsi="Arial"/>
          <w:sz w:val="16"/>
          <w:szCs w:val="16"/>
          <w:color w:val="FF0000"/>
          <w:strike w:val="1"/>
        </w:rPr>
        <w:t>the applicable Currency</w:t>
      </w:r>
      <w:r>
        <w:rPr>
          <w:rFonts w:ascii="Arial" w:cs="Arial" w:eastAsia="Arial" w:hAnsi="Arial"/>
          <w:sz w:val="16"/>
          <w:szCs w:val="16"/>
          <w:u w:val="single" w:color="auto"/>
          <w:color w:val="0000FF"/>
        </w:rPr>
        <w:t>Euros</w:t>
      </w:r>
      <w:r>
        <w:rPr>
          <w:rFonts w:ascii="Arial" w:cs="Arial" w:eastAsia="Arial" w:hAnsi="Arial"/>
          <w:sz w:val="16"/>
          <w:szCs w:val="16"/>
          <w:color w:val="000000"/>
        </w:rPr>
        <w:t xml:space="preserve">) that exceeds the Impacted </w:t>
      </w:r>
      <w:r>
        <w:rPr>
          <w:rFonts w:ascii="Arial" w:cs="Arial" w:eastAsia="Arial" w:hAnsi="Arial"/>
          <w:sz w:val="16"/>
          <w:szCs w:val="16"/>
          <w:u w:val="single" w:color="auto"/>
          <w:color w:val="0000FF"/>
        </w:rPr>
        <w:t>EURIBOR Rate</w:t>
      </w:r>
      <w:r>
        <w:rPr>
          <w:rFonts w:ascii="Arial" w:cs="Arial" w:eastAsia="Arial" w:hAnsi="Arial"/>
          <w:sz w:val="16"/>
          <w:szCs w:val="16"/>
          <w:color w:val="000000"/>
        </w:rPr>
        <w:t xml:space="preserve"> Interest Period, in each case, at such time</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provided</w:t>
      </w:r>
      <w:r>
        <w:rPr>
          <w:rFonts w:ascii="Arial" w:cs="Arial" w:eastAsia="Arial" w:hAnsi="Arial"/>
          <w:sz w:val="16"/>
          <w:szCs w:val="16"/>
          <w:color w:val="FF0000"/>
          <w:strike w:val="1"/>
        </w:rPr>
        <w:t>,</w:t>
      </w:r>
      <w:r>
        <w:rPr>
          <w:rFonts w:ascii="Arial" w:cs="Arial" w:eastAsia="Arial" w:hAnsi="Arial"/>
          <w:sz w:val="16"/>
          <w:szCs w:val="16"/>
          <w:color w:val="000000"/>
        </w:rPr>
        <w:t xml:space="preserve"> that</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if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 EURIBOR</w:t>
      </w:r>
      <w:r>
        <w:rPr>
          <w:rFonts w:ascii="Arial" w:cs="Arial" w:eastAsia="Arial" w:hAnsi="Arial"/>
          <w:sz w:val="16"/>
          <w:szCs w:val="16"/>
          <w:color w:val="FF0000"/>
        </w:rPr>
        <w:t xml:space="preserve"> </w:t>
      </w:r>
      <w:r>
        <w:rPr>
          <w:rFonts w:ascii="Arial" w:cs="Arial" w:eastAsia="Arial" w:hAnsi="Arial"/>
          <w:sz w:val="16"/>
          <w:szCs w:val="16"/>
          <w:color w:val="000000"/>
        </w:rPr>
        <w:t>Interpolated Rate shall be less than zero, such rate shall be deemed to be zero for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the</w:t>
      </w:r>
      <w:r>
        <w:rPr>
          <w:rFonts w:ascii="Arial" w:cs="Arial" w:eastAsia="Arial" w:hAnsi="Arial"/>
          <w:sz w:val="16"/>
          <w:szCs w:val="16"/>
          <w:color w:val="FF0000"/>
        </w:rPr>
        <w:t xml:space="preserve"> </w:t>
      </w:r>
      <w:r>
        <w:rPr>
          <w:rFonts w:ascii="Arial" w:cs="Arial" w:eastAsia="Arial" w:hAnsi="Arial"/>
          <w:sz w:val="16"/>
          <w:szCs w:val="16"/>
          <w:color w:val="000000"/>
        </w:rPr>
        <w:t>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49593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4959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-431165</wp:posOffset>
            </wp:positionV>
            <wp:extent cx="66738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67385"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-431165</wp:posOffset>
            </wp:positionV>
            <wp:extent cx="26543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-294005</wp:posOffset>
            </wp:positionV>
            <wp:extent cx="73533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35330" cy="825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-294005</wp:posOffset>
            </wp:positionV>
            <wp:extent cx="342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-294005</wp:posOffset>
            </wp:positionV>
            <wp:extent cx="49593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495935"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-294005</wp:posOffset>
            </wp:positionV>
            <wp:extent cx="66738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667385" cy="8255"/>
                    </a:xfrm>
                    <a:prstGeom prst="rect">
                      <a:avLst/>
                    </a:prstGeom>
                    <a:noFill/>
                  </pic:spPr>
                </pic:pic>
              </a:graphicData>
            </a:graphic>
          </wp:anchor>
        </w:drawing>
        <w:drawing>
          <wp:anchor simplePos="0" relativeHeight="251657728" behindDoc="1" locked="0" layoutInCell="0" allowOverlap="1">
            <wp:simplePos x="0" y="0"/>
            <wp:positionH relativeFrom="column">
              <wp:posOffset>1801495</wp:posOffset>
            </wp:positionH>
            <wp:positionV relativeFrom="paragraph">
              <wp:posOffset>-157480</wp:posOffset>
            </wp:positionV>
            <wp:extent cx="26543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-157480</wp:posOffset>
            </wp:positionV>
            <wp:extent cx="73533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3533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-157480</wp:posOffset>
            </wp:positionV>
            <wp:extent cx="342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-157480</wp:posOffset>
            </wp:positionV>
            <wp:extent cx="342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-20320</wp:posOffset>
            </wp:positionV>
            <wp:extent cx="69278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92785" cy="825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-20320</wp:posOffset>
            </wp:positionV>
            <wp:extent cx="13652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34" w:lineRule="exact"/>
        <w:rPr>
          <w:sz w:val="20"/>
          <w:szCs w:val="20"/>
          <w:color w:val="auto"/>
        </w:rPr>
      </w:pPr>
    </w:p>
    <w:p>
      <w:pPr>
        <w:ind w:firstLine="989"/>
        <w:spacing w:after="0" w:line="258" w:lineRule="auto"/>
        <w:rPr>
          <w:sz w:val="20"/>
          <w:szCs w:val="20"/>
          <w:color w:val="auto"/>
        </w:rPr>
      </w:pPr>
      <w:r>
        <w:rPr>
          <w:rFonts w:ascii="Arial" w:cs="Arial" w:eastAsia="Arial" w:hAnsi="Arial"/>
          <w:sz w:val="18"/>
          <w:szCs w:val="18"/>
          <w:u w:val="single" w:color="auto"/>
          <w:color w:val="0000FF"/>
        </w:rPr>
        <w:t>“EURIBOR Rate” means, with respect to any Eurocurrency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“Impacted EURIBOR Rate Interest Period”) with respect to Euros then the EURIBOR Rate shall be the EURIBOR Interpolated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-410210</wp:posOffset>
            </wp:positionV>
            <wp:extent cx="625157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2515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7906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97039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305308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053080" cy="8255"/>
                    </a:xfrm>
                    <a:prstGeom prst="rect">
                      <a:avLst/>
                    </a:prstGeom>
                    <a:noFill/>
                  </pic:spPr>
                </pic:pic>
              </a:graphicData>
            </a:graphic>
          </wp:anchor>
        </w:drawing>
      </w:r>
    </w:p>
    <w:p>
      <w:pPr>
        <w:spacing w:after="0" w:line="167" w:lineRule="exact"/>
        <w:rPr>
          <w:sz w:val="20"/>
          <w:szCs w:val="20"/>
          <w:color w:val="auto"/>
        </w:rPr>
      </w:pPr>
    </w:p>
    <w:p>
      <w:pPr>
        <w:ind w:right="240" w:firstLine="989"/>
        <w:spacing w:after="0" w:line="271" w:lineRule="auto"/>
        <w:rPr>
          <w:sz w:val="20"/>
          <w:szCs w:val="20"/>
          <w:color w:val="auto"/>
        </w:rPr>
      </w:pPr>
      <w:r>
        <w:rPr>
          <w:rFonts w:ascii="Arial" w:cs="Arial" w:eastAsia="Arial" w:hAnsi="Arial"/>
          <w:sz w:val="17"/>
          <w:szCs w:val="17"/>
          <w:u w:val="single" w:color="auto"/>
          <w:color w:val="0000FF"/>
        </w:rPr>
        <w:t>“EURIBOR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-826135</wp:posOffset>
            </wp:positionV>
            <wp:extent cx="608076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-688975</wp:posOffset>
            </wp:positionV>
            <wp:extent cx="678180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67818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-552450</wp:posOffset>
            </wp:positionV>
            <wp:extent cx="672211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7221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-415290</wp:posOffset>
            </wp:positionV>
            <wp:extent cx="68160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816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-278765</wp:posOffset>
            </wp:positionV>
            <wp:extent cx="67906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-141605</wp:posOffset>
            </wp:positionV>
            <wp:extent cx="679894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67989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421640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4216400" cy="8255"/>
                    </a:xfrm>
                    <a:prstGeom prst="rect">
                      <a:avLst/>
                    </a:prstGeom>
                    <a:noFill/>
                  </pic:spPr>
                </pic:pic>
              </a:graphicData>
            </a:graphic>
          </wp:anchor>
        </w:drawing>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C000"/>
        </w:rPr>
        <w:t>“Euro” and “€” means the single currency of the Participating Member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356616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4" w:lineRule="exact"/>
        <w:rPr>
          <w:sz w:val="20"/>
          <w:szCs w:val="20"/>
          <w:color w:val="auto"/>
        </w:rPr>
      </w:pPr>
    </w:p>
    <w:p>
      <w:pPr>
        <w:ind w:firstLine="989"/>
        <w:spacing w:after="0" w:line="263" w:lineRule="auto"/>
        <w:rPr>
          <w:sz w:val="20"/>
          <w:szCs w:val="20"/>
          <w:color w:val="auto"/>
        </w:rPr>
      </w:pPr>
      <w:r>
        <w:rPr>
          <w:rFonts w:ascii="Arial" w:cs="Arial" w:eastAsia="Arial" w:hAnsi="Arial"/>
          <w:sz w:val="18"/>
          <w:szCs w:val="18"/>
          <w:u w:val="single" w:color="auto"/>
          <w:color w:val="0000FF"/>
        </w:rPr>
        <w:t>“Eurocurrency”, when</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used in reference to any Loan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Borrowing,</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refers to whether such Loan</w:t>
      </w:r>
      <w:r>
        <w:rPr>
          <w:rFonts w:ascii="Arial" w:cs="Arial" w:eastAsia="Arial" w:hAnsi="Arial"/>
          <w:sz w:val="18"/>
          <w:szCs w:val="18"/>
          <w:color w:val="0000FF"/>
        </w:rPr>
        <w:t xml:space="preserve">, or the Loans comprising such Borrowing, </w:t>
      </w:r>
      <w:r>
        <w:rPr>
          <w:rFonts w:ascii="Arial" w:cs="Arial" w:eastAsia="Arial" w:hAnsi="Arial"/>
          <w:sz w:val="18"/>
          <w:szCs w:val="18"/>
          <w:u w:val="single" w:color="auto"/>
          <w:color w:val="0000FF"/>
        </w:rPr>
        <w:t xml:space="preserve">are </w:t>
      </w:r>
      <w:r>
        <w:rPr>
          <w:rFonts w:ascii="Arial" w:cs="Arial" w:eastAsia="Arial" w:hAnsi="Arial"/>
          <w:sz w:val="18"/>
          <w:szCs w:val="18"/>
          <w:u w:val="single" w:color="auto"/>
          <w:color w:val="00C000"/>
        </w:rPr>
        <w:t>bearing interest at a rate determined by reference to the</w:t>
      </w:r>
      <w:r>
        <w:rPr>
          <w:rFonts w:ascii="Arial" w:cs="Arial" w:eastAsia="Arial" w:hAnsi="Arial"/>
          <w:sz w:val="18"/>
          <w:szCs w:val="18"/>
          <w:u w:val="single" w:color="auto"/>
          <w:color w:val="0000FF"/>
        </w:rPr>
        <w:t xml:space="preserve"> Eurocurrency Rate, the Adjusted EURIBOR Rate or the Adjusted TIBOR Rate (or, in the case of a Competitive Loan, the Eurocurrency Base Rate or the EURIBOR Rate or the TIBOR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-276860</wp:posOffset>
            </wp:positionV>
            <wp:extent cx="633730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5041900</wp:posOffset>
            </wp:positionH>
            <wp:positionV relativeFrom="paragraph">
              <wp:posOffset>-311150</wp:posOffset>
            </wp:positionV>
            <wp:extent cx="192786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9278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678180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7818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460946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4609465" cy="8255"/>
                    </a:xfrm>
                    <a:prstGeom prst="rect">
                      <a:avLst/>
                    </a:prstGeom>
                    <a:noFill/>
                  </pic:spPr>
                </pic:pic>
              </a:graphicData>
            </a:graphic>
          </wp:anchor>
        </w:drawing>
      </w:r>
    </w:p>
    <w:p>
      <w:pPr>
        <w:spacing w:after="0" w:line="162" w:lineRule="exact"/>
        <w:rPr>
          <w:sz w:val="20"/>
          <w:szCs w:val="20"/>
          <w:color w:val="auto"/>
        </w:rPr>
      </w:pPr>
    </w:p>
    <w:p>
      <w:pPr>
        <w:ind w:right="100" w:firstLine="989"/>
        <w:spacing w:after="0" w:line="258" w:lineRule="auto"/>
        <w:rPr>
          <w:sz w:val="20"/>
          <w:szCs w:val="20"/>
          <w:color w:val="auto"/>
        </w:rPr>
      </w:pPr>
      <w:r>
        <w:rPr>
          <w:rFonts w:ascii="Arial" w:cs="Arial" w:eastAsia="Arial" w:hAnsi="Arial"/>
          <w:sz w:val="18"/>
          <w:szCs w:val="18"/>
          <w:u w:val="single" w:color="auto"/>
          <w:color w:val="0000FF"/>
        </w:rPr>
        <w:t xml:space="preserve">“Eurocurrency Base Rate” means, with respect to any Eurocurrency Borrowing denominated in any Currency and for any Interest Period, the LIBO Screen Rate at approximately 11:00 a.m., London time, two Business Days prior to the commencement of such Interest Period; provided that if the LIBO Screen </w:t>
      </w:r>
      <w:r>
        <w:rPr>
          <w:rFonts w:ascii="Arial" w:cs="Arial" w:eastAsia="Arial" w:hAnsi="Arial"/>
          <w:sz w:val="18"/>
          <w:szCs w:val="18"/>
          <w:u w:val="single" w:color="auto"/>
          <w:color w:val="00C000"/>
        </w:rPr>
        <w:t>Rate shall not be available at such time for such Interest Period (an “Impacted</w:t>
      </w:r>
      <w:r>
        <w:rPr>
          <w:rFonts w:ascii="Arial" w:cs="Arial" w:eastAsia="Arial" w:hAnsi="Arial"/>
          <w:sz w:val="18"/>
          <w:szCs w:val="18"/>
          <w:u w:val="single" w:color="auto"/>
          <w:color w:val="0000FF"/>
        </w:rPr>
        <w:t xml:space="preserve"> LIBO Rate </w:t>
      </w:r>
      <w:r>
        <w:rPr>
          <w:rFonts w:ascii="Arial" w:cs="Arial" w:eastAsia="Arial" w:hAnsi="Arial"/>
          <w:sz w:val="18"/>
          <w:szCs w:val="18"/>
          <w:u w:val="single" w:color="auto"/>
          <w:color w:val="00C000"/>
        </w:rPr>
        <w:t>Interest Period”) with respect to</w:t>
      </w:r>
      <w:r>
        <w:rPr>
          <w:rFonts w:ascii="Arial" w:cs="Arial" w:eastAsia="Arial" w:hAnsi="Arial"/>
          <w:sz w:val="18"/>
          <w:szCs w:val="18"/>
          <w:u w:val="single" w:color="auto"/>
          <w:color w:val="0000FF"/>
        </w:rPr>
        <w:t xml:space="preserve"> such Currency </w:t>
      </w:r>
      <w:r>
        <w:rPr>
          <w:rFonts w:ascii="Arial" w:cs="Arial" w:eastAsia="Arial" w:hAnsi="Arial"/>
          <w:sz w:val="18"/>
          <w:szCs w:val="18"/>
          <w:u w:val="single" w:color="auto"/>
          <w:color w:val="00C000"/>
        </w:rPr>
        <w:t>then the Eurocurrency Base Rate shall be the</w:t>
      </w:r>
      <w:r>
        <w:rPr>
          <w:rFonts w:ascii="Arial" w:cs="Arial" w:eastAsia="Arial" w:hAnsi="Arial"/>
          <w:sz w:val="18"/>
          <w:szCs w:val="18"/>
          <w:u w:val="single" w:color="auto"/>
          <w:color w:val="0000FF"/>
        </w:rPr>
        <w:t xml:space="preserve"> LIBO Interpolated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-410210</wp:posOffset>
            </wp:positionV>
            <wp:extent cx="627761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2776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89292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68929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70496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7049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364299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4" w:lineRule="exact"/>
        <w:rPr>
          <w:sz w:val="20"/>
          <w:szCs w:val="20"/>
          <w:color w:val="auto"/>
        </w:rPr>
      </w:pPr>
    </w:p>
    <w:p>
      <w:pPr>
        <w:ind w:right="3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xml:space="preserve">” means, with respect to each day during each Interest Period pertaining to a Eurocurrency Loan, a rate per annum </w:t>
      </w:r>
      <w:r>
        <w:rPr>
          <w:rFonts w:ascii="Arial" w:cs="Arial" w:eastAsia="Arial" w:hAnsi="Arial"/>
          <w:sz w:val="18"/>
          <w:szCs w:val="18"/>
          <w:color w:val="FF0000"/>
          <w:strike w:val="1"/>
        </w:rPr>
        <w:t>determined for such day in accordance with the following formula</w:t>
      </w:r>
      <w:r>
        <w:rPr>
          <w:rFonts w:ascii="Arial" w:cs="Arial" w:eastAsia="Arial" w:hAnsi="Arial"/>
          <w:sz w:val="18"/>
          <w:szCs w:val="18"/>
          <w:color w:val="FF0000"/>
        </w:rPr>
        <w:t xml:space="preserve"> </w:t>
      </w:r>
      <w:r>
        <w:rPr>
          <w:rFonts w:ascii="Arial" w:cs="Arial" w:eastAsia="Arial" w:hAnsi="Arial"/>
          <w:sz w:val="18"/>
          <w:szCs w:val="18"/>
          <w:color w:val="000000"/>
        </w:rPr>
        <w:t>(rounded upward</w:t>
      </w:r>
      <w:r>
        <w:rPr>
          <w:rFonts w:ascii="Arial" w:cs="Arial" w:eastAsia="Arial" w:hAnsi="Arial"/>
          <w:sz w:val="18"/>
          <w:szCs w:val="18"/>
          <w:u w:val="single" w:color="auto"/>
          <w:color w:val="0000FF"/>
        </w:rPr>
        <w:t>, if necessary,</w:t>
      </w:r>
      <w:r>
        <w:rPr>
          <w:rFonts w:ascii="Arial" w:cs="Arial" w:eastAsia="Arial" w:hAnsi="Arial"/>
          <w:sz w:val="18"/>
          <w:szCs w:val="18"/>
          <w:color w:val="FF0000"/>
        </w:rPr>
        <w:t xml:space="preserve"> </w:t>
      </w:r>
      <w:r>
        <w:rPr>
          <w:rFonts w:ascii="Arial" w:cs="Arial" w:eastAsia="Arial" w:hAnsi="Arial"/>
          <w:sz w:val="18"/>
          <w:szCs w:val="18"/>
          <w:color w:val="000000"/>
        </w:rPr>
        <w:t>to the nearest 1/</w:t>
      </w:r>
      <w:r>
        <w:rPr>
          <w:rFonts w:ascii="Arial" w:cs="Arial" w:eastAsia="Arial" w:hAnsi="Arial"/>
          <w:sz w:val="18"/>
          <w:szCs w:val="18"/>
          <w:color w:val="FF0000"/>
          <w:strike w:val="1"/>
        </w:rPr>
        <w:t>100</w:t>
      </w:r>
      <w:r>
        <w:rPr>
          <w:rFonts w:ascii="Arial" w:cs="Arial" w:eastAsia="Arial" w:hAnsi="Arial"/>
          <w:sz w:val="18"/>
          <w:szCs w:val="18"/>
          <w:u w:val="single" w:color="auto"/>
          <w:color w:val="0000FF"/>
        </w:rPr>
        <w:t>16</w:t>
      </w:r>
      <w:r>
        <w:rPr>
          <w:rFonts w:ascii="Arial" w:cs="Arial" w:eastAsia="Arial" w:hAnsi="Arial"/>
          <w:sz w:val="18"/>
          <w:szCs w:val="18"/>
          <w:color w:val="000000"/>
        </w:rPr>
        <w:t>th of 1%)</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equal to (a) 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Eurocurrency Base Rate for such Interest Period multiplied by (b)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-140335</wp:posOffset>
            </wp:positionV>
            <wp:extent cx="62420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624205" cy="825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-140335</wp:posOffset>
            </wp:positionV>
            <wp:extent cx="11112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-140335</wp:posOffset>
            </wp:positionV>
            <wp:extent cx="69278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927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42760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4276090" cy="8255"/>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3" w:right="479" w:bottom="1440" w:gutter="0" w:footer="0" w:header="0"/>
        </w:sectPr>
      </w:pPr>
    </w:p>
    <w:bookmarkStart w:id="508" w:name="page509"/>
    <w:bookmarkEnd w:id="508"/>
    <w:p>
      <w:pPr>
        <w:ind w:left="178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Eurocurrency Base Rate</w:t>
      </w:r>
    </w:p>
    <w:p>
      <w:pPr>
        <w:spacing w:after="0" w:line="35" w:lineRule="exact"/>
        <w:rPr>
          <w:sz w:val="20"/>
          <w:szCs w:val="20"/>
          <w:color w:val="auto"/>
        </w:rPr>
      </w:pPr>
    </w:p>
    <w:p>
      <w:pPr>
        <w:ind w:left="1780"/>
        <w:spacing w:after="0"/>
        <w:rPr>
          <w:sz w:val="20"/>
          <w:szCs w:val="20"/>
          <w:color w:val="auto"/>
        </w:rPr>
      </w:pPr>
      <w:r>
        <w:rPr>
          <w:rFonts w:ascii="Arial" w:cs="Arial" w:eastAsia="Arial" w:hAnsi="Arial"/>
          <w:sz w:val="18"/>
          <w:szCs w:val="18"/>
          <w:color w:val="FF0000"/>
          <w:strike w:val="1"/>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-130175</wp:posOffset>
            </wp:positionV>
            <wp:extent cx="473773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4737735" cy="8255"/>
                    </a:xfrm>
                    <a:prstGeom prst="rect">
                      <a:avLst/>
                    </a:prstGeom>
                    <a:noFill/>
                  </pic:spPr>
                </pic:pic>
              </a:graphicData>
            </a:graphic>
          </wp:anchor>
        </w:drawing>
      </w:r>
    </w:p>
    <w:p>
      <w:pPr>
        <w:spacing w:after="0" w:line="204" w:lineRule="exact"/>
        <w:rPr>
          <w:sz w:val="20"/>
          <w:szCs w:val="20"/>
          <w:color w:val="auto"/>
        </w:rPr>
      </w:pPr>
    </w:p>
    <w:p>
      <w:pPr>
        <w:ind w:right="40" w:firstLine="989"/>
        <w:spacing w:after="0" w:line="289"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Eurocurrency Reserve Requirements</w:t>
      </w:r>
      <w:r>
        <w:rPr>
          <w:rFonts w:ascii="Arial" w:cs="Arial" w:eastAsia="Arial" w:hAnsi="Arial"/>
          <w:sz w:val="16"/>
          <w:szCs w:val="16"/>
          <w:color w:val="FF0000"/>
          <w:strike w:val="1"/>
        </w:rPr>
        <w:t xml:space="preserve">”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w:t>
      </w:r>
      <w:r>
        <w:rPr>
          <w:rFonts w:ascii="Arial" w:cs="Arial" w:eastAsia="Arial" w:hAnsi="Arial"/>
          <w:sz w:val="16"/>
          <w:szCs w:val="16"/>
          <w:color w:val="00C000"/>
          <w:strike w:val="1"/>
        </w:rPr>
        <w:t>for</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 xml:space="preserve">eurocurrency funding (currently referred to as “Eurocurrency liabilities” in Regulation D </w:t>
      </w:r>
      <w:r>
        <w:rPr>
          <w:rFonts w:ascii="Arial" w:cs="Arial" w:eastAsia="Arial" w:hAnsi="Arial"/>
          <w:sz w:val="16"/>
          <w:szCs w:val="16"/>
          <w:color w:val="FF0000"/>
          <w:strike w:val="1"/>
        </w:rPr>
        <w:t>of the Board) maintained by a member bank of the Federal</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 xml:space="preserve">Reserve System of the United States. Such reserve percentages shall include those imposed under </w:t>
      </w:r>
      <w:r>
        <w:rPr>
          <w:rFonts w:ascii="Arial" w:cs="Arial" w:eastAsia="Arial" w:hAnsi="Arial"/>
          <w:sz w:val="16"/>
          <w:szCs w:val="16"/>
          <w:color w:val="00C000"/>
          <w:strike w:val="1"/>
        </w:rPr>
        <w:t>Regulation D. Eurocurrency Loans shall be deemed to</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 xml:space="preserve">constitute </w:t>
      </w:r>
      <w:r>
        <w:rPr>
          <w:rFonts w:ascii="Arial" w:cs="Arial" w:eastAsia="Arial" w:hAnsi="Arial"/>
          <w:sz w:val="16"/>
          <w:szCs w:val="16"/>
          <w:color w:val="FF0000"/>
          <w:strike w:val="1"/>
        </w:rPr>
        <w:t>Eurocurrency liabilities (as defined in Regulation D of the Board) and as such shall be deemed</w:t>
      </w:r>
      <w:r>
        <w:rPr>
          <w:rFonts w:ascii="Arial" w:cs="Arial" w:eastAsia="Arial" w:hAnsi="Arial"/>
          <w:sz w:val="16"/>
          <w:szCs w:val="16"/>
          <w:color w:val="00C000"/>
          <w:strike w:val="1"/>
        </w:rPr>
        <w:t xml:space="preserve"> to be subject to such reserve requirements without benefit of or credit for proration, </w:t>
      </w:r>
      <w:r>
        <w:rPr>
          <w:rFonts w:ascii="Arial" w:cs="Arial" w:eastAsia="Arial" w:hAnsi="Arial"/>
          <w:sz w:val="16"/>
          <w:szCs w:val="16"/>
          <w:color w:val="FF0000"/>
          <w:strike w:val="1"/>
        </w:rPr>
        <w:t>exceptions or offsets which</w:t>
      </w:r>
      <w:r>
        <w:rPr>
          <w:rFonts w:ascii="Arial" w:cs="Arial" w:eastAsia="Arial" w:hAnsi="Arial"/>
          <w:sz w:val="16"/>
          <w:szCs w:val="16"/>
          <w:color w:val="00C000"/>
          <w:strike w:val="1"/>
        </w:rPr>
        <w:t xml:space="preserve"> may be available from time to time to any Lender under Regulation D</w:t>
      </w:r>
      <w:r>
        <w:rPr>
          <w:rFonts w:ascii="Arial" w:cs="Arial" w:eastAsia="Arial" w:hAnsi="Arial"/>
          <w:sz w:val="16"/>
          <w:szCs w:val="16"/>
          <w:color w:val="FF0000"/>
          <w:strike w:val="1"/>
        </w:rPr>
        <w:t>.</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 xml:space="preserve">Eurocurrency Reserve Requirements shall </w:t>
      </w:r>
      <w:r>
        <w:rPr>
          <w:rFonts w:ascii="Arial" w:cs="Arial" w:eastAsia="Arial" w:hAnsi="Arial"/>
          <w:sz w:val="16"/>
          <w:szCs w:val="16"/>
          <w:color w:val="00C000"/>
          <w:strike w:val="1"/>
        </w:rPr>
        <w:t>be adjusted automatically on and as of the effective date of any change in any reserve percentage.</w:t>
      </w:r>
    </w:p>
    <w:p>
      <w:pPr>
        <w:spacing w:after="0" w:line="167" w:lineRule="exact"/>
        <w:rPr>
          <w:sz w:val="20"/>
          <w:szCs w:val="20"/>
          <w:color w:val="auto"/>
        </w:rPr>
      </w:pPr>
    </w:p>
    <w:p>
      <w:pPr>
        <w:ind w:right="40" w:firstLine="98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Tranche</w:t>
      </w:r>
      <w:r>
        <w:rPr>
          <w:rFonts w:ascii="Arial" w:cs="Arial" w:eastAsia="Arial" w:hAnsi="Arial"/>
          <w:sz w:val="16"/>
          <w:szCs w:val="16"/>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54" w:lineRule="exact"/>
        <w:rPr>
          <w:sz w:val="20"/>
          <w:szCs w:val="20"/>
          <w:color w:val="auto"/>
        </w:rPr>
      </w:pPr>
    </w:p>
    <w:p>
      <w:pPr>
        <w:ind w:right="3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-181610</wp:posOffset>
            </wp:positionV>
            <wp:extent cx="2857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4" w:lineRule="exact"/>
        <w:rPr>
          <w:sz w:val="20"/>
          <w:szCs w:val="20"/>
          <w:color w:val="auto"/>
        </w:rPr>
      </w:pPr>
    </w:p>
    <w:p>
      <w:pPr>
        <w:ind w:firstLine="98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 (ii) Brazilian Reais, the exchange rate (</w:t>
      </w:r>
      <w:r>
        <w:rPr>
          <w:rFonts w:ascii="Arial" w:cs="Arial" w:eastAsia="Arial" w:hAnsi="Arial"/>
          <w:sz w:val="17"/>
          <w:szCs w:val="17"/>
          <w:i w:val="1"/>
          <w:iCs w:val="1"/>
          <w:color w:val="auto"/>
        </w:rPr>
        <w:t>taxa de</w:t>
      </w:r>
      <w:r>
        <w:rPr>
          <w:rFonts w:ascii="Arial" w:cs="Arial" w:eastAsia="Arial" w:hAnsi="Arial"/>
          <w:sz w:val="17"/>
          <w:szCs w:val="17"/>
          <w:color w:val="auto"/>
        </w:rPr>
        <w:t xml:space="preserve"> câmbio) at which such currency may be exchanged into Dollars disclosed by the Central Bank of Brazil on its website (which, at the date hereof, is located at http://www.bcb.gov</w:t>
      </w:r>
      <w:r>
        <w:rPr>
          <w:rFonts w:ascii="Arial" w:cs="Arial" w:eastAsia="Arial" w:hAnsi="Arial"/>
          <w:sz w:val="17"/>
          <w:szCs w:val="17"/>
          <w:color w:val="FF0000"/>
          <w:strike w:val="1"/>
        </w:rPr>
        <w:t>.br</w:t>
      </w:r>
      <w:r>
        <w:rPr>
          <w:rFonts w:ascii="Arial" w:cs="Arial" w:eastAsia="Arial" w:hAnsi="Arial"/>
          <w:sz w:val="17"/>
          <w:szCs w:val="17"/>
          <w:color w:val="auto"/>
        </w:rPr>
        <w:t>/</w:t>
      </w:r>
      <w:r>
        <w:rPr>
          <w:rFonts w:ascii="Arial" w:cs="Arial" w:eastAsia="Arial" w:hAnsi="Arial"/>
          <w:sz w:val="17"/>
          <w:szCs w:val="17"/>
          <w:color w:val="FF0000"/>
          <w:strike w:val="1"/>
        </w:rPr>
        <w:t>?txcambio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brestabilidadefinanceira/historicocotacoes</w:t>
      </w:r>
      <w:r>
        <w:rPr>
          <w:rFonts w:ascii="Arial" w:cs="Arial" w:eastAsia="Arial" w:hAnsi="Arial"/>
          <w:sz w:val="17"/>
          <w:szCs w:val="17"/>
          <w:color w:val="000000"/>
        </w:rPr>
        <w:t>), under</w:t>
      </w:r>
      <w:r>
        <w:rPr>
          <w:rFonts w:ascii="Arial" w:cs="Arial" w:eastAsia="Arial" w:hAnsi="Arial"/>
          <w:sz w:val="17"/>
          <w:szCs w:val="17"/>
          <w:color w:val="0000FF"/>
        </w:rPr>
        <w:t xml:space="preserve"> </w:t>
      </w:r>
      <w:r>
        <w:rPr>
          <w:rFonts w:ascii="Arial" w:cs="Arial" w:eastAsia="Arial" w:hAnsi="Arial"/>
          <w:sz w:val="17"/>
          <w:szCs w:val="17"/>
          <w:color w:val="FF0000"/>
          <w:strike w:val="1"/>
        </w:rPr>
        <w:t>transaction “Cotações e Boletins”</w:t>
      </w:r>
      <w:r>
        <w:rPr>
          <w:rFonts w:ascii="Arial" w:cs="Arial" w:eastAsia="Arial" w:hAnsi="Arial"/>
          <w:sz w:val="17"/>
          <w:szCs w:val="17"/>
          <w:color w:val="0000FF"/>
        </w:rPr>
        <w:t xml:space="preserve"> </w:t>
      </w:r>
      <w:r>
        <w:rPr>
          <w:rFonts w:ascii="Arial" w:cs="Arial" w:eastAsia="Arial" w:hAnsi="Arial"/>
          <w:sz w:val="17"/>
          <w:szCs w:val="17"/>
          <w:color w:val="000000"/>
        </w:rPr>
        <w:t>option “Cotações de fechamento de todas as moedas em uma data”,</w:t>
      </w:r>
      <w:r>
        <w:rPr>
          <w:rFonts w:ascii="Arial" w:cs="Arial" w:eastAsia="Arial" w:hAnsi="Arial"/>
          <w:sz w:val="17"/>
          <w:szCs w:val="17"/>
          <w:color w:val="0000FF"/>
        </w:rPr>
        <w:t xml:space="preserve"> </w:t>
      </w:r>
      <w:r>
        <w:rPr>
          <w:rFonts w:ascii="Arial" w:cs="Arial" w:eastAsia="Arial" w:hAnsi="Arial"/>
          <w:sz w:val="17"/>
          <w:szCs w:val="17"/>
          <w:color w:val="000000"/>
        </w:rPr>
        <w:t xml:space="preserve">“Venda”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w:t>
      </w:r>
      <w:r>
        <w:rPr>
          <w:rFonts w:ascii="Arial" w:cs="Arial" w:eastAsia="Arial" w:hAnsi="Arial"/>
          <w:sz w:val="17"/>
          <w:szCs w:val="17"/>
          <w:color w:val="FF0000"/>
          <w:strike w:val="1"/>
        </w:rPr>
        <w:t>I</w:t>
      </w:r>
      <w:r>
        <w:rPr>
          <w:rFonts w:ascii="Arial" w:cs="Arial" w:eastAsia="Arial" w:hAnsi="Arial"/>
          <w:sz w:val="17"/>
          <w:szCs w:val="17"/>
          <w:u w:val="single" w:color="auto"/>
          <w:color w:val="0000FF"/>
        </w:rPr>
        <w:t>i</w:t>
      </w:r>
      <w:r>
        <w:rPr>
          <w:rFonts w:ascii="Arial" w:cs="Arial" w:eastAsia="Arial" w:hAnsi="Arial"/>
          <w:sz w:val="17"/>
          <w:szCs w:val="17"/>
          <w:color w:val="000000"/>
        </w:rPr>
        <w:t xml:space="preserve">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-1230630</wp:posOffset>
            </wp:positionV>
            <wp:extent cx="191579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91579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-546735</wp:posOffset>
            </wp:positionV>
            <wp:extent cx="342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 GM Holdings, (b) each of the Initial Excluded Subsidiaries, (c) each Subsidiary of the Company that</w:t>
      </w:r>
    </w:p>
    <w:p>
      <w:pPr>
        <w:spacing w:after="0" w:line="34" w:lineRule="exact"/>
        <w:rPr>
          <w:sz w:val="20"/>
          <w:szCs w:val="20"/>
          <w:color w:val="auto"/>
        </w:rPr>
      </w:pPr>
    </w:p>
    <w:p>
      <w:pPr>
        <w:ind w:right="640" w:firstLine="9"/>
        <w:spacing w:after="0" w:line="259" w:lineRule="auto"/>
        <w:tabs>
          <w:tab w:leader="none" w:pos="21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is prohibited by any applicable requirement of law or Governmental Authority from guaranteeing the obligations of the Loan Parties or (ii) is acquired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3" w:right="459" w:bottom="1440" w:gutter="0" w:footer="0" w:header="0"/>
        </w:sectPr>
      </w:pPr>
    </w:p>
    <w:bookmarkStart w:id="509" w:name="page510"/>
    <w:bookmarkEnd w:id="50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(g) each Subsidiary that is a dealership and (h) each Subsidiary acquired or formed after the Closing Date primarily to operate an Excluded Subsidiary Business; provided,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Five Year Credit Agreement</w:t>
      </w:r>
      <w:r>
        <w:rPr>
          <w:rFonts w:ascii="Arial" w:cs="Arial" w:eastAsia="Arial" w:hAnsi="Arial"/>
          <w:sz w:val="18"/>
          <w:szCs w:val="18"/>
          <w:color w:val="auto"/>
        </w:rPr>
        <w:t>” has the meaning assigned to such term in the recitals hereto.</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Five Year Credit Agreement.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Five Year Credit Agreement.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2.27(a).</w:t>
      </w:r>
    </w:p>
    <w:p>
      <w:pPr>
        <w:spacing w:after="0" w:line="224" w:lineRule="exact"/>
        <w:rPr>
          <w:sz w:val="20"/>
          <w:szCs w:val="20"/>
          <w:color w:val="auto"/>
        </w:rPr>
      </w:pPr>
    </w:p>
    <w:p>
      <w:pPr>
        <w:ind w:right="2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 as to any Brazilian Lender, such Lender’s Brazilian Extensions of Credit, (b) as to any Domestic Lender, such Lender’s Domestic Extensions of Credit and (c)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87"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Multicurrency Facility, (d) any New Local Facility and (e) any Incremental Facility.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2.8(a).</w:t>
      </w:r>
    </w:p>
    <w:p>
      <w:pPr>
        <w:spacing w:after="0" w:line="224" w:lineRule="exact"/>
        <w:rPr>
          <w:sz w:val="20"/>
          <w:szCs w:val="20"/>
          <w:color w:val="auto"/>
        </w:rPr>
      </w:pPr>
    </w:p>
    <w:p>
      <w:pPr>
        <w:ind w:right="4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for any day relating to each of the Domestic Facility and the Multicurrency Facility, with respect to the Facility Fees payable hereunder, the applicable rate per annum set forth under the column heading “Facility Fee Rate” in the Applicable Pricing Grid, based upon the Applicable Rating in effect on such day.</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Facilities provided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0" w:lineRule="exact"/>
        <w:rPr>
          <w:sz w:val="20"/>
          <w:szCs w:val="20"/>
          <w:color w:val="auto"/>
        </w:rPr>
      </w:pPr>
    </w:p>
    <w:p>
      <w:pPr>
        <w:ind w:right="20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510" w:name="page511"/>
    <w:bookmarkEnd w:id="510"/>
    <w:p>
      <w:pPr>
        <w:ind w:left="1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“FCA” has the meaning assigned to such term in Section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22860</wp:posOffset>
            </wp:positionV>
            <wp:extent cx="276225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day, the rate calculated by the NYFRB based on such day’s federal funds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depositary institutions (as determined in such manner as </w:t>
      </w:r>
      <w:r>
        <w:rPr>
          <w:rFonts w:ascii="Arial" w:cs="Arial" w:eastAsia="Arial" w:hAnsi="Arial"/>
          <w:sz w:val="17"/>
          <w:szCs w:val="17"/>
          <w:color w:val="FF0000"/>
          <w:strike w:val="1"/>
        </w:rPr>
        <w:t>the NYFRB</w:t>
      </w:r>
      <w:r>
        <w:rPr>
          <w:rFonts w:ascii="Arial" w:cs="Arial" w:eastAsia="Arial" w:hAnsi="Arial"/>
          <w:sz w:val="17"/>
          <w:szCs w:val="17"/>
          <w:color w:val="auto"/>
        </w:rPr>
        <w:t xml:space="preserve"> shall </w:t>
      </w:r>
      <w:r>
        <w:rPr>
          <w:rFonts w:ascii="Arial" w:cs="Arial" w:eastAsia="Arial" w:hAnsi="Arial"/>
          <w:sz w:val="17"/>
          <w:szCs w:val="17"/>
          <w:u w:val="single" w:color="auto"/>
          <w:color w:val="0000FF"/>
        </w:rPr>
        <w:t>be</w:t>
      </w:r>
      <w:r>
        <w:rPr>
          <w:rFonts w:ascii="Arial" w:cs="Arial" w:eastAsia="Arial" w:hAnsi="Arial"/>
          <w:sz w:val="17"/>
          <w:szCs w:val="17"/>
          <w:color w:val="auto"/>
        </w:rPr>
        <w:t xml:space="preserve"> set forth on </w:t>
      </w:r>
      <w:r>
        <w:rPr>
          <w:rFonts w:ascii="Arial" w:cs="Arial" w:eastAsia="Arial" w:hAnsi="Arial"/>
          <w:sz w:val="17"/>
          <w:szCs w:val="17"/>
          <w:color w:val="FF0000"/>
          <w:strike w:val="1"/>
        </w:rPr>
        <w:t>its public</w:t>
      </w:r>
      <w:r>
        <w:rPr>
          <w:rFonts w:ascii="Arial" w:cs="Arial" w:eastAsia="Arial" w:hAnsi="Arial"/>
          <w:sz w:val="17"/>
          <w:szCs w:val="17"/>
          <w:u w:val="single" w:color="auto"/>
          <w:color w:val="0000FF"/>
        </w:rPr>
        <w:t>the Federal Reserve Bank of New York’s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w</w:t>
      </w:r>
      <w:r>
        <w:rPr>
          <w:rFonts w:ascii="Arial" w:cs="Arial" w:eastAsia="Arial" w:hAnsi="Arial"/>
          <w:sz w:val="16"/>
          <w:szCs w:val="16"/>
          <w:u w:val="single" w:color="auto"/>
          <w:color w:val="0000FF"/>
        </w:rPr>
        <w:t>W</w:t>
      </w:r>
      <w:r>
        <w:rPr>
          <w:rFonts w:ascii="Arial" w:cs="Arial" w:eastAsia="Arial" w:hAnsi="Arial"/>
          <w:sz w:val="16"/>
          <w:szCs w:val="16"/>
          <w:color w:val="000000"/>
        </w:rPr>
        <w:t>ebsite from time to time) and published on the next succeeding Business Day by the NYFRB as the federal funds effective rate;</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that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-107950</wp:posOffset>
            </wp:positionV>
            <wp:extent cx="11112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-107950</wp:posOffset>
            </wp:positionV>
            <wp:extent cx="187325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Federal Funds Effective Rate shall be less than zero, such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-122555</wp:posOffset>
            </wp:positionV>
            <wp:extent cx="10287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6"/>
          <w:szCs w:val="16"/>
          <w:u w:val="single" w:color="auto"/>
          <w:color w:val="0000FF"/>
        </w:rPr>
        <w:t>“Federal Reserve Bank of New York’s Website” means the website of the NYFRB at http://www.newyorkfed.org, or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-122555</wp:posOffset>
            </wp:positionV>
            <wp:extent cx="596963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59696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32512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190" w:lineRule="exact"/>
        <w:rPr>
          <w:sz w:val="20"/>
          <w:szCs w:val="20"/>
          <w:color w:val="auto"/>
        </w:rPr>
      </w:pPr>
    </w:p>
    <w:p>
      <w:pPr>
        <w:ind w:right="62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ind w:right="60"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87" w:lineRule="exact"/>
        <w:rPr>
          <w:sz w:val="20"/>
          <w:szCs w:val="20"/>
          <w:color w:val="auto"/>
        </w:rPr>
      </w:pPr>
    </w:p>
    <w:p>
      <w:pPr>
        <w:ind w:right="20" w:firstLine="142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Subsidiary</w:t>
      </w:r>
      <w:r>
        <w:rPr>
          <w:rFonts w:ascii="Arial" w:cs="Arial" w:eastAsia="Arial" w:hAnsi="Arial"/>
          <w:sz w:val="17"/>
          <w:szCs w:val="17"/>
          <w:color w:val="auto"/>
        </w:rPr>
        <w:t xml:space="preserve">”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w:t>
      </w:r>
      <w:r>
        <w:rPr>
          <w:rFonts w:ascii="Arial" w:cs="Arial" w:eastAsia="Arial" w:hAnsi="Arial"/>
          <w:sz w:val="17"/>
          <w:szCs w:val="17"/>
          <w:color w:val="0000FF"/>
        </w:rPr>
        <w:t>For the avoidance of doubt, GMGTC shall not be considered a Finance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-9525</wp:posOffset>
            </wp:positionV>
            <wp:extent cx="381444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814445" cy="825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-43815</wp:posOffset>
            </wp:positionV>
            <wp:extent cx="380682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806825" cy="8255"/>
                    </a:xfrm>
                    <a:prstGeom prst="rect">
                      <a:avLst/>
                    </a:prstGeom>
                    <a:noFill/>
                  </pic:spPr>
                </pic:pic>
              </a:graphicData>
            </a:graphic>
          </wp:anchor>
        </w:drawing>
      </w:r>
    </w:p>
    <w:p>
      <w:pPr>
        <w:spacing w:after="0" w:line="152" w:lineRule="exact"/>
        <w:rPr>
          <w:sz w:val="20"/>
          <w:szCs w:val="20"/>
          <w:color w:val="auto"/>
        </w:rPr>
      </w:pPr>
    </w:p>
    <w:p>
      <w:pPr>
        <w:ind w:right="48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right="120" w:firstLine="1429"/>
        <w:spacing w:after="0" w:line="276" w:lineRule="auto"/>
        <w:rPr>
          <w:sz w:val="20"/>
          <w:szCs w:val="20"/>
          <w:color w:val="auto"/>
        </w:rPr>
      </w:pPr>
      <w:r>
        <w:rPr>
          <w:rFonts w:ascii="Arial" w:cs="Arial" w:eastAsia="Arial" w:hAnsi="Arial"/>
          <w:sz w:val="18"/>
          <w:szCs w:val="18"/>
          <w:u w:val="single" w:color="auto"/>
          <w:color w:val="0000FF"/>
        </w:rPr>
        <w:t>“First Amendment” means that certain Amendment No. 1 to Credit Agreement, dated as of April 7, 2021 among the Company, the other Loan Parties party thereto, the Lenders party thereto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-147320</wp:posOffset>
            </wp:positionV>
            <wp:extent cx="596074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59607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05384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4053840" cy="8255"/>
                    </a:xfrm>
                    <a:prstGeom prst="rect">
                      <a:avLst/>
                    </a:prstGeom>
                    <a:noFill/>
                  </pic:spPr>
                </pic:pic>
              </a:graphicData>
            </a:graphic>
          </wp:anchor>
        </w:drawing>
      </w:r>
    </w:p>
    <w:p>
      <w:pPr>
        <w:spacing w:after="0" w:line="150"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“First Amendment Effective Date</w:t>
      </w:r>
      <w:r>
        <w:rPr>
          <w:rFonts w:ascii="Arial" w:cs="Arial" w:eastAsia="Arial" w:hAnsi="Arial"/>
          <w:sz w:val="18"/>
          <w:szCs w:val="18"/>
          <w:u w:val="single" w:color="auto"/>
          <w:color w:val="00C000"/>
        </w:rPr>
        <w:t>” has the meaning set forth in the</w:t>
      </w:r>
      <w:r>
        <w:rPr>
          <w:rFonts w:ascii="Arial" w:cs="Arial" w:eastAsia="Arial" w:hAnsi="Arial"/>
          <w:sz w:val="18"/>
          <w:szCs w:val="18"/>
          <w:u w:val="single" w:color="auto"/>
          <w:color w:val="0000FF"/>
        </w:rPr>
        <w:t xml:space="preserv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22860</wp:posOffset>
            </wp:positionV>
            <wp:extent cx="390842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908425" cy="8255"/>
                    </a:xfrm>
                    <a:prstGeom prst="rect">
                      <a:avLst/>
                    </a:prstGeom>
                    <a:noFill/>
                  </pic:spPr>
                </pic:pic>
              </a:graphicData>
            </a:graphic>
          </wp:anchor>
        </w:drawing>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4" w:lineRule="exact"/>
        <w:rPr>
          <w:sz w:val="20"/>
          <w:szCs w:val="20"/>
          <w:color w:val="auto"/>
        </w:rPr>
      </w:pPr>
    </w:p>
    <w:p>
      <w:pPr>
        <w:ind w:right="8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right="380" w:firstLine="1429"/>
        <w:spacing w:after="0" w:line="341" w:lineRule="auto"/>
        <w:rPr>
          <w:sz w:val="20"/>
          <w:szCs w:val="20"/>
          <w:color w:val="auto"/>
        </w:rPr>
      </w:pPr>
      <w:r>
        <w:rPr>
          <w:rFonts w:ascii="Arial" w:cs="Arial" w:eastAsia="Arial" w:hAnsi="Arial"/>
          <w:sz w:val="16"/>
          <w:szCs w:val="16"/>
          <w:u w:val="single" w:color="auto"/>
          <w:color w:val="0000FF"/>
        </w:rPr>
        <w:t>“Floor” means the benchmark rate floor, if any, provided in this Agreement initially (as of the execution of this Agreement, the modification, amendment or renewal of this Agreement or otherwise) with respect to Eurocurrency Base Rate or EURIBOR Rate,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-177165</wp:posOffset>
            </wp:positionV>
            <wp:extent cx="578993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57899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-40005</wp:posOffset>
            </wp:positionV>
            <wp:extent cx="656844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6568440" cy="8255"/>
                    </a:xfrm>
                    <a:prstGeom prst="rect">
                      <a:avLst/>
                    </a:prstGeom>
                    <a:noFill/>
                  </pic:spPr>
                </pic:pic>
              </a:graphicData>
            </a:graphic>
          </wp:anchor>
        </w:drawing>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3" w:right="519" w:bottom="1440" w:gutter="0" w:footer="0" w:header="0"/>
        </w:sectPr>
      </w:pPr>
    </w:p>
    <w:bookmarkStart w:id="511" w:name="page512"/>
    <w:bookmarkEnd w:id="511"/>
    <w:p>
      <w:pPr>
        <w:ind w:firstLine="142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4" w:lineRule="exact"/>
        <w:rPr>
          <w:sz w:val="20"/>
          <w:szCs w:val="20"/>
          <w:color w:val="auto"/>
        </w:rPr>
      </w:pPr>
    </w:p>
    <w:p>
      <w:pPr>
        <w:ind w:right="42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2" w:lineRule="exact"/>
        <w:rPr>
          <w:sz w:val="20"/>
          <w:szCs w:val="20"/>
          <w:color w:val="auto"/>
        </w:rPr>
      </w:pPr>
    </w:p>
    <w:p>
      <w:pPr>
        <w:ind w:right="30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right="44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GMGTC</w:t>
      </w:r>
      <w:r>
        <w:rPr>
          <w:rFonts w:ascii="Arial" w:cs="Arial" w:eastAsia="Arial" w:hAnsi="Arial"/>
          <w:sz w:val="18"/>
          <w:szCs w:val="18"/>
          <w:color w:val="auto"/>
        </w:rPr>
        <w:t xml:space="preserve">” </w:t>
      </w:r>
      <w:r>
        <w:rPr>
          <w:rFonts w:ascii="Arial" w:cs="Arial" w:eastAsia="Arial" w:hAnsi="Arial"/>
          <w:sz w:val="18"/>
          <w:szCs w:val="18"/>
          <w:color w:val="00C000"/>
          <w:strike w:val="1"/>
        </w:rPr>
        <w:t>has the meaning assigned to such term in the</w:t>
      </w:r>
      <w:r>
        <w:rPr>
          <w:rFonts w:ascii="Arial" w:cs="Arial" w:eastAsia="Arial" w:hAnsi="Arial"/>
          <w:sz w:val="18"/>
          <w:szCs w:val="18"/>
          <w:color w:val="auto"/>
        </w:rPr>
        <w:t xml:space="preserve"> </w:t>
      </w:r>
      <w:r>
        <w:rPr>
          <w:rFonts w:ascii="Arial" w:cs="Arial" w:eastAsia="Arial" w:hAnsi="Arial"/>
          <w:sz w:val="18"/>
          <w:szCs w:val="18"/>
          <w:color w:val="FF0000"/>
          <w:strike w:val="1"/>
        </w:rPr>
        <w:t>preamble hereto</w:t>
      </w:r>
      <w:r>
        <w:rPr>
          <w:rFonts w:ascii="Arial" w:cs="Arial" w:eastAsia="Arial" w:hAnsi="Arial"/>
          <w:sz w:val="18"/>
          <w:szCs w:val="18"/>
          <w:u w:val="single" w:color="auto"/>
          <w:color w:val="0000FF"/>
        </w:rPr>
        <w:t>means</w:t>
      </w:r>
      <w:r>
        <w:rPr>
          <w:rFonts w:ascii="Arial" w:cs="Arial" w:eastAsia="Arial" w:hAnsi="Arial"/>
          <w:sz w:val="18"/>
          <w:szCs w:val="18"/>
          <w:color w:val="auto"/>
        </w:rPr>
        <w:t xml:space="preserve"> </w:t>
      </w:r>
      <w:r>
        <w:rPr>
          <w:rFonts w:ascii="Arial" w:cs="Arial" w:eastAsia="Arial" w:hAnsi="Arial"/>
          <w:sz w:val="18"/>
          <w:szCs w:val="18"/>
          <w:u w:val="single" w:color="auto"/>
          <w:color w:val="00C000"/>
        </w:rPr>
        <w:t>GM Global Treasury Centre Limited, a private</w:t>
      </w:r>
      <w:r>
        <w:rPr>
          <w:rFonts w:ascii="Arial" w:cs="Arial" w:eastAsia="Arial" w:hAnsi="Arial"/>
          <w:sz w:val="18"/>
          <w:szCs w:val="18"/>
          <w:color w:val="auto"/>
        </w:rPr>
        <w:t xml:space="preserve"> </w:t>
      </w:r>
      <w:r>
        <w:rPr>
          <w:rFonts w:ascii="Arial" w:cs="Arial" w:eastAsia="Arial" w:hAnsi="Arial"/>
          <w:sz w:val="18"/>
          <w:szCs w:val="18"/>
          <w:u w:val="single" w:color="auto"/>
          <w:color w:val="00C000"/>
        </w:rPr>
        <w:t>limited company incorporated under the laws of England and Wales</w:t>
      </w:r>
      <w:r>
        <w:rPr>
          <w:rFonts w:ascii="Arial" w:cs="Arial" w:eastAsia="Arial" w:hAnsi="Arial"/>
          <w:sz w:val="18"/>
          <w:szCs w:val="18"/>
          <w:color w:val="000000"/>
        </w:rPr>
        <w:t>.</w:t>
      </w:r>
    </w:p>
    <w:p>
      <w:pPr>
        <w:spacing w:after="0" w:line="170" w:lineRule="exact"/>
        <w:rPr>
          <w:sz w:val="20"/>
          <w:szCs w:val="20"/>
          <w:color w:val="auto"/>
        </w:rPr>
      </w:pPr>
    </w:p>
    <w:p>
      <w:pPr>
        <w:jc w:val="both"/>
        <w:ind w:right="16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r>
        <w:rPr>
          <w:rFonts w:ascii="Arial" w:cs="Arial" w:eastAsia="Arial" w:hAnsi="Arial"/>
          <w:sz w:val="18"/>
          <w:szCs w:val="18"/>
          <w:u w:val="single" w:color="auto"/>
          <w:color w:val="0000FF"/>
        </w:rPr>
        <w:t>, including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any applicable supranational bodies (such as the European Union or European Central Bank)</w:t>
      </w:r>
      <w:r>
        <w:rPr>
          <w:rFonts w:ascii="Arial" w:cs="Arial" w:eastAsia="Arial" w:hAnsi="Arial"/>
          <w:sz w:val="18"/>
          <w:szCs w:val="18"/>
          <w:color w:val="000000"/>
        </w:rPr>
        <w:t>.</w:t>
      </w:r>
    </w:p>
    <w:p>
      <w:pPr>
        <w:spacing w:after="0" w:line="182" w:lineRule="exact"/>
        <w:rPr>
          <w:sz w:val="20"/>
          <w:szCs w:val="20"/>
          <w:color w:val="auto"/>
        </w:rPr>
      </w:pPr>
    </w:p>
    <w:p>
      <w:pPr>
        <w:ind w:right="76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Third Amended and Restated Guarantee Agreement to be executed and delivered by the Company, substantially in the form of Exhibit A.</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4" w:lineRule="exact"/>
        <w:rPr>
          <w:sz w:val="20"/>
          <w:szCs w:val="20"/>
          <w:color w:val="auto"/>
        </w:rPr>
      </w:pPr>
    </w:p>
    <w:p>
      <w:pPr>
        <w:ind w:right="40" w:firstLine="142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w:t>
      </w:r>
      <w:r>
        <w:rPr>
          <w:rFonts w:ascii="Arial" w:cs="Arial" w:eastAsia="Arial" w:hAnsi="Arial"/>
          <w:sz w:val="18"/>
          <w:szCs w:val="18"/>
          <w:color w:val="auto"/>
        </w:rPr>
        <w:t>” means, as to any Person (the “</w:t>
      </w:r>
      <w:r>
        <w:rPr>
          <w:rFonts w:ascii="Arial" w:cs="Arial" w:eastAsia="Arial" w:hAnsi="Arial"/>
          <w:sz w:val="18"/>
          <w:szCs w:val="18"/>
          <w:u w:val="single" w:color="auto"/>
          <w:color w:val="auto"/>
        </w:rPr>
        <w:t>guaranteeing person</w:t>
      </w:r>
      <w:r>
        <w:rPr>
          <w:rFonts w:ascii="Arial" w:cs="Arial" w:eastAsia="Arial" w:hAnsi="Arial"/>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third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512" w:name="page513"/>
    <w:bookmarkEnd w:id="51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9" w:lineRule="exact"/>
        <w:rPr>
          <w:sz w:val="20"/>
          <w:szCs w:val="20"/>
          <w:color w:val="auto"/>
        </w:rPr>
      </w:pPr>
    </w:p>
    <w:p>
      <w:pPr>
        <w:ind w:firstLine="142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Reinstatement Date</w:t>
      </w:r>
      <w:r>
        <w:rPr>
          <w:rFonts w:ascii="Arial" w:cs="Arial" w:eastAsia="Arial" w:hAnsi="Arial"/>
          <w:sz w:val="18"/>
          <w:szCs w:val="18"/>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91" w:lineRule="exact"/>
        <w:rPr>
          <w:sz w:val="20"/>
          <w:szCs w:val="20"/>
          <w:color w:val="auto"/>
        </w:rPr>
      </w:pPr>
    </w:p>
    <w:p>
      <w:pPr>
        <w:ind w:right="40" w:firstLine="142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66" w:lineRule="exact"/>
        <w:rPr>
          <w:sz w:val="20"/>
          <w:szCs w:val="20"/>
          <w:color w:val="auto"/>
        </w:rPr>
      </w:pPr>
    </w:p>
    <w:p>
      <w:pPr>
        <w:jc w:val="both"/>
        <w:ind w:right="540" w:firstLine="142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24" w:lineRule="exact"/>
        <w:rPr>
          <w:sz w:val="20"/>
          <w:szCs w:val="20"/>
          <w:color w:val="auto"/>
        </w:rPr>
      </w:pPr>
    </w:p>
    <w:p>
      <w:pPr>
        <w:ind w:right="40" w:firstLine="142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3" w:right="479" w:bottom="1440" w:gutter="0" w:footer="0" w:header="0"/>
        </w:sectPr>
      </w:pPr>
    </w:p>
    <w:bookmarkStart w:id="513" w:name="page514"/>
    <w:bookmarkEnd w:id="513"/>
    <w:p>
      <w:pPr>
        <w:ind w:right="1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 xml:space="preserve">“Impacted EURIBOR Rate Interest Period” </w:t>
      </w:r>
      <w:r>
        <w:rPr>
          <w:rFonts w:ascii="Arial" w:cs="Arial" w:eastAsia="Arial" w:hAnsi="Arial"/>
          <w:sz w:val="18"/>
          <w:szCs w:val="18"/>
          <w:u w:val="single" w:color="auto"/>
          <w:color w:val="00C000"/>
        </w:rPr>
        <w:t>has the meaning assigned to such term in the</w:t>
      </w:r>
      <w:r>
        <w:rPr>
          <w:rFonts w:ascii="Arial" w:cs="Arial" w:eastAsia="Arial" w:hAnsi="Arial"/>
          <w:sz w:val="18"/>
          <w:szCs w:val="18"/>
          <w:u w:val="single" w:color="auto"/>
          <w:color w:val="0000FF"/>
        </w:rPr>
        <w:t xml:space="preserve"> definition of “EURIBOR Rate.”</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FF0000"/>
          <w:strike w:val="1"/>
        </w:rPr>
        <w:t>“HMRC” means Her Majesty’s Revenue and Customs.</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FF0000"/>
          <w:strike w:val="1"/>
        </w:rPr>
        <w:t>“HMRC DT Treaty Passport scheme” means the HMRC Double Taxation Treaty Passport scheme.</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Impacted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LIBO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has the meaning </w:t>
      </w:r>
      <w:r>
        <w:rPr>
          <w:rFonts w:ascii="Arial" w:cs="Arial" w:eastAsia="Arial" w:hAnsi="Arial"/>
          <w:sz w:val="16"/>
          <w:szCs w:val="16"/>
          <w:color w:val="FF0000"/>
          <w:strike w:val="1"/>
        </w:rPr>
        <w:t>set forth</w:t>
      </w:r>
      <w:r>
        <w:rPr>
          <w:rFonts w:ascii="Arial" w:cs="Arial" w:eastAsia="Arial" w:hAnsi="Arial"/>
          <w:sz w:val="16"/>
          <w:szCs w:val="16"/>
          <w:u w:val="single" w:color="auto"/>
          <w:color w:val="0000FF"/>
        </w:rPr>
        <w:t>assigned to such term</w:t>
      </w:r>
      <w:r>
        <w:rPr>
          <w:rFonts w:ascii="Arial" w:cs="Arial" w:eastAsia="Arial" w:hAnsi="Arial"/>
          <w:sz w:val="16"/>
          <w:szCs w:val="16"/>
          <w:color w:val="auto"/>
        </w:rPr>
        <w:t xml:space="preserve"> in the definition of </w:t>
      </w:r>
      <w:r>
        <w:rPr>
          <w:rFonts w:ascii="Arial" w:cs="Arial" w:eastAsia="Arial" w:hAnsi="Arial"/>
          <w:sz w:val="16"/>
          <w:szCs w:val="16"/>
          <w:u w:val="single" w:color="auto"/>
          <w:color w:val="0000FF"/>
        </w:rPr>
        <w:t>“</w:t>
      </w:r>
      <w:r>
        <w:rPr>
          <w:rFonts w:ascii="Arial" w:cs="Arial" w:eastAsia="Arial" w:hAnsi="Arial"/>
          <w:sz w:val="16"/>
          <w:szCs w:val="16"/>
          <w:color w:val="auto"/>
        </w:rPr>
        <w:t>Eurocurrency Base Rate.</w:t>
      </w:r>
      <w:r>
        <w:rPr>
          <w:rFonts w:ascii="Arial" w:cs="Arial" w:eastAsia="Arial" w:hAnsi="Arial"/>
          <w:sz w:val="16"/>
          <w:szCs w:val="16"/>
          <w:u w:val="single" w:color="auto"/>
          <w:color w:val="0000FF"/>
        </w:rPr>
        <w:t>”</w:t>
      </w:r>
    </w:p>
    <w:p>
      <w:pPr>
        <w:spacing w:after="0" w:line="247"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 xml:space="preserve">“Impacted TIBOR Rate Interest Period” has the meaning assigned to such </w:t>
      </w:r>
      <w:r>
        <w:rPr>
          <w:rFonts w:ascii="Arial" w:cs="Arial" w:eastAsia="Arial" w:hAnsi="Arial"/>
          <w:sz w:val="18"/>
          <w:szCs w:val="18"/>
          <w:u w:val="single" w:color="auto"/>
          <w:color w:val="00C000"/>
        </w:rPr>
        <w:t>term in the definition of</w:t>
      </w:r>
      <w:r>
        <w:rPr>
          <w:rFonts w:ascii="Arial" w:cs="Arial" w:eastAsia="Arial" w:hAnsi="Arial"/>
          <w:sz w:val="18"/>
          <w:szCs w:val="18"/>
          <w:u w:val="single" w:color="auto"/>
          <w:color w:val="0000FF"/>
        </w:rPr>
        <w:t xml:space="preserve"> “TIBOR Rate.”.</w:t>
      </w:r>
    </w:p>
    <w:p>
      <w:pPr>
        <w:spacing w:after="0" w:line="224" w:lineRule="exact"/>
        <w:rPr>
          <w:sz w:val="20"/>
          <w:szCs w:val="20"/>
          <w:color w:val="auto"/>
        </w:rPr>
      </w:pPr>
    </w:p>
    <w:p>
      <w:pPr>
        <w:ind w:right="140"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7" w:lineRule="exact"/>
        <w:rPr>
          <w:sz w:val="20"/>
          <w:szCs w:val="20"/>
          <w:color w:val="auto"/>
        </w:rPr>
      </w:pPr>
    </w:p>
    <w:p>
      <w:pPr>
        <w:ind w:right="12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70" w:lineRule="exact"/>
        <w:rPr>
          <w:sz w:val="20"/>
          <w:szCs w:val="20"/>
          <w:color w:val="auto"/>
        </w:rPr>
      </w:pPr>
    </w:p>
    <w:p>
      <w:pPr>
        <w:ind w:right="80" w:firstLine="142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Closing Date</w:t>
      </w:r>
      <w:r>
        <w:rPr>
          <w:rFonts w:ascii="Arial" w:cs="Arial" w:eastAsia="Arial" w:hAnsi="Arial"/>
          <w:sz w:val="17"/>
          <w:szCs w:val="17"/>
          <w:color w:val="auto"/>
        </w:rPr>
        <w:t>” means, as to any Incremental Facility, the date (which shall be a Business Day) specified in the related Incremental Loan Activation Notice as the first date on which Incremental Loans will be made available thereunder.</w:t>
      </w:r>
    </w:p>
    <w:p>
      <w:pPr>
        <w:spacing w:after="0" w:line="148" w:lineRule="exact"/>
        <w:rPr>
          <w:sz w:val="20"/>
          <w:szCs w:val="20"/>
          <w:color w:val="auto"/>
        </w:rPr>
      </w:pPr>
    </w:p>
    <w:p>
      <w:pPr>
        <w:ind w:right="100" w:firstLine="142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Lender</w:t>
      </w:r>
      <w:r>
        <w:rPr>
          <w:rFonts w:ascii="Arial" w:cs="Arial" w:eastAsia="Arial" w:hAnsi="Arial"/>
          <w:sz w:val="16"/>
          <w:szCs w:val="16"/>
          <w:color w:val="auto"/>
        </w:rPr>
        <w:t>” means (a) any Lender designated by the Company (in the case of a Commitment Increase with respect to the Domestic Facility, with the consent of each Material Issuing Lender (unless such Lender is (A) a Domestic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Domestic Facility, each Material Issuing Lender at such time (such consents not to be unreasonably withheld), and (c) each Lender which has made, or acquired pursuant to an assignment made in accordance with Section 10.6, an Incremental Commitment.</w:t>
      </w:r>
    </w:p>
    <w:p>
      <w:pPr>
        <w:spacing w:after="0" w:line="1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E.</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514" w:name="page515"/>
    <w:bookmarkEnd w:id="514"/>
    <w:p>
      <w:pPr>
        <w:ind w:right="560" w:firstLine="142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2.26(b).</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w:t>
      </w:r>
    </w:p>
    <w:p>
      <w:pPr>
        <w:spacing w:after="0" w:line="46" w:lineRule="exact"/>
        <w:rPr>
          <w:sz w:val="20"/>
          <w:szCs w:val="20"/>
          <w:color w:val="auto"/>
        </w:rPr>
      </w:pPr>
    </w:p>
    <w:p>
      <w:pPr>
        <w:ind w:right="20" w:firstLine="9"/>
        <w:spacing w:after="0" w:line="267" w:lineRule="auto"/>
        <w:tabs>
          <w:tab w:leader="none" w:pos="254"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4" w:lineRule="exact"/>
        <w:rPr>
          <w:sz w:val="20"/>
          <w:szCs w:val="20"/>
          <w:color w:val="auto"/>
        </w:rPr>
      </w:pPr>
    </w:p>
    <w:p>
      <w:pPr>
        <w:ind w:right="76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firstLine="142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79" w:lineRule="exact"/>
        <w:rPr>
          <w:sz w:val="20"/>
          <w:szCs w:val="20"/>
          <w:color w:val="auto"/>
        </w:rPr>
      </w:pPr>
    </w:p>
    <w:p>
      <w:pPr>
        <w:ind w:firstLine="142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Participant</w:t>
      </w:r>
      <w:r>
        <w:rPr>
          <w:rFonts w:ascii="Arial" w:cs="Arial" w:eastAsia="Arial" w:hAnsi="Arial"/>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xml:space="preserve">” means each Subsidiary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515" w:name="page516"/>
    <w:bookmarkEnd w:id="515"/>
    <w:p>
      <w:pPr>
        <w:ind w:firstLine="1429"/>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right="360" w:firstLine="1429"/>
        <w:spacing w:after="0" w:line="276" w:lineRule="auto"/>
        <w:rPr>
          <w:sz w:val="20"/>
          <w:szCs w:val="20"/>
          <w:color w:val="auto"/>
        </w:rPr>
      </w:pPr>
      <w:r>
        <w:rPr>
          <w:rFonts w:ascii="Arial" w:cs="Arial" w:eastAsia="Arial" w:hAnsi="Arial"/>
          <w:sz w:val="18"/>
          <w:szCs w:val="18"/>
          <w:u w:val="single" w:color="auto"/>
          <w:color w:val="0000FF"/>
        </w:rPr>
        <w:t>“Interest Election Request” means a request by the applicable Borrower to convert or continue a Borrowing in accordance with Section 2.12, which shall be in a form approved by the Administrative Agent.</w:t>
      </w:r>
    </w:p>
    <w:p>
      <w:pPr>
        <w:spacing w:after="0" w:line="170" w:lineRule="exact"/>
        <w:rPr>
          <w:sz w:val="20"/>
          <w:szCs w:val="20"/>
          <w:color w:val="auto"/>
        </w:rPr>
      </w:pPr>
    </w:p>
    <w:p>
      <w:pPr>
        <w:ind w:right="20" w:firstLine="142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73" w:lineRule="exact"/>
        <w:rPr>
          <w:sz w:val="20"/>
          <w:szCs w:val="20"/>
          <w:color w:val="auto"/>
        </w:rPr>
      </w:pPr>
    </w:p>
    <w:p>
      <w:pPr>
        <w:ind w:firstLine="142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w:t>
      </w:r>
      <w:r>
        <w:rPr>
          <w:rFonts w:ascii="Arial" w:cs="Arial" w:eastAsia="Arial" w:hAnsi="Arial"/>
          <w:sz w:val="16"/>
          <w:szCs w:val="16"/>
          <w:color w:val="FF0000"/>
          <w:strike w:val="1"/>
        </w:rPr>
        <w:t>two,</w:t>
      </w:r>
      <w:r>
        <w:rPr>
          <w:rFonts w:ascii="Arial" w:cs="Arial" w:eastAsia="Arial" w:hAnsi="Arial"/>
          <w:sz w:val="16"/>
          <w:szCs w:val="16"/>
          <w:color w:val="auto"/>
        </w:rPr>
        <w:t xml:space="preserve"> three or six (or, if agreed to by all Lenders under the relevant Facility, twelve) months (or additionally, </w:t>
      </w:r>
      <w:r>
        <w:rPr>
          <w:rFonts w:ascii="Arial" w:cs="Arial" w:eastAsia="Arial" w:hAnsi="Arial"/>
          <w:sz w:val="16"/>
          <w:szCs w:val="16"/>
          <w:u w:val="single" w:color="auto"/>
          <w:color w:val="0000FF"/>
        </w:rPr>
        <w:t>(x) in the case of any Interest Period ending on or prior to December 31, 2021, two months and (y)</w:t>
      </w:r>
      <w:r>
        <w:rPr>
          <w:rFonts w:ascii="Arial" w:cs="Arial" w:eastAsia="Arial" w:hAnsi="Arial"/>
          <w:sz w:val="16"/>
          <w:szCs w:val="16"/>
          <w:color w:val="auto"/>
        </w:rPr>
        <w:t xml:space="preserve">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w:t>
      </w:r>
      <w:r>
        <w:rPr>
          <w:rFonts w:ascii="Arial" w:cs="Arial" w:eastAsia="Arial" w:hAnsi="Arial"/>
          <w:sz w:val="16"/>
          <w:szCs w:val="16"/>
          <w:color w:val="FF0000"/>
          <w:strike w:val="1"/>
        </w:rPr>
        <w:t>two,</w:t>
      </w:r>
      <w:r>
        <w:rPr>
          <w:rFonts w:ascii="Arial" w:cs="Arial" w:eastAsia="Arial" w:hAnsi="Arial"/>
          <w:sz w:val="16"/>
          <w:szCs w:val="16"/>
          <w:color w:val="auto"/>
        </w:rPr>
        <w:t xml:space="preserve"> three or six (or, if agreed to by all Lenders under the relevant Facility, twelve) months (or additionally, </w:t>
      </w:r>
      <w:r>
        <w:rPr>
          <w:rFonts w:ascii="Arial" w:cs="Arial" w:eastAsia="Arial" w:hAnsi="Arial"/>
          <w:sz w:val="16"/>
          <w:szCs w:val="16"/>
          <w:u w:val="single" w:color="auto"/>
          <w:color w:val="0000FF"/>
        </w:rPr>
        <w:t>(x) in the case of any Interest Period ending on or prior to December 31, 2021, two months and (y)</w:t>
      </w:r>
      <w:r>
        <w:rPr>
          <w:rFonts w:ascii="Arial" w:cs="Arial" w:eastAsia="Arial" w:hAnsi="Arial"/>
          <w:sz w:val="16"/>
          <w:szCs w:val="16"/>
          <w:color w:val="auto"/>
        </w:rPr>
        <w:t xml:space="preserve">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76" w:lineRule="exact"/>
        <w:rPr>
          <w:sz w:val="20"/>
          <w:szCs w:val="20"/>
          <w:color w:val="auto"/>
        </w:rPr>
      </w:pPr>
    </w:p>
    <w:p>
      <w:pPr>
        <w:ind w:left="2080" w:right="20" w:hanging="643"/>
        <w:spacing w:after="0" w:line="258" w:lineRule="auto"/>
        <w:tabs>
          <w:tab w:leader="none" w:pos="2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93" w:lineRule="exact"/>
        <w:rPr>
          <w:rFonts w:ascii="Arial" w:cs="Arial" w:eastAsia="Arial" w:hAnsi="Arial"/>
          <w:sz w:val="18"/>
          <w:szCs w:val="18"/>
          <w:color w:val="auto"/>
        </w:rPr>
      </w:pPr>
    </w:p>
    <w:p>
      <w:pPr>
        <w:ind w:left="2080" w:right="400" w:hanging="643"/>
        <w:spacing w:after="0" w:line="276" w:lineRule="auto"/>
        <w:tabs>
          <w:tab w:leader="none" w:pos="2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76" w:lineRule="exact"/>
        <w:rPr>
          <w:rFonts w:ascii="Arial" w:cs="Arial" w:eastAsia="Arial" w:hAnsi="Arial"/>
          <w:sz w:val="18"/>
          <w:szCs w:val="18"/>
          <w:color w:val="auto"/>
        </w:rPr>
      </w:pPr>
    </w:p>
    <w:p>
      <w:pPr>
        <w:ind w:left="2080" w:right="20" w:hanging="643"/>
        <w:spacing w:after="0" w:line="263" w:lineRule="auto"/>
        <w:tabs>
          <w:tab w:leader="none" w:pos="2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40" w:top="273" w:right="539" w:bottom="1440" w:gutter="0" w:footer="0" w:header="0"/>
        </w:sectPr>
      </w:pPr>
    </w:p>
    <w:bookmarkStart w:id="516" w:name="page517"/>
    <w:bookmarkEnd w:id="516"/>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4" w:lineRule="exact"/>
        <w:rPr>
          <w:sz w:val="20"/>
          <w:szCs w:val="20"/>
          <w:color w:val="auto"/>
        </w:rPr>
      </w:pPr>
    </w:p>
    <w:p>
      <w:pPr>
        <w:jc w:val="both"/>
        <w:ind w:firstLine="1429"/>
        <w:spacing w:after="0" w:line="263" w:lineRule="auto"/>
        <w:rPr>
          <w:sz w:val="20"/>
          <w:szCs w:val="20"/>
          <w:color w:val="auto"/>
        </w:rPr>
      </w:pPr>
      <w:r>
        <w:rPr>
          <w:rFonts w:ascii="Arial" w:cs="Arial" w:eastAsia="Arial" w:hAnsi="Arial"/>
          <w:sz w:val="18"/>
          <w:szCs w:val="18"/>
          <w:u w:val="single" w:color="auto"/>
          <w:color w:val="0000FF"/>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2" w:lineRule="exact"/>
        <w:rPr>
          <w:sz w:val="20"/>
          <w:szCs w:val="20"/>
          <w:color w:val="auto"/>
        </w:rPr>
      </w:pPr>
    </w:p>
    <w:p>
      <w:pPr>
        <w:ind w:right="74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70" w:lineRule="exact"/>
        <w:rPr>
          <w:sz w:val="20"/>
          <w:szCs w:val="20"/>
          <w:color w:val="auto"/>
        </w:rPr>
      </w:pPr>
    </w:p>
    <w:p>
      <w:pPr>
        <w:ind w:right="140"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Commitment. For the avoidance of doubt, each party hereto acknowledges that, subject to the ability of the Company to add Issuing Lenders pursuant to Section 3.10 following the Closing Date, as of the Closing Date no Lender or any Applicable Lending Office thereof is an Issuing Lender.</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4" w:lineRule="exact"/>
        <w:rPr>
          <w:sz w:val="20"/>
          <w:szCs w:val="20"/>
          <w:color w:val="auto"/>
        </w:rPr>
      </w:pPr>
    </w:p>
    <w:p>
      <w:pPr>
        <w:ind w:right="120" w:firstLine="14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Commitment</w:t>
      </w:r>
      <w:r>
        <w:rPr>
          <w:rFonts w:ascii="Arial" w:cs="Arial" w:eastAsia="Arial" w:hAnsi="Arial"/>
          <w:sz w:val="17"/>
          <w:szCs w:val="17"/>
          <w:color w:val="auto"/>
        </w:rPr>
        <w:t xml:space="preserve">” means, as to any Lender (or Applicable Lending Office thereof), the obligation of such Person to issue Letters of Credit pursuant to Section 3 in an aggregate Outstanding Amount at any time not to exceed the amount set forth under the heading “L/C Commitment” opposite such Person’s name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or in the Assignment and Assumption pursuant to which such Lender becomes a party thereto, in each case, as the same may be changed from time to time pursuant to the terms hereof, including Section 3.10. For the avoidance of doubt, each party hereto acknowledges that, subject to the ability of the Company to add Issuing Lenders pursuant to Section 3.10 following the Closing Date, as of the Closing Date no Lender or any Applicable Lending Office thereof has an L/C Commitment.</w:t>
      </w:r>
    </w:p>
    <w:p>
      <w:pPr>
        <w:spacing w:after="0" w:line="174" w:lineRule="exact"/>
        <w:rPr>
          <w:sz w:val="20"/>
          <w:szCs w:val="20"/>
          <w:color w:val="auto"/>
        </w:rPr>
      </w:pPr>
    </w:p>
    <w:p>
      <w:pPr>
        <w:ind w:right="40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at any time, the Dollar Equivalent of the aggregate Outstanding Amount of all Letters of Credit, after giving effect to Section 3.9.</w:t>
      </w:r>
    </w:p>
    <w:p>
      <w:pPr>
        <w:spacing w:after="0" w:line="170" w:lineRule="exact"/>
        <w:rPr>
          <w:sz w:val="20"/>
          <w:szCs w:val="20"/>
          <w:color w:val="auto"/>
        </w:rPr>
      </w:pPr>
    </w:p>
    <w:p>
      <w:pPr>
        <w:ind w:right="44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Domestic Lenders (other than the Issuing Lender with respect to such Letter of Credit).</w:t>
      </w:r>
    </w:p>
    <w:p>
      <w:pPr>
        <w:spacing w:after="0" w:line="170" w:lineRule="exact"/>
        <w:rPr>
          <w:sz w:val="20"/>
          <w:szCs w:val="20"/>
          <w:color w:val="auto"/>
        </w:rPr>
      </w:pPr>
    </w:p>
    <w:p>
      <w:pPr>
        <w:ind w:right="340" w:firstLine="142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Sublimit</w:t>
      </w:r>
      <w:r>
        <w:rPr>
          <w:rFonts w:ascii="Arial" w:cs="Arial" w:eastAsia="Arial" w:hAnsi="Arial"/>
          <w:sz w:val="17"/>
          <w:szCs w:val="17"/>
          <w:color w:val="auto"/>
        </w:rPr>
        <w:t xml:space="preserve">” means, at the time of determination, the lesser of (i) $500 million or (ii) the Total Domestic Commitment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that, from time to time, the Company may increase the L/C Sublimit by notice to the Administrative Agent.</w:t>
      </w:r>
    </w:p>
    <w:p>
      <w:pPr>
        <w:spacing w:after="0" w:line="148" w:lineRule="exact"/>
        <w:rPr>
          <w:sz w:val="20"/>
          <w:szCs w:val="20"/>
          <w:color w:val="auto"/>
        </w:rPr>
      </w:pPr>
    </w:p>
    <w:p>
      <w:pPr>
        <w:ind w:right="40" w:firstLine="142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517" w:name="page518"/>
    <w:bookmarkEnd w:id="517"/>
    <w:p>
      <w:pPr>
        <w:ind w:right="300" w:firstLine="1429"/>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Lenders</w:t>
      </w:r>
      <w:r>
        <w:rPr>
          <w:rFonts w:ascii="Arial" w:cs="Arial" w:eastAsia="Arial" w:hAnsi="Arial"/>
          <w:sz w:val="17"/>
          <w:szCs w:val="17"/>
          <w:color w:val="auto"/>
        </w:rPr>
        <w:t>” has the meaning assigned to such term in the preamble hereto and shall include, individually and in the aggregate, the Brazilian Lenders, the Domestic Lenders, the Issuing Lenders and the Multicurrency Lenders. To the extent any Incremental Facility or New Local Facility is established, “Lenders” shall, to the extent appropriate, include any Lender under such Facilities.</w:t>
      </w:r>
    </w:p>
    <w:p>
      <w:pPr>
        <w:spacing w:after="0" w:line="16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has the meaning assigned to such term in Section 3.3.</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“Liabilities” means any losses, claims (including interparty claims), demands, damages or liabilities of any kind.</w:t>
      </w:r>
    </w:p>
    <w:p>
      <w:pPr>
        <w:spacing w:after="0" w:line="224" w:lineRule="exact"/>
        <w:rPr>
          <w:sz w:val="20"/>
          <w:szCs w:val="20"/>
          <w:color w:val="auto"/>
        </w:rPr>
      </w:pPr>
    </w:p>
    <w:p>
      <w:pPr>
        <w:ind w:right="160" w:firstLine="1429"/>
        <w:spacing w:after="0" w:line="270" w:lineRule="auto"/>
        <w:rPr>
          <w:sz w:val="20"/>
          <w:szCs w:val="20"/>
          <w:color w:val="auto"/>
        </w:rPr>
      </w:pPr>
      <w:r>
        <w:rPr>
          <w:rFonts w:ascii="Arial" w:cs="Arial" w:eastAsia="Arial" w:hAnsi="Arial"/>
          <w:sz w:val="17"/>
          <w:szCs w:val="17"/>
          <w:u w:val="single" w:color="auto"/>
          <w:color w:val="0000FF"/>
        </w:rPr>
        <w:t>“LIBO Interpolated Rate” means, at any time, with respect to any Eurocurrency Borrowing denominated in Dollars or, prior to the first Benchmark Replacement Date with respect to such Currency, Euros and Japanese Yen and for any Interest Period, the rate per annum (rounded to the same number of decimal places as the Eurocurrency Base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LIBO Rate Interest Period; and (b) the LIBO Screen Rate for the shortest period (for which the LIBO Screen Rate is available for the applicable Currency) that exceeds the Impacted LIBO Rate Interest Period, in each case, at such time; provided that if any LIBO Interpolated Rate shall be less than 0.0%, such rate shall be deemed to be 0.0% for the purposes of this Agreement.</w:t>
      </w:r>
    </w:p>
    <w:p>
      <w:pPr>
        <w:spacing w:after="0" w:line="180" w:lineRule="exact"/>
        <w:rPr>
          <w:sz w:val="20"/>
          <w:szCs w:val="20"/>
          <w:color w:val="auto"/>
        </w:rPr>
      </w:pPr>
    </w:p>
    <w:p>
      <w:pPr>
        <w:ind w:firstLine="1429"/>
        <w:spacing w:after="0" w:line="271" w:lineRule="auto"/>
        <w:rPr>
          <w:sz w:val="20"/>
          <w:szCs w:val="20"/>
          <w:color w:val="auto"/>
        </w:rPr>
      </w:pPr>
      <w:r>
        <w:rPr>
          <w:rFonts w:ascii="Arial" w:cs="Arial" w:eastAsia="Arial" w:hAnsi="Arial"/>
          <w:sz w:val="17"/>
          <w:szCs w:val="17"/>
          <w:u w:val="single" w:color="auto"/>
          <w:color w:val="0000FF"/>
        </w:rPr>
        <w:t xml:space="preserve">“LIBO Screen </w:t>
      </w:r>
      <w:r>
        <w:rPr>
          <w:rFonts w:ascii="Arial" w:cs="Arial" w:eastAsia="Arial" w:hAnsi="Arial"/>
          <w:sz w:val="17"/>
          <w:szCs w:val="17"/>
          <w:u w:val="single" w:color="auto"/>
          <w:color w:val="00C000"/>
        </w:rPr>
        <w:t>Rate” means, for any day</w:t>
      </w:r>
      <w:r>
        <w:rPr>
          <w:rFonts w:ascii="Arial" w:cs="Arial" w:eastAsia="Arial" w:hAnsi="Arial"/>
          <w:sz w:val="17"/>
          <w:szCs w:val="17"/>
          <w:u w:val="single" w:color="auto"/>
          <w:color w:val="0000FF"/>
        </w:rPr>
        <w:t xml:space="preserve"> and time, with respect to any Eurocurrency Borrowing denominated in any Currency (other than Euros) and for any Interest Period, the London interbank </w:t>
      </w:r>
      <w:r>
        <w:rPr>
          <w:rFonts w:ascii="Arial" w:cs="Arial" w:eastAsia="Arial" w:hAnsi="Arial"/>
          <w:sz w:val="17"/>
          <w:szCs w:val="17"/>
          <w:u w:val="single" w:color="auto"/>
          <w:color w:val="00C000"/>
        </w:rPr>
        <w:t>offered rate as administered by ICE Benchmark Administration (or any other Person that</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C000"/>
        </w:rPr>
        <w:t xml:space="preserve">takes over the administration of such rate) for </w:t>
      </w:r>
      <w:r>
        <w:rPr>
          <w:rFonts w:ascii="Arial" w:cs="Arial" w:eastAsia="Arial" w:hAnsi="Arial"/>
          <w:sz w:val="17"/>
          <w:szCs w:val="17"/>
          <w:u w:val="single" w:color="auto"/>
          <w:color w:val="0000FF"/>
        </w:rPr>
        <w:t>such</w:t>
      </w:r>
      <w:r>
        <w:rPr>
          <w:rFonts w:ascii="Arial" w:cs="Arial" w:eastAsia="Arial" w:hAnsi="Arial"/>
          <w:sz w:val="17"/>
          <w:szCs w:val="17"/>
          <w:u w:val="single" w:color="auto"/>
          <w:color w:val="00C000"/>
        </w:rPr>
        <w:t xml:space="preserve"> Currency for a period equal </w:t>
      </w:r>
      <w:r>
        <w:rPr>
          <w:rFonts w:ascii="Arial" w:cs="Arial" w:eastAsia="Arial" w:hAnsi="Arial"/>
          <w:sz w:val="17"/>
          <w:szCs w:val="17"/>
          <w:u w:val="single" w:color="auto"/>
          <w:color w:val="0000FF"/>
        </w:rPr>
        <w:t>in length to</w:t>
      </w:r>
      <w:r>
        <w:rPr>
          <w:rFonts w:ascii="Arial" w:cs="Arial" w:eastAsia="Arial" w:hAnsi="Arial"/>
          <w:sz w:val="17"/>
          <w:szCs w:val="17"/>
          <w:u w:val="single" w:color="auto"/>
          <w:color w:val="00C000"/>
        </w:rPr>
        <w:t xml:space="preserve"> such Interest Period as displayed on </w:t>
      </w:r>
      <w:r>
        <w:rPr>
          <w:rFonts w:ascii="Arial" w:cs="Arial" w:eastAsia="Arial" w:hAnsi="Arial"/>
          <w:sz w:val="17"/>
          <w:szCs w:val="17"/>
          <w:u w:val="single" w:color="auto"/>
          <w:color w:val="0000FF"/>
        </w:rPr>
        <w:t>such day and time on</w:t>
      </w:r>
      <w:r>
        <w:rPr>
          <w:rFonts w:ascii="Arial" w:cs="Arial" w:eastAsia="Arial" w:hAnsi="Arial"/>
          <w:sz w:val="17"/>
          <w:szCs w:val="17"/>
          <w:u w:val="single" w:color="auto"/>
          <w:color w:val="00C000"/>
        </w:rPr>
        <w:t xml:space="preserve"> </w:t>
      </w:r>
      <w:r>
        <w:rPr>
          <w:rFonts w:ascii="Arial" w:cs="Arial" w:eastAsia="Arial" w:hAnsi="Arial"/>
          <w:sz w:val="17"/>
          <w:szCs w:val="17"/>
          <w:u w:val="single" w:color="auto"/>
          <w:color w:val="0000FF"/>
        </w:rPr>
        <w:t xml:space="preserve">pages </w:t>
      </w:r>
      <w:r>
        <w:rPr>
          <w:rFonts w:ascii="Arial" w:cs="Arial" w:eastAsia="Arial" w:hAnsi="Arial"/>
          <w:sz w:val="17"/>
          <w:szCs w:val="17"/>
          <w:u w:val="single" w:color="auto"/>
          <w:color w:val="00C000"/>
        </w:rPr>
        <w:t>LIBOR01 or LIBOR02 of the Reuters</w:t>
      </w:r>
      <w:r>
        <w:rPr>
          <w:rFonts w:ascii="Arial" w:cs="Arial" w:eastAsia="Arial" w:hAnsi="Arial"/>
          <w:sz w:val="17"/>
          <w:szCs w:val="17"/>
          <w:u w:val="single" w:color="auto"/>
          <w:color w:val="0000FF"/>
        </w:rPr>
        <w:t xml:space="preserve"> screen </w:t>
      </w:r>
      <w:r>
        <w:rPr>
          <w:rFonts w:ascii="Arial" w:cs="Arial" w:eastAsia="Arial" w:hAnsi="Arial"/>
          <w:sz w:val="17"/>
          <w:szCs w:val="17"/>
          <w:u w:val="single" w:color="auto"/>
          <w:color w:val="00C000"/>
        </w:rPr>
        <w:t>that displays such rate (or, in the event such rate does not appear on a Reuters page or screen, on any</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C000"/>
        </w:rPr>
        <w:t xml:space="preserve">successor or substitute page on such screen that displays such rate, or on the appropriate page of such other information service that publishes such rate from time to time as selected by the Administrative Agent </w:t>
      </w:r>
      <w:r>
        <w:rPr>
          <w:rFonts w:ascii="Arial" w:cs="Arial" w:eastAsia="Arial" w:hAnsi="Arial"/>
          <w:sz w:val="17"/>
          <w:szCs w:val="17"/>
          <w:u w:val="single" w:color="auto"/>
          <w:color w:val="0000FF"/>
        </w:rPr>
        <w:t>in its reasonable discretion); provided that if the LIBO Screen Rate as so determined would</w:t>
      </w:r>
      <w:r>
        <w:rPr>
          <w:rFonts w:ascii="Arial" w:cs="Arial" w:eastAsia="Arial" w:hAnsi="Arial"/>
          <w:sz w:val="17"/>
          <w:szCs w:val="17"/>
          <w:u w:val="single" w:color="auto"/>
          <w:color w:val="00C000"/>
        </w:rPr>
        <w:t xml:space="preserve"> </w:t>
      </w:r>
      <w:r>
        <w:rPr>
          <w:rFonts w:ascii="Arial" w:cs="Arial" w:eastAsia="Arial" w:hAnsi="Arial"/>
          <w:sz w:val="17"/>
          <w:szCs w:val="17"/>
          <w:u w:val="single" w:color="auto"/>
          <w:color w:val="0000FF"/>
        </w:rPr>
        <w:t xml:space="preserve">be </w:t>
      </w:r>
      <w:r>
        <w:rPr>
          <w:rFonts w:ascii="Arial" w:cs="Arial" w:eastAsia="Arial" w:hAnsi="Arial"/>
          <w:sz w:val="17"/>
          <w:szCs w:val="17"/>
          <w:u w:val="single" w:color="auto"/>
          <w:color w:val="00C000"/>
        </w:rPr>
        <w:t>less than zero, such rate shall be deemed to be zero for</w:t>
      </w:r>
      <w:r>
        <w:rPr>
          <w:rFonts w:ascii="Arial" w:cs="Arial" w:eastAsia="Arial" w:hAnsi="Arial"/>
          <w:sz w:val="17"/>
          <w:szCs w:val="17"/>
          <w:u w:val="single" w:color="auto"/>
          <w:color w:val="0000FF"/>
        </w:rPr>
        <w:t xml:space="preserve">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-860425</wp:posOffset>
            </wp:positionV>
            <wp:extent cx="2857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9"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“LIBOR” has the meaning assigned to such term in Section 1.5.</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encumbrance.</w:t>
      </w:r>
    </w:p>
    <w:p>
      <w:pPr>
        <w:spacing w:after="0" w:line="210" w:lineRule="exact"/>
        <w:rPr>
          <w:sz w:val="20"/>
          <w:szCs w:val="20"/>
          <w:color w:val="auto"/>
        </w:rPr>
      </w:pPr>
    </w:p>
    <w:p>
      <w:pPr>
        <w:ind w:right="580" w:firstLine="142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Brazilian Bank Certificates, the Guarantee, the Notes, each Borrower Joinder Agreement, each Guarantee Joinder and any amendment, waiver, supplement or other modification to any of the foregoing.</w:t>
      </w:r>
    </w:p>
    <w:p>
      <w:pPr>
        <w:spacing w:after="0" w:line="148" w:lineRule="exact"/>
        <w:rPr>
          <w:sz w:val="20"/>
          <w:szCs w:val="20"/>
          <w:color w:val="auto"/>
        </w:rPr>
      </w:pPr>
    </w:p>
    <w:p>
      <w:pPr>
        <w:ind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3" w:right="499" w:bottom="1440" w:gutter="0" w:footer="0" w:header="0"/>
        </w:sectPr>
      </w:pPr>
    </w:p>
    <w:bookmarkStart w:id="518" w:name="page519"/>
    <w:bookmarkEnd w:id="518"/>
    <w:p>
      <w:pPr>
        <w:ind w:right="200" w:firstLine="142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Multicurrency Loans and Competitive Loans. To the extent any Incremental Facility or New Local Facility is established, “Loans” shall, to the extent appropriate, include Loans made under such Facilities.</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2.25(a).</w:t>
      </w:r>
    </w:p>
    <w:p>
      <w:pPr>
        <w:spacing w:after="0" w:line="224" w:lineRule="exact"/>
        <w:rPr>
          <w:sz w:val="20"/>
          <w:szCs w:val="20"/>
          <w:color w:val="auto"/>
        </w:rPr>
      </w:pPr>
    </w:p>
    <w:p>
      <w:pPr>
        <w:ind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87" w:lineRule="exact"/>
        <w:rPr>
          <w:sz w:val="20"/>
          <w:szCs w:val="20"/>
          <w:color w:val="auto"/>
        </w:rPr>
      </w:pPr>
    </w:p>
    <w:p>
      <w:pPr>
        <w:ind w:right="18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82" w:lineRule="exact"/>
        <w:rPr>
          <w:sz w:val="20"/>
          <w:szCs w:val="20"/>
          <w:color w:val="auto"/>
        </w:rPr>
      </w:pPr>
    </w:p>
    <w:p>
      <w:pPr>
        <w:ind w:right="20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70" w:lineRule="exact"/>
        <w:rPr>
          <w:sz w:val="20"/>
          <w:szCs w:val="20"/>
          <w:color w:val="auto"/>
        </w:rPr>
      </w:pPr>
    </w:p>
    <w:p>
      <w:pPr>
        <w:ind w:right="20" w:firstLine="142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79" w:lineRule="exact"/>
        <w:rPr>
          <w:sz w:val="20"/>
          <w:szCs w:val="20"/>
          <w:color w:val="auto"/>
        </w:rPr>
      </w:pPr>
    </w:p>
    <w:p>
      <w:pPr>
        <w:jc w:val="both"/>
        <w:ind w:right="76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2" w:lineRule="exact"/>
        <w:rPr>
          <w:sz w:val="20"/>
          <w:szCs w:val="20"/>
          <w:color w:val="auto"/>
        </w:rPr>
      </w:pPr>
    </w:p>
    <w:p>
      <w:pPr>
        <w:ind w:right="2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Commitment of $200 million or more.</w:t>
      </w:r>
    </w:p>
    <w:p>
      <w:pPr>
        <w:spacing w:after="0" w:line="224" w:lineRule="exact"/>
        <w:rPr>
          <w:sz w:val="20"/>
          <w:szCs w:val="20"/>
          <w:color w:val="auto"/>
        </w:rPr>
      </w:pPr>
    </w:p>
    <w:p>
      <w:pPr>
        <w:ind w:right="140"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2017 10-K and thereafter in the most recent annual consolidated financial statements of the Company delivered or deemed delivered pursuant to Section 6.1 and (b) at all other times, the Company.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3" w:right="479" w:bottom="1440" w:gutter="0" w:footer="0" w:header="0"/>
        </w:sectPr>
      </w:pPr>
    </w:p>
    <w:bookmarkStart w:id="519" w:name="page520"/>
    <w:bookmarkEnd w:id="519"/>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4" w:lineRule="exact"/>
        <w:rPr>
          <w:sz w:val="20"/>
          <w:szCs w:val="20"/>
          <w:color w:val="auto"/>
        </w:rPr>
      </w:pPr>
    </w:p>
    <w:p>
      <w:pPr>
        <w:ind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224" w:lineRule="exact"/>
        <w:rPr>
          <w:sz w:val="20"/>
          <w:szCs w:val="20"/>
          <w:color w:val="auto"/>
        </w:rPr>
      </w:pPr>
    </w:p>
    <w:p>
      <w:pPr>
        <w:ind w:right="10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224" w:lineRule="exact"/>
        <w:rPr>
          <w:sz w:val="20"/>
          <w:szCs w:val="20"/>
          <w:color w:val="auto"/>
        </w:rPr>
      </w:pPr>
    </w:p>
    <w:p>
      <w:pPr>
        <w:ind w:right="20" w:firstLine="142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224" w:lineRule="exact"/>
        <w:rPr>
          <w:sz w:val="20"/>
          <w:szCs w:val="20"/>
          <w:color w:val="auto"/>
        </w:rPr>
      </w:pPr>
    </w:p>
    <w:p>
      <w:pPr>
        <w:ind w:right="20" w:firstLine="142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Percentage</w:t>
      </w:r>
      <w:r>
        <w:rPr>
          <w:rFonts w:ascii="Arial" w:cs="Arial" w:eastAsia="Arial" w:hAnsi="Arial"/>
          <w:sz w:val="18"/>
          <w:szCs w:val="18"/>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89" w:lineRule="exact"/>
        <w:rPr>
          <w:sz w:val="20"/>
          <w:szCs w:val="20"/>
          <w:color w:val="auto"/>
        </w:rPr>
      </w:pPr>
    </w:p>
    <w:p>
      <w:pPr>
        <w:ind w:right="10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2" w:lineRule="exact"/>
        <w:rPr>
          <w:sz w:val="20"/>
          <w:szCs w:val="20"/>
          <w:color w:val="auto"/>
        </w:rPr>
      </w:pPr>
    </w:p>
    <w:p>
      <w:pPr>
        <w:ind w:right="120" w:firstLine="14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2.25(a).</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2.25(a).</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2.19(a).</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2.27(b).</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2.19(d).</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3" w:right="459" w:bottom="1440" w:gutter="0" w:footer="0" w:header="0"/>
        </w:sectPr>
      </w:pPr>
    </w:p>
    <w:bookmarkStart w:id="520" w:name="page521"/>
    <w:bookmarkEnd w:id="520"/>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2.17(g).</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“NYFRB’s Website” means the website of the NYFRB at http://www.newyorkfed.org, or any successor source.</w:t>
      </w:r>
    </w:p>
    <w:p>
      <w:pPr>
        <w:spacing w:after="0" w:line="224" w:lineRule="exact"/>
        <w:rPr>
          <w:sz w:val="20"/>
          <w:szCs w:val="20"/>
          <w:color w:val="auto"/>
        </w:rPr>
      </w:pPr>
    </w:p>
    <w:p>
      <w:pPr>
        <w:ind w:firstLine="142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shall be less than zero, such rate shall be deemed to be zero for purposes of this Agreement.</w:t>
      </w:r>
    </w:p>
    <w:p>
      <w:pPr>
        <w:spacing w:after="0" w:line="158" w:lineRule="exact"/>
        <w:rPr>
          <w:sz w:val="20"/>
          <w:szCs w:val="20"/>
          <w:color w:val="auto"/>
        </w:rPr>
      </w:pPr>
    </w:p>
    <w:p>
      <w:pPr>
        <w:ind w:right="120" w:firstLine="142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4" w:lineRule="exact"/>
        <w:rPr>
          <w:sz w:val="20"/>
          <w:szCs w:val="20"/>
          <w:color w:val="auto"/>
        </w:rPr>
      </w:pPr>
    </w:p>
    <w:p>
      <w:pPr>
        <w:ind w:right="40" w:firstLine="142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xml:space="preserve">” means, with respect to Loans or Letters of Credit made under each Facility (other than the Brazilian Facility and the Domestic Facility), at any time, Euro, </w:t>
      </w:r>
      <w:r>
        <w:rPr>
          <w:rFonts w:ascii="Arial" w:cs="Arial" w:eastAsia="Arial" w:hAnsi="Arial"/>
          <w:sz w:val="18"/>
          <w:szCs w:val="18"/>
          <w:color w:val="FF0000"/>
          <w:strike w:val="1"/>
        </w:rPr>
        <w:t>Pounds Sterling,</w:t>
      </w:r>
      <w:r>
        <w:rPr>
          <w:rFonts w:ascii="Arial" w:cs="Arial" w:eastAsia="Arial" w:hAnsi="Arial"/>
          <w:sz w:val="18"/>
          <w:szCs w:val="18"/>
          <w:color w:val="auto"/>
        </w:rPr>
        <w:t xml:space="preserve"> Japanese Yen and such other currencies which are freely convertible into Dollars and are freely traded and available in the London </w:t>
      </w:r>
      <w:r>
        <w:rPr>
          <w:rFonts w:ascii="Arial" w:cs="Arial" w:eastAsia="Arial" w:hAnsi="Arial"/>
          <w:sz w:val="18"/>
          <w:szCs w:val="18"/>
          <w:color w:val="FF0000"/>
          <w:strike w:val="1"/>
        </w:rPr>
        <w:t>I</w:t>
      </w:r>
      <w:r>
        <w:rPr>
          <w:rFonts w:ascii="Arial" w:cs="Arial" w:eastAsia="Arial" w:hAnsi="Arial"/>
          <w:sz w:val="18"/>
          <w:szCs w:val="18"/>
          <w:u w:val="single" w:color="auto"/>
          <w:color w:val="0000FF"/>
        </w:rPr>
        <w:t>i</w:t>
      </w:r>
      <w:r>
        <w:rPr>
          <w:rFonts w:ascii="Arial" w:cs="Arial" w:eastAsia="Arial" w:hAnsi="Arial"/>
          <w:sz w:val="18"/>
          <w:szCs w:val="18"/>
          <w:color w:val="auto"/>
        </w:rPr>
        <w:t>nterbank eurocurrency market with the consent of the Administrative Agent and the Lenders under the applicable Facility (or, in the case of Letters of Credit, the applicable Issuing Lender).</w:t>
      </w:r>
    </w:p>
    <w:p>
      <w:pPr>
        <w:spacing w:after="0" w:line="187" w:lineRule="exact"/>
        <w:rPr>
          <w:sz w:val="20"/>
          <w:szCs w:val="20"/>
          <w:color w:val="auto"/>
        </w:rPr>
      </w:pPr>
    </w:p>
    <w:p>
      <w:pPr>
        <w:ind w:firstLine="1429"/>
        <w:spacing w:after="0" w:line="253" w:lineRule="auto"/>
        <w:rPr>
          <w:sz w:val="20"/>
          <w:szCs w:val="20"/>
          <w:color w:val="auto"/>
        </w:rPr>
      </w:pPr>
      <w:r>
        <w:rPr>
          <w:rFonts w:ascii="Arial" w:cs="Arial" w:eastAsia="Arial" w:hAnsi="Arial"/>
          <w:sz w:val="18"/>
          <w:szCs w:val="18"/>
          <w:u w:val="single" w:color="auto"/>
          <w:color w:val="0000FF"/>
        </w:rPr>
        <w:t>“Optional Currency Equivalent” means, for any amount of any Optional Currency, at the time of determination thereof, (a) if such amount is expressed in such Optional Currency, such amount and (b) if such amount is expressed in Dollars, the equivalent of such amount in such Optional Currency determined by using the rate of exchange for the purchase of such Optional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Optional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9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3" w:right="479" w:bottom="1440" w:gutter="0" w:footer="0" w:header="0"/>
        </w:sectPr>
      </w:pPr>
    </w:p>
    <w:bookmarkStart w:id="521" w:name="page522"/>
    <w:bookmarkEnd w:id="521"/>
    <w:p>
      <w:pPr>
        <w:ind w:right="220" w:firstLine="98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indebtedness for borrowed money, the aggregate outstanding principal amount thereof,</w:t>
      </w:r>
    </w:p>
    <w:p>
      <w:pPr>
        <w:spacing w:after="0" w:line="46" w:lineRule="exact"/>
        <w:rPr>
          <w:sz w:val="20"/>
          <w:szCs w:val="20"/>
          <w:color w:val="auto"/>
        </w:rPr>
      </w:pPr>
    </w:p>
    <w:p>
      <w:pPr>
        <w:ind w:right="140" w:firstLine="9"/>
        <w:spacing w:after="0" w:line="276" w:lineRule="auto"/>
        <w:tabs>
          <w:tab w:leader="none" w:pos="254"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73" w:lineRule="exact"/>
        <w:rPr>
          <w:sz w:val="20"/>
          <w:szCs w:val="20"/>
          <w:color w:val="auto"/>
        </w:rPr>
      </w:pPr>
    </w:p>
    <w:p>
      <w:pPr>
        <w:ind w:right="18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xml:space="preserve">” means, for any day, the rate comprised of both overnight federal funds and overnight eurocurrency borrowings by U.S.-managed banking offices of depository institutions (as such composite rate shall be determined by the NYFRB as set forth on </w:t>
      </w:r>
      <w:r>
        <w:rPr>
          <w:rFonts w:ascii="Arial" w:cs="Arial" w:eastAsia="Arial" w:hAnsi="Arial"/>
          <w:sz w:val="17"/>
          <w:szCs w:val="17"/>
          <w:color w:val="FF0000"/>
          <w:strike w:val="1"/>
        </w:rPr>
        <w:t>its</w:t>
      </w:r>
      <w:r>
        <w:rPr>
          <w:rFonts w:ascii="Arial" w:cs="Arial" w:eastAsia="Arial" w:hAnsi="Arial"/>
          <w:sz w:val="17"/>
          <w:szCs w:val="17"/>
          <w:color w:val="auto"/>
        </w:rPr>
        <w:t xml:space="preserve"> </w:t>
      </w:r>
      <w:r>
        <w:rPr>
          <w:rFonts w:ascii="Arial" w:cs="Arial" w:eastAsia="Arial" w:hAnsi="Arial"/>
          <w:sz w:val="17"/>
          <w:szCs w:val="17"/>
          <w:color w:val="FF0000"/>
          <w:strike w:val="1"/>
        </w:rPr>
        <w:t>public</w:t>
      </w:r>
      <w:r>
        <w:rPr>
          <w:rFonts w:ascii="Arial" w:cs="Arial" w:eastAsia="Arial" w:hAnsi="Arial"/>
          <w:sz w:val="17"/>
          <w:szCs w:val="17"/>
          <w:u w:val="single" w:color="auto"/>
          <w:color w:val="0000FF"/>
        </w:rPr>
        <w:t>the Federal Reserve Bank of New York’s</w:t>
      </w:r>
      <w:r>
        <w:rPr>
          <w:rFonts w:ascii="Arial" w:cs="Arial" w:eastAsia="Arial" w:hAnsi="Arial"/>
          <w:sz w:val="17"/>
          <w:szCs w:val="17"/>
          <w:color w:val="FF0000"/>
        </w:rPr>
        <w:t xml:space="preserve"> </w:t>
      </w:r>
      <w:r>
        <w:rPr>
          <w:rFonts w:ascii="Arial" w:cs="Arial" w:eastAsia="Arial" w:hAnsi="Arial"/>
          <w:sz w:val="17"/>
          <w:szCs w:val="17"/>
          <w:color w:val="FF0000"/>
          <w:strike w:val="1"/>
        </w:rPr>
        <w:t>w</w:t>
      </w:r>
      <w:r>
        <w:rPr>
          <w:rFonts w:ascii="Arial" w:cs="Arial" w:eastAsia="Arial" w:hAnsi="Arial"/>
          <w:sz w:val="17"/>
          <w:szCs w:val="17"/>
          <w:u w:val="single" w:color="auto"/>
          <w:color w:val="0000FF"/>
        </w:rPr>
        <w:t>W</w:t>
      </w:r>
      <w:r>
        <w:rPr>
          <w:rFonts w:ascii="Arial" w:cs="Arial" w:eastAsia="Arial" w:hAnsi="Arial"/>
          <w:sz w:val="17"/>
          <w:szCs w:val="17"/>
          <w:color w:val="000000"/>
        </w:rPr>
        <w:t>ebsite from time to time) and published on the next succeeding Business Day by the NYFRB as an</w:t>
      </w:r>
      <w:r>
        <w:rPr>
          <w:rFonts w:ascii="Arial" w:cs="Arial" w:eastAsia="Arial" w:hAnsi="Arial"/>
          <w:sz w:val="17"/>
          <w:szCs w:val="17"/>
          <w:color w:val="FF0000"/>
        </w:rPr>
        <w:t xml:space="preserve"> </w:t>
      </w:r>
      <w:r>
        <w:rPr>
          <w:rFonts w:ascii="Arial" w:cs="Arial" w:eastAsia="Arial" w:hAnsi="Arial"/>
          <w:sz w:val="17"/>
          <w:szCs w:val="17"/>
          <w:color w:val="000000"/>
        </w:rPr>
        <w:t xml:space="preserve">overnight bank funding rate (from and after such date as the NYFRB shall commence to publish such composite rate); </w:t>
      </w:r>
      <w:r>
        <w:rPr>
          <w:rFonts w:ascii="Arial" w:cs="Arial" w:eastAsia="Arial" w:hAnsi="Arial"/>
          <w:sz w:val="17"/>
          <w:szCs w:val="17"/>
          <w:u w:val="single" w:color="auto"/>
          <w:color w:val="000000"/>
        </w:rPr>
        <w:t>provided</w:t>
      </w:r>
      <w:r>
        <w:rPr>
          <w:rFonts w:ascii="Arial" w:cs="Arial" w:eastAsia="Arial" w:hAnsi="Arial"/>
          <w:sz w:val="17"/>
          <w:szCs w:val="17"/>
          <w:color w:val="000000"/>
        </w:rPr>
        <w:t>, that if the Overnight Bank Funding Rate shall be less than zero, such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-282575</wp:posOffset>
            </wp:positionV>
            <wp:extent cx="208661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4" w:lineRule="exact"/>
        <w:rPr>
          <w:sz w:val="20"/>
          <w:szCs w:val="20"/>
          <w:color w:val="auto"/>
        </w:rPr>
      </w:pPr>
    </w:p>
    <w:p>
      <w:pPr>
        <w:ind w:righ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“Payment” has the meaning assigned to it in Section 9.13(c).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277114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771140" cy="8255"/>
                    </a:xfrm>
                    <a:prstGeom prst="rect">
                      <a:avLst/>
                    </a:prstGeom>
                    <a:noFill/>
                  </pic:spPr>
                </pic:pic>
              </a:graphicData>
            </a:graphic>
          </wp:anchor>
        </w:drawing>
      </w: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“Payment Notice” has the meaning assigned to it in Section 9.13(c).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310451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104515" cy="8255"/>
                    </a:xfrm>
                    <a:prstGeom prst="rect">
                      <a:avLst/>
                    </a:prstGeom>
                    <a:noFill/>
                  </pic:spPr>
                </pic:pic>
              </a:graphicData>
            </a:graphic>
          </wp:anchor>
        </w:drawing>
      </w: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4" w:lineRule="exact"/>
        <w:rPr>
          <w:sz w:val="20"/>
          <w:szCs w:val="20"/>
          <w:color w:val="auto"/>
        </w:rPr>
      </w:pPr>
    </w:p>
    <w:p>
      <w:pPr>
        <w:ind w:right="36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the applicable Brazilian Percentage of such Lender, the applicable Domestic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6" w:lineRule="exact"/>
        <w:rPr>
          <w:sz w:val="20"/>
          <w:szCs w:val="20"/>
          <w:color w:val="auto"/>
        </w:rPr>
      </w:pPr>
    </w:p>
    <w:p>
      <w:pPr>
        <w:ind w:left="1000" w:firstLine="398"/>
        <w:spacing w:after="0" w:line="301" w:lineRule="auto"/>
        <w:tabs>
          <w:tab w:leader="none" w:pos="1644"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3" w:right="459" w:bottom="1440" w:gutter="0" w:footer="0" w:header="0"/>
        </w:sectPr>
      </w:pPr>
    </w:p>
    <w:bookmarkStart w:id="522" w:name="page523"/>
    <w:bookmarkEnd w:id="522"/>
    <w:p>
      <w:pPr>
        <w:ind w:right="100" w:firstLine="398"/>
        <w:spacing w:after="0" w:line="285" w:lineRule="auto"/>
        <w:tabs>
          <w:tab w:leader="none" w:pos="654" w:val="left"/>
        </w:tabs>
        <w:numPr>
          <w:ilvl w:val="0"/>
          <w:numId w:val="4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57" w:lineRule="exact"/>
        <w:rPr>
          <w:rFonts w:ascii="Arial" w:cs="Arial" w:eastAsia="Arial" w:hAnsi="Arial"/>
          <w:sz w:val="17"/>
          <w:szCs w:val="17"/>
          <w:color w:val="auto"/>
        </w:rPr>
      </w:pPr>
    </w:p>
    <w:p>
      <w:pPr>
        <w:ind w:left="640" w:hanging="242"/>
        <w:spacing w:after="0"/>
        <w:tabs>
          <w:tab w:leader="none" w:pos="6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6" w:lineRule="exact"/>
        <w:rPr>
          <w:rFonts w:ascii="Arial" w:cs="Arial" w:eastAsia="Arial" w:hAnsi="Arial"/>
          <w:sz w:val="18"/>
          <w:szCs w:val="18"/>
          <w:color w:val="auto"/>
        </w:rPr>
      </w:pPr>
    </w:p>
    <w:p>
      <w:pPr>
        <w:jc w:val="both"/>
        <w:ind w:right="140" w:firstLine="398"/>
        <w:spacing w:after="0" w:line="263" w:lineRule="auto"/>
        <w:tabs>
          <w:tab w:leader="none" w:pos="65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firstLine="398"/>
        <w:spacing w:after="0" w:line="275" w:lineRule="auto"/>
        <w:tabs>
          <w:tab w:leader="none" w:pos="644" w:val="left"/>
        </w:tabs>
        <w:numPr>
          <w:ilvl w:val="0"/>
          <w:numId w:val="431"/>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65" w:lineRule="exact"/>
        <w:rPr>
          <w:rFonts w:ascii="Arial" w:cs="Arial" w:eastAsia="Arial" w:hAnsi="Arial"/>
          <w:sz w:val="17"/>
          <w:szCs w:val="17"/>
          <w:color w:val="auto"/>
        </w:rPr>
      </w:pPr>
    </w:p>
    <w:p>
      <w:pPr>
        <w:ind w:right="620" w:firstLine="398"/>
        <w:spacing w:after="0" w:line="341" w:lineRule="auto"/>
        <w:tabs>
          <w:tab w:leader="none" w:pos="624" w:val="left"/>
        </w:tabs>
        <w:numPr>
          <w:ilvl w:val="0"/>
          <w:numId w:val="431"/>
        </w:numPr>
        <w:rPr>
          <w:rFonts w:ascii="Arial" w:cs="Arial" w:eastAsia="Arial" w:hAnsi="Arial"/>
          <w:sz w:val="16"/>
          <w:szCs w:val="16"/>
          <w:color w:val="auto"/>
        </w:rPr>
      </w:pPr>
      <w:r>
        <w:rPr>
          <w:rFonts w:ascii="Arial" w:cs="Arial" w:eastAsia="Arial" w:hAnsi="Arial"/>
          <w:sz w:val="16"/>
          <w:szCs w:val="16"/>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5" w:lineRule="exact"/>
        <w:rPr>
          <w:rFonts w:ascii="Arial" w:cs="Arial" w:eastAsia="Arial" w:hAnsi="Arial"/>
          <w:sz w:val="16"/>
          <w:szCs w:val="16"/>
          <w:color w:val="auto"/>
        </w:rPr>
      </w:pPr>
    </w:p>
    <w:p>
      <w:pPr>
        <w:ind w:firstLine="398"/>
        <w:spacing w:after="0" w:line="255" w:lineRule="auto"/>
        <w:tabs>
          <w:tab w:leader="none" w:pos="65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1" w:lineRule="exact"/>
        <w:rPr>
          <w:rFonts w:ascii="Arial" w:cs="Arial" w:eastAsia="Arial" w:hAnsi="Arial"/>
          <w:sz w:val="18"/>
          <w:szCs w:val="18"/>
          <w:color w:val="auto"/>
        </w:rPr>
      </w:pPr>
    </w:p>
    <w:p>
      <w:pPr>
        <w:ind w:right="40" w:firstLine="398"/>
        <w:spacing w:after="0" w:line="263" w:lineRule="auto"/>
        <w:tabs>
          <w:tab w:leader="none" w:pos="65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 or instruments;</w:t>
      </w:r>
    </w:p>
    <w:p>
      <w:pPr>
        <w:spacing w:after="0" w:line="73" w:lineRule="exact"/>
        <w:rPr>
          <w:rFonts w:ascii="Arial" w:cs="Arial" w:eastAsia="Arial" w:hAnsi="Arial"/>
          <w:sz w:val="18"/>
          <w:szCs w:val="18"/>
          <w:color w:val="auto"/>
        </w:rPr>
      </w:pPr>
    </w:p>
    <w:p>
      <w:pPr>
        <w:ind w:right="300" w:firstLine="398"/>
        <w:spacing w:after="0" w:line="271" w:lineRule="auto"/>
        <w:tabs>
          <w:tab w:leader="none" w:pos="614" w:val="left"/>
        </w:tabs>
        <w:numPr>
          <w:ilvl w:val="0"/>
          <w:numId w:val="431"/>
        </w:numPr>
        <w:rPr>
          <w:rFonts w:ascii="Arial" w:cs="Arial" w:eastAsia="Arial" w:hAnsi="Arial"/>
          <w:sz w:val="17"/>
          <w:szCs w:val="17"/>
          <w:color w:val="auto"/>
        </w:rPr>
      </w:pPr>
      <w:r>
        <w:rPr>
          <w:rFonts w:ascii="Arial" w:cs="Arial" w:eastAsia="Arial" w:hAnsi="Arial"/>
          <w:sz w:val="17"/>
          <w:szCs w:val="17"/>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000"/>
          </w:cols>
          <w:pgMar w:left="1440" w:top="274" w:right="459" w:bottom="1440" w:gutter="0" w:footer="0" w:header="0"/>
        </w:sectPr>
      </w:pPr>
    </w:p>
    <w:bookmarkStart w:id="523" w:name="page524"/>
    <w:bookmarkEnd w:id="523"/>
    <w:p>
      <w:pPr>
        <w:ind w:left="2" w:right="160" w:firstLine="398"/>
        <w:spacing w:after="0" w:line="285" w:lineRule="auto"/>
        <w:tabs>
          <w:tab w:leader="none" w:pos="616" w:val="left"/>
        </w:tabs>
        <w:numPr>
          <w:ilvl w:val="1"/>
          <w:numId w:val="4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57" w:lineRule="exact"/>
        <w:rPr>
          <w:rFonts w:ascii="Arial" w:cs="Arial" w:eastAsia="Arial" w:hAnsi="Arial"/>
          <w:sz w:val="17"/>
          <w:szCs w:val="17"/>
          <w:color w:val="auto"/>
        </w:rPr>
      </w:pPr>
    </w:p>
    <w:p>
      <w:pPr>
        <w:jc w:val="both"/>
        <w:ind w:left="2" w:right="20" w:firstLine="398"/>
        <w:spacing w:after="0" w:line="258" w:lineRule="auto"/>
        <w:tabs>
          <w:tab w:leader="none" w:pos="656" w:val="left"/>
        </w:tabs>
        <w:numPr>
          <w:ilvl w:val="1"/>
          <w:numId w:val="432"/>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79" w:lineRule="exact"/>
        <w:rPr>
          <w:rFonts w:ascii="Arial" w:cs="Arial" w:eastAsia="Arial" w:hAnsi="Arial"/>
          <w:sz w:val="18"/>
          <w:szCs w:val="18"/>
          <w:color w:val="auto"/>
        </w:rPr>
      </w:pPr>
    </w:p>
    <w:p>
      <w:pPr>
        <w:ind w:left="2" w:right="100" w:firstLine="398"/>
        <w:spacing w:after="0" w:line="301" w:lineRule="auto"/>
        <w:tabs>
          <w:tab w:leader="none" w:pos="616" w:val="left"/>
        </w:tabs>
        <w:numPr>
          <w:ilvl w:val="1"/>
          <w:numId w:val="432"/>
        </w:numPr>
        <w:rPr>
          <w:rFonts w:ascii="Arial" w:cs="Arial" w:eastAsia="Arial" w:hAnsi="Arial"/>
          <w:sz w:val="16"/>
          <w:szCs w:val="16"/>
          <w:color w:val="auto"/>
        </w:rPr>
      </w:pPr>
      <w:r>
        <w:rPr>
          <w:rFonts w:ascii="Arial" w:cs="Arial" w:eastAsia="Arial" w:hAnsi="Arial"/>
          <w:sz w:val="16"/>
          <w:szCs w:val="16"/>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the Company or any Principal Domestic Subsidiary;</w:t>
      </w:r>
    </w:p>
    <w:p>
      <w:pPr>
        <w:spacing w:after="0" w:line="46" w:lineRule="exact"/>
        <w:rPr>
          <w:rFonts w:ascii="Arial" w:cs="Arial" w:eastAsia="Arial" w:hAnsi="Arial"/>
          <w:sz w:val="16"/>
          <w:szCs w:val="16"/>
          <w:color w:val="auto"/>
        </w:rPr>
      </w:pPr>
    </w:p>
    <w:p>
      <w:pPr>
        <w:ind w:left="2" w:firstLine="398"/>
        <w:spacing w:after="0" w:line="263" w:lineRule="auto"/>
        <w:tabs>
          <w:tab w:leader="none" w:pos="706"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73" w:lineRule="exact"/>
        <w:rPr>
          <w:rFonts w:ascii="Arial" w:cs="Arial" w:eastAsia="Arial" w:hAnsi="Arial"/>
          <w:sz w:val="18"/>
          <w:szCs w:val="18"/>
          <w:color w:val="auto"/>
        </w:rPr>
      </w:pPr>
    </w:p>
    <w:p>
      <w:pPr>
        <w:ind w:left="2" w:right="140" w:firstLine="398"/>
        <w:spacing w:after="0" w:line="276" w:lineRule="auto"/>
        <w:tabs>
          <w:tab w:leader="none" w:pos="656"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62" w:hanging="262"/>
        <w:spacing w:after="0"/>
        <w:tabs>
          <w:tab w:leader="none" w:pos="662"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6" w:lineRule="exact"/>
        <w:rPr>
          <w:rFonts w:ascii="Arial" w:cs="Arial" w:eastAsia="Arial" w:hAnsi="Arial"/>
          <w:sz w:val="18"/>
          <w:szCs w:val="18"/>
          <w:color w:val="auto"/>
        </w:rPr>
      </w:pPr>
    </w:p>
    <w:p>
      <w:pPr>
        <w:ind w:left="662" w:hanging="262"/>
        <w:spacing w:after="0"/>
        <w:tabs>
          <w:tab w:leader="none" w:pos="662" w:val="left"/>
        </w:tabs>
        <w:numPr>
          <w:ilvl w:val="1"/>
          <w:numId w:val="432"/>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6" w:lineRule="exact"/>
        <w:rPr>
          <w:rFonts w:ascii="Arial" w:cs="Arial" w:eastAsia="Arial" w:hAnsi="Arial"/>
          <w:sz w:val="18"/>
          <w:szCs w:val="18"/>
          <w:color w:val="auto"/>
        </w:rPr>
      </w:pPr>
    </w:p>
    <w:p>
      <w:pPr>
        <w:ind w:left="2" w:right="120" w:firstLine="398"/>
        <w:spacing w:after="0" w:line="284" w:lineRule="auto"/>
        <w:tabs>
          <w:tab w:leader="none" w:pos="656" w:val="left"/>
        </w:tabs>
        <w:numPr>
          <w:ilvl w:val="1"/>
          <w:numId w:val="432"/>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w:t>
      </w:r>
    </w:p>
    <w:p>
      <w:pPr>
        <w:spacing w:after="0" w:line="1" w:lineRule="exact"/>
        <w:rPr>
          <w:rFonts w:ascii="Arial" w:cs="Arial" w:eastAsia="Arial" w:hAnsi="Arial"/>
          <w:sz w:val="16"/>
          <w:szCs w:val="16"/>
          <w:color w:val="auto"/>
        </w:rPr>
      </w:pPr>
    </w:p>
    <w:p>
      <w:pPr>
        <w:ind w:left="402" w:hanging="402"/>
        <w:spacing w:after="0"/>
        <w:tabs>
          <w:tab w:leader="none" w:pos="40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rental deposits, (ix) judicial appeals and (x) service contracts;</w:t>
      </w:r>
    </w:p>
    <w:p>
      <w:pPr>
        <w:spacing w:after="0" w:line="101" w:lineRule="exact"/>
        <w:rPr>
          <w:rFonts w:ascii="Arial" w:cs="Arial" w:eastAsia="Arial" w:hAnsi="Arial"/>
          <w:sz w:val="18"/>
          <w:szCs w:val="18"/>
          <w:color w:val="auto"/>
        </w:rPr>
      </w:pPr>
    </w:p>
    <w:p>
      <w:pPr>
        <w:ind w:left="4422" w:right="260" w:hanging="4022"/>
        <w:spacing w:after="0" w:line="448" w:lineRule="auto"/>
        <w:tabs>
          <w:tab w:leader="none" w:pos="63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owing to the Company or any Principal Domestic Subsidiary; 98</w:t>
      </w:r>
    </w:p>
    <w:p>
      <w:pPr>
        <w:sectPr>
          <w:pgSz w:w="11900" w:h="16838" w:orient="portrait"/>
          <w:cols w:equalWidth="0" w:num="1">
            <w:col w:w="9982"/>
          </w:cols>
          <w:pgMar w:left="1438" w:top="273" w:right="479" w:bottom="1440" w:gutter="0" w:footer="0" w:header="0"/>
        </w:sectPr>
      </w:pPr>
    </w:p>
    <w:bookmarkStart w:id="524" w:name="page525"/>
    <w:bookmarkEnd w:id="524"/>
    <w:p>
      <w:pPr>
        <w:ind w:left="1000" w:right="40" w:firstLine="398"/>
        <w:spacing w:after="0" w:line="263" w:lineRule="auto"/>
        <w:tabs>
          <w:tab w:leader="none" w:pos="1634"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3" w:lineRule="exact"/>
        <w:rPr>
          <w:rFonts w:ascii="Arial" w:cs="Arial" w:eastAsia="Arial" w:hAnsi="Arial"/>
          <w:sz w:val="18"/>
          <w:szCs w:val="18"/>
          <w:color w:val="auto"/>
        </w:rPr>
      </w:pPr>
    </w:p>
    <w:p>
      <w:pPr>
        <w:ind w:left="1000" w:right="220" w:firstLine="398"/>
        <w:spacing w:after="0" w:line="301" w:lineRule="auto"/>
        <w:tabs>
          <w:tab w:leader="none" w:pos="1614" w:val="left"/>
        </w:tabs>
        <w:numPr>
          <w:ilvl w:val="0"/>
          <w:numId w:val="434"/>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46" w:lineRule="exact"/>
        <w:rPr>
          <w:rFonts w:ascii="Arial" w:cs="Arial" w:eastAsia="Arial" w:hAnsi="Arial"/>
          <w:sz w:val="16"/>
          <w:szCs w:val="16"/>
          <w:color w:val="auto"/>
        </w:rPr>
      </w:pPr>
    </w:p>
    <w:p>
      <w:pPr>
        <w:ind w:left="1660" w:hanging="262"/>
        <w:spacing w:after="0"/>
        <w:tabs>
          <w:tab w:leader="none" w:pos="1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6" w:lineRule="exact"/>
        <w:rPr>
          <w:rFonts w:ascii="Arial" w:cs="Arial" w:eastAsia="Arial" w:hAnsi="Arial"/>
          <w:sz w:val="18"/>
          <w:szCs w:val="18"/>
          <w:color w:val="auto"/>
        </w:rPr>
      </w:pPr>
    </w:p>
    <w:p>
      <w:pPr>
        <w:ind w:left="1000" w:right="180" w:firstLine="398"/>
        <w:spacing w:after="0" w:line="263" w:lineRule="auto"/>
        <w:tabs>
          <w:tab w:leader="none" w:pos="165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1000" w:right="20" w:firstLine="398"/>
        <w:spacing w:after="0" w:line="306" w:lineRule="auto"/>
        <w:tabs>
          <w:tab w:leader="none" w:pos="1694" w:val="left"/>
        </w:tabs>
        <w:numPr>
          <w:ilvl w:val="0"/>
          <w:numId w:val="434"/>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40" w:lineRule="exact"/>
        <w:rPr>
          <w:rFonts w:ascii="Arial" w:cs="Arial" w:eastAsia="Arial" w:hAnsi="Arial"/>
          <w:sz w:val="17"/>
          <w:szCs w:val="17"/>
          <w:color w:val="auto"/>
        </w:rPr>
      </w:pPr>
    </w:p>
    <w:p>
      <w:pPr>
        <w:ind w:left="1000" w:right="120" w:firstLine="398"/>
        <w:spacing w:after="0" w:line="276" w:lineRule="auto"/>
        <w:tabs>
          <w:tab w:leader="none" w:pos="165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1000" w:right="460" w:firstLine="398"/>
        <w:spacing w:after="0" w:line="276" w:lineRule="auto"/>
        <w:tabs>
          <w:tab w:leader="none" w:pos="165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1000" w:firstLine="398"/>
        <w:spacing w:after="0" w:line="258" w:lineRule="auto"/>
        <w:tabs>
          <w:tab w:leader="none" w:pos="164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7" w:lineRule="exact"/>
        <w:rPr>
          <w:sz w:val="20"/>
          <w:szCs w:val="20"/>
          <w:color w:val="auto"/>
        </w:rPr>
      </w:pPr>
    </w:p>
    <w:p>
      <w:pPr>
        <w:ind w:right="8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11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at a particular time, an employee pension benefit plan covered by Title IV of ERISA or Section 412 of the Code 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ERISA, but excluding any Multiemployer Plan, (a) which is sponsored, established, contributed to or maintained by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ERISA Affiliate, (b) for which the Company or any ERISA Affiliate could have any liability, whether actual or contingent (whether pursuant to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4062 or Section 4069 of ERISA be deemed to be) an “employer” as defined in Section 3(5) of ERISA.</w:t>
      </w:r>
    </w:p>
    <w:p>
      <w:pPr>
        <w:spacing w:after="0" w:line="14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3" w:right="459" w:bottom="1440" w:gutter="0" w:footer="0" w:header="0"/>
        </w:sectPr>
      </w:pPr>
    </w:p>
    <w:bookmarkStart w:id="525" w:name="page526"/>
    <w:bookmarkEnd w:id="525"/>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xml:space="preserve">” means of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 time.</w:t>
      </w:r>
    </w:p>
    <w:p>
      <w:pPr>
        <w:spacing w:after="0" w:line="247" w:lineRule="exact"/>
        <w:rPr>
          <w:sz w:val="20"/>
          <w:szCs w:val="20"/>
          <w:color w:val="auto"/>
        </w:rPr>
      </w:pPr>
    </w:p>
    <w:p>
      <w:pPr>
        <w:ind w:right="1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160" w:firstLine="98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Post-Petition Interest</w:t>
      </w:r>
      <w:r>
        <w:rPr>
          <w:rFonts w:ascii="Arial" w:cs="Arial" w:eastAsia="Arial" w:hAnsi="Arial"/>
          <w:sz w:val="16"/>
          <w:szCs w:val="16"/>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Pounds Sterling</w:t>
      </w:r>
      <w:r>
        <w:rPr>
          <w:rFonts w:ascii="Arial" w:cs="Arial" w:eastAsia="Arial" w:hAnsi="Arial"/>
          <w:sz w:val="18"/>
          <w:szCs w:val="18"/>
          <w:color w:val="FF0000"/>
          <w:strike w:val="1"/>
        </w:rPr>
        <w:t>” and “</w:t>
      </w:r>
      <w:r>
        <w:rPr>
          <w:rFonts w:ascii="Arial" w:cs="Arial" w:eastAsia="Arial" w:hAnsi="Arial"/>
          <w:sz w:val="18"/>
          <w:szCs w:val="18"/>
          <w:u w:val="single" w:color="auto"/>
          <w:color w:val="FF0000"/>
          <w:strike w:val="1"/>
        </w:rPr>
        <w:t>£</w:t>
      </w:r>
      <w:r>
        <w:rPr>
          <w:rFonts w:ascii="Arial" w:cs="Arial" w:eastAsia="Arial" w:hAnsi="Arial"/>
          <w:sz w:val="18"/>
          <w:szCs w:val="18"/>
          <w:color w:val="FF0000"/>
          <w:strike w:val="1"/>
        </w:rPr>
        <w:t>” means the lawful currency of the United Kingdom.</w:t>
      </w:r>
    </w:p>
    <w:p>
      <w:pPr>
        <w:spacing w:after="0" w:line="224" w:lineRule="exact"/>
        <w:rPr>
          <w:sz w:val="20"/>
          <w:szCs w:val="20"/>
          <w:color w:val="auto"/>
        </w:rPr>
      </w:pPr>
    </w:p>
    <w:p>
      <w:pPr>
        <w:ind w:right="100" w:firstLine="98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Five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73" w:lineRule="exact"/>
        <w:rPr>
          <w:sz w:val="20"/>
          <w:szCs w:val="20"/>
          <w:color w:val="auto"/>
        </w:rPr>
      </w:pPr>
    </w:p>
    <w:p>
      <w:pPr>
        <w:ind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w:t>
      </w:r>
      <w:r>
        <w:rPr>
          <w:rFonts w:ascii="Arial" w:cs="Arial" w:eastAsia="Arial" w:hAnsi="Arial"/>
          <w:sz w:val="17"/>
          <w:szCs w:val="17"/>
          <w:color w:val="FF0000"/>
          <w:strike w:val="1"/>
        </w:rPr>
        <w:t>s</w:t>
      </w:r>
      <w:r>
        <w:rPr>
          <w:rFonts w:ascii="Arial" w:cs="Arial" w:eastAsia="Arial" w:hAnsi="Arial"/>
          <w:sz w:val="17"/>
          <w:szCs w:val="17"/>
          <w:color w:val="auto"/>
        </w:rPr>
        <w:t xml:space="preserve"> the rate of interest per annum </w:t>
      </w:r>
      <w:r>
        <w:rPr>
          <w:rFonts w:ascii="Arial" w:cs="Arial" w:eastAsia="Arial" w:hAnsi="Arial"/>
          <w:sz w:val="17"/>
          <w:szCs w:val="17"/>
          <w:color w:val="FF0000"/>
          <w:strike w:val="1"/>
        </w:rPr>
        <w:t>publicly announced from time to time</w:t>
      </w:r>
      <w:r>
        <w:rPr>
          <w:rFonts w:ascii="Arial" w:cs="Arial" w:eastAsia="Arial" w:hAnsi="Arial"/>
          <w:sz w:val="17"/>
          <w:szCs w:val="17"/>
          <w:u w:val="single" w:color="auto"/>
          <w:color w:val="0000FF"/>
        </w:rPr>
        <w:t>last quoted by The Wall Street Journal as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w:t>
      </w:r>
      <w:r>
        <w:rPr>
          <w:rFonts w:ascii="Arial" w:cs="Arial" w:eastAsia="Arial" w:hAnsi="Arial"/>
          <w:sz w:val="17"/>
          <w:szCs w:val="17"/>
          <w:color w:val="0000FF"/>
        </w:rPr>
        <w:t xml:space="preserve"> </w:t>
      </w:r>
      <w:r>
        <w:rPr>
          <w:rFonts w:ascii="Arial" w:cs="Arial" w:eastAsia="Arial" w:hAnsi="Arial"/>
          <w:sz w:val="17"/>
          <w:szCs w:val="17"/>
          <w:color w:val="000000"/>
        </w:rPr>
        <w:t>by the Administrative Agent</w:t>
      </w:r>
      <w:r>
        <w:rPr>
          <w:rFonts w:ascii="Arial" w:cs="Arial" w:eastAsia="Arial" w:hAnsi="Arial"/>
          <w:sz w:val="17"/>
          <w:szCs w:val="17"/>
          <w:color w:val="0000FF"/>
        </w:rPr>
        <w:t xml:space="preserve"> </w:t>
      </w:r>
      <w:r>
        <w:rPr>
          <w:rFonts w:ascii="Arial" w:cs="Arial" w:eastAsia="Arial" w:hAnsi="Arial"/>
          <w:sz w:val="17"/>
          <w:szCs w:val="17"/>
          <w:color w:val="FF0000"/>
          <w:strike w:val="1"/>
        </w:rPr>
        <w:t>as its prime rate in effect at its principal office in New York City (the</w:t>
      </w:r>
      <w:r>
        <w:rPr>
          <w:rFonts w:ascii="Arial" w:cs="Arial" w:eastAsia="Arial" w:hAnsi="Arial"/>
          <w:sz w:val="17"/>
          <w:szCs w:val="17"/>
          <w:color w:val="0000FF"/>
        </w:rPr>
        <w:t xml:space="preserve"> </w:t>
      </w:r>
      <w:r>
        <w:rPr>
          <w:rFonts w:ascii="Arial" w:cs="Arial" w:eastAsia="Arial" w:hAnsi="Arial"/>
          <w:sz w:val="17"/>
          <w:szCs w:val="17"/>
          <w:color w:val="FF0000"/>
          <w:strike w:val="1"/>
        </w:rPr>
        <w:t>Prime Rate not being intended to be the lowest rate of interest charged</w:t>
      </w:r>
      <w:r>
        <w:rPr>
          <w:rFonts w:ascii="Arial" w:cs="Arial" w:eastAsia="Arial" w:hAnsi="Arial"/>
          <w:sz w:val="17"/>
          <w:szCs w:val="17"/>
          <w:u w:val="single" w:color="auto"/>
          <w:color w:val="0000FF"/>
        </w:rPr>
        <w:t>) or any similar release by the Federal Reserve Board (as determined</w:t>
      </w:r>
      <w:r>
        <w:rPr>
          <w:rFonts w:ascii="Arial" w:cs="Arial" w:eastAsia="Arial" w:hAnsi="Arial"/>
          <w:sz w:val="17"/>
          <w:szCs w:val="17"/>
          <w:color w:val="FF0000"/>
        </w:rPr>
        <w:t xml:space="preserve"> </w:t>
      </w:r>
      <w:r>
        <w:rPr>
          <w:rFonts w:ascii="Arial" w:cs="Arial" w:eastAsia="Arial" w:hAnsi="Arial"/>
          <w:sz w:val="17"/>
          <w:szCs w:val="17"/>
          <w:color w:val="000000"/>
        </w:rPr>
        <w:t>by the</w:t>
      </w:r>
      <w:r>
        <w:rPr>
          <w:rFonts w:ascii="Arial" w:cs="Arial" w:eastAsia="Arial" w:hAnsi="Arial"/>
          <w:sz w:val="17"/>
          <w:szCs w:val="17"/>
          <w:color w:val="FF0000"/>
        </w:rPr>
        <w:t xml:space="preserve"> </w:t>
      </w:r>
      <w:r>
        <w:rPr>
          <w:rFonts w:ascii="Arial" w:cs="Arial" w:eastAsia="Arial" w:hAnsi="Arial"/>
          <w:sz w:val="17"/>
          <w:szCs w:val="17"/>
          <w:color w:val="000000"/>
        </w:rPr>
        <w:t xml:space="preserve">Administrative Agent </w:t>
      </w:r>
      <w:r>
        <w:rPr>
          <w:rFonts w:ascii="Arial" w:cs="Arial" w:eastAsia="Arial" w:hAnsi="Arial"/>
          <w:sz w:val="17"/>
          <w:szCs w:val="17"/>
          <w:color w:val="FF0000"/>
          <w:strike w:val="1"/>
        </w:rPr>
        <w:t>in connection with extensions of credit to borrowers).</w:t>
      </w:r>
      <w:r>
        <w:rPr>
          <w:rFonts w:ascii="Arial" w:cs="Arial" w:eastAsia="Arial" w:hAnsi="Arial"/>
          <w:sz w:val="17"/>
          <w:szCs w:val="17"/>
          <w:u w:val="single" w:color="auto"/>
          <w:color w:val="0000FF"/>
        </w:rPr>
        <w:t>). Each change in the Prime Rate shall be effective from and including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date such change is publicly announced or quoted as being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-826135</wp:posOffset>
            </wp:positionV>
            <wp:extent cx="203517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0351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-688975</wp:posOffset>
            </wp:positionV>
            <wp:extent cx="680783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68078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-552450</wp:posOffset>
            </wp:positionV>
            <wp:extent cx="664527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-415290</wp:posOffset>
            </wp:positionV>
            <wp:extent cx="247142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2471420"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-278765</wp:posOffset>
            </wp:positionV>
            <wp:extent cx="312991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129915"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-141605</wp:posOffset>
            </wp:positionV>
            <wp:extent cx="336931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3693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312991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59" w:lineRule="exact"/>
        <w:rPr>
          <w:sz w:val="20"/>
          <w:szCs w:val="20"/>
          <w:color w:val="auto"/>
        </w:rPr>
      </w:pPr>
    </w:p>
    <w:p>
      <w:pPr>
        <w:ind w:right="80"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2017 10-K), (B) at least 80% or more of the Capital Stock or Voting Stock of such Domestic Subsidiary is owned, directly or indirectly, by the Company and (C) none of the Capital Stock of such Domestic Subsidiary is publicly held.</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7"/>
          <w:szCs w:val="17"/>
          <w:u w:val="single" w:color="auto"/>
          <w:color w:val="0000FF"/>
        </w:rPr>
        <w:t>“QFC” has the meaning assigned to the term “qualified financial contract” in, and shall be interpreted in accordance with, 12 U.S.C.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5390(c)(8)(D).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-122555</wp:posOffset>
            </wp:positionV>
            <wp:extent cx="602932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0293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67564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3" w:right="479" w:bottom="1440" w:gutter="0" w:footer="0" w:header="0"/>
        </w:sectPr>
      </w:pPr>
    </w:p>
    <w:bookmarkStart w:id="526" w:name="page527"/>
    <w:bookmarkEnd w:id="526"/>
    <w:p>
      <w:pPr>
        <w:ind w:left="100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“QFC Credit Support” has the meaning assigned to it in Section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323278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232785" cy="8255"/>
                    </a:xfrm>
                    <a:prstGeom prst="rect">
                      <a:avLst/>
                    </a:prstGeom>
                    <a:noFill/>
                  </pic:spPr>
                </pic:pic>
              </a:graphicData>
            </a:graphic>
          </wp:anchor>
        </w:drawing>
      </w:r>
    </w:p>
    <w:p>
      <w:pPr>
        <w:spacing w:after="0" w:line="204" w:lineRule="exact"/>
        <w:rPr>
          <w:sz w:val="20"/>
          <w:szCs w:val="20"/>
          <w:color w:val="auto"/>
        </w:rPr>
      </w:pPr>
    </w:p>
    <w:p>
      <w:pPr>
        <w:ind w:right="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right="60" w:firstLine="98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w:t>
      </w:r>
      <w:r>
        <w:rPr>
          <w:rFonts w:ascii="Arial" w:cs="Arial" w:eastAsia="Arial" w:hAnsi="Arial"/>
          <w:sz w:val="18"/>
          <w:szCs w:val="18"/>
          <w:color w:val="FF0000"/>
          <w:strike w:val="1"/>
        </w:rPr>
        <w:t>I</w:t>
      </w:r>
      <w:r>
        <w:rPr>
          <w:rFonts w:ascii="Arial" w:cs="Arial" w:eastAsia="Arial" w:hAnsi="Arial"/>
          <w:sz w:val="18"/>
          <w:szCs w:val="18"/>
          <w:u w:val="single" w:color="auto"/>
          <w:color w:val="0000FF"/>
        </w:rPr>
        <w:t>i</w:t>
      </w:r>
      <w:r>
        <w:rPr>
          <w:rFonts w:ascii="Arial" w:cs="Arial" w:eastAsia="Arial" w:hAnsi="Arial"/>
          <w:sz w:val="18"/>
          <w:szCs w:val="18"/>
          <w:color w:val="auto"/>
        </w:rPr>
        <w:t xml:space="preserve">nterbank market (or, if the Currency in relation to which such rate is determined is Euro, the European </w:t>
      </w:r>
      <w:r>
        <w:rPr>
          <w:rFonts w:ascii="Arial" w:cs="Arial" w:eastAsia="Arial" w:hAnsi="Arial"/>
          <w:sz w:val="18"/>
          <w:szCs w:val="18"/>
          <w:color w:val="FF0000"/>
          <w:strike w:val="1"/>
        </w:rPr>
        <w:t>I</w:t>
      </w:r>
      <w:r>
        <w:rPr>
          <w:rFonts w:ascii="Arial" w:cs="Arial" w:eastAsia="Arial" w:hAnsi="Arial"/>
          <w:sz w:val="18"/>
          <w:szCs w:val="18"/>
          <w:u w:val="single" w:color="auto"/>
          <w:color w:val="0000FF"/>
        </w:rPr>
        <w:t>i</w:t>
      </w:r>
      <w:r>
        <w:rPr>
          <w:rFonts w:ascii="Arial" w:cs="Arial" w:eastAsia="Arial" w:hAnsi="Arial"/>
          <w:sz w:val="18"/>
          <w:szCs w:val="18"/>
          <w:color w:val="auto"/>
        </w:rPr>
        <w:t xml:space="preserve">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-408940</wp:posOffset>
            </wp:positionV>
            <wp:extent cx="342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-272415</wp:posOffset>
            </wp:positionV>
            <wp:extent cx="2540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u w:val="single" w:color="auto"/>
          <w:color w:val="0000FF"/>
        </w:rPr>
        <w:t>“Reference Time” with respect to any setting of the then-current Benchmark means (1) if such Benchmark is Eurocurrency Base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11:00 a.m. (London time) on the day that is two London banking days preceding the date of such setting, (2) if such Benchmark is EURIBOR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-107950</wp:posOffset>
            </wp:positionV>
            <wp:extent cx="612330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6123305" cy="8255"/>
                    </a:xfrm>
                    <a:prstGeom prst="rect">
                      <a:avLst/>
                    </a:prstGeom>
                    <a:noFill/>
                  </pic:spPr>
                </pic:pic>
              </a:graphicData>
            </a:graphic>
          </wp:anchor>
        </w:drawing>
      </w:r>
    </w:p>
    <w:p>
      <w:pPr>
        <w:spacing w:after="0" w:line="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u w:val="single" w:color="auto"/>
          <w:color w:val="0000FF"/>
        </w:rPr>
        <w:t>11:00 a.m. Brussels time two TARGET Days preceding the date of such setting, (3) if such Benchmark is TIBOR Rate, 11:00 a.m. Japan time two Business Days preceding the date of such setting, and (4) if such Benchmark is none of the Eurocurrency Base Rate, the EURIBOR Rate or the TIBOR Rate, the time determined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-408305</wp:posOffset>
            </wp:positionV>
            <wp:extent cx="673100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67310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-271145</wp:posOffset>
            </wp:positionV>
            <wp:extent cx="666242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6624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90181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wp:posOffset>
            </wp:positionV>
            <wp:extent cx="37801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224"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1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ind w:firstLine="989"/>
        <w:spacing w:after="0" w:line="256" w:lineRule="auto"/>
        <w:rPr>
          <w:sz w:val="20"/>
          <w:szCs w:val="20"/>
          <w:color w:val="auto"/>
        </w:rPr>
      </w:pPr>
      <w:r>
        <w:rPr>
          <w:rFonts w:ascii="Arial" w:cs="Arial" w:eastAsia="Arial" w:hAnsi="Arial"/>
          <w:sz w:val="18"/>
          <w:szCs w:val="18"/>
          <w:u w:val="single" w:color="auto"/>
          <w:color w:val="0000FF"/>
        </w:rPr>
        <w:t>“Relevant Governmental Body”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-546100</wp:posOffset>
            </wp:positionV>
            <wp:extent cx="607187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60718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93610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-272415</wp:posOffset>
            </wp:positionV>
            <wp:extent cx="683323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67956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70993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40"/>
          </w:cols>
          <w:pgMar w:left="440" w:top="273" w:right="519" w:bottom="1440" w:gutter="0" w:footer="0" w:header="0"/>
        </w:sectPr>
      </w:pPr>
    </w:p>
    <w:bookmarkStart w:id="527" w:name="page528"/>
    <w:bookmarkEnd w:id="527"/>
    <w:p>
      <w:pPr>
        <w:spacing w:after="0" w:line="29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of Loans denominated in Japanese Yen, the Bank of Japan, or a committee officially endorsed or convened by the Bank of Japan or, in each case, any successor thereto and (iv) with respect to a Benchmark Replacement in respect of Loans denominated in any other Optional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-836295</wp:posOffset>
            </wp:positionV>
            <wp:extent cx="696150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-699770</wp:posOffset>
            </wp:positionV>
            <wp:extent cx="697039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-562610</wp:posOffset>
            </wp:positionV>
            <wp:extent cx="645731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64573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83323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-288925</wp:posOffset>
            </wp:positionV>
            <wp:extent cx="691896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86752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68675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wp:posOffset>
            </wp:positionV>
            <wp:extent cx="499427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4994275" cy="8255"/>
                    </a:xfrm>
                    <a:prstGeom prst="rect">
                      <a:avLst/>
                    </a:prstGeom>
                    <a:noFill/>
                  </pic:spPr>
                </pic:pic>
              </a:graphicData>
            </a:graphic>
          </wp:anchor>
        </w:drawing>
      </w:r>
    </w:p>
    <w:p>
      <w:pPr>
        <w:spacing w:after="0" w:line="142" w:lineRule="exact"/>
        <w:rPr>
          <w:sz w:val="20"/>
          <w:szCs w:val="20"/>
          <w:color w:val="auto"/>
        </w:rPr>
      </w:pPr>
    </w:p>
    <w:p>
      <w:pPr>
        <w:ind w:right="100" w:firstLine="989"/>
        <w:spacing w:after="0" w:line="263" w:lineRule="auto"/>
        <w:rPr>
          <w:sz w:val="20"/>
          <w:szCs w:val="20"/>
          <w:color w:val="auto"/>
        </w:rPr>
      </w:pPr>
      <w:r>
        <w:rPr>
          <w:rFonts w:ascii="Arial" w:cs="Arial" w:eastAsia="Arial" w:hAnsi="Arial"/>
          <w:sz w:val="18"/>
          <w:szCs w:val="18"/>
          <w:u w:val="single" w:color="auto"/>
          <w:color w:val="0000FF"/>
        </w:rPr>
        <w:t>“Relevant Rate” means (i) with respect to any Eurocurrency Borrowing denominated in Dollars, the Eurocurrency Base Rate, (ii) with respect to any Eurocurrency Borrowing denominated in Euros, the EURIBOR Rate, as applicable and (iii) with respect to any Eurocurrency Borrowing denominated in Japanese Yen, the TIBOR Rate,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-276860</wp:posOffset>
            </wp:positionV>
            <wp:extent cx="612330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61233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690181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283083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7"/>
          <w:szCs w:val="17"/>
          <w:u w:val="single" w:color="auto"/>
          <w:color w:val="0000FF"/>
        </w:rPr>
        <w:t>“Relevant Screen Rate” means (i) with respect to any Eurocurrency Borrowing denominated in Dollars, the Eurocurrency Base Rate,</w:t>
      </w:r>
    </w:p>
    <w:p>
      <w:pPr>
        <w:spacing w:after="0" w:line="34" w:lineRule="exact"/>
        <w:rPr>
          <w:sz w:val="20"/>
          <w:szCs w:val="20"/>
          <w:color w:val="auto"/>
        </w:rPr>
      </w:pPr>
    </w:p>
    <w:p>
      <w:pPr>
        <w:ind w:right="80" w:firstLine="9"/>
        <w:spacing w:after="0" w:line="259" w:lineRule="auto"/>
        <w:tabs>
          <w:tab w:leader="none" w:pos="264" w:val="left"/>
        </w:tabs>
        <w:numPr>
          <w:ilvl w:val="0"/>
          <w:numId w:val="43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with respect to any Eurocurrency Borrowing denominated in Euros, the EURIBOR Screen Rate or (iii) with respect to any Eurocurrency Borrowing denominated in Japanese Yen, the TIBOR Screen Rate,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-274320</wp:posOffset>
            </wp:positionV>
            <wp:extent cx="606361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60636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91896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316420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164205" cy="8255"/>
                    </a:xfrm>
                    <a:prstGeom prst="rect">
                      <a:avLst/>
                    </a:prstGeom>
                    <a:noFill/>
                  </pic:spPr>
                </pic:pic>
              </a:graphicData>
            </a:graphic>
          </wp:anchor>
        </w:drawing>
      </w:r>
    </w:p>
    <w:p>
      <w:pPr>
        <w:spacing w:after="0" w:line="165" w:lineRule="exact"/>
        <w:rPr>
          <w:sz w:val="20"/>
          <w:szCs w:val="20"/>
          <w:color w:val="auto"/>
        </w:rPr>
      </w:pPr>
    </w:p>
    <w:p>
      <w:pPr>
        <w:ind w:right="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170" w:lineRule="exact"/>
        <w:rPr>
          <w:sz w:val="20"/>
          <w:szCs w:val="20"/>
          <w:color w:val="auto"/>
        </w:rPr>
      </w:pPr>
    </w:p>
    <w:p>
      <w:pPr>
        <w:jc w:val="both"/>
        <w:ind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7"/>
          <w:szCs w:val="17"/>
          <w:u w:val="single" w:color="auto"/>
          <w:color w:val="0000FF"/>
        </w:rPr>
        <w:t xml:space="preserve">“Resolution Authority” means an EEA Resolution Authority or, </w:t>
      </w:r>
      <w:r>
        <w:rPr>
          <w:rFonts w:ascii="Arial" w:cs="Arial" w:eastAsia="Arial" w:hAnsi="Arial"/>
          <w:sz w:val="17"/>
          <w:szCs w:val="17"/>
          <w:u w:val="single" w:color="auto"/>
          <w:color w:val="00C000"/>
        </w:rPr>
        <w:t>with respect to any UK</w:t>
      </w:r>
      <w:r>
        <w:rPr>
          <w:rFonts w:ascii="Arial" w:cs="Arial" w:eastAsia="Arial" w:hAnsi="Arial"/>
          <w:sz w:val="17"/>
          <w:szCs w:val="17"/>
          <w:u w:val="single" w:color="auto"/>
          <w:color w:val="0000FF"/>
        </w:rPr>
        <w:t xml:space="preserve"> Financial Institution, a UK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30480</wp:posOffset>
            </wp:positionV>
            <wp:extent cx="626046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6260465" cy="8255"/>
                    </a:xfrm>
                    <a:prstGeom prst="rect">
                      <a:avLst/>
                    </a:prstGeom>
                    <a:noFill/>
                  </pic:spPr>
                </pic:pic>
              </a:graphicData>
            </a:graphic>
          </wp:anchor>
        </w:drawing>
      </w:r>
    </w:p>
    <w:p>
      <w:pPr>
        <w:spacing w:after="0" w:line="216" w:lineRule="exact"/>
        <w:rPr>
          <w:sz w:val="20"/>
          <w:szCs w:val="20"/>
          <w:color w:val="auto"/>
        </w:rPr>
      </w:pPr>
    </w:p>
    <w:p>
      <w:pPr>
        <w:ind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 and its successors.</w:t>
      </w:r>
    </w:p>
    <w:p>
      <w:pPr>
        <w:spacing w:after="0" w:line="224" w:lineRule="exact"/>
        <w:rPr>
          <w:sz w:val="20"/>
          <w:szCs w:val="20"/>
          <w:color w:val="auto"/>
        </w:rPr>
      </w:pPr>
    </w:p>
    <w:p>
      <w:pPr>
        <w:jc w:val="both"/>
        <w:ind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4" w:lineRule="exact"/>
        <w:rPr>
          <w:sz w:val="20"/>
          <w:szCs w:val="20"/>
          <w:color w:val="auto"/>
        </w:rPr>
      </w:pPr>
    </w:p>
    <w:p>
      <w:pPr>
        <w:ind w:right="1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3" w:right="479" w:bottom="1440" w:gutter="0" w:footer="0" w:header="0"/>
        </w:sectPr>
      </w:pPr>
    </w:p>
    <w:bookmarkStart w:id="528" w:name="page529"/>
    <w:bookmarkEnd w:id="528"/>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FF4338"/>
          <w:strike w:val="1"/>
        </w:rPr>
        <w:t>“Screen Rate</w:t>
      </w:r>
      <w:r>
        <w:rPr>
          <w:rFonts w:ascii="Arial" w:cs="Arial" w:eastAsia="Arial" w:hAnsi="Arial"/>
          <w:sz w:val="18"/>
          <w:szCs w:val="18"/>
          <w:color w:val="008000"/>
          <w:strike w:val="1"/>
        </w:rPr>
        <w:t>” has the meaning set forth in the</w:t>
      </w:r>
      <w:r>
        <w:rPr>
          <w:rFonts w:ascii="Arial" w:cs="Arial" w:eastAsia="Arial" w:hAnsi="Arial"/>
          <w:sz w:val="18"/>
          <w:szCs w:val="18"/>
          <w:color w:val="FF4338"/>
          <w:strike w:val="1"/>
        </w:rPr>
        <w:t xml:space="preserve"> definition of Eurocurrency Base Rate.</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4" w:lineRule="exact"/>
        <w:rPr>
          <w:sz w:val="20"/>
          <w:szCs w:val="20"/>
          <w:color w:val="auto"/>
        </w:rPr>
      </w:pPr>
    </w:p>
    <w:p>
      <w:pPr>
        <w:ind w:right="240" w:firstLine="989"/>
        <w:spacing w:after="0" w:line="276" w:lineRule="auto"/>
        <w:rPr>
          <w:sz w:val="20"/>
          <w:szCs w:val="20"/>
          <w:color w:val="auto"/>
        </w:rPr>
      </w:pPr>
      <w:r>
        <w:rPr>
          <w:rFonts w:ascii="Arial" w:cs="Arial" w:eastAsia="Arial" w:hAnsi="Arial"/>
          <w:sz w:val="18"/>
          <w:szCs w:val="18"/>
          <w:u w:val="single" w:color="auto"/>
          <w:color w:val="0000FF"/>
        </w:rPr>
        <w:t>“SOFR” means, with respect to any Business Day, a rate per annum equal to the secured overnight financing rate for such Business Day published by the SOFR Administrator on the SOFR Administrator’s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-147320</wp:posOffset>
            </wp:positionV>
            <wp:extent cx="620903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62090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353187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“SOFR Administrator” means the NYFRB (or a successor administrator of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515683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5156835" cy="8255"/>
                    </a:xfrm>
                    <a:prstGeom prst="rect">
                      <a:avLst/>
                    </a:prstGeom>
                    <a:noFill/>
                  </pic:spPr>
                </pic:pic>
              </a:graphicData>
            </a:graphic>
          </wp:anchor>
        </w:drawing>
      </w:r>
    </w:p>
    <w:p>
      <w:pPr>
        <w:spacing w:after="0" w:line="204" w:lineRule="exact"/>
        <w:rPr>
          <w:sz w:val="20"/>
          <w:szCs w:val="20"/>
          <w:color w:val="auto"/>
        </w:rPr>
      </w:pPr>
    </w:p>
    <w:p>
      <w:pPr>
        <w:ind w:right="200" w:firstLine="989"/>
        <w:spacing w:after="0" w:line="276" w:lineRule="auto"/>
        <w:rPr>
          <w:sz w:val="20"/>
          <w:szCs w:val="20"/>
          <w:color w:val="auto"/>
        </w:rPr>
      </w:pPr>
      <w:r>
        <w:rPr>
          <w:rFonts w:ascii="Arial" w:cs="Arial" w:eastAsia="Arial" w:hAnsi="Arial"/>
          <w:sz w:val="18"/>
          <w:szCs w:val="18"/>
          <w:u w:val="single" w:color="auto"/>
          <w:color w:val="0000FF"/>
        </w:rPr>
        <w:t>“SOFR Administrator’s Website” means the NYFRB’s Website, currently at http://www.newyorkfed.org, or any successor source for the secured overnight financing rate identified as such by the SOFR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-147320</wp:posOffset>
            </wp:positionV>
            <wp:extent cx="622617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2261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44690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4446905" cy="8255"/>
                    </a:xfrm>
                    <a:prstGeom prst="rect">
                      <a:avLst/>
                    </a:prstGeom>
                    <a:noFill/>
                  </pic:spPr>
                </pic:pic>
              </a:graphicData>
            </a:graphic>
          </wp:anchor>
        </w:drawing>
      </w:r>
    </w:p>
    <w:p>
      <w:pPr>
        <w:spacing w:after="0" w:line="150" w:lineRule="exact"/>
        <w:rPr>
          <w:sz w:val="20"/>
          <w:szCs w:val="20"/>
          <w:color w:val="auto"/>
        </w:rPr>
      </w:pPr>
    </w:p>
    <w:p>
      <w:pPr>
        <w:ind w:firstLine="989"/>
        <w:spacing w:after="0" w:line="291" w:lineRule="auto"/>
        <w:rPr>
          <w:sz w:val="20"/>
          <w:szCs w:val="20"/>
          <w:color w:val="auto"/>
        </w:rPr>
      </w:pPr>
      <w:r>
        <w:rPr>
          <w:rFonts w:ascii="Arial" w:cs="Arial" w:eastAsia="Arial" w:hAnsi="Arial"/>
          <w:sz w:val="16"/>
          <w:szCs w:val="16"/>
          <w:u w:val="single" w:color="auto"/>
          <w:color w:val="0000FF"/>
        </w:rPr>
        <w:t xml:space="preserve">“Statutory Reserve Rate”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Eurocurrency Rate, </w:t>
      </w:r>
      <w:r>
        <w:rPr>
          <w:rFonts w:ascii="Arial" w:cs="Arial" w:eastAsia="Arial" w:hAnsi="Arial"/>
          <w:sz w:val="16"/>
          <w:szCs w:val="16"/>
          <w:u w:val="single" w:color="auto"/>
          <w:color w:val="00C000"/>
        </w:rPr>
        <w:t>for</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C000"/>
        </w:rPr>
        <w:t>eurocurrency funding (currently referred to as “Eurocurrency liabilities” in Regulation D</w:t>
      </w:r>
      <w:r>
        <w:rPr>
          <w:rFonts w:ascii="Arial" w:cs="Arial" w:eastAsia="Arial" w:hAnsi="Arial"/>
          <w:sz w:val="16"/>
          <w:szCs w:val="16"/>
          <w:u w:val="single" w:color="auto"/>
          <w:color w:val="0000FF"/>
        </w:rPr>
        <w:t>). Such reserve percentage shall include those imposed pursuant</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0000FF"/>
        </w:rPr>
        <w:t xml:space="preserve">to </w:t>
      </w:r>
      <w:r>
        <w:rPr>
          <w:rFonts w:ascii="Arial" w:cs="Arial" w:eastAsia="Arial" w:hAnsi="Arial"/>
          <w:sz w:val="16"/>
          <w:szCs w:val="16"/>
          <w:u w:val="single" w:color="auto"/>
          <w:color w:val="00C000"/>
        </w:rPr>
        <w:t>Regulation D. Eurocurrency Loans shall be deemed to constitute</w:t>
      </w:r>
      <w:r>
        <w:rPr>
          <w:rFonts w:ascii="Arial" w:cs="Arial" w:eastAsia="Arial" w:hAnsi="Arial"/>
          <w:sz w:val="16"/>
          <w:szCs w:val="16"/>
          <w:u w:val="single" w:color="auto"/>
          <w:color w:val="0000FF"/>
        </w:rPr>
        <w:t xml:space="preserve"> eurocurrency funding and </w:t>
      </w:r>
      <w:r>
        <w:rPr>
          <w:rFonts w:ascii="Arial" w:cs="Arial" w:eastAsia="Arial" w:hAnsi="Arial"/>
          <w:sz w:val="16"/>
          <w:szCs w:val="16"/>
          <w:u w:val="single" w:color="auto"/>
          <w:color w:val="00C000"/>
        </w:rPr>
        <w:t>to be subject to such reserve requirements without benefit</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C000"/>
        </w:rPr>
        <w:t xml:space="preserve">of or credit for proration, </w:t>
      </w:r>
      <w:r>
        <w:rPr>
          <w:rFonts w:ascii="Arial" w:cs="Arial" w:eastAsia="Arial" w:hAnsi="Arial"/>
          <w:sz w:val="16"/>
          <w:szCs w:val="16"/>
          <w:u w:val="single" w:color="auto"/>
          <w:color w:val="0000FF"/>
        </w:rPr>
        <w:t>exemptions or offsets that</w:t>
      </w:r>
      <w:r>
        <w:rPr>
          <w:rFonts w:ascii="Arial" w:cs="Arial" w:eastAsia="Arial" w:hAnsi="Arial"/>
          <w:sz w:val="16"/>
          <w:szCs w:val="16"/>
          <w:u w:val="single" w:color="auto"/>
          <w:color w:val="00C000"/>
        </w:rPr>
        <w:t xml:space="preserve"> may be available from time to time to any Lender under Regulation D </w:t>
      </w:r>
      <w:r>
        <w:rPr>
          <w:rFonts w:ascii="Arial" w:cs="Arial" w:eastAsia="Arial" w:hAnsi="Arial"/>
          <w:sz w:val="16"/>
          <w:szCs w:val="16"/>
          <w:u w:val="single" w:color="auto"/>
          <w:color w:val="0000FF"/>
        </w:rPr>
        <w:t>or any comparable regulation.</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0000FF"/>
        </w:rPr>
        <w:t xml:space="preserve">The Statutory Reserve Rate shall </w:t>
      </w:r>
      <w:r>
        <w:rPr>
          <w:rFonts w:ascii="Arial" w:cs="Arial" w:eastAsia="Arial" w:hAnsi="Arial"/>
          <w:sz w:val="16"/>
          <w:szCs w:val="16"/>
          <w:u w:val="single" w:color="auto"/>
          <w:color w:val="00C000"/>
        </w:rPr>
        <w:t>be adjusted automatically on and as of the effective date of any change in any reserve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-836295</wp:posOffset>
            </wp:positionV>
            <wp:extent cx="614045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140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-699770</wp:posOffset>
            </wp:positionV>
            <wp:extent cx="697865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-562610</wp:posOffset>
            </wp:positionV>
            <wp:extent cx="697039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97039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-288925</wp:posOffset>
            </wp:positionV>
            <wp:extent cx="693610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96150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wp:posOffset>
            </wp:positionV>
            <wp:extent cx="596963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142" w:lineRule="exact"/>
        <w:rPr>
          <w:sz w:val="20"/>
          <w:szCs w:val="20"/>
          <w:color w:val="auto"/>
        </w:rPr>
      </w:pPr>
    </w:p>
    <w:p>
      <w:pPr>
        <w:ind w:right="120" w:firstLine="98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79" w:lineRule="exact"/>
        <w:rPr>
          <w:sz w:val="20"/>
          <w:szCs w:val="20"/>
          <w:color w:val="auto"/>
        </w:rPr>
      </w:pPr>
    </w:p>
    <w:p>
      <w:pPr>
        <w:ind w:right="100" w:firstLine="989"/>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Borrower</w:t>
      </w:r>
      <w:r>
        <w:rPr>
          <w:rFonts w:ascii="Arial" w:cs="Arial" w:eastAsia="Arial" w:hAnsi="Arial"/>
          <w:sz w:val="16"/>
          <w:szCs w:val="16"/>
          <w:color w:val="auto"/>
        </w:rPr>
        <w:t xml:space="preserve">” means GMB (solely with respect to the Brazilian Facility), </w:t>
      </w:r>
      <w:r>
        <w:rPr>
          <w:rFonts w:ascii="Arial" w:cs="Arial" w:eastAsia="Arial" w:hAnsi="Arial"/>
          <w:sz w:val="16"/>
          <w:szCs w:val="16"/>
          <w:color w:val="FF0000"/>
          <w:strike w:val="1"/>
        </w:rPr>
        <w:t>GMGTC,</w:t>
      </w:r>
      <w:r>
        <w:rPr>
          <w:rFonts w:ascii="Arial" w:cs="Arial" w:eastAsia="Arial" w:hAnsi="Arial"/>
          <w:sz w:val="16"/>
          <w:szCs w:val="16"/>
          <w:color w:val="auto"/>
        </w:rPr>
        <w:t xml:space="preserve"> GMF and any other Subsidiary that becomes a party hereto pursuant to Section 10.1(d) until such time as such Subsidiary Borrower is removed as a party hereto pursuant to Section 10.1(d).</w:t>
      </w:r>
    </w:p>
    <w:p>
      <w:pPr>
        <w:spacing w:after="0" w:line="124" w:lineRule="exact"/>
        <w:rPr>
          <w:sz w:val="20"/>
          <w:szCs w:val="20"/>
          <w:color w:val="auto"/>
        </w:rPr>
      </w:pPr>
    </w:p>
    <w:p>
      <w:pPr>
        <w:ind w:right="20" w:firstLine="98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3" w:right="459" w:bottom="1440" w:gutter="0" w:footer="0" w:header="0"/>
        </w:sectPr>
      </w:pPr>
    </w:p>
    <w:bookmarkStart w:id="529" w:name="page530"/>
    <w:bookmarkEnd w:id="529"/>
    <w:p>
      <w:pPr>
        <w:ind w:left="100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“Supported QFC” has the meaning assigned to it in Section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302768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3027680" cy="8255"/>
                    </a:xfrm>
                    <a:prstGeom prst="rect">
                      <a:avLst/>
                    </a:prstGeom>
                    <a:noFill/>
                  </pic:spPr>
                </pic:pic>
              </a:graphicData>
            </a:graphic>
          </wp:anchor>
        </w:drawing>
      </w: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4" w:lineRule="exact"/>
        <w:rPr>
          <w:sz w:val="20"/>
          <w:szCs w:val="20"/>
          <w:color w:val="auto"/>
        </w:rPr>
      </w:pPr>
    </w:p>
    <w:p>
      <w:pPr>
        <w:ind w:right="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xml:space="preserve"> </w:t>
      </w:r>
      <w:r>
        <w:rPr>
          <w:rFonts w:ascii="Arial" w:cs="Arial" w:eastAsia="Arial" w:hAnsi="Arial"/>
          <w:sz w:val="18"/>
          <w:szCs w:val="18"/>
          <w:color w:val="FF0000"/>
          <w:strike w:val="1"/>
        </w:rPr>
        <w:t>Day</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means </w:t>
      </w:r>
      <w:r>
        <w:rPr>
          <w:rFonts w:ascii="Arial" w:cs="Arial" w:eastAsia="Arial" w:hAnsi="Arial"/>
          <w:sz w:val="18"/>
          <w:szCs w:val="18"/>
          <w:color w:val="FF0000"/>
          <w:strike w:val="1"/>
        </w:rPr>
        <w:t>any day on which</w:t>
      </w:r>
      <w:r>
        <w:rPr>
          <w:rFonts w:ascii="Arial" w:cs="Arial" w:eastAsia="Arial" w:hAnsi="Arial"/>
          <w:sz w:val="18"/>
          <w:szCs w:val="18"/>
          <w:color w:val="auto"/>
        </w:rPr>
        <w:t xml:space="preserve"> the Trans-European Automated Real-time Gross Settlement Express Transfer payment system </w:t>
      </w:r>
      <w:r>
        <w:rPr>
          <w:rFonts w:ascii="Arial" w:cs="Arial" w:eastAsia="Arial" w:hAnsi="Arial"/>
          <w:sz w:val="18"/>
          <w:szCs w:val="18"/>
          <w:u w:val="single" w:color="auto"/>
          <w:color w:val="0000FF"/>
        </w:rPr>
        <w:t>which utilizes a single shared platform and which was launched on November 19,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-147320</wp:posOffset>
            </wp:positionV>
            <wp:extent cx="596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01955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4019550" cy="8255"/>
                    </a:xfrm>
                    <a:prstGeom prst="rect">
                      <a:avLst/>
                    </a:prstGeom>
                    <a:noFill/>
                  </pic:spPr>
                </pic:pic>
              </a:graphicData>
            </a:graphic>
          </wp:anchor>
        </w:drawing>
      </w:r>
    </w:p>
    <w:p>
      <w:pPr>
        <w:spacing w:after="0" w:line="150" w:lineRule="exact"/>
        <w:rPr>
          <w:sz w:val="20"/>
          <w:szCs w:val="20"/>
          <w:color w:val="auto"/>
        </w:rPr>
      </w:pPr>
    </w:p>
    <w:p>
      <w:pPr>
        <w:ind w:firstLine="989"/>
        <w:spacing w:after="0" w:line="306" w:lineRule="auto"/>
        <w:rPr>
          <w:sz w:val="20"/>
          <w:szCs w:val="20"/>
          <w:color w:val="auto"/>
        </w:rPr>
      </w:pPr>
      <w:r>
        <w:rPr>
          <w:rFonts w:ascii="Arial" w:cs="Arial" w:eastAsia="Arial" w:hAnsi="Arial"/>
          <w:sz w:val="17"/>
          <w:szCs w:val="17"/>
          <w:u w:val="single" w:color="auto"/>
          <w:color w:val="0000FF"/>
        </w:rPr>
        <w:t>“TARGET Day” means any day on which the TARGET2 (or, if such payment system ceases to be operative, such other payment system, if any, determined by the Administrative Agent to be a suitable replacement)</w:t>
      </w:r>
      <w:r>
        <w:rPr>
          <w:rFonts w:ascii="Arial" w:cs="Arial" w:eastAsia="Arial" w:hAnsi="Arial"/>
          <w:sz w:val="17"/>
          <w:szCs w:val="17"/>
          <w:color w:val="0000FF"/>
        </w:rPr>
        <w:t xml:space="preserve"> </w:t>
      </w:r>
      <w:r>
        <w:rPr>
          <w:rFonts w:ascii="Arial" w:cs="Arial" w:eastAsia="Arial" w:hAnsi="Arial"/>
          <w:sz w:val="17"/>
          <w:szCs w:val="17"/>
          <w:color w:val="000000"/>
        </w:rPr>
        <w:t>is open for the settlement of payments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-161290</wp:posOffset>
            </wp:positionV>
            <wp:extent cx="63455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63455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-24765</wp:posOffset>
            </wp:positionV>
            <wp:extent cx="339534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3395345" cy="8255"/>
                    </a:xfrm>
                    <a:prstGeom prst="rect">
                      <a:avLst/>
                    </a:prstGeom>
                    <a:noFill/>
                  </pic:spPr>
                </pic:pic>
              </a:graphicData>
            </a:graphic>
          </wp:anchor>
        </w:drawing>
      </w:r>
    </w:p>
    <w:p>
      <w:pPr>
        <w:spacing w:after="0" w:line="128" w:lineRule="exact"/>
        <w:rPr>
          <w:sz w:val="20"/>
          <w:szCs w:val="20"/>
          <w:color w:val="auto"/>
        </w:rPr>
      </w:pPr>
    </w:p>
    <w:p>
      <w:pPr>
        <w:ind w:right="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82" w:lineRule="exact"/>
        <w:rPr>
          <w:sz w:val="20"/>
          <w:szCs w:val="20"/>
          <w:color w:val="auto"/>
        </w:rPr>
      </w:pPr>
    </w:p>
    <w:p>
      <w:pPr>
        <w:ind w:right="240" w:firstLine="98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as to any </w:t>
      </w:r>
      <w:r>
        <w:rPr>
          <w:rFonts w:ascii="Arial" w:cs="Arial" w:eastAsia="Arial" w:hAnsi="Arial"/>
          <w:sz w:val="18"/>
          <w:szCs w:val="18"/>
          <w:u w:val="single" w:color="auto"/>
          <w:color w:val="0000FF"/>
        </w:rPr>
        <w:t>2021 Non-Extending</w:t>
      </w:r>
      <w:r>
        <w:rPr>
          <w:rFonts w:ascii="Arial" w:cs="Arial" w:eastAsia="Arial" w:hAnsi="Arial"/>
          <w:sz w:val="18"/>
          <w:szCs w:val="18"/>
          <w:color w:val="auto"/>
        </w:rPr>
        <w:t xml:space="preserve"> Lender under any Facility, initially, the fifth anniversary of the Closing Date, as such date for such Lender under such Facility may be extended from time to time pursuant to Section 2.27 </w:t>
      </w:r>
      <w:r>
        <w:rPr>
          <w:rFonts w:ascii="Arial" w:cs="Arial" w:eastAsia="Arial" w:hAnsi="Arial"/>
          <w:sz w:val="18"/>
          <w:szCs w:val="18"/>
          <w:u w:val="single" w:color="auto"/>
          <w:color w:val="0000FF"/>
        </w:rPr>
        <w:t>and (b) as to any 2021 Extending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Lender under any Facility, the eighth anniversary of the Closing Date, as such date for such Lender under such Facility may be extended from time to time pursuant to Section 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-410210</wp:posOffset>
            </wp:positionV>
            <wp:extent cx="12827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-410210</wp:posOffset>
            </wp:positionV>
            <wp:extent cx="95758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957580" cy="8255"/>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-273050</wp:posOffset>
            </wp:positionV>
            <wp:extent cx="151384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5138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8160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816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136842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167"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u w:val="single" w:color="auto"/>
          <w:color w:val="0000FF"/>
        </w:rPr>
        <w:t>“Term SOFR” means, for the applicable Corresponding Tenor as of the applicable Reference Time, the forward-looking term rate based on SOFR 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-147320</wp:posOffset>
            </wp:positionV>
            <wp:extent cx="633730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382270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822700" cy="8255"/>
                    </a:xfrm>
                    <a:prstGeom prst="rect">
                      <a:avLst/>
                    </a:prstGeom>
                    <a:noFill/>
                  </pic:spPr>
                </pic:pic>
              </a:graphicData>
            </a:graphic>
          </wp:anchor>
        </w:drawing>
      </w:r>
    </w:p>
    <w:p>
      <w:pPr>
        <w:spacing w:after="0" w:line="150"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u w:val="single" w:color="auto"/>
          <w:color w:val="0000FF"/>
        </w:rPr>
        <w:t>“Term SOFR Notice” means a notification by the Administrative Agent to the Lenders and the Borrower of the occurrence of a Term SOFR Transition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-147320</wp:posOffset>
            </wp:positionV>
            <wp:extent cx="607187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0718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110299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50" w:lineRule="exact"/>
        <w:rPr>
          <w:sz w:val="20"/>
          <w:szCs w:val="20"/>
          <w:color w:val="auto"/>
        </w:rPr>
      </w:pPr>
    </w:p>
    <w:p>
      <w:pPr>
        <w:ind w:right="80" w:firstLine="989"/>
        <w:spacing w:after="0" w:line="258" w:lineRule="auto"/>
        <w:rPr>
          <w:sz w:val="20"/>
          <w:szCs w:val="20"/>
          <w:color w:val="auto"/>
        </w:rPr>
      </w:pPr>
      <w:r>
        <w:rPr>
          <w:rFonts w:ascii="Arial" w:cs="Arial" w:eastAsia="Arial" w:hAnsi="Arial"/>
          <w:sz w:val="18"/>
          <w:szCs w:val="18"/>
          <w:u w:val="single" w:color="auto"/>
          <w:color w:val="0000FF"/>
        </w:rPr>
        <w:t>“Term SOFR Transition Event”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2.16 that is not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-410210</wp:posOffset>
            </wp:positionV>
            <wp:extent cx="62947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2947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44017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64401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83323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188976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67" w:lineRule="exact"/>
        <w:rPr>
          <w:sz w:val="20"/>
          <w:szCs w:val="20"/>
          <w:color w:val="auto"/>
        </w:rPr>
      </w:pPr>
    </w:p>
    <w:p>
      <w:pPr>
        <w:ind w:right="60" w:firstLine="989"/>
        <w:spacing w:after="0" w:line="271" w:lineRule="auto"/>
        <w:rPr>
          <w:sz w:val="20"/>
          <w:szCs w:val="20"/>
          <w:color w:val="auto"/>
        </w:rPr>
      </w:pPr>
      <w:r>
        <w:rPr>
          <w:rFonts w:ascii="Arial" w:cs="Arial" w:eastAsia="Arial" w:hAnsi="Arial"/>
          <w:sz w:val="17"/>
          <w:szCs w:val="17"/>
          <w:u w:val="single" w:color="auto"/>
          <w:color w:val="0000FF"/>
        </w:rPr>
        <w:t>“TIBOR Interpolated Rate” means, at any time, with respect to any Eurocurrency Borrowing denominated in Japanese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Japanese Yen) that is shorter than the Impacted TIBOR Rate Interest Period; and (b) the TIBOR Screen Rate for the shortest period (for which the TIBOR Screen Rate is available for Japanese Yen) that exceeds the Impacted TIBOR Rate Interest Period, in each case, at such time; provided that, if any TIBOR Interpolated Rate shall be less than 0.0%, such rate shall be deemed to be 0.0%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-826135</wp:posOffset>
            </wp:positionV>
            <wp:extent cx="615759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61575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-688975</wp:posOffset>
            </wp:positionV>
            <wp:extent cx="691007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-552450</wp:posOffset>
            </wp:positionV>
            <wp:extent cx="663638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66363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-415290</wp:posOffset>
            </wp:positionV>
            <wp:extent cx="673100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67310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-278765</wp:posOffset>
            </wp:positionV>
            <wp:extent cx="658558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5855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-141605</wp:posOffset>
            </wp:positionV>
            <wp:extent cx="692721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6927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405384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4053840" cy="8255"/>
                    </a:xfrm>
                    <a:prstGeom prst="rect">
                      <a:avLst/>
                    </a:prstGeom>
                    <a:noFill/>
                  </pic:spPr>
                </pic:pic>
              </a:graphicData>
            </a:graphic>
          </wp:anchor>
        </w:drawing>
      </w:r>
    </w:p>
    <w:p>
      <w:pPr>
        <w:spacing w:after="0" w:line="159" w:lineRule="exact"/>
        <w:rPr>
          <w:sz w:val="20"/>
          <w:szCs w:val="20"/>
          <w:color w:val="auto"/>
        </w:rPr>
      </w:pPr>
    </w:p>
    <w:p>
      <w:pPr>
        <w:ind w:right="100" w:firstLine="989"/>
        <w:spacing w:after="0" w:line="258" w:lineRule="auto"/>
        <w:rPr>
          <w:sz w:val="20"/>
          <w:szCs w:val="20"/>
          <w:color w:val="auto"/>
        </w:rPr>
      </w:pPr>
      <w:r>
        <w:rPr>
          <w:rFonts w:ascii="Arial" w:cs="Arial" w:eastAsia="Arial" w:hAnsi="Arial"/>
          <w:sz w:val="18"/>
          <w:szCs w:val="18"/>
          <w:u w:val="single" w:color="auto"/>
          <w:color w:val="0000FF"/>
        </w:rPr>
        <w:t>“TIBOR Rate” means, with respect to any Eurocurrency Borrowing denominated in Japanese Yen and for any Interest Period, the TIBOR Screen Rate at approximately 11:00 a.m., Japan time, two Business Days prior to the commencement of such Interest Period; provided that, if the TIBOR Screen Rate shall not be available at such time for such Interest Period (an “Impacted TIBOR Rate Interest Period”) with respect to Japanese Yen then the TIBOR Rate shall be the TIBOR Interpolated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-410210</wp:posOffset>
            </wp:positionV>
            <wp:extent cx="628586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2858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62813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66281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7906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29419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440" w:top="273" w:right="479" w:bottom="1440" w:gutter="0" w:footer="0" w:header="0"/>
        </w:sectPr>
      </w:pPr>
    </w:p>
    <w:bookmarkStart w:id="530" w:name="page531"/>
    <w:bookmarkEnd w:id="530"/>
    <w:p>
      <w:pPr>
        <w:ind w:right="40" w:firstLine="989"/>
        <w:spacing w:after="0" w:line="293"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“TIBOR Screen Rate”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0.0%, the TIBOR Screen Rate shall be deemed to be 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-700405</wp:posOffset>
            </wp:positionV>
            <wp:extent cx="619188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1918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-563880</wp:posOffset>
            </wp:positionV>
            <wp:extent cx="672211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67221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-426720</wp:posOffset>
            </wp:positionV>
            <wp:extent cx="685927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68592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-290195</wp:posOffset>
            </wp:positionV>
            <wp:extent cx="685927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68592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-153035</wp:posOffset>
            </wp:positionV>
            <wp:extent cx="690181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wp:posOffset>
            </wp:positionV>
            <wp:extent cx="494347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4943475" cy="8255"/>
                    </a:xfrm>
                    <a:prstGeom prst="rect">
                      <a:avLst/>
                    </a:prstGeom>
                    <a:noFill/>
                  </pic:spPr>
                </pic:pic>
              </a:graphicData>
            </a:graphic>
          </wp:anchor>
        </w:drawing>
      </w:r>
    </w:p>
    <w:p>
      <w:pPr>
        <w:spacing w:after="0" w:line="141" w:lineRule="exact"/>
        <w:rPr>
          <w:sz w:val="20"/>
          <w:szCs w:val="20"/>
          <w:color w:val="auto"/>
        </w:rPr>
      </w:pPr>
    </w:p>
    <w:p>
      <w:pPr>
        <w:ind w:right="9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xml:space="preserve">” means, at any time, an amount equal to the excess, if any, of (a) the Total Brazilian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Brazilian Extensions of Credit then outstanding.</w:t>
      </w:r>
    </w:p>
    <w:p>
      <w:pPr>
        <w:spacing w:after="0" w:line="170" w:lineRule="exact"/>
        <w:rPr>
          <w:sz w:val="20"/>
          <w:szCs w:val="20"/>
          <w:color w:val="auto"/>
        </w:rPr>
      </w:pPr>
    </w:p>
    <w:p>
      <w:pPr>
        <w:ind w:right="2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8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70" w:lineRule="exact"/>
        <w:rPr>
          <w:sz w:val="20"/>
          <w:szCs w:val="20"/>
          <w:color w:val="auto"/>
        </w:rPr>
      </w:pPr>
    </w:p>
    <w:p>
      <w:pPr>
        <w:ind w:right="18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70" w:lineRule="exact"/>
        <w:rPr>
          <w:sz w:val="20"/>
          <w:szCs w:val="20"/>
          <w:color w:val="auto"/>
        </w:rPr>
      </w:pPr>
    </w:p>
    <w:p>
      <w:pPr>
        <w:ind w:right="22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xml:space="preserve">” means, at any time, the aggregate amount of the Brazilian Commitments then in effect. The original amount of the Total Brazilian Commitment is $240 million. </w:t>
      </w:r>
      <w:r>
        <w:rPr>
          <w:rFonts w:ascii="Arial" w:cs="Arial" w:eastAsia="Arial" w:hAnsi="Arial"/>
          <w:sz w:val="18"/>
          <w:szCs w:val="18"/>
          <w:color w:val="0000FF"/>
        </w:rPr>
        <w:t>The amount of Total Brazilian Commitment as of the First Amendment Effective Date is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-140335</wp:posOffset>
            </wp:positionV>
            <wp:extent cx="407098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4070985" cy="825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-174625</wp:posOffset>
            </wp:positionV>
            <wp:extent cx="407352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40735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65849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58495" cy="8255"/>
                    </a:xfrm>
                    <a:prstGeom prst="rect">
                      <a:avLst/>
                    </a:prstGeom>
                    <a:noFill/>
                  </pic:spPr>
                </pic:pic>
              </a:graphicData>
            </a:graphic>
          </wp:anchor>
        </w:drawing>
      </w:r>
    </w:p>
    <w:p>
      <w:pPr>
        <w:spacing w:after="0" w:line="162" w:lineRule="exact"/>
        <w:rPr>
          <w:sz w:val="20"/>
          <w:szCs w:val="20"/>
          <w:color w:val="auto"/>
        </w:rPr>
      </w:pPr>
    </w:p>
    <w:p>
      <w:pPr>
        <w:ind w:right="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70" w:lineRule="exact"/>
        <w:rPr>
          <w:sz w:val="20"/>
          <w:szCs w:val="20"/>
          <w:color w:val="auto"/>
        </w:rPr>
      </w:pPr>
    </w:p>
    <w:p>
      <w:pPr>
        <w:ind w:right="38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Commitments</w:t>
      </w:r>
      <w:r>
        <w:rPr>
          <w:rFonts w:ascii="Arial" w:cs="Arial" w:eastAsia="Arial" w:hAnsi="Arial"/>
          <w:sz w:val="17"/>
          <w:szCs w:val="17"/>
          <w:color w:val="auto"/>
        </w:rPr>
        <w:t xml:space="preserve">” means, at any time, the aggregate amount of the Commitments then in effect. The original amount of the Total Commitments is $10.5 billion. </w:t>
      </w:r>
      <w:r>
        <w:rPr>
          <w:rFonts w:ascii="Arial" w:cs="Arial" w:eastAsia="Arial" w:hAnsi="Arial"/>
          <w:sz w:val="17"/>
          <w:szCs w:val="17"/>
          <w:u w:val="single" w:color="auto"/>
          <w:color w:val="0000FF"/>
        </w:rPr>
        <w:t>The amount of Total Commitments as of the First Amendment Effective Date is $11,213,695,000.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-24765</wp:posOffset>
            </wp:positionV>
            <wp:extent cx="446405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4464050" cy="8255"/>
                    </a:xfrm>
                    <a:prstGeom prst="rect">
                      <a:avLst/>
                    </a:prstGeom>
                    <a:noFill/>
                  </pic:spPr>
                </pic:pic>
              </a:graphicData>
            </a:graphic>
          </wp:anchor>
        </w:drawing>
      </w:r>
    </w:p>
    <w:p>
      <w:pPr>
        <w:spacing w:after="0" w:line="128" w:lineRule="exact"/>
        <w:rPr>
          <w:sz w:val="20"/>
          <w:szCs w:val="20"/>
          <w:color w:val="auto"/>
        </w:rPr>
      </w:pPr>
    </w:p>
    <w:p>
      <w:pPr>
        <w:ind w:right="100" w:firstLine="98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xml:space="preserve">” means, at any time, the aggregate amount of the Domestic Commitments then in effect. The original amount of the Total Domestic Commitment is $189,421,000. </w:t>
      </w:r>
      <w:r>
        <w:rPr>
          <w:rFonts w:ascii="Arial" w:cs="Arial" w:eastAsia="Arial" w:hAnsi="Arial"/>
          <w:sz w:val="18"/>
          <w:szCs w:val="18"/>
          <w:u w:val="single" w:color="auto"/>
          <w:color w:val="0000FF"/>
        </w:rPr>
        <w:t>The amount of Total Domestic Commitment as of the First Amendment Effective Date is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$296,921,000.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-140335</wp:posOffset>
            </wp:positionV>
            <wp:extent cx="406209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40620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65849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58495" cy="8255"/>
                    </a:xfrm>
                    <a:prstGeom prst="rect">
                      <a:avLst/>
                    </a:prstGeom>
                    <a:noFill/>
                  </pic:spPr>
                </pic:pic>
              </a:graphicData>
            </a:graphic>
          </wp:anchor>
        </w:drawing>
      </w:r>
    </w:p>
    <w:p>
      <w:pPr>
        <w:spacing w:after="0" w:line="162" w:lineRule="exact"/>
        <w:rPr>
          <w:sz w:val="20"/>
          <w:szCs w:val="20"/>
          <w:color w:val="auto"/>
        </w:rPr>
      </w:pPr>
    </w:p>
    <w:p>
      <w:pPr>
        <w:ind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70" w:lineRule="exact"/>
        <w:rPr>
          <w:sz w:val="20"/>
          <w:szCs w:val="20"/>
          <w:color w:val="auto"/>
        </w:rPr>
      </w:pPr>
    </w:p>
    <w:p>
      <w:pPr>
        <w:ind w:right="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20"/>
          </w:cols>
          <w:pgMar w:left="440" w:top="273" w:right="539" w:bottom="1440" w:gutter="0" w:footer="0" w:header="0"/>
        </w:sectPr>
      </w:pPr>
    </w:p>
    <w:bookmarkStart w:id="531" w:name="page532"/>
    <w:bookmarkEnd w:id="531"/>
    <w:p>
      <w:pPr>
        <w:ind w:right="420" w:firstLine="98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xml:space="preserve">” means, at any time, the aggregate amount of the Multicurrency Commitments then in effect. The original amount of the Total Multicurrency Commitment is $10,070,579,000. </w:t>
      </w:r>
      <w:r>
        <w:rPr>
          <w:rFonts w:ascii="Arial" w:cs="Arial" w:eastAsia="Arial" w:hAnsi="Arial"/>
          <w:sz w:val="18"/>
          <w:szCs w:val="18"/>
          <w:u w:val="single" w:color="auto"/>
          <w:color w:val="0000FF"/>
        </w:rPr>
        <w:t>The amount of Total Multicurrency Commitment as of the First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Effective Date is $10,676,774,000.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-140335</wp:posOffset>
            </wp:positionV>
            <wp:extent cx="289052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28905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21805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162" w:lineRule="exact"/>
        <w:rPr>
          <w:sz w:val="20"/>
          <w:szCs w:val="20"/>
          <w:color w:val="auto"/>
        </w:rPr>
      </w:pPr>
    </w:p>
    <w:p>
      <w:pPr>
        <w:ind w:right="60" w:firstLine="98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4" w:lineRule="exact"/>
        <w:rPr>
          <w:sz w:val="20"/>
          <w:szCs w:val="20"/>
          <w:color w:val="auto"/>
        </w:rPr>
      </w:pPr>
    </w:p>
    <w:p>
      <w:pPr>
        <w:jc w:val="both"/>
        <w:ind w:right="280" w:firstLine="98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xml:space="preserve">” means (a) as to any Loan (other than a Competitive Loan), its nature as an ABR Loan, a CDI Loan </w:t>
      </w:r>
      <w:r>
        <w:rPr>
          <w:rFonts w:ascii="Arial" w:cs="Arial" w:eastAsia="Arial" w:hAnsi="Arial"/>
          <w:sz w:val="17"/>
          <w:szCs w:val="17"/>
          <w:color w:val="FF0000"/>
          <w:strike w:val="1"/>
        </w:rPr>
        <w:t>or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a Eurocurrency Loan</w:t>
      </w:r>
      <w:r>
        <w:rPr>
          <w:rFonts w:ascii="Arial" w:cs="Arial" w:eastAsia="Arial" w:hAnsi="Arial"/>
          <w:sz w:val="17"/>
          <w:szCs w:val="17"/>
          <w:u w:val="single" w:color="auto"/>
          <w:color w:val="0000FF"/>
        </w:rPr>
        <w:t>, 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Adjusted EURIBOR Loan or an Adjusted TIBOR Rate Loan</w:t>
      </w:r>
      <w:r>
        <w:rPr>
          <w:rFonts w:ascii="Arial" w:cs="Arial" w:eastAsia="Arial" w:hAnsi="Arial"/>
          <w:sz w:val="17"/>
          <w:szCs w:val="17"/>
          <w:color w:val="0000FF"/>
        </w:rPr>
        <w:t xml:space="preserve"> </w:t>
      </w:r>
      <w:r>
        <w:rPr>
          <w:rFonts w:ascii="Arial" w:cs="Arial" w:eastAsia="Arial" w:hAnsi="Arial"/>
          <w:sz w:val="17"/>
          <w:szCs w:val="17"/>
          <w:color w:val="000000"/>
        </w:rPr>
        <w:t>and (b) as to any Competitive Loan, its nature as a Eurocurrency Competitive Loan</w:t>
      </w:r>
      <w:r>
        <w:rPr>
          <w:rFonts w:ascii="Arial" w:cs="Arial" w:eastAsia="Arial" w:hAnsi="Arial"/>
          <w:sz w:val="17"/>
          <w:szCs w:val="17"/>
          <w:u w:val="single" w:color="auto"/>
          <w:color w:val="0000FF"/>
        </w:rPr>
        <w:t>, an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Adjusted EURIBOR Competitive Loan, an Adjusted TIBOR Rate Competitive Loan</w:t>
      </w:r>
      <w:r>
        <w:rPr>
          <w:rFonts w:ascii="Arial" w:cs="Arial" w:eastAsia="Arial" w:hAnsi="Arial"/>
          <w:sz w:val="17"/>
          <w:szCs w:val="17"/>
          <w:color w:val="0000FF"/>
        </w:rPr>
        <w:t xml:space="preserve"> </w:t>
      </w:r>
      <w:r>
        <w:rPr>
          <w:rFonts w:ascii="Arial" w:cs="Arial" w:eastAsia="Arial" w:hAnsi="Arial"/>
          <w:sz w:val="17"/>
          <w:szCs w:val="17"/>
          <w:color w:val="000000"/>
        </w:rPr>
        <w:t>or a Fixed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5607685</wp:posOffset>
            </wp:positionH>
            <wp:positionV relativeFrom="paragraph">
              <wp:posOffset>-287020</wp:posOffset>
            </wp:positionV>
            <wp:extent cx="342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6633845</wp:posOffset>
            </wp:positionH>
            <wp:positionV relativeFrom="paragraph">
              <wp:posOffset>-287020</wp:posOffset>
            </wp:positionV>
            <wp:extent cx="16256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-150495</wp:posOffset>
            </wp:positionV>
            <wp:extent cx="277114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2771140" cy="8255"/>
                    </a:xfrm>
                    <a:prstGeom prst="rect">
                      <a:avLst/>
                    </a:prstGeom>
                    <a:noFill/>
                  </pic:spPr>
                </pic:pic>
              </a:graphicData>
            </a:graphic>
          </wp:anchor>
        </w:drawing>
        <w:drawing>
          <wp:anchor simplePos="0" relativeHeight="251657728" behindDoc="1" locked="0" layoutInCell="0" allowOverlap="1">
            <wp:simplePos x="0" y="0"/>
            <wp:positionH relativeFrom="column">
              <wp:posOffset>6607810</wp:posOffset>
            </wp:positionH>
            <wp:positionV relativeFrom="paragraph">
              <wp:posOffset>-150495</wp:posOffset>
            </wp:positionV>
            <wp:extent cx="16256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386588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4" w:lineRule="exact"/>
        <w:rPr>
          <w:sz w:val="20"/>
          <w:szCs w:val="20"/>
          <w:color w:val="auto"/>
        </w:rPr>
      </w:pPr>
    </w:p>
    <w:p>
      <w:pPr>
        <w:ind w:right="66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70" w:lineRule="exact"/>
        <w:rPr>
          <w:sz w:val="20"/>
          <w:szCs w:val="20"/>
          <w:color w:val="auto"/>
        </w:rPr>
      </w:pPr>
    </w:p>
    <w:p>
      <w:pPr>
        <w:ind w:right="20" w:firstLine="989"/>
        <w:spacing w:after="0" w:line="27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Borrower</w:t>
      </w:r>
      <w:r>
        <w:rPr>
          <w:rFonts w:ascii="Arial" w:cs="Arial" w:eastAsia="Arial" w:hAnsi="Arial"/>
          <w:sz w:val="18"/>
          <w:szCs w:val="18"/>
          <w:color w:val="FF0000"/>
          <w:strike w:val="1"/>
        </w:rPr>
        <w:t xml:space="preserve">” means any Borrower (i) that is incorporated under the laws of the United Kingdom or (ii) payments from which under </w:t>
      </w:r>
      <w:r>
        <w:rPr>
          <w:rFonts w:ascii="Arial" w:cs="Arial" w:eastAsia="Arial" w:hAnsi="Arial"/>
          <w:sz w:val="18"/>
          <w:szCs w:val="18"/>
          <w:color w:val="00C000"/>
          <w:strike w:val="1"/>
        </w:rPr>
        <w:t>this</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 xml:space="preserve">Agreement or any other Loan Document </w:t>
      </w:r>
      <w:r>
        <w:rPr>
          <w:rFonts w:ascii="Arial" w:cs="Arial" w:eastAsia="Arial" w:hAnsi="Arial"/>
          <w:sz w:val="18"/>
          <w:szCs w:val="18"/>
          <w:color w:val="FF0000"/>
          <w:strike w:val="1"/>
        </w:rPr>
        <w:t>are subject to withholding Taxes imposed</w:t>
      </w:r>
      <w:r>
        <w:rPr>
          <w:rFonts w:ascii="Arial" w:cs="Arial" w:eastAsia="Arial" w:hAnsi="Arial"/>
          <w:sz w:val="18"/>
          <w:szCs w:val="18"/>
          <w:color w:val="00C000"/>
          <w:strike w:val="1"/>
        </w:rPr>
        <w:t xml:space="preserve"> by the laws of the United </w:t>
      </w:r>
      <w:r>
        <w:rPr>
          <w:rFonts w:ascii="Arial" w:cs="Arial" w:eastAsia="Arial" w:hAnsi="Arial"/>
          <w:sz w:val="18"/>
          <w:szCs w:val="18"/>
          <w:color w:val="FF0000"/>
          <w:strike w:val="1"/>
        </w:rPr>
        <w:t>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-86995</wp:posOffset>
            </wp:positionV>
            <wp:extent cx="11772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150" w:lineRule="exact"/>
        <w:rPr>
          <w:sz w:val="20"/>
          <w:szCs w:val="20"/>
          <w:color w:val="auto"/>
        </w:rPr>
      </w:pPr>
    </w:p>
    <w:p>
      <w:pPr>
        <w:ind w:right="20" w:firstLine="989"/>
        <w:spacing w:after="0" w:line="258" w:lineRule="auto"/>
        <w:rPr>
          <w:sz w:val="20"/>
          <w:szCs w:val="20"/>
          <w:color w:val="auto"/>
        </w:rPr>
      </w:pPr>
      <w:r>
        <w:rPr>
          <w:rFonts w:ascii="Arial" w:cs="Arial" w:eastAsia="Arial" w:hAnsi="Arial"/>
          <w:sz w:val="18"/>
          <w:szCs w:val="18"/>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-410210</wp:posOffset>
            </wp:positionV>
            <wp:extent cx="615759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61575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56844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65684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95325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9532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33610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167" w:lineRule="exact"/>
        <w:rPr>
          <w:sz w:val="20"/>
          <w:szCs w:val="20"/>
          <w:color w:val="auto"/>
        </w:rPr>
      </w:pPr>
    </w:p>
    <w:p>
      <w:pPr>
        <w:ind w:right="720" w:firstLine="989"/>
        <w:spacing w:after="0" w:line="276" w:lineRule="auto"/>
        <w:rPr>
          <w:sz w:val="20"/>
          <w:szCs w:val="20"/>
          <w:color w:val="auto"/>
        </w:rPr>
      </w:pPr>
      <w:r>
        <w:rPr>
          <w:rFonts w:ascii="Arial" w:cs="Arial" w:eastAsia="Arial" w:hAnsi="Arial"/>
          <w:sz w:val="18"/>
          <w:szCs w:val="18"/>
          <w:u w:val="single" w:color="auto"/>
          <w:color w:val="0000FF"/>
        </w:rPr>
        <w:t>“UK Resolution Authority”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-147320</wp:posOffset>
            </wp:positionV>
            <wp:extent cx="588391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58839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194119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16"/>
          <w:szCs w:val="16"/>
          <w:u w:val="single" w:color="auto"/>
          <w:color w:val="0000FF"/>
        </w:rPr>
        <w:t>“Unadjusted Benchmark Replacement”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-122555</wp:posOffset>
            </wp:positionV>
            <wp:extent cx="612330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61233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56451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190" w:lineRule="exact"/>
        <w:rPr>
          <w:sz w:val="20"/>
          <w:szCs w:val="20"/>
          <w:color w:val="auto"/>
        </w:rPr>
      </w:pPr>
    </w:p>
    <w:p>
      <w:pPr>
        <w:ind w:right="6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FF0000"/>
          <w:strike w:val="1"/>
        </w:rPr>
        <w:t>UK CTA</w:t>
      </w:r>
      <w:r>
        <w:rPr>
          <w:rFonts w:ascii="Arial" w:cs="Arial" w:eastAsia="Arial" w:hAnsi="Arial"/>
          <w:sz w:val="18"/>
          <w:szCs w:val="18"/>
          <w:u w:val="single" w:color="auto"/>
          <w:color w:val="0000FF"/>
        </w:rPr>
        <w:t>United Kingdom</w:t>
      </w:r>
      <w:r>
        <w:rPr>
          <w:rFonts w:ascii="Arial" w:cs="Arial" w:eastAsia="Arial" w:hAnsi="Arial"/>
          <w:sz w:val="18"/>
          <w:szCs w:val="18"/>
          <w:color w:val="FF0000"/>
        </w:rPr>
        <w:t>” means the United Kingdom</w:t>
      </w:r>
      <w:r>
        <w:rPr>
          <w:rFonts w:ascii="Arial" w:cs="Arial" w:eastAsia="Arial" w:hAnsi="Arial"/>
          <w:sz w:val="18"/>
          <w:szCs w:val="18"/>
          <w:color w:val="auto"/>
        </w:rPr>
        <w:t xml:space="preserve"> </w:t>
      </w:r>
      <w:r>
        <w:rPr>
          <w:rFonts w:ascii="Arial" w:cs="Arial" w:eastAsia="Arial" w:hAnsi="Arial"/>
          <w:sz w:val="18"/>
          <w:szCs w:val="18"/>
          <w:color w:val="FF0000"/>
          <w:strike w:val="1"/>
        </w:rPr>
        <w:t>Corporation Tax Act 2009, as amended or re-enacted</w:t>
      </w:r>
      <w:r>
        <w:rPr>
          <w:rFonts w:ascii="Arial" w:cs="Arial" w:eastAsia="Arial" w:hAnsi="Arial"/>
          <w:sz w:val="18"/>
          <w:szCs w:val="18"/>
          <w:u w:val="single" w:color="auto"/>
          <w:color w:val="0000FF"/>
        </w:rPr>
        <w:t>of Great Britain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Northern Ireland</w:t>
      </w:r>
      <w:r>
        <w:rPr>
          <w:rFonts w:ascii="Arial" w:cs="Arial" w:eastAsia="Arial" w:hAnsi="Arial"/>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-147320</wp:posOffset>
            </wp:positionV>
            <wp:extent cx="76136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6136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-147320</wp:posOffset>
            </wp:positionV>
            <wp:extent cx="90678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9067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76136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ITA</w:t>
      </w:r>
      <w:r>
        <w:rPr>
          <w:rFonts w:ascii="Arial" w:cs="Arial" w:eastAsia="Arial" w:hAnsi="Arial"/>
          <w:sz w:val="18"/>
          <w:szCs w:val="18"/>
          <w:color w:val="FF0000"/>
          <w:strike w:val="1"/>
        </w:rPr>
        <w:t>” means the United Kingdom Income Tax Act 2007, as amended or re-enacted.</w:t>
      </w:r>
    </w:p>
    <w:p>
      <w:pPr>
        <w:spacing w:after="0" w:line="224" w:lineRule="exact"/>
        <w:rPr>
          <w:sz w:val="20"/>
          <w:szCs w:val="20"/>
          <w:color w:val="auto"/>
        </w:rPr>
      </w:pPr>
    </w:p>
    <w:p>
      <w:pPr>
        <w:ind w:firstLine="989"/>
        <w:spacing w:after="0" w:line="273"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UK Qualifying Lender</w:t>
      </w:r>
      <w:r>
        <w:rPr>
          <w:rFonts w:ascii="Arial" w:cs="Arial" w:eastAsia="Arial" w:hAnsi="Arial"/>
          <w:sz w:val="17"/>
          <w:szCs w:val="17"/>
          <w:color w:val="FF0000"/>
          <w:strike w:val="1"/>
        </w:rPr>
        <w:t>” means (a) a Lender which is beneficially entitled to interest payable to that Lender in respect of an advance under a Loan Document and is: (i) a Lender: (A) which is a bank (as defined for the purpose of section 879 of the UK ITA) making an advance under a Loan Document and is within the charge to United Kingdom corporation tax as respects any payments of interest made in respect of that advance or would be within such charge as respects such payments apart from section 18A of the UK CTA; or (B) in respect of an advance made under a Loan Document by a person that was a bank (as defined for the purpose of section 879 of the UK ITA) at the time that that advance was made and within the charge to United Kingdom corporation tax as respects any payments of interest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4" w:right="479" w:bottom="1440" w:gutter="0" w:footer="0" w:header="0"/>
        </w:sectPr>
      </w:pPr>
    </w:p>
    <w:bookmarkStart w:id="532" w:name="page533"/>
    <w:bookmarkEnd w:id="532"/>
    <w:p>
      <w:pPr>
        <w:spacing w:after="0" w:line="285"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that advance; or (ii) a Lender which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w:t>
      </w:r>
    </w:p>
    <w:p>
      <w:pPr>
        <w:spacing w:after="0" w:line="3" w:lineRule="exact"/>
        <w:rPr>
          <w:sz w:val="20"/>
          <w:szCs w:val="20"/>
          <w:color w:val="auto"/>
        </w:rPr>
      </w:pPr>
    </w:p>
    <w:p>
      <w:pPr>
        <w:ind w:right="60" w:firstLine="9"/>
        <w:spacing w:after="0" w:line="253" w:lineRule="auto"/>
        <w:tabs>
          <w:tab w:leader="none" w:pos="284" w:val="left"/>
        </w:tabs>
        <w:numPr>
          <w:ilvl w:val="0"/>
          <w:numId w:val="436"/>
        </w:numPr>
        <w:rPr>
          <w:rFonts w:ascii="Arial" w:cs="Arial" w:eastAsia="Arial" w:hAnsi="Arial"/>
          <w:sz w:val="18"/>
          <w:szCs w:val="18"/>
          <w:color w:val="FF0000"/>
          <w:strike w:val="1"/>
        </w:rPr>
      </w:pPr>
      <w:r>
        <w:rPr>
          <w:rFonts w:ascii="Arial" w:cs="Arial" w:eastAsia="Arial" w:hAnsi="Arial"/>
          <w:sz w:val="18"/>
          <w:szCs w:val="18"/>
          <w:color w:val="FF0000"/>
          <w:strike w:val="1"/>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 or (iii) a UK Treaty Lender; or (b) a Lender which is a building society (as defined for the purposes of section 880 of the UK ITA) making an advance under a Loan Document.</w:t>
      </w:r>
    </w:p>
    <w:p>
      <w:pPr>
        <w:spacing w:after="0" w:line="190" w:lineRule="exact"/>
        <w:rPr>
          <w:sz w:val="20"/>
          <w:szCs w:val="20"/>
          <w:color w:val="auto"/>
        </w:rPr>
      </w:pPr>
    </w:p>
    <w:p>
      <w:pPr>
        <w:ind w:firstLine="989"/>
        <w:spacing w:after="0" w:line="284"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UK Tax Confirmation</w:t>
      </w:r>
      <w:r>
        <w:rPr>
          <w:rFonts w:ascii="Arial" w:cs="Arial" w:eastAsia="Arial" w:hAnsi="Arial"/>
          <w:sz w:val="16"/>
          <w:szCs w:val="16"/>
          <w:color w:val="FF0000"/>
          <w:strike w:val="1"/>
        </w:rPr>
        <w:t>” means a confirmation by a Lender that the person beneficially entitled to interest payable to that Lender in respect of an advance under a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w:t>
      </w:r>
    </w:p>
    <w:p>
      <w:pPr>
        <w:spacing w:after="0" w:line="3" w:lineRule="exact"/>
        <w:rPr>
          <w:sz w:val="20"/>
          <w:szCs w:val="20"/>
          <w:color w:val="auto"/>
        </w:rPr>
      </w:pPr>
    </w:p>
    <w:p>
      <w:pPr>
        <w:ind w:left="260" w:hanging="251"/>
        <w:spacing w:after="0"/>
        <w:tabs>
          <w:tab w:leader="none" w:pos="260" w:val="left"/>
        </w:tabs>
        <w:numPr>
          <w:ilvl w:val="0"/>
          <w:numId w:val="437"/>
        </w:numPr>
        <w:rPr>
          <w:rFonts w:ascii="Arial" w:cs="Arial" w:eastAsia="Arial" w:hAnsi="Arial"/>
          <w:sz w:val="16"/>
          <w:szCs w:val="16"/>
          <w:color w:val="FF0000"/>
          <w:strike w:val="1"/>
        </w:rPr>
      </w:pPr>
      <w:r>
        <w:rPr>
          <w:rFonts w:ascii="Arial" w:cs="Arial" w:eastAsia="Arial" w:hAnsi="Arial"/>
          <w:sz w:val="16"/>
          <w:szCs w:val="16"/>
          <w:color w:val="FF0000"/>
          <w:strike w:val="1"/>
        </w:rPr>
        <w:t>a company not so resident in the United Kingdom which carries on a trade in the United Kingdom through a permanent establishment and which</w:t>
      </w:r>
    </w:p>
    <w:p>
      <w:pPr>
        <w:spacing w:after="0" w:line="31" w:lineRule="exact"/>
        <w:rPr>
          <w:rFonts w:ascii="Arial" w:cs="Arial" w:eastAsia="Arial" w:hAnsi="Arial"/>
          <w:sz w:val="16"/>
          <w:szCs w:val="16"/>
          <w:color w:val="FF0000"/>
          <w:strike w:val="1"/>
        </w:rPr>
      </w:pPr>
    </w:p>
    <w:p>
      <w:pPr>
        <w:ind w:right="60"/>
        <w:spacing w:after="0" w:line="259" w:lineRule="auto"/>
        <w:rPr>
          <w:rFonts w:ascii="Arial" w:cs="Arial" w:eastAsia="Arial" w:hAnsi="Arial"/>
          <w:sz w:val="16"/>
          <w:szCs w:val="16"/>
          <w:color w:val="FF0000"/>
          <w:strike w:val="1"/>
        </w:rPr>
      </w:pPr>
      <w:r>
        <w:rPr>
          <w:rFonts w:ascii="Arial" w:cs="Arial" w:eastAsia="Arial" w:hAnsi="Arial"/>
          <w:sz w:val="18"/>
          <w:szCs w:val="18"/>
          <w:color w:val="FF0000"/>
          <w:strike w:val="1"/>
        </w:rPr>
        <w:t>brings into account interest payable in respect of that advance in computing the chargeable profits (within the meaning of section 19 of the UK CTA) of that company.</w:t>
      </w:r>
    </w:p>
    <w:p>
      <w:pPr>
        <w:spacing w:after="0" w:line="185" w:lineRule="exact"/>
        <w:rPr>
          <w:sz w:val="20"/>
          <w:szCs w:val="20"/>
          <w:color w:val="auto"/>
        </w:rPr>
      </w:pPr>
    </w:p>
    <w:p>
      <w:pPr>
        <w:ind w:right="120" w:firstLine="989"/>
        <w:spacing w:after="0" w:line="27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Tax Deduction</w:t>
      </w:r>
      <w:r>
        <w:rPr>
          <w:rFonts w:ascii="Arial" w:cs="Arial" w:eastAsia="Arial" w:hAnsi="Arial"/>
          <w:sz w:val="18"/>
          <w:szCs w:val="18"/>
          <w:color w:val="FF0000"/>
          <w:strike w:val="1"/>
        </w:rPr>
        <w:t>” means a deduction or withholding for or on account of Taxes from a payment under a Loan Document, other than a deduction or withholding required by FATCA.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UK Treaty Lender</w:t>
      </w:r>
      <w:r>
        <w:rPr>
          <w:rFonts w:ascii="Arial" w:cs="Arial" w:eastAsia="Arial" w:hAnsi="Arial"/>
          <w:sz w:val="16"/>
          <w:szCs w:val="16"/>
          <w:color w:val="FF0000"/>
          <w:strike w:val="1"/>
        </w:rPr>
        <w:t>” means a Lender which: (a) is treated as a resident of a UK Treaty State for the purposes of the relevant UK Treaty;</w:t>
      </w:r>
    </w:p>
    <w:p>
      <w:pPr>
        <w:spacing w:after="0" w:line="46" w:lineRule="exact"/>
        <w:rPr>
          <w:sz w:val="20"/>
          <w:szCs w:val="20"/>
          <w:color w:val="auto"/>
        </w:rPr>
      </w:pPr>
    </w:p>
    <w:p>
      <w:pPr>
        <w:ind w:right="220" w:firstLine="9"/>
        <w:spacing w:after="0" w:line="301" w:lineRule="auto"/>
        <w:tabs>
          <w:tab w:leader="none" w:pos="254" w:val="left"/>
        </w:tabs>
        <w:numPr>
          <w:ilvl w:val="0"/>
          <w:numId w:val="438"/>
        </w:numPr>
        <w:rPr>
          <w:rFonts w:ascii="Arial" w:cs="Arial" w:eastAsia="Arial" w:hAnsi="Arial"/>
          <w:sz w:val="16"/>
          <w:szCs w:val="16"/>
          <w:color w:val="FF0000"/>
          <w:strike w:val="1"/>
        </w:rPr>
      </w:pPr>
      <w:r>
        <w:rPr>
          <w:rFonts w:ascii="Arial" w:cs="Arial" w:eastAsia="Arial" w:hAnsi="Arial"/>
          <w:sz w:val="16"/>
          <w:szCs w:val="16"/>
          <w:color w:val="FF0000"/>
          <w:strike w:val="1"/>
        </w:rPr>
        <w:t>does not carry on a business in the United Kingdom through a permanent establishment with which that Lender’s participation in the Loan is effectively connected; and (c) meets all other conditions in the relevant UK Treaty for full exemption from Taxes imposed by the United Kingdom on interest payable to that Lender in respect of an advance under a Loan Document, including the completion of any necessary procedural formalities.</w:t>
      </w:r>
    </w:p>
    <w:p>
      <w:pPr>
        <w:spacing w:after="0" w:line="155" w:lineRule="exact"/>
        <w:rPr>
          <w:sz w:val="20"/>
          <w:szCs w:val="20"/>
          <w:color w:val="auto"/>
        </w:rPr>
      </w:pPr>
    </w:p>
    <w:p>
      <w:pPr>
        <w:ind w:left="10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Treaty</w:t>
      </w:r>
      <w:r>
        <w:rPr>
          <w:rFonts w:ascii="Arial" w:cs="Arial" w:eastAsia="Arial" w:hAnsi="Arial"/>
          <w:sz w:val="18"/>
          <w:szCs w:val="18"/>
          <w:color w:val="FF0000"/>
          <w:strike w:val="1"/>
        </w:rPr>
        <w:t>” has the meaning given to that</w:t>
      </w:r>
      <w:r>
        <w:rPr>
          <w:rFonts w:ascii="Arial" w:cs="Arial" w:eastAsia="Arial" w:hAnsi="Arial"/>
          <w:sz w:val="18"/>
          <w:szCs w:val="18"/>
          <w:color w:val="FF0000"/>
        </w:rPr>
        <w:t xml:space="preserve"> </w:t>
      </w:r>
      <w:r>
        <w:rPr>
          <w:rFonts w:ascii="Arial" w:cs="Arial" w:eastAsia="Arial" w:hAnsi="Arial"/>
          <w:sz w:val="18"/>
          <w:szCs w:val="18"/>
          <w:color w:val="00C000"/>
          <w:strike w:val="1"/>
        </w:rPr>
        <w:t>term in the definition of</w:t>
      </w:r>
      <w:r>
        <w:rPr>
          <w:rFonts w:ascii="Arial" w:cs="Arial" w:eastAsia="Arial" w:hAnsi="Arial"/>
          <w:sz w:val="18"/>
          <w:szCs w:val="18"/>
          <w:color w:val="FF0000"/>
        </w:rPr>
        <w:t xml:space="preserve"> UK Treaty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-53340</wp:posOffset>
            </wp:positionV>
            <wp:extent cx="80010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4"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Treaty State</w:t>
      </w:r>
      <w:r>
        <w:rPr>
          <w:rFonts w:ascii="Arial" w:cs="Arial" w:eastAsia="Arial" w:hAnsi="Arial"/>
          <w:sz w:val="18"/>
          <w:szCs w:val="18"/>
          <w:color w:val="FF0000"/>
          <w:strike w:val="1"/>
        </w:rPr>
        <w:t>” means a jurisdiction having a double taxation agreement with the United Kingdom (a “</w:t>
      </w:r>
      <w:r>
        <w:rPr>
          <w:rFonts w:ascii="Arial" w:cs="Arial" w:eastAsia="Arial" w:hAnsi="Arial"/>
          <w:sz w:val="18"/>
          <w:szCs w:val="18"/>
          <w:u w:val="single" w:color="auto"/>
          <w:color w:val="FF0000"/>
          <w:strike w:val="1"/>
        </w:rPr>
        <w:t>UK Treaty</w:t>
      </w:r>
      <w:r>
        <w:rPr>
          <w:rFonts w:ascii="Arial" w:cs="Arial" w:eastAsia="Arial" w:hAnsi="Arial"/>
          <w:sz w:val="18"/>
          <w:szCs w:val="18"/>
          <w:color w:val="FF0000"/>
          <w:strike w:val="1"/>
        </w:rPr>
        <w:t>”) which makes provision for full exemption from tax imposed by the United Kingdom on interest.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4" w:lineRule="exact"/>
        <w:rPr>
          <w:sz w:val="20"/>
          <w:szCs w:val="20"/>
          <w:color w:val="auto"/>
        </w:rPr>
      </w:pPr>
    </w:p>
    <w:p>
      <w:pPr>
        <w:ind w:right="44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“U.S. Special Resolution Regime” has the meaning assigned to it in Section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37801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04" w:lineRule="exact"/>
        <w:rPr>
          <w:sz w:val="20"/>
          <w:szCs w:val="20"/>
          <w:color w:val="auto"/>
        </w:rPr>
      </w:pPr>
    </w:p>
    <w:p>
      <w:pPr>
        <w:ind w:right="1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URDG</w:t>
      </w:r>
      <w:r>
        <w:rPr>
          <w:rFonts w:ascii="Arial" w:cs="Arial" w:eastAsia="Arial" w:hAnsi="Arial"/>
          <w:sz w:val="18"/>
          <w:szCs w:val="18"/>
          <w:color w:val="auto"/>
        </w:rPr>
        <w:t>” means the Uniform Rules for Demand Guarantees, ICC Publication 758, and any subsequent revision thereof adhered to by the Issuing Lenders.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60"/>
          </w:cols>
          <w:pgMar w:left="440" w:top="273" w:right="499" w:bottom="1440" w:gutter="0" w:footer="0" w:header="0"/>
        </w:sectPr>
      </w:pPr>
    </w:p>
    <w:bookmarkStart w:id="533" w:name="page534"/>
    <w:bookmarkEnd w:id="53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4" w:lineRule="exact"/>
        <w:rPr>
          <w:sz w:val="20"/>
          <w:szCs w:val="20"/>
          <w:color w:val="auto"/>
        </w:rPr>
      </w:pPr>
    </w:p>
    <w:p>
      <w:pPr>
        <w:ind w:right="32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120" w:firstLine="98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w:t>
      </w:r>
      <w:r>
        <w:rPr>
          <w:rFonts w:ascii="Arial" w:cs="Arial" w:eastAsia="Arial" w:hAnsi="Arial"/>
          <w:sz w:val="16"/>
          <w:szCs w:val="16"/>
          <w:u w:val="single" w:color="auto"/>
          <w:color w:val="0000FF"/>
        </w:rPr>
        <w:t>and (b) with respect to the United Kingdom, any powers of the applicable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2794000</wp:posOffset>
            </wp:positionH>
            <wp:positionV relativeFrom="paragraph">
              <wp:posOffset>-836295</wp:posOffset>
            </wp:positionV>
            <wp:extent cx="12827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-562610</wp:posOffset>
            </wp:positionV>
            <wp:extent cx="33610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33610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74751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67475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-288925</wp:posOffset>
            </wp:positionV>
            <wp:extent cx="679894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7989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7646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67646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wp:posOffset>
            </wp:positionV>
            <wp:extent cx="583247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5832475" cy="8255"/>
                    </a:xfrm>
                    <a:prstGeom prst="rect">
                      <a:avLst/>
                    </a:prstGeom>
                    <a:noFill/>
                  </pic:spPr>
                </pic:pic>
              </a:graphicData>
            </a:graphic>
          </wp:anchor>
        </w:drawing>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1.2 Other Definitional Provisions.</w:t>
      </w:r>
    </w:p>
    <w:p>
      <w:pPr>
        <w:spacing w:after="0" w:line="224" w:lineRule="exact"/>
        <w:rPr>
          <w:sz w:val="20"/>
          <w:szCs w:val="20"/>
          <w:color w:val="auto"/>
        </w:rPr>
      </w:pPr>
    </w:p>
    <w:p>
      <w:pPr>
        <w:ind w:right="200" w:firstLine="998"/>
        <w:spacing w:after="0" w:line="276" w:lineRule="auto"/>
        <w:tabs>
          <w:tab w:leader="none" w:pos="123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ind w:left="1260" w:hanging="262"/>
        <w:spacing w:after="0"/>
        <w:tabs>
          <w:tab w:leader="none" w:pos="126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45" w:lineRule="exact"/>
        <w:rPr>
          <w:rFonts w:ascii="Arial" w:cs="Arial" w:eastAsia="Arial" w:hAnsi="Arial"/>
          <w:sz w:val="16"/>
          <w:szCs w:val="16"/>
          <w:color w:val="auto"/>
        </w:rPr>
      </w:pPr>
    </w:p>
    <w:p>
      <w:pPr>
        <w:ind w:right="80" w:firstLine="9"/>
        <w:spacing w:after="0" w:line="267" w:lineRule="auto"/>
        <w:tabs>
          <w:tab w:leader="none" w:pos="214"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79" w:lineRule="exact"/>
        <w:rPr>
          <w:rFonts w:ascii="Arial" w:cs="Arial" w:eastAsia="Arial" w:hAnsi="Arial"/>
          <w:sz w:val="17"/>
          <w:szCs w:val="17"/>
          <w:color w:val="auto"/>
        </w:rPr>
      </w:pPr>
    </w:p>
    <w:p>
      <w:pPr>
        <w:ind w:firstLine="998"/>
        <w:spacing w:after="0" w:line="263" w:lineRule="auto"/>
        <w:tabs>
          <w:tab w:leader="none" w:pos="1233"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260" w:hanging="262"/>
        <w:spacing w:after="0"/>
        <w:tabs>
          <w:tab w:leader="none" w:pos="12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60"/>
          </w:cols>
          <w:pgMar w:left="440" w:top="274" w:right="499" w:bottom="1440" w:gutter="0" w:footer="0" w:header="0"/>
        </w:sectPr>
      </w:pPr>
    </w:p>
    <w:bookmarkStart w:id="534" w:name="page535"/>
    <w:bookmarkEnd w:id="534"/>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Conversion of Foreign Currencies.</w:t>
      </w:r>
    </w:p>
    <w:p>
      <w:pPr>
        <w:spacing w:after="0" w:line="224" w:lineRule="exact"/>
        <w:rPr>
          <w:sz w:val="20"/>
          <w:szCs w:val="20"/>
          <w:color w:val="auto"/>
        </w:rPr>
      </w:pPr>
    </w:p>
    <w:p>
      <w:pPr>
        <w:jc w:val="both"/>
        <w:ind w:right="80" w:firstLine="998"/>
        <w:spacing w:after="0" w:line="258" w:lineRule="auto"/>
        <w:tabs>
          <w:tab w:leader="none" w:pos="123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7" w:lineRule="exact"/>
        <w:rPr>
          <w:rFonts w:ascii="Arial" w:cs="Arial" w:eastAsia="Arial" w:hAnsi="Arial"/>
          <w:sz w:val="18"/>
          <w:szCs w:val="18"/>
          <w:color w:val="auto"/>
        </w:rPr>
      </w:pPr>
    </w:p>
    <w:p>
      <w:pPr>
        <w:ind w:right="120" w:firstLine="998"/>
        <w:spacing w:after="0" w:line="301" w:lineRule="auto"/>
        <w:tabs>
          <w:tab w:leader="none" w:pos="1243" w:val="left"/>
        </w:tabs>
        <w:numPr>
          <w:ilvl w:val="0"/>
          <w:numId w:val="441"/>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54" w:lineRule="exact"/>
        <w:rPr>
          <w:rFonts w:ascii="Arial" w:cs="Arial" w:eastAsia="Arial" w:hAnsi="Arial"/>
          <w:sz w:val="16"/>
          <w:szCs w:val="16"/>
          <w:color w:val="auto"/>
        </w:rPr>
      </w:pPr>
    </w:p>
    <w:p>
      <w:pPr>
        <w:ind w:right="180" w:firstLine="998"/>
        <w:spacing w:after="0" w:line="258" w:lineRule="auto"/>
        <w:tabs>
          <w:tab w:leader="none" w:pos="123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87" w:lineRule="exact"/>
        <w:rPr>
          <w:sz w:val="20"/>
          <w:szCs w:val="20"/>
          <w:color w:val="auto"/>
        </w:rPr>
      </w:pPr>
    </w:p>
    <w:p>
      <w:pPr>
        <w:ind w:right="180" w:firstLine="989"/>
        <w:spacing w:after="0" w:line="263" w:lineRule="auto"/>
        <w:rPr>
          <w:sz w:val="20"/>
          <w:szCs w:val="20"/>
          <w:color w:val="auto"/>
        </w:rPr>
      </w:pPr>
      <w:r>
        <w:rPr>
          <w:rFonts w:ascii="Arial" w:cs="Arial" w:eastAsia="Arial" w:hAnsi="Arial"/>
          <w:sz w:val="18"/>
          <w:szCs w:val="18"/>
          <w:color w:val="auto"/>
        </w:rPr>
        <w:t>1.4 Other Interpretive Provisions.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82" w:lineRule="exact"/>
        <w:rPr>
          <w:sz w:val="20"/>
          <w:szCs w:val="20"/>
          <w:color w:val="auto"/>
        </w:rPr>
      </w:pPr>
    </w:p>
    <w:p>
      <w:pPr>
        <w:ind w:firstLine="989"/>
        <w:spacing w:after="0" w:line="266" w:lineRule="auto"/>
        <w:rPr>
          <w:sz w:val="20"/>
          <w:szCs w:val="20"/>
          <w:color w:val="auto"/>
        </w:rPr>
      </w:pPr>
      <w:r>
        <w:rPr>
          <w:rFonts w:ascii="Arial" w:cs="Arial" w:eastAsia="Arial" w:hAnsi="Arial"/>
          <w:sz w:val="17"/>
          <w:szCs w:val="17"/>
          <w:u w:val="single" w:color="auto"/>
          <w:color w:val="0000FF"/>
        </w:rPr>
        <w:t>1.5 Interest Rates; LIBOR Notification. The interest rate on a Loan denominated in Dollars or any Optional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(“LIBOR”) is intended to represent the rate at which contributing banks may obtain short-term borrowings from each other in the London interbank market. On March 5, 2021, the U.K. Financial Conduct Authority (“FCA”) publicly announced that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-2458720</wp:posOffset>
            </wp:positionV>
            <wp:extent cx="633730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-2322195</wp:posOffset>
            </wp:positionV>
            <wp:extent cx="678180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7818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-2185035</wp:posOffset>
            </wp:positionV>
            <wp:extent cx="649097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-2048510</wp:posOffset>
            </wp:positionV>
            <wp:extent cx="67906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-1911350</wp:posOffset>
            </wp:positionV>
            <wp:extent cx="683323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-1774825</wp:posOffset>
            </wp:positionV>
            <wp:extent cx="67906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-1637665</wp:posOffset>
            </wp:positionV>
            <wp:extent cx="661098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-1501140</wp:posOffset>
            </wp:positionV>
            <wp:extent cx="696150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-1363980</wp:posOffset>
            </wp:positionV>
            <wp:extent cx="645731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64573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-1227455</wp:posOffset>
            </wp:positionV>
            <wp:extent cx="690181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-1090295</wp:posOffset>
            </wp:positionV>
            <wp:extent cx="653415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-953770</wp:posOffset>
            </wp:positionV>
            <wp:extent cx="693610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-816610</wp:posOffset>
            </wp:positionV>
            <wp:extent cx="691007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-680085</wp:posOffset>
            </wp:positionV>
            <wp:extent cx="670496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67049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-542925</wp:posOffset>
            </wp:positionV>
            <wp:extent cx="697039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-406400</wp:posOffset>
            </wp:positionV>
            <wp:extent cx="696150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-269240</wp:posOffset>
            </wp:positionV>
            <wp:extent cx="691896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-132715</wp:posOffset>
            </wp:positionV>
            <wp:extent cx="691896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3810</wp:posOffset>
            </wp:positionV>
            <wp:extent cx="206121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3" w:right="459" w:bottom="1440" w:gutter="0" w:footer="0" w:header="0"/>
        </w:sectPr>
      </w:pPr>
    </w:p>
    <w:bookmarkStart w:id="535" w:name="page536"/>
    <w:bookmarkEnd w:id="535"/>
    <w:p>
      <w:pPr>
        <w:ind w:right="80"/>
        <w:spacing w:after="0" w:line="287"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occurrence of a Benchmark Transition Event, a Term SOFR Transition Event or an Early Opt-in Election, Section 2.16(b) and (c) provide the mechanism for determining an alternative rate of interest. The Administrative Agent will promptly notify the Company, pursuant to Section 2.16(e),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LIBOR or other rates in the definition of “Eurocurrency Base Rate” (or “EURIBOR Rate”, or “TIBOR Rate”, as applicable) or with respect to any alternative or successor rate thereto, or replacement rate thereof, (including, without limitation, (i) any such alternative, successor or replacement rate implemented pursuant to Section 2.16(b) or (c), whether upon the occurrence of a Benchmark Transition Event, a Term SOFR Transition Event or an Early Opt-in Election, and (ii) the implementation of any Benchmark Replacement Conforming Changes pursuant to Section 2.16(d)), including without limitation, whether the composition or characteristics of any such alternative, successor or replacement reference rate will be similar to, or produce the same value or economic equivalence of, the Eurocurrency Rate (or EURIBOR Rate, or TIBOR Rate, as applicable) or have the same volume or liquidity as did LIBOR (or the euro interbank offered rate, as applicable) prior to its discontinuance or unavailability.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-1381760</wp:posOffset>
            </wp:positionV>
            <wp:extent cx="644017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64401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-1244600</wp:posOffset>
            </wp:positionV>
            <wp:extent cx="687578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-1108075</wp:posOffset>
            </wp:positionV>
            <wp:extent cx="683323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-970915</wp:posOffset>
            </wp:positionV>
            <wp:extent cx="674751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67475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-834390</wp:posOffset>
            </wp:positionV>
            <wp:extent cx="682498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68249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-697230</wp:posOffset>
            </wp:positionV>
            <wp:extent cx="679894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67989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-560705</wp:posOffset>
            </wp:positionV>
            <wp:extent cx="677354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67735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-423545</wp:posOffset>
            </wp:positionV>
            <wp:extent cx="685038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68503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-287020</wp:posOffset>
            </wp:positionV>
            <wp:extent cx="690181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-149860</wp:posOffset>
            </wp:positionV>
            <wp:extent cx="672211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67221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46183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4618355" cy="8255"/>
                    </a:xfrm>
                    <a:prstGeom prst="rect">
                      <a:avLst/>
                    </a:prstGeom>
                    <a:noFill/>
                  </pic:spPr>
                </pic:pic>
              </a:graphicData>
            </a:graphic>
          </wp:anchor>
        </w:drawing>
      </w:r>
    </w:p>
    <w:p>
      <w:pPr>
        <w:spacing w:after="0" w:line="146" w:lineRule="exact"/>
        <w:rPr>
          <w:sz w:val="20"/>
          <w:szCs w:val="20"/>
          <w:color w:val="auto"/>
        </w:rPr>
      </w:pPr>
    </w:p>
    <w:p>
      <w:pPr>
        <w:ind w:firstLine="989"/>
        <w:spacing w:after="0" w:line="256" w:lineRule="auto"/>
        <w:rPr>
          <w:sz w:val="20"/>
          <w:szCs w:val="20"/>
          <w:color w:val="auto"/>
        </w:rPr>
      </w:pPr>
      <w:r>
        <w:rPr>
          <w:rFonts w:ascii="Arial" w:cs="Arial" w:eastAsia="Arial" w:hAnsi="Arial"/>
          <w:sz w:val="18"/>
          <w:szCs w:val="18"/>
          <w:u w:val="single" w:color="auto"/>
          <w:color w:val="0000FF"/>
        </w:rPr>
        <w:t>1.6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-546100</wp:posOffset>
            </wp:positionV>
            <wp:extent cx="632841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63284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93610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-272415</wp:posOffset>
            </wp:positionV>
            <wp:extent cx="6739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6739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69671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66967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wp:posOffset>
            </wp:positionV>
            <wp:extent cx="86360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AMOUNT AND TERMS OF COMMITMENTS</w:t>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2.1 Domestic Commitments.</w:t>
      </w:r>
    </w:p>
    <w:p>
      <w:pPr>
        <w:spacing w:after="0" w:line="224" w:lineRule="exact"/>
        <w:rPr>
          <w:sz w:val="20"/>
          <w:szCs w:val="20"/>
          <w:color w:val="auto"/>
        </w:rPr>
      </w:pPr>
    </w:p>
    <w:p>
      <w:pPr>
        <w:ind w:right="40" w:firstLine="998"/>
        <w:spacing w:after="0" w:line="288" w:lineRule="auto"/>
        <w:tabs>
          <w:tab w:leader="none" w:pos="1233" w:val="left"/>
        </w:tabs>
        <w:numPr>
          <w:ilvl w:val="0"/>
          <w:numId w:val="442"/>
        </w:numPr>
        <w:rPr>
          <w:rFonts w:ascii="Arial" w:cs="Arial" w:eastAsia="Arial" w:hAnsi="Arial"/>
          <w:sz w:val="16"/>
          <w:szCs w:val="16"/>
          <w:color w:val="auto"/>
        </w:rPr>
      </w:pPr>
      <w:r>
        <w:rPr>
          <w:rFonts w:ascii="Arial" w:cs="Arial" w:eastAsia="Arial" w:hAnsi="Arial"/>
          <w:sz w:val="16"/>
          <w:szCs w:val="16"/>
          <w:color w:val="auto"/>
        </w:rPr>
        <w:t>Subject to the terms and conditions hereof, each Domestic Lender severally agrees to make (or cause its Applicable Lending Office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and (iii)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2.12.</w:t>
      </w:r>
    </w:p>
    <w:p>
      <w:pPr>
        <w:spacing w:after="0" w:line="167" w:lineRule="exact"/>
        <w:rPr>
          <w:rFonts w:ascii="Arial" w:cs="Arial" w:eastAsia="Arial" w:hAnsi="Arial"/>
          <w:sz w:val="16"/>
          <w:szCs w:val="16"/>
          <w:color w:val="auto"/>
        </w:rPr>
      </w:pPr>
    </w:p>
    <w:p>
      <w:pPr>
        <w:ind w:right="220" w:firstLine="998"/>
        <w:spacing w:after="0" w:line="276" w:lineRule="auto"/>
        <w:tabs>
          <w:tab w:leader="none" w:pos="1243"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0" w:lineRule="exact"/>
        <w:rPr>
          <w:sz w:val="20"/>
          <w:szCs w:val="20"/>
          <w:color w:val="auto"/>
        </w:rPr>
      </w:pPr>
    </w:p>
    <w:p>
      <w:pPr>
        <w:ind w:right="100" w:firstLine="989"/>
        <w:spacing w:after="0" w:line="263" w:lineRule="auto"/>
        <w:rPr>
          <w:sz w:val="20"/>
          <w:szCs w:val="20"/>
          <w:color w:val="auto"/>
        </w:rPr>
      </w:pPr>
      <w:r>
        <w:rPr>
          <w:rFonts w:ascii="Arial" w:cs="Arial" w:eastAsia="Arial" w:hAnsi="Arial"/>
          <w:sz w:val="18"/>
          <w:szCs w:val="18"/>
          <w:color w:val="auto"/>
        </w:rPr>
        <w:t xml:space="preserve">2.2 Procedure for Domestic Loan Borrowing. The Company and any Domestic Subsidiary Borrower may borrow under the Domestic Commitments during the applicable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in the case of a deemed request for an ABR Loan on the Reimbursement Date of a Reimbursement Obligation as contemplated by Section 3.5, the Company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0"/>
          </w:cols>
          <w:pgMar w:left="440" w:top="273" w:right="499" w:bottom="1440" w:gutter="0" w:footer="0" w:header="0"/>
        </w:sectPr>
      </w:pPr>
    </w:p>
    <w:bookmarkStart w:id="536" w:name="page537"/>
    <w:bookmarkEnd w:id="5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Except as otherwise contemplated by Section 3.5, each borrowing under the Domestic Commitments shall be in an amount equal to $25 million (or, if the Total Available Domestic Commitments at such time are less than $25 million, such lesser amount) or a whole multiple of $5 million in excess thereof. Upon receipt of any such notice (or, as provided in Section 3.5, deemed notice) from the Company or the relevant Domestic Subsidiary Borrower, the Administrative Agent shall promptly notify each Domestic Lender thereof. Each Domestic Lender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3.5 (where the proceeds of such borrowing shall be applied to repay the related Reimbursement Obligation),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71"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Multicurrency Commitments.</w:t>
      </w:r>
    </w:p>
    <w:p>
      <w:pPr>
        <w:spacing w:after="0" w:line="224" w:lineRule="exact"/>
        <w:rPr>
          <w:sz w:val="20"/>
          <w:szCs w:val="20"/>
          <w:color w:val="auto"/>
        </w:rPr>
      </w:pPr>
    </w:p>
    <w:p>
      <w:pPr>
        <w:ind w:right="80" w:firstLine="998"/>
        <w:spacing w:after="0" w:line="285" w:lineRule="auto"/>
        <w:tabs>
          <w:tab w:leader="none" w:pos="1368" w:val="left"/>
        </w:tabs>
        <w:numPr>
          <w:ilvl w:val="1"/>
          <w:numId w:val="443"/>
        </w:numPr>
        <w:rPr>
          <w:rFonts w:ascii="Arial" w:cs="Arial" w:eastAsia="Arial" w:hAnsi="Arial"/>
          <w:sz w:val="16"/>
          <w:szCs w:val="16"/>
          <w:color w:val="auto"/>
        </w:rPr>
      </w:pPr>
      <w:r>
        <w:rPr>
          <w:rFonts w:ascii="Arial" w:cs="Arial" w:eastAsia="Arial" w:hAnsi="Arial"/>
          <w:sz w:val="16"/>
          <w:szCs w:val="16"/>
          <w:color w:val="auto"/>
        </w:rPr>
        <w:t>Subject to the terms and conditions hereof, each Multicurrency Lender severally agrees to make (or cause its Applicable Lending Office to make) revolving loans (“</w:t>
      </w:r>
      <w:r>
        <w:rPr>
          <w:rFonts w:ascii="Arial" w:cs="Arial" w:eastAsia="Arial" w:hAnsi="Arial"/>
          <w:sz w:val="16"/>
          <w:szCs w:val="16"/>
          <w:u w:val="single" w:color="auto"/>
          <w:color w:val="auto"/>
        </w:rPr>
        <w:t>Multicurrency Loans</w:t>
      </w:r>
      <w:r>
        <w:rPr>
          <w:rFonts w:ascii="Arial" w:cs="Arial" w:eastAsia="Arial" w:hAnsi="Arial"/>
          <w:sz w:val="16"/>
          <w:szCs w:val="16"/>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Multicurrency Extensions of Credit do not exceed the amount of such Lender’s Multicurrency Commitments,</w:t>
      </w:r>
    </w:p>
    <w:p>
      <w:pPr>
        <w:spacing w:after="0" w:line="2" w:lineRule="exact"/>
        <w:rPr>
          <w:rFonts w:ascii="Arial" w:cs="Arial" w:eastAsia="Arial" w:hAnsi="Arial"/>
          <w:sz w:val="16"/>
          <w:szCs w:val="16"/>
          <w:color w:val="auto"/>
        </w:rPr>
      </w:pPr>
    </w:p>
    <w:p>
      <w:pPr>
        <w:ind w:right="160" w:firstLine="9"/>
        <w:spacing w:after="0" w:line="251" w:lineRule="auto"/>
        <w:tabs>
          <w:tab w:leader="none" w:pos="26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Total Multicurrency Extensions of Credit shall not exceed the Total Multicurrency Commitments then in effect and (iii)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2.12.</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0"/>
          </w:cols>
          <w:pgMar w:left="440" w:top="273" w:right="479" w:bottom="1440" w:gutter="0" w:footer="0" w:header="0"/>
        </w:sectPr>
      </w:pPr>
    </w:p>
    <w:bookmarkStart w:id="537" w:name="page538"/>
    <w:bookmarkEnd w:id="537"/>
    <w:p>
      <w:pPr>
        <w:ind w:right="40" w:firstLine="998"/>
        <w:spacing w:after="0" w:line="276" w:lineRule="auto"/>
        <w:tabs>
          <w:tab w:leader="none" w:pos="1375"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to the extent of its borrowings, any relevant Subsidiary Borrower shall repay all outstanding Multicurrency Loans of a Lender on the Termination Date for such Lender under the Multicurrency Facility.</w:t>
      </w:r>
    </w:p>
    <w:p>
      <w:pPr>
        <w:spacing w:after="0" w:line="170" w:lineRule="exact"/>
        <w:rPr>
          <w:sz w:val="20"/>
          <w:szCs w:val="20"/>
          <w:color w:val="auto"/>
        </w:rPr>
      </w:pPr>
    </w:p>
    <w:p>
      <w:pPr>
        <w:ind w:firstLine="989"/>
        <w:spacing w:after="0" w:line="283" w:lineRule="auto"/>
        <w:rPr>
          <w:sz w:val="20"/>
          <w:szCs w:val="20"/>
          <w:color w:val="auto"/>
        </w:rPr>
      </w:pPr>
      <w:r>
        <w:rPr>
          <w:rFonts w:ascii="Arial" w:cs="Arial" w:eastAsia="Arial" w:hAnsi="Arial"/>
          <w:sz w:val="16"/>
          <w:szCs w:val="16"/>
          <w:color w:val="auto"/>
        </w:rPr>
        <w:t xml:space="preserve">2.4 Procedure for Multicurrency Loan Borrowing. The Company and any relevant Subsidiary Borrower may borrow under the Multicurrency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or the relevant Subsidiary Borrower shall deliver to the Administrative Agent (x) in the case of any Multicurrency Loan denominated in Dollars, a written Borrowing Request (or telephonic notice promptly confirmed in a written Borrowing Request) prior to (a) in the case of Eurocurrency Loans, </w:t>
      </w:r>
      <w:r>
        <w:rPr>
          <w:rFonts w:ascii="Arial" w:cs="Arial" w:eastAsia="Arial" w:hAnsi="Arial"/>
          <w:sz w:val="16"/>
          <w:szCs w:val="16"/>
          <w:color w:val="FF0000"/>
          <w:strike w:val="1"/>
        </w:rPr>
        <w:t>(i) in the case of requests made by</w:t>
      </w:r>
      <w:r>
        <w:rPr>
          <w:rFonts w:ascii="Arial" w:cs="Arial" w:eastAsia="Arial" w:hAnsi="Arial"/>
          <w:sz w:val="16"/>
          <w:szCs w:val="16"/>
          <w:color w:val="auto"/>
        </w:rPr>
        <w:t xml:space="preserve"> </w:t>
      </w:r>
      <w:r>
        <w:rPr>
          <w:rFonts w:ascii="Arial" w:cs="Arial" w:eastAsia="Arial" w:hAnsi="Arial"/>
          <w:sz w:val="16"/>
          <w:szCs w:val="16"/>
          <w:color w:val="FF0000"/>
          <w:strike w:val="1"/>
        </w:rPr>
        <w:t>the Company or any Subsidiary Borrower other than GMGTC,</w:t>
      </w:r>
      <w:r>
        <w:rPr>
          <w:rFonts w:ascii="Arial" w:cs="Arial" w:eastAsia="Arial" w:hAnsi="Arial"/>
          <w:sz w:val="16"/>
          <w:szCs w:val="16"/>
          <w:color w:val="FF0000"/>
        </w:rPr>
        <w:t xml:space="preserve"> </w:t>
      </w:r>
      <w:r>
        <w:rPr>
          <w:rFonts w:ascii="Arial" w:cs="Arial" w:eastAsia="Arial" w:hAnsi="Arial"/>
          <w:sz w:val="16"/>
          <w:szCs w:val="16"/>
          <w:color w:val="000000"/>
        </w:rPr>
        <w:t>1:00 P.M., New York City time, three Business Days prior to the requested Borrowing</w:t>
      </w:r>
      <w:r>
        <w:rPr>
          <w:rFonts w:ascii="Arial" w:cs="Arial" w:eastAsia="Arial" w:hAnsi="Arial"/>
          <w:sz w:val="16"/>
          <w:szCs w:val="16"/>
          <w:color w:val="FF0000"/>
        </w:rPr>
        <w:t xml:space="preserve"> </w:t>
      </w:r>
      <w:r>
        <w:rPr>
          <w:rFonts w:ascii="Arial" w:cs="Arial" w:eastAsia="Arial" w:hAnsi="Arial"/>
          <w:sz w:val="16"/>
          <w:szCs w:val="16"/>
          <w:color w:val="000000"/>
        </w:rPr>
        <w:t xml:space="preserve">Date </w:t>
      </w:r>
      <w:r>
        <w:rPr>
          <w:rFonts w:ascii="Arial" w:cs="Arial" w:eastAsia="Arial" w:hAnsi="Arial"/>
          <w:sz w:val="16"/>
          <w:szCs w:val="16"/>
          <w:color w:val="FF0000"/>
        </w:rPr>
        <w:t>or (ii) in the case of requests made by GMGTC, 1:00 P.M., London time, three Business Days prior to the requested Borrowing Date</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or (b) 1:00 P.M., New York City time, on the date of the proposed borrowing, in the case of ABR Loans requested by the Company and (y) in the case of any Multicurrency Loan denominated in an Optional Currency, a written Borrowing Request prior to 1:00 P.M., London time, three Business Days prior to the requested Borrowing Date, in each case, specifying (a) the amount, Type and Currency of Multicurrency Loans to be borrowed, (b) the requested Borrowing Date and (c) the respective lengths of the initial Interest Period(s) therefor, if applicable;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Arial" w:cs="Arial" w:eastAsia="Arial" w:hAnsi="Arial"/>
          <w:sz w:val="16"/>
          <w:szCs w:val="16"/>
          <w:u w:val="single" w:color="auto"/>
          <w:color w:val="000000"/>
        </w:rPr>
        <w:t>pro rata</w:t>
      </w:r>
      <w:r>
        <w:rPr>
          <w:rFonts w:ascii="Arial" w:cs="Arial" w:eastAsia="Arial" w:hAnsi="Arial"/>
          <w:sz w:val="16"/>
          <w:szCs w:val="16"/>
          <w:color w:val="000000"/>
        </w:rPr>
        <w:t xml:space="preserve"> share of each borrowing available to the Administrative Agent for the account of the Company or the relevant Subsidiary Borrower at the Funding Office prior to (x) in the case of any Multicurrency Loan denominated in Dollars, </w:t>
      </w:r>
      <w:r>
        <w:rPr>
          <w:rFonts w:ascii="Arial" w:cs="Arial" w:eastAsia="Arial" w:hAnsi="Arial"/>
          <w:sz w:val="16"/>
          <w:szCs w:val="16"/>
          <w:color w:val="FF0000"/>
          <w:strike w:val="1"/>
        </w:rPr>
        <w:t>(i)</w:t>
      </w:r>
      <w:r>
        <w:rPr>
          <w:rFonts w:ascii="Arial" w:cs="Arial" w:eastAsia="Arial" w:hAnsi="Arial"/>
          <w:sz w:val="16"/>
          <w:szCs w:val="16"/>
          <w:color w:val="000000"/>
        </w:rPr>
        <w:t xml:space="preserve"> 1:00 P.M. (or, in the case of an ABR Loan requested on the proposed Borrowing Date, 3:00 P.M.), New York City time, on the Borrowing Date requested by the Company or the relevant Subsidiary Borrower </w:t>
      </w:r>
      <w:r>
        <w:rPr>
          <w:rFonts w:ascii="Arial" w:cs="Arial" w:eastAsia="Arial" w:hAnsi="Arial"/>
          <w:sz w:val="16"/>
          <w:szCs w:val="16"/>
          <w:color w:val="FF0000"/>
          <w:strike w:val="1"/>
        </w:rPr>
        <w:t>(other than GMGTC) and (ii) 1:00 P.M. London time, on the Borrowing Date requested by GMGTC</w:t>
      </w:r>
      <w:r>
        <w:rPr>
          <w:rFonts w:ascii="Arial" w:cs="Arial" w:eastAsia="Arial" w:hAnsi="Arial"/>
          <w:sz w:val="16"/>
          <w:szCs w:val="16"/>
          <w:color w:val="000000"/>
        </w:rPr>
        <w:t xml:space="preserve">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-2819400</wp:posOffset>
            </wp:positionV>
            <wp:extent cx="607187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6071870" cy="8255"/>
                    </a:xfrm>
                    <a:prstGeom prst="rect">
                      <a:avLst/>
                    </a:prstGeom>
                    <a:noFill/>
                  </pic:spPr>
                </pic:pic>
              </a:graphicData>
            </a:graphic>
          </wp:anchor>
        </w:drawing>
      </w:r>
    </w:p>
    <w:p>
      <w:pPr>
        <w:spacing w:after="0" w:line="373" w:lineRule="exact"/>
        <w:rPr>
          <w:sz w:val="20"/>
          <w:szCs w:val="20"/>
          <w:color w:val="auto"/>
        </w:rPr>
      </w:pPr>
    </w:p>
    <w:p>
      <w:pPr>
        <w:ind w:right="120" w:firstLine="989"/>
        <w:spacing w:after="0" w:line="285" w:lineRule="auto"/>
        <w:rPr>
          <w:sz w:val="20"/>
          <w:szCs w:val="20"/>
          <w:color w:val="auto"/>
        </w:rPr>
      </w:pPr>
      <w:r>
        <w:rPr>
          <w:rFonts w:ascii="Arial" w:cs="Arial" w:eastAsia="Arial" w:hAnsi="Arial"/>
          <w:sz w:val="17"/>
          <w:szCs w:val="17"/>
          <w:color w:val="auto"/>
        </w:rPr>
        <w:t>2.5 Brazilian Commitments. (a) Subject to the terms and conditions hereof, each Brazilian Lender severally agrees to make (or cause its Applicable Lending Office to make) revolving loans (“</w:t>
      </w:r>
      <w:r>
        <w:rPr>
          <w:rFonts w:ascii="Arial" w:cs="Arial" w:eastAsia="Arial" w:hAnsi="Arial"/>
          <w:sz w:val="17"/>
          <w:szCs w:val="17"/>
          <w:u w:val="single" w:color="auto"/>
          <w:color w:val="auto"/>
        </w:rPr>
        <w:t>Brazilian Loans”</w:t>
      </w:r>
      <w:r>
        <w:rPr>
          <w:rFonts w:ascii="Arial" w:cs="Arial" w:eastAsia="Arial" w:hAnsi="Arial"/>
          <w:sz w:val="17"/>
          <w:szCs w:val="17"/>
          <w:color w:val="auto"/>
        </w:rPr>
        <w:t>) in Brazilian Reais to any Brazilian Subsidiary Borrower from time to time during the Commitment Period of such Brazilian Lender pursuant to, in accordance with and subject to the terms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538" w:name="page539"/>
    <w:bookmarkEnd w:id="538"/>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its Brazilian Bank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 (x) 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 and (iii) the Total Extensions of Credit shall not exceed the Total Commitments then in effect and (y) each borrowing under the Brazilian Commitments shall be in an amount that is an integral multiple of R$10 million and no less than</w:t>
      </w:r>
    </w:p>
    <w:p>
      <w:pPr>
        <w:spacing w:after="0" w:line="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77" w:lineRule="exact"/>
        <w:rPr>
          <w:sz w:val="20"/>
          <w:szCs w:val="20"/>
          <w:color w:val="auto"/>
        </w:rPr>
      </w:pPr>
    </w:p>
    <w:p>
      <w:pPr>
        <w:ind w:right="60" w:firstLine="998"/>
        <w:spacing w:after="0" w:line="276" w:lineRule="auto"/>
        <w:tabs>
          <w:tab w:leader="none" w:pos="137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all outstanding Brazilian Loans of a Lender on the Termination Date for such Lender under the Brazilian Facility.</w:t>
      </w:r>
    </w:p>
    <w:p>
      <w:pPr>
        <w:spacing w:after="0" w:line="170" w:lineRule="exact"/>
        <w:rPr>
          <w:rFonts w:ascii="Arial" w:cs="Arial" w:eastAsia="Arial" w:hAnsi="Arial"/>
          <w:sz w:val="18"/>
          <w:szCs w:val="18"/>
          <w:color w:val="auto"/>
        </w:rPr>
      </w:pPr>
    </w:p>
    <w:p>
      <w:pPr>
        <w:ind w:right="460" w:firstLine="998"/>
        <w:spacing w:after="0" w:line="276" w:lineRule="auto"/>
        <w:tabs>
          <w:tab w:leader="none" w:pos="136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any outstanding Brazilian Loans on the dates required by the applicable Brazilian Bank Certificate.</w:t>
      </w:r>
    </w:p>
    <w:p>
      <w:pPr>
        <w:spacing w:after="0" w:line="170" w:lineRule="exact"/>
        <w:rPr>
          <w:sz w:val="20"/>
          <w:szCs w:val="20"/>
          <w:color w:val="auto"/>
        </w:rPr>
      </w:pPr>
    </w:p>
    <w:p>
      <w:pPr>
        <w:ind w:firstLine="989"/>
        <w:spacing w:after="0" w:line="254" w:lineRule="auto"/>
        <w:rPr>
          <w:sz w:val="20"/>
          <w:szCs w:val="20"/>
          <w:color w:val="auto"/>
        </w:rPr>
      </w:pPr>
      <w:r>
        <w:rPr>
          <w:rFonts w:ascii="Arial" w:cs="Arial" w:eastAsia="Arial" w:hAnsi="Arial"/>
          <w:sz w:val="18"/>
          <w:szCs w:val="18"/>
          <w:color w:val="auto"/>
        </w:rPr>
        <w:t>2.6 Brazilian Reporting. Unless otherwise requested by the Administrative Agent, the Brazilian Administrative Agent shall 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91" w:lineRule="exact"/>
        <w:rPr>
          <w:sz w:val="20"/>
          <w:szCs w:val="20"/>
          <w:color w:val="auto"/>
        </w:rPr>
      </w:pPr>
    </w:p>
    <w:p>
      <w:pPr>
        <w:ind w:firstLine="989"/>
        <w:spacing w:after="0" w:line="283" w:lineRule="auto"/>
        <w:rPr>
          <w:sz w:val="20"/>
          <w:szCs w:val="20"/>
          <w:color w:val="auto"/>
        </w:rPr>
      </w:pPr>
      <w:r>
        <w:rPr>
          <w:rFonts w:ascii="Arial" w:cs="Arial" w:eastAsia="Arial" w:hAnsi="Arial"/>
          <w:sz w:val="16"/>
          <w:szCs w:val="16"/>
          <w:color w:val="auto"/>
        </w:rPr>
        <w:t xml:space="preserve">2.7 Competitive Bid Procedure.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the Total Domestic Extensions of Credit shall not exceed the Total Domestic Commitments then in effect and (ii)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w:t>
      </w:r>
    </w:p>
    <w:p>
      <w:pPr>
        <w:spacing w:after="0" w:line="1" w:lineRule="exact"/>
        <w:rPr>
          <w:sz w:val="20"/>
          <w:szCs w:val="20"/>
          <w:color w:val="auto"/>
        </w:rPr>
      </w:pPr>
    </w:p>
    <w:p>
      <w:pPr>
        <w:ind w:right="160" w:firstLine="9"/>
        <w:spacing w:after="0" w:line="253" w:lineRule="auto"/>
        <w:tabs>
          <w:tab w:leader="none" w:pos="25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amount (which shall be a minimum of $50 million) and Type of the requested Competitive Loans, (3) the requested Borrowing Date and (4) the requested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90" w:lineRule="exact"/>
        <w:rPr>
          <w:rFonts w:ascii="Arial" w:cs="Arial" w:eastAsia="Arial" w:hAnsi="Arial"/>
          <w:sz w:val="18"/>
          <w:szCs w:val="18"/>
          <w:color w:val="auto"/>
        </w:rPr>
      </w:pPr>
    </w:p>
    <w:p>
      <w:pPr>
        <w:ind w:right="300" w:firstLine="998"/>
        <w:spacing w:after="0" w:line="276" w:lineRule="auto"/>
        <w:tabs>
          <w:tab w:leader="none" w:pos="1388" w:val="left"/>
        </w:tabs>
        <w:numPr>
          <w:ilvl w:val="1"/>
          <w:numId w:val="447"/>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from time to time during the Commitment Period in respect of Multicurrency Commitments, the Company or any relevant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3" w:right="459" w:bottom="1440" w:gutter="0" w:footer="0" w:header="0"/>
        </w:sectPr>
      </w:pPr>
    </w:p>
    <w:bookmarkStart w:id="539" w:name="page540"/>
    <w:bookmarkEnd w:id="539"/>
    <w:p>
      <w:pPr>
        <w:jc w:val="both"/>
        <w:ind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w:t>
      </w:r>
    </w:p>
    <w:p>
      <w:pPr>
        <w:spacing w:after="0" w:line="1" w:lineRule="exact"/>
        <w:rPr>
          <w:sz w:val="20"/>
          <w:szCs w:val="20"/>
          <w:color w:val="auto"/>
        </w:rPr>
      </w:pPr>
    </w:p>
    <w:p>
      <w:pPr>
        <w:ind w:right="20" w:firstLine="9"/>
        <w:spacing w:after="0" w:line="267" w:lineRule="auto"/>
        <w:tabs>
          <w:tab w:leader="none" w:pos="254" w:val="left"/>
        </w:tabs>
        <w:numPr>
          <w:ilvl w:val="0"/>
          <w:numId w:val="448"/>
        </w:numPr>
        <w:rPr>
          <w:rFonts w:ascii="Arial" w:cs="Arial" w:eastAsia="Arial" w:hAnsi="Arial"/>
          <w:sz w:val="17"/>
          <w:szCs w:val="17"/>
          <w:color w:val="auto"/>
        </w:rPr>
      </w:pPr>
      <w:r>
        <w:rPr>
          <w:rFonts w:ascii="Arial" w:cs="Arial" w:eastAsia="Arial" w:hAnsi="Arial"/>
          <w:sz w:val="17"/>
          <w:szCs w:val="17"/>
          <w:color w:val="auto"/>
        </w:rPr>
        <w:t xml:space="preserve">the Total Multicurrency Extensions of Credit shall not exceed the Total Multicurrency Commitments then in effect and (y)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81" w:lineRule="exact"/>
        <w:rPr>
          <w:rFonts w:ascii="Arial" w:cs="Arial" w:eastAsia="Arial" w:hAnsi="Arial"/>
          <w:sz w:val="17"/>
          <w:szCs w:val="17"/>
          <w:color w:val="auto"/>
        </w:rPr>
      </w:pPr>
    </w:p>
    <w:p>
      <w:pPr>
        <w:ind w:firstLine="998"/>
        <w:spacing w:after="0" w:line="278" w:lineRule="auto"/>
        <w:tabs>
          <w:tab w:leader="none" w:pos="1378" w:val="left"/>
        </w:tabs>
        <w:numPr>
          <w:ilvl w:val="1"/>
          <w:numId w:val="448"/>
        </w:numPr>
        <w:rPr>
          <w:rFonts w:ascii="Arial" w:cs="Arial" w:eastAsia="Arial" w:hAnsi="Arial"/>
          <w:sz w:val="17"/>
          <w:szCs w:val="17"/>
          <w:color w:val="auto"/>
        </w:rPr>
      </w:pPr>
      <w:r>
        <w:rPr>
          <w:rFonts w:ascii="Arial" w:cs="Arial" w:eastAsia="Arial" w:hAnsi="Arial"/>
          <w:sz w:val="17"/>
          <w:szCs w:val="17"/>
          <w:color w:val="auto"/>
        </w:rPr>
        <w:t>Promptly following receipt of a Competitive Bid Request conforming to the requirements of this Section 2.7 (but, in any event, no later than (x) 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71" w:lineRule="exact"/>
        <w:rPr>
          <w:rFonts w:ascii="Arial" w:cs="Arial" w:eastAsia="Arial" w:hAnsi="Arial"/>
          <w:sz w:val="17"/>
          <w:szCs w:val="17"/>
          <w:color w:val="auto"/>
        </w:rPr>
      </w:pPr>
    </w:p>
    <w:p>
      <w:pPr>
        <w:ind w:right="60" w:firstLine="998"/>
        <w:spacing w:after="0" w:line="267" w:lineRule="auto"/>
        <w:tabs>
          <w:tab w:leader="none" w:pos="1368" w:val="left"/>
        </w:tabs>
        <w:numPr>
          <w:ilvl w:val="1"/>
          <w:numId w:val="448"/>
        </w:numPr>
        <w:rPr>
          <w:rFonts w:ascii="Arial" w:cs="Arial" w:eastAsia="Arial" w:hAnsi="Arial"/>
          <w:sz w:val="17"/>
          <w:szCs w:val="17"/>
          <w:color w:val="auto"/>
        </w:rPr>
      </w:pPr>
      <w:r>
        <w:rPr>
          <w:rFonts w:ascii="Arial" w:cs="Arial" w:eastAsia="Arial" w:hAnsi="Arial"/>
          <w:sz w:val="17"/>
          <w:szCs w:val="17"/>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83" w:lineRule="exact"/>
        <w:rPr>
          <w:rFonts w:ascii="Arial" w:cs="Arial" w:eastAsia="Arial" w:hAnsi="Arial"/>
          <w:sz w:val="17"/>
          <w:szCs w:val="17"/>
          <w:color w:val="auto"/>
        </w:rPr>
      </w:pPr>
    </w:p>
    <w:p>
      <w:pPr>
        <w:ind w:right="560" w:firstLine="998"/>
        <w:spacing w:after="0" w:line="311" w:lineRule="auto"/>
        <w:tabs>
          <w:tab w:leader="none" w:pos="1375" w:val="left"/>
        </w:tabs>
        <w:numPr>
          <w:ilvl w:val="1"/>
          <w:numId w:val="448"/>
        </w:numPr>
        <w:rPr>
          <w:rFonts w:ascii="Arial" w:cs="Arial" w:eastAsia="Arial" w:hAnsi="Arial"/>
          <w:sz w:val="16"/>
          <w:szCs w:val="16"/>
          <w:color w:val="auto"/>
        </w:rPr>
      </w:pPr>
      <w:r>
        <w:rPr>
          <w:rFonts w:ascii="Arial" w:cs="Arial" w:eastAsia="Arial" w:hAnsi="Arial"/>
          <w:sz w:val="16"/>
          <w:szCs w:val="16"/>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0"/>
          </w:cols>
          <w:pgMar w:left="440" w:top="273" w:right="499" w:bottom="1440" w:gutter="0" w:footer="0" w:header="0"/>
        </w:sectPr>
      </w:pPr>
    </w:p>
    <w:bookmarkStart w:id="540" w:name="page541"/>
    <w:bookmarkEnd w:id="540"/>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89" w:lineRule="exact"/>
        <w:rPr>
          <w:sz w:val="20"/>
          <w:szCs w:val="20"/>
          <w:color w:val="auto"/>
        </w:rPr>
      </w:pPr>
    </w:p>
    <w:p>
      <w:pPr>
        <w:ind w:right="40" w:firstLine="998"/>
        <w:spacing w:after="0" w:line="284" w:lineRule="auto"/>
        <w:tabs>
          <w:tab w:leader="none" w:pos="1368"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73" w:lineRule="exact"/>
        <w:rPr>
          <w:rFonts w:ascii="Arial" w:cs="Arial" w:eastAsia="Arial" w:hAnsi="Arial"/>
          <w:sz w:val="16"/>
          <w:szCs w:val="16"/>
          <w:color w:val="auto"/>
        </w:rPr>
      </w:pPr>
    </w:p>
    <w:p>
      <w:pPr>
        <w:ind w:firstLine="998"/>
        <w:spacing w:after="0" w:line="271" w:lineRule="auto"/>
        <w:tabs>
          <w:tab w:leader="none" w:pos="1345"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8" w:lineRule="exact"/>
        <w:rPr>
          <w:rFonts w:ascii="Arial" w:cs="Arial" w:eastAsia="Arial" w:hAnsi="Arial"/>
          <w:sz w:val="17"/>
          <w:szCs w:val="17"/>
          <w:color w:val="auto"/>
        </w:rPr>
      </w:pPr>
    </w:p>
    <w:p>
      <w:pPr>
        <w:ind w:right="160" w:firstLine="998"/>
        <w:spacing w:after="0" w:line="276" w:lineRule="auto"/>
        <w:tabs>
          <w:tab w:leader="none" w:pos="137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3" w:right="459" w:bottom="1440" w:gutter="0" w:footer="0" w:header="0"/>
        </w:sectPr>
      </w:pPr>
    </w:p>
    <w:bookmarkStart w:id="541" w:name="page542"/>
    <w:bookmarkEnd w:id="541"/>
    <w:p>
      <w:pPr>
        <w:ind w:right="106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at least one half of an hour earlier than the time by which the other Lenders are required to submit their Competitive Bids to the Administrative Agent pursuant to paragraph (c) of this Section 2.7.</w:t>
      </w:r>
    </w:p>
    <w:p>
      <w:pPr>
        <w:spacing w:after="0" w:line="170" w:lineRule="exact"/>
        <w:rPr>
          <w:sz w:val="20"/>
          <w:szCs w:val="20"/>
          <w:color w:val="auto"/>
        </w:rPr>
      </w:pPr>
    </w:p>
    <w:p>
      <w:pPr>
        <w:ind w:right="180" w:firstLine="998"/>
        <w:spacing w:after="0" w:line="276" w:lineRule="auto"/>
        <w:tabs>
          <w:tab w:leader="none" w:pos="137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70" w:lineRule="exact"/>
        <w:rPr>
          <w:sz w:val="20"/>
          <w:szCs w:val="20"/>
          <w:color w:val="auto"/>
        </w:rPr>
      </w:pPr>
    </w:p>
    <w:p>
      <w:pPr>
        <w:ind w:right="20" w:firstLine="989"/>
        <w:spacing w:after="0" w:line="270" w:lineRule="auto"/>
        <w:rPr>
          <w:sz w:val="20"/>
          <w:szCs w:val="20"/>
          <w:color w:val="auto"/>
        </w:rPr>
      </w:pPr>
      <w:r>
        <w:rPr>
          <w:rFonts w:ascii="Arial" w:cs="Arial" w:eastAsia="Arial" w:hAnsi="Arial"/>
          <w:sz w:val="17"/>
          <w:szCs w:val="17"/>
          <w:color w:val="auto"/>
        </w:rPr>
        <w:t>2.8 Facility Fees, etc</w:t>
      </w:r>
      <w:r>
        <w:rPr>
          <w:rFonts w:ascii="Arial" w:cs="Arial" w:eastAsia="Arial" w:hAnsi="Arial"/>
          <w:sz w:val="17"/>
          <w:szCs w:val="17"/>
          <w:u w:val="single" w:color="auto"/>
          <w:color w:val="auto"/>
        </w:rPr>
        <w:t>.</w:t>
      </w:r>
      <w:r>
        <w:rPr>
          <w:rFonts w:ascii="Arial" w:cs="Arial" w:eastAsia="Arial" w:hAnsi="Arial"/>
          <w:sz w:val="17"/>
          <w:szCs w:val="17"/>
          <w:color w:val="auto"/>
        </w:rPr>
        <w:t>. (a) The Company agrees to pay to the Administrative Agent a facility fee (the “</w:t>
      </w:r>
      <w:r>
        <w:rPr>
          <w:rFonts w:ascii="Arial" w:cs="Arial" w:eastAsia="Arial" w:hAnsi="Arial"/>
          <w:sz w:val="17"/>
          <w:szCs w:val="17"/>
          <w:u w:val="single" w:color="auto"/>
          <w:color w:val="auto"/>
        </w:rPr>
        <w:t>Facility Fee</w:t>
      </w:r>
      <w:r>
        <w:rPr>
          <w:rFonts w:ascii="Arial" w:cs="Arial" w:eastAsia="Arial" w:hAnsi="Arial"/>
          <w:sz w:val="17"/>
          <w:szCs w:val="17"/>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80" w:lineRule="exact"/>
        <w:rPr>
          <w:sz w:val="20"/>
          <w:szCs w:val="20"/>
          <w:color w:val="auto"/>
        </w:rPr>
      </w:pPr>
    </w:p>
    <w:p>
      <w:pPr>
        <w:ind w:right="140" w:firstLine="998"/>
        <w:spacing w:after="0" w:line="263" w:lineRule="auto"/>
        <w:tabs>
          <w:tab w:leader="none" w:pos="137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1" w:lineRule="exact"/>
        <w:rPr>
          <w:rFonts w:ascii="Arial" w:cs="Arial" w:eastAsia="Arial" w:hAnsi="Arial"/>
          <w:sz w:val="18"/>
          <w:szCs w:val="18"/>
          <w:color w:val="auto"/>
        </w:rPr>
      </w:pPr>
    </w:p>
    <w:p>
      <w:pPr>
        <w:ind w:right="220" w:firstLine="998"/>
        <w:spacing w:after="0" w:line="341" w:lineRule="auto"/>
        <w:tabs>
          <w:tab w:leader="none" w:pos="136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 xml:space="preserve">The Company agrees to pay to the Administrative Agent the fees in the amounts and on the dates as set forth in the Administrative Agent Fee Letter, dated as of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February 5, 2018 </w:t>
      </w:r>
      <w:r>
        <w:rPr>
          <w:rFonts w:ascii="Arial" w:cs="Arial" w:eastAsia="Arial" w:hAnsi="Arial"/>
          <w:sz w:val="16"/>
          <w:szCs w:val="16"/>
          <w:u w:val="single" w:color="auto"/>
          <w:color w:val="0000FF"/>
        </w:rPr>
        <w:t>and (ii) February 8, 2021</w:t>
      </w:r>
      <w:r>
        <w:rPr>
          <w:rFonts w:ascii="Arial" w:cs="Arial" w:eastAsia="Arial" w:hAnsi="Arial"/>
          <w:sz w:val="16"/>
          <w:szCs w:val="16"/>
          <w:color w:val="auto"/>
        </w:rPr>
        <w:t xml:space="preserve"> between the Company and the Administrative Agent.</w:t>
      </w:r>
    </w:p>
    <w:p>
      <w:pPr>
        <w:spacing w:after="0" w:line="124"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Termination, Reduction and Reallocation of Commitments.</w:t>
      </w:r>
    </w:p>
    <w:p>
      <w:pPr>
        <w:spacing w:after="0" w:line="224" w:lineRule="exact"/>
        <w:rPr>
          <w:sz w:val="20"/>
          <w:szCs w:val="20"/>
          <w:color w:val="auto"/>
        </w:rPr>
      </w:pPr>
    </w:p>
    <w:p>
      <w:pPr>
        <w:ind w:firstLine="998"/>
        <w:spacing w:after="0" w:line="267" w:lineRule="auto"/>
        <w:tabs>
          <w:tab w:leader="none" w:pos="1365" w:val="left"/>
        </w:tabs>
        <w:numPr>
          <w:ilvl w:val="0"/>
          <w:numId w:val="452"/>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or reduction 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or (y)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2.9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2.20 for any loss or expense sustained or incurred as a consequence thereof.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60"/>
          </w:cols>
          <w:pgMar w:left="440" w:top="273" w:right="499" w:bottom="1440" w:gutter="0" w:footer="0" w:header="0"/>
        </w:sectPr>
      </w:pPr>
    </w:p>
    <w:bookmarkStart w:id="542" w:name="page543"/>
    <w:bookmarkEnd w:id="542"/>
    <w:p>
      <w:pPr>
        <w:ind w:left="-20" w:right="20" w:firstLine="998"/>
        <w:spacing w:after="0" w:line="284" w:lineRule="auto"/>
        <w:tabs>
          <w:tab w:leader="none" w:pos="1355" w:val="left"/>
        </w:tabs>
        <w:numPr>
          <w:ilvl w:val="0"/>
          <w:numId w:val="4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have the right, upon not less than three Business Days’ notice to the Administrative Agent, to require the Lenders under the Multicurrency Facility to reallocate the Multicurrency Commitments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(y) in the case of a reallocation of Brazilian Commitments, the Total Brazilian Extensions of Credit shall not exceed the Total Brazilian Commitments then in effect and (ii) such reallocation with respect to any Lender shall have been consented to by each Material Issuing Lender to the extent such consent would be required for an assignment to such Lender pursuant to Section 10.6(b). Except as provided in Section 2.22, any such reallocation shall be in an amount equal to $25 million or a whole multiple of $1 million in excess thereof. Any such reallocation shall reduce the Multicurrency Commitment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2.18 or 2.19, such Lender shall use reasonable efforts (subject to Section 2.21)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2.20 as a result of such prepayment. Notwithstanding anything in this clause (b) to the contrary, no Brazilian Lender shall be obligated to reallocate any portion of its Brazilian Commitments to the Domestic Facility unless such Lender agrees.</w:t>
      </w:r>
    </w:p>
    <w:p>
      <w:pPr>
        <w:spacing w:after="0" w:line="168" w:lineRule="exact"/>
        <w:rPr>
          <w:rFonts w:ascii="Arial" w:cs="Arial" w:eastAsia="Arial" w:hAnsi="Arial"/>
          <w:sz w:val="16"/>
          <w:szCs w:val="16"/>
          <w:color w:val="auto"/>
        </w:rPr>
      </w:pPr>
    </w:p>
    <w:p>
      <w:pPr>
        <w:ind w:left="-20" w:firstLine="998"/>
        <w:spacing w:after="0" w:line="286" w:lineRule="auto"/>
        <w:tabs>
          <w:tab w:leader="none" w:pos="134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or Brazilian Facility, as applicable, reallocate a portion of their respective Domestic Commitments or Brazilian Commitments, as applicable, to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and any prepayment of the Domestic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(i)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and (ii) in the case of a reallocation of Brazilian Commitments, the Total Brazilian Extensions of Credit shall not exceed the Total Brazilian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or the Brazilian Lenders, as applicable, to such reallocation. The relevant Lenders agreeing to reallocate a portion of their Domestic Commitments or Brazilian Commitments, as applicable, to the Multicurrency Facility shall have such portion of their Domestic Commitment or Brazilian Commitments,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0"/>
          </w:cols>
          <w:pgMar w:left="460" w:top="273" w:right="459" w:bottom="1440" w:gutter="0" w:footer="0" w:header="0"/>
        </w:sectPr>
      </w:pPr>
    </w:p>
    <w:bookmarkStart w:id="543" w:name="page544"/>
    <w:bookmarkEnd w:id="543"/>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2.20 as a result of such prepayment(s). Notwithstanding anything in this clause (c) to the contrary, no Domestic Lender or Brazilian Lender, as applicable, shall be obligated to reallocate any portion of its Domestic Commitments or Brazilian Commitments, as applicable, to the Multicurrency Facility unless such Lender agrees.</w:t>
      </w:r>
    </w:p>
    <w:p>
      <w:pPr>
        <w:spacing w:after="0" w:line="191" w:lineRule="exact"/>
        <w:rPr>
          <w:sz w:val="20"/>
          <w:szCs w:val="20"/>
          <w:color w:val="auto"/>
        </w:rPr>
      </w:pPr>
    </w:p>
    <w:p>
      <w:pPr>
        <w:ind w:right="260" w:firstLine="998"/>
        <w:spacing w:after="0" w:line="285" w:lineRule="auto"/>
        <w:tabs>
          <w:tab w:leader="none" w:pos="1368"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66" w:lineRule="exact"/>
        <w:rPr>
          <w:sz w:val="20"/>
          <w:szCs w:val="20"/>
          <w:color w:val="auto"/>
        </w:rPr>
      </w:pPr>
    </w:p>
    <w:p>
      <w:pPr>
        <w:ind w:right="20" w:firstLine="989"/>
        <w:spacing w:after="0" w:line="285" w:lineRule="auto"/>
        <w:rPr>
          <w:sz w:val="20"/>
          <w:szCs w:val="20"/>
          <w:color w:val="auto"/>
        </w:rPr>
      </w:pPr>
      <w:r>
        <w:rPr>
          <w:rFonts w:ascii="Arial" w:cs="Arial" w:eastAsia="Arial" w:hAnsi="Arial"/>
          <w:sz w:val="16"/>
          <w:szCs w:val="16"/>
          <w:color w:val="auto"/>
        </w:rPr>
        <w:t>2.10 Optional Prepayments. The Company and any relevant Subsidiary Borrower may at any time and from time to time prepay the Loans (other than the Brazilian Loans), in whole or in part, without premium or penalty, upon irrevocable notice delivered to the Administrative Agent no later than (x) with respect to Domestic Loans and Domestic Competitive Loans, 1:00 P.M., New York City time, three Business Days prior thereto, in the case of Eurocurrency Loans, and no later than 1:00 P.M., New York City time, on the day of such prepayment, in the case of ABR Loans, and</w:t>
      </w:r>
    </w:p>
    <w:p>
      <w:pPr>
        <w:spacing w:after="0" w:line="3" w:lineRule="exact"/>
        <w:rPr>
          <w:sz w:val="20"/>
          <w:szCs w:val="20"/>
          <w:color w:val="auto"/>
        </w:rPr>
      </w:pPr>
    </w:p>
    <w:p>
      <w:pPr>
        <w:ind w:firstLine="9"/>
        <w:spacing w:after="0" w:line="266" w:lineRule="auto"/>
        <w:tabs>
          <w:tab w:leader="none" w:pos="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with respect to Multicurrency Loans and Multicurrency Competitive Loans, 11 A.M., London time, three Business Days prior thereto, in each case which notice shall specify the applicable Facility, the date and amount of prepayment and whether the prepayment is of Eurocurrency Loans or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 Eurocurrency Loan is prepaid on any day other than the last day of the Interest Period applicable thereto, the Company or the relevant Subsidiary Borrower shall also pay any amounts owing pursuant to Section 2.20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2.20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181" w:lineRule="exact"/>
        <w:rPr>
          <w:sz w:val="20"/>
          <w:szCs w:val="20"/>
          <w:color w:val="auto"/>
        </w:rPr>
      </w:pPr>
    </w:p>
    <w:p>
      <w:pPr>
        <w:ind w:right="360" w:firstLine="989"/>
        <w:spacing w:after="0" w:line="276" w:lineRule="auto"/>
        <w:rPr>
          <w:sz w:val="20"/>
          <w:szCs w:val="20"/>
          <w:color w:val="auto"/>
        </w:rPr>
      </w:pPr>
      <w:r>
        <w:rPr>
          <w:rFonts w:ascii="Arial" w:cs="Arial" w:eastAsia="Arial" w:hAnsi="Arial"/>
          <w:sz w:val="18"/>
          <w:szCs w:val="18"/>
          <w:color w:val="auto"/>
        </w:rPr>
        <w:t>2.11 Mandatory Prepayments. (a) On each Fee Payment Date on which any Letter of Credit denominated in an Optional Currency is outstanding, the Administrative Agent shall determine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440" w:top="273" w:right="479" w:bottom="1440" w:gutter="0" w:footer="0" w:header="0"/>
        </w:sectPr>
      </w:pPr>
    </w:p>
    <w:bookmarkStart w:id="544" w:name="page545"/>
    <w:bookmarkEnd w:id="544"/>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Dollar Equivalent of the Total Domestic Extensions of Credit as of the last day of the related Fee Payment Period. If, as of the last day of any Fee Payment Period, the Dollar Equivalent of the Total Domestic Extensions of Credit exceeds the Total Domestic Commitments then in effect by 5% or more, then the Administrative Agent shall notify the Company and, within five Business Days of such notice, the Company or the relevant Subsidiary Borrower shall prepay Domestic Loans or Collateralize outstanding Letters of Credit in an aggregate principal or face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Dollar Equivalent of the Total Domestic Extensions of Credit as provided in this Section 2.11(a) shall not subject the Administrative Agent to any liability hereunder.</w:t>
      </w:r>
    </w:p>
    <w:p>
      <w:pPr>
        <w:spacing w:after="0" w:line="174" w:lineRule="exact"/>
        <w:rPr>
          <w:sz w:val="20"/>
          <w:szCs w:val="20"/>
          <w:color w:val="auto"/>
        </w:rPr>
      </w:pPr>
    </w:p>
    <w:p>
      <w:pPr>
        <w:ind w:right="80" w:firstLine="998"/>
        <w:spacing w:after="0" w:line="284" w:lineRule="auto"/>
        <w:tabs>
          <w:tab w:leader="none" w:pos="1378"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Administrative Agent to determine the Total Multicurrency Extensions of Credit as provided in this</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2.11(b) shall not subject the Administrative Agent to any liability hereunder.</w:t>
      </w:r>
    </w:p>
    <w:p>
      <w:pPr>
        <w:spacing w:after="0" w:line="209" w:lineRule="exact"/>
        <w:rPr>
          <w:rFonts w:ascii="Arial" w:cs="Arial" w:eastAsia="Arial" w:hAnsi="Arial"/>
          <w:sz w:val="16"/>
          <w:szCs w:val="16"/>
          <w:color w:val="auto"/>
        </w:rPr>
      </w:pPr>
    </w:p>
    <w:p>
      <w:pPr>
        <w:ind w:firstLine="998"/>
        <w:spacing w:after="0" w:line="273" w:lineRule="auto"/>
        <w:tabs>
          <w:tab w:leader="none" w:pos="1365" w:val="left"/>
        </w:tabs>
        <w:numPr>
          <w:ilvl w:val="0"/>
          <w:numId w:val="456"/>
        </w:numPr>
        <w:rPr>
          <w:rFonts w:ascii="Arial" w:cs="Arial" w:eastAsia="Arial" w:hAnsi="Arial"/>
          <w:sz w:val="17"/>
          <w:szCs w:val="17"/>
          <w:color w:val="auto"/>
        </w:rPr>
      </w:pPr>
      <w:r>
        <w:rPr>
          <w:rFonts w:ascii="Arial" w:cs="Arial" w:eastAsia="Arial" w:hAnsi="Arial"/>
          <w:sz w:val="17"/>
          <w:szCs w:val="17"/>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Brazilian Administrative Agent to determine the Total Brazilian Extensions of Credit as provided in this Section 2.11(c) shall not subject the Brazilian Administrative Agent to any liability hereunder.</w:t>
      </w:r>
    </w:p>
    <w:p>
      <w:pPr>
        <w:spacing w:after="0" w:line="174"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Conversion and Continuation Options.</w:t>
      </w:r>
    </w:p>
    <w:p>
      <w:pPr>
        <w:spacing w:after="0" w:line="224" w:lineRule="exact"/>
        <w:rPr>
          <w:sz w:val="20"/>
          <w:szCs w:val="20"/>
          <w:color w:val="auto"/>
        </w:rPr>
      </w:pPr>
    </w:p>
    <w:p>
      <w:pPr>
        <w:ind w:firstLine="998"/>
        <w:spacing w:after="0" w:line="287" w:lineRule="auto"/>
        <w:tabs>
          <w:tab w:leader="none" w:pos="136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Eurocurrency Loans that is not made on the last day of an Interest Period with respect thereto shall be subject to Section 2.20.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65" w:lineRule="exact"/>
        <w:rPr>
          <w:rFonts w:ascii="Arial" w:cs="Arial" w:eastAsia="Arial" w:hAnsi="Arial"/>
          <w:sz w:val="16"/>
          <w:szCs w:val="16"/>
          <w:color w:val="auto"/>
        </w:rPr>
      </w:pPr>
    </w:p>
    <w:p>
      <w:pPr>
        <w:ind w:right="140" w:firstLine="998"/>
        <w:spacing w:after="0" w:line="285" w:lineRule="auto"/>
        <w:tabs>
          <w:tab w:leader="none" w:pos="1368" w:val="left"/>
        </w:tabs>
        <w:numPr>
          <w:ilvl w:val="0"/>
          <w:numId w:val="457"/>
        </w:numPr>
        <w:rPr>
          <w:rFonts w:ascii="Arial" w:cs="Arial" w:eastAsia="Arial" w:hAnsi="Arial"/>
          <w:sz w:val="17"/>
          <w:szCs w:val="17"/>
          <w:color w:val="auto"/>
        </w:rPr>
      </w:pPr>
      <w:r>
        <w:rPr>
          <w:rFonts w:ascii="Arial" w:cs="Arial" w:eastAsia="Arial" w:hAnsi="Arial"/>
          <w:sz w:val="17"/>
          <w:szCs w:val="17"/>
          <w:color w:val="auto"/>
        </w:rPr>
        <w:t>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3" w:right="459" w:bottom="1440" w:gutter="0" w:footer="0" w:header="0"/>
        </w:sectPr>
      </w:pPr>
    </w:p>
    <w:bookmarkStart w:id="545" w:name="page546"/>
    <w:bookmarkEnd w:id="545"/>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79" w:lineRule="exact"/>
        <w:rPr>
          <w:sz w:val="20"/>
          <w:szCs w:val="20"/>
          <w:color w:val="auto"/>
        </w:rPr>
      </w:pPr>
    </w:p>
    <w:p>
      <w:pPr>
        <w:jc w:val="both"/>
        <w:ind w:right="180" w:firstLine="989"/>
        <w:spacing w:after="0" w:line="263" w:lineRule="auto"/>
        <w:rPr>
          <w:sz w:val="20"/>
          <w:szCs w:val="20"/>
          <w:color w:val="auto"/>
        </w:rPr>
      </w:pPr>
      <w:r>
        <w:rPr>
          <w:rFonts w:ascii="Arial" w:cs="Arial" w:eastAsia="Arial" w:hAnsi="Arial"/>
          <w:sz w:val="18"/>
          <w:szCs w:val="18"/>
          <w:color w:val="auto"/>
        </w:rPr>
        <w:t>2.13 Limitations on Eurocurrency Tranches.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2"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Interest Rates and Payment Dates.</w:t>
      </w:r>
    </w:p>
    <w:p>
      <w:pPr>
        <w:spacing w:after="0" w:line="224" w:lineRule="exact"/>
        <w:rPr>
          <w:sz w:val="20"/>
          <w:szCs w:val="20"/>
          <w:color w:val="auto"/>
        </w:rPr>
      </w:pPr>
    </w:p>
    <w:p>
      <w:pPr>
        <w:ind w:right="20" w:firstLine="998"/>
        <w:spacing w:after="0" w:line="263" w:lineRule="auto"/>
        <w:tabs>
          <w:tab w:leader="none" w:pos="1368" w:val="left"/>
        </w:tabs>
        <w:numPr>
          <w:ilvl w:val="1"/>
          <w:numId w:val="458"/>
        </w:numPr>
        <w:rPr>
          <w:rFonts w:ascii="Arial" w:cs="Arial" w:eastAsia="Arial" w:hAnsi="Arial"/>
          <w:sz w:val="18"/>
          <w:szCs w:val="18"/>
          <w:color w:val="auto"/>
        </w:rPr>
      </w:pPr>
      <w:r>
        <w:rPr>
          <w:rFonts w:ascii="Arial" w:cs="Arial" w:eastAsia="Arial" w:hAnsi="Arial"/>
          <w:sz w:val="18"/>
          <w:szCs w:val="18"/>
          <w:color w:val="auto"/>
        </w:rPr>
        <w:t>Each Eurocurrency Loan that is a Multicurrency Loan or a Domestic Loan shall bear interest for each day during each Interest Period with respect thereto at a rate per annum equal to the Eurocurrency Rate</w:t>
      </w:r>
      <w:r>
        <w:rPr>
          <w:rFonts w:ascii="Arial" w:cs="Arial" w:eastAsia="Arial" w:hAnsi="Arial"/>
          <w:sz w:val="18"/>
          <w:szCs w:val="18"/>
          <w:u w:val="single" w:color="auto"/>
          <w:color w:val="0000FF"/>
        </w:rPr>
        <w:t>, the Adjusted EURIBOR Rate or the Adjusted TIBOR Rate, as applicable,</w:t>
      </w:r>
      <w:r>
        <w:rPr>
          <w:rFonts w:ascii="Arial" w:cs="Arial" w:eastAsia="Arial" w:hAnsi="Arial"/>
          <w:sz w:val="18"/>
          <w:szCs w:val="18"/>
          <w:color w:val="auto"/>
        </w:rPr>
        <w:t xml:space="preserve"> determined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81" w:lineRule="exact"/>
        <w:rPr>
          <w:rFonts w:ascii="Arial" w:cs="Arial" w:eastAsia="Arial" w:hAnsi="Arial"/>
          <w:sz w:val="18"/>
          <w:szCs w:val="18"/>
          <w:color w:val="auto"/>
        </w:rPr>
      </w:pPr>
    </w:p>
    <w:p>
      <w:pPr>
        <w:ind w:right="20" w:firstLine="998"/>
        <w:spacing w:after="0" w:line="306" w:lineRule="auto"/>
        <w:tabs>
          <w:tab w:leader="none" w:pos="1378" w:val="left"/>
        </w:tabs>
        <w:numPr>
          <w:ilvl w:val="1"/>
          <w:numId w:val="458"/>
        </w:numPr>
        <w:rPr>
          <w:rFonts w:ascii="Arial" w:cs="Arial" w:eastAsia="Arial" w:hAnsi="Arial"/>
          <w:sz w:val="17"/>
          <w:szCs w:val="17"/>
          <w:color w:val="auto"/>
        </w:rPr>
      </w:pPr>
      <w:r>
        <w:rPr>
          <w:rFonts w:ascii="Arial" w:cs="Arial" w:eastAsia="Arial" w:hAnsi="Arial"/>
          <w:sz w:val="17"/>
          <w:szCs w:val="17"/>
          <w:color w:val="auto"/>
        </w:rPr>
        <w:t>Each Eurocurrency Competitive Loan shall bear interest at a rate per annum equal to the Eurocurrency Rate</w:t>
      </w:r>
      <w:r>
        <w:rPr>
          <w:rFonts w:ascii="Arial" w:cs="Arial" w:eastAsia="Arial" w:hAnsi="Arial"/>
          <w:sz w:val="17"/>
          <w:szCs w:val="17"/>
          <w:u w:val="single" w:color="auto"/>
          <w:color w:val="0000FF"/>
        </w:rPr>
        <w:t>, the Adjusted EURIBOR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Rate or the Adjusted TIBOR Rate, as</w:t>
      </w:r>
      <w:r>
        <w:rPr>
          <w:rFonts w:ascii="Arial" w:cs="Arial" w:eastAsia="Arial" w:hAnsi="Arial"/>
          <w:sz w:val="17"/>
          <w:szCs w:val="17"/>
          <w:color w:val="0000FF"/>
        </w:rPr>
        <w:t xml:space="preserve"> </w:t>
      </w:r>
      <w:r>
        <w:rPr>
          <w:rFonts w:ascii="Arial" w:cs="Arial" w:eastAsia="Arial" w:hAnsi="Arial"/>
          <w:sz w:val="17"/>
          <w:szCs w:val="17"/>
          <w:color w:val="000000"/>
        </w:rPr>
        <w:t>applicable to such Loan</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plus</w:t>
      </w:r>
      <w:r>
        <w:rPr>
          <w:rFonts w:ascii="Arial" w:cs="Arial" w:eastAsia="Arial" w:hAnsi="Arial"/>
          <w:sz w:val="17"/>
          <w:szCs w:val="17"/>
          <w:color w:val="0000FF"/>
        </w:rPr>
        <w:t xml:space="preserve"> </w:t>
      </w:r>
      <w:r>
        <w:rPr>
          <w:rFonts w:ascii="Arial" w:cs="Arial" w:eastAsia="Arial" w:hAnsi="Arial"/>
          <w:sz w:val="17"/>
          <w:szCs w:val="17"/>
          <w:color w:val="000000"/>
        </w:rPr>
        <w:t>(or minus, as applicable) the Margin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applicable to such Loan</w:t>
      </w:r>
      <w:r>
        <w:rPr>
          <w:rFonts w:ascii="Arial" w:cs="Arial" w:eastAsia="Arial" w:hAnsi="Arial"/>
          <w:sz w:val="17"/>
          <w:szCs w:val="17"/>
          <w:color w:val="000000"/>
        </w:rPr>
        <w:t>.</w:t>
      </w:r>
    </w:p>
    <w:p>
      <w:pPr>
        <w:spacing w:after="0" w:line="148" w:lineRule="exact"/>
        <w:rPr>
          <w:rFonts w:ascii="Arial" w:cs="Arial" w:eastAsia="Arial" w:hAnsi="Arial"/>
          <w:sz w:val="17"/>
          <w:szCs w:val="17"/>
          <w:color w:val="auto"/>
        </w:rPr>
      </w:pPr>
    </w:p>
    <w:p>
      <w:pPr>
        <w:ind w:left="1380" w:hanging="382"/>
        <w:spacing w:after="0"/>
        <w:tabs>
          <w:tab w:leader="none" w:pos="138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3" w:lineRule="exact"/>
        <w:rPr>
          <w:rFonts w:ascii="Arial" w:cs="Arial" w:eastAsia="Arial" w:hAnsi="Arial"/>
          <w:sz w:val="18"/>
          <w:szCs w:val="18"/>
          <w:color w:val="auto"/>
        </w:rPr>
      </w:pPr>
    </w:p>
    <w:p>
      <w:pPr>
        <w:ind w:left="1380" w:hanging="382"/>
        <w:spacing w:after="0"/>
        <w:tabs>
          <w:tab w:leader="none" w:pos="138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24" w:lineRule="exact"/>
        <w:rPr>
          <w:rFonts w:ascii="Arial" w:cs="Arial" w:eastAsia="Arial" w:hAnsi="Arial"/>
          <w:sz w:val="18"/>
          <w:szCs w:val="18"/>
          <w:color w:val="auto"/>
        </w:rPr>
      </w:pPr>
    </w:p>
    <w:p>
      <w:pPr>
        <w:jc w:val="both"/>
        <w:ind w:right="20" w:firstLine="998"/>
        <w:spacing w:after="0" w:line="287" w:lineRule="auto"/>
        <w:tabs>
          <w:tab w:leader="none" w:pos="1368"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2.14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or</w:t>
      </w:r>
    </w:p>
    <w:p>
      <w:pPr>
        <w:ind w:firstLine="9"/>
        <w:spacing w:after="0" w:line="251" w:lineRule="auto"/>
        <w:tabs>
          <w:tab w:leader="none" w:pos="25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in the case of Reimbursement Obligations, the rate applicable to ABR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(ii) if all or a portion of any interest payable on any Loan or Reimbursement Obligation or any Facility Fee or Letter of Credit Fee payable hereunder (in each case, other than any of the foregoing in connection with the Brazilian Facility)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0"/>
          </w:cols>
          <w:pgMar w:left="440" w:top="273" w:right="479" w:bottom="1440" w:gutter="0" w:footer="0" w:header="0"/>
        </w:sectPr>
      </w:pPr>
    </w:p>
    <w:bookmarkStart w:id="546" w:name="page547"/>
    <w:bookmarkEnd w:id="546"/>
    <w:p>
      <w:pPr>
        <w:ind w:right="360" w:firstLine="998"/>
        <w:spacing w:after="0" w:line="263" w:lineRule="auto"/>
        <w:tabs>
          <w:tab w:leader="none" w:pos="1348" w:val="left"/>
        </w:tabs>
        <w:numPr>
          <w:ilvl w:val="0"/>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2.14(e) shall be payable from time to time on demand and (y) interest accruing in respect of the Brazilian Facility shall be payable in accordance with and pursuant to the terms of the Brazilian Bank Certificates.</w:t>
      </w:r>
    </w:p>
    <w:p>
      <w:pPr>
        <w:spacing w:after="0" w:line="181" w:lineRule="exact"/>
        <w:rPr>
          <w:rFonts w:ascii="Arial" w:cs="Arial" w:eastAsia="Arial" w:hAnsi="Arial"/>
          <w:sz w:val="18"/>
          <w:szCs w:val="18"/>
          <w:color w:val="auto"/>
        </w:rPr>
      </w:pPr>
    </w:p>
    <w:p>
      <w:pPr>
        <w:ind w:left="1380" w:hanging="382"/>
        <w:spacing w:after="0"/>
        <w:tabs>
          <w:tab w:leader="none" w:pos="13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224" w:lineRule="exact"/>
        <w:rPr>
          <w:sz w:val="20"/>
          <w:szCs w:val="20"/>
          <w:color w:val="auto"/>
        </w:rPr>
      </w:pPr>
    </w:p>
    <w:p>
      <w:pPr>
        <w:ind w:firstLine="989"/>
        <w:spacing w:after="0" w:line="287" w:lineRule="auto"/>
        <w:rPr>
          <w:sz w:val="20"/>
          <w:szCs w:val="20"/>
          <w:color w:val="auto"/>
        </w:rPr>
      </w:pPr>
      <w:r>
        <w:rPr>
          <w:rFonts w:ascii="Arial" w:cs="Arial" w:eastAsia="Arial" w:hAnsi="Arial"/>
          <w:sz w:val="16"/>
          <w:szCs w:val="16"/>
          <w:color w:val="auto"/>
        </w:rPr>
        <w:t xml:space="preserve">2.15 Computation of Interest and Fees. (a) Interest and fees payable pursuant hereto shall be calculated on the basis of a 360-day year for the actual days elapsed, except that (i) interest computed by reference to </w:t>
      </w:r>
      <w:r>
        <w:rPr>
          <w:rFonts w:ascii="Arial" w:cs="Arial" w:eastAsia="Arial" w:hAnsi="Arial"/>
          <w:sz w:val="16"/>
          <w:szCs w:val="16"/>
          <w:u w:val="single" w:color="auto"/>
          <w:color w:val="0000FF"/>
        </w:rPr>
        <w:t>(x)</w:t>
      </w:r>
      <w:r>
        <w:rPr>
          <w:rFonts w:ascii="Arial" w:cs="Arial" w:eastAsia="Arial" w:hAnsi="Arial"/>
          <w:sz w:val="16"/>
          <w:szCs w:val="16"/>
          <w:color w:val="auto"/>
        </w:rPr>
        <w:t xml:space="preserve"> ABR at times when ABR is based on the Prime Rate </w:t>
      </w:r>
      <w:r>
        <w:rPr>
          <w:rFonts w:ascii="Arial" w:cs="Arial" w:eastAsia="Arial" w:hAnsi="Arial"/>
          <w:sz w:val="16"/>
          <w:szCs w:val="16"/>
          <w:u w:val="single" w:color="auto"/>
          <w:color w:val="0000FF"/>
        </w:rPr>
        <w:t>and (y) the TIBOR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Rate</w:t>
      </w:r>
      <w:r>
        <w:rPr>
          <w:rFonts w:ascii="Arial" w:cs="Arial" w:eastAsia="Arial" w:hAnsi="Arial"/>
          <w:sz w:val="16"/>
          <w:szCs w:val="16"/>
          <w:color w:val="0000FF"/>
        </w:rPr>
        <w:t xml:space="preserve"> </w:t>
      </w:r>
      <w:r>
        <w:rPr>
          <w:rFonts w:ascii="Arial" w:cs="Arial" w:eastAsia="Arial" w:hAnsi="Arial"/>
          <w:sz w:val="16"/>
          <w:szCs w:val="16"/>
          <w:color w:val="000000"/>
        </w:rPr>
        <w:t>shall be computed on the basis of a year of 365 days (or 366 days in a leap year), and shall be payable for the actual number of days elapsed</w:t>
      </w:r>
      <w:r>
        <w:rPr>
          <w:rFonts w:ascii="Arial" w:cs="Arial" w:eastAsia="Arial" w:hAnsi="Arial"/>
          <w:sz w:val="16"/>
          <w:szCs w:val="16"/>
          <w:color w:val="FF0000"/>
          <w:strike w:val="1"/>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and</w:t>
      </w:r>
    </w:p>
    <w:p>
      <w:pPr>
        <w:spacing w:after="0" w:line="1" w:lineRule="exact"/>
        <w:rPr>
          <w:sz w:val="20"/>
          <w:szCs w:val="20"/>
          <w:color w:val="auto"/>
        </w:rPr>
      </w:pPr>
    </w:p>
    <w:p>
      <w:pPr>
        <w:ind w:right="60" w:firstLine="9"/>
        <w:spacing w:after="0" w:line="287" w:lineRule="auto"/>
        <w:tabs>
          <w:tab w:leader="none" w:pos="264" w:val="left"/>
        </w:tabs>
        <w:numPr>
          <w:ilvl w:val="0"/>
          <w:numId w:val="461"/>
        </w:numPr>
        <w:rPr>
          <w:rFonts w:ascii="Arial" w:cs="Arial" w:eastAsia="Arial" w:hAnsi="Arial"/>
          <w:sz w:val="16"/>
          <w:szCs w:val="16"/>
          <w:color w:val="auto"/>
        </w:rPr>
      </w:pPr>
      <w:r>
        <w:rPr>
          <w:rFonts w:ascii="Arial" w:cs="Arial" w:eastAsia="Arial" w:hAnsi="Arial"/>
          <w:sz w:val="16"/>
          <w:szCs w:val="16"/>
          <w:color w:val="FF0000"/>
          <w:strike w:val="1"/>
        </w:rPr>
        <w:t xml:space="preserve">interest computed on Loans and Letters of Credit denominated in Pounds Sterling shall be computed on the basis of a year of 365 days, and shall be payable for the actual number of days elapsed and (iii) </w:t>
      </w:r>
      <w:r>
        <w:rPr>
          <w:rFonts w:ascii="Arial" w:cs="Arial" w:eastAsia="Arial" w:hAnsi="Arial"/>
          <w:sz w:val="16"/>
          <w:szCs w:val="16"/>
          <w:color w:val="000000"/>
          <w:strike w:val="1"/>
        </w:rPr>
        <w:t>interest and fees payable in connection with the Brazilian Facility shall be calculated in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69" w:lineRule="exact"/>
        <w:rPr>
          <w:rFonts w:ascii="Arial" w:cs="Arial" w:eastAsia="Arial" w:hAnsi="Arial"/>
          <w:sz w:val="16"/>
          <w:szCs w:val="16"/>
          <w:color w:val="auto"/>
        </w:rPr>
      </w:pPr>
    </w:p>
    <w:p>
      <w:pPr>
        <w:ind w:right="60" w:firstLine="998"/>
        <w:spacing w:after="0" w:line="296" w:lineRule="auto"/>
        <w:tabs>
          <w:tab w:leader="none" w:pos="1378" w:val="left"/>
        </w:tabs>
        <w:numPr>
          <w:ilvl w:val="1"/>
          <w:numId w:val="461"/>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2.17(a).</w:t>
      </w:r>
    </w:p>
    <w:p>
      <w:pPr>
        <w:spacing w:after="0" w:line="158" w:lineRule="exact"/>
        <w:rPr>
          <w:sz w:val="20"/>
          <w:szCs w:val="20"/>
          <w:color w:val="auto"/>
        </w:rPr>
      </w:pPr>
    </w:p>
    <w:p>
      <w:pPr>
        <w:ind w:right="20" w:firstLine="989"/>
        <w:spacing w:after="0" w:line="276" w:lineRule="auto"/>
        <w:rPr>
          <w:sz w:val="20"/>
          <w:szCs w:val="20"/>
          <w:color w:val="auto"/>
        </w:rPr>
      </w:pPr>
      <w:r>
        <w:rPr>
          <w:rFonts w:ascii="Arial" w:cs="Arial" w:eastAsia="Arial" w:hAnsi="Arial"/>
          <w:sz w:val="18"/>
          <w:szCs w:val="18"/>
          <w:color w:val="auto"/>
        </w:rPr>
        <w:t xml:space="preserve">2.16 Inability to Determine Interest Rate; Illegality. (a) </w:t>
      </w:r>
      <w:r>
        <w:rPr>
          <w:rFonts w:ascii="Arial" w:cs="Arial" w:eastAsia="Arial" w:hAnsi="Arial"/>
          <w:sz w:val="18"/>
          <w:szCs w:val="18"/>
          <w:color w:val="FF0000"/>
          <w:strike w:val="1"/>
        </w:rPr>
        <w:t>If</w:t>
      </w:r>
      <w:r>
        <w:rPr>
          <w:rFonts w:ascii="Arial" w:cs="Arial" w:eastAsia="Arial" w:hAnsi="Arial"/>
          <w:sz w:val="18"/>
          <w:szCs w:val="18"/>
          <w:u w:val="single" w:color="auto"/>
          <w:color w:val="0000FF"/>
        </w:rPr>
        <w:t>Subject to clauses (b), (c), (d), (e), (f) and (g) of this Section 2.18, if</w:t>
      </w:r>
      <w:r>
        <w:rPr>
          <w:rFonts w:ascii="Arial" w:cs="Arial" w:eastAsia="Arial" w:hAnsi="Arial"/>
          <w:sz w:val="18"/>
          <w:szCs w:val="18"/>
          <w:color w:val="auto"/>
        </w:rPr>
        <w:t xml:space="preserve"> prior to the </w:t>
      </w:r>
      <w:r>
        <w:rPr>
          <w:rFonts w:ascii="Arial" w:cs="Arial" w:eastAsia="Arial" w:hAnsi="Arial"/>
          <w:sz w:val="18"/>
          <w:szCs w:val="18"/>
          <w:color w:val="FF0000"/>
          <w:strike w:val="1"/>
        </w:rPr>
        <w:t>first day</w:t>
      </w:r>
      <w:r>
        <w:rPr>
          <w:rFonts w:ascii="Arial" w:cs="Arial" w:eastAsia="Arial" w:hAnsi="Arial"/>
          <w:sz w:val="18"/>
          <w:szCs w:val="18"/>
          <w:u w:val="single" w:color="auto"/>
          <w:color w:val="0000FF"/>
        </w:rPr>
        <w:t>commencement</w:t>
      </w:r>
      <w:r>
        <w:rPr>
          <w:rFonts w:ascii="Arial" w:cs="Arial" w:eastAsia="Arial" w:hAnsi="Arial"/>
          <w:sz w:val="18"/>
          <w:szCs w:val="18"/>
          <w:color w:val="FF0000"/>
        </w:rPr>
        <w:t xml:space="preserve"> </w:t>
      </w:r>
      <w:r>
        <w:rPr>
          <w:rFonts w:ascii="Arial" w:cs="Arial" w:eastAsia="Arial" w:hAnsi="Arial"/>
          <w:sz w:val="18"/>
          <w:szCs w:val="18"/>
          <w:color w:val="000000"/>
        </w:rPr>
        <w:t>of any Interest Period</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for a Eurocurrency Borrowing</w:t>
      </w:r>
      <w:r>
        <w:rPr>
          <w:rFonts w:ascii="Arial" w:cs="Arial" w:eastAsia="Arial" w:hAnsi="Arial"/>
          <w:sz w:val="18"/>
          <w:szCs w:val="18"/>
          <w:color w:val="000000"/>
        </w:rPr>
        <w:t>:</w:t>
      </w:r>
    </w:p>
    <w:p>
      <w:pPr>
        <w:spacing w:after="0" w:line="63" w:lineRule="exact"/>
        <w:rPr>
          <w:sz w:val="20"/>
          <w:szCs w:val="20"/>
          <w:color w:val="auto"/>
        </w:rPr>
      </w:pPr>
    </w:p>
    <w:p>
      <w:pPr>
        <w:ind w:left="1000" w:right="100" w:firstLine="398"/>
        <w:spacing w:after="0" w:line="256" w:lineRule="auto"/>
        <w:tabs>
          <w:tab w:leader="none" w:pos="1749"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determined (which determination shall be conclusive and binding upon the </w:t>
      </w:r>
      <w:r>
        <w:rPr>
          <w:rFonts w:ascii="Arial" w:cs="Arial" w:eastAsia="Arial" w:hAnsi="Arial"/>
          <w:sz w:val="18"/>
          <w:szCs w:val="18"/>
          <w:color w:val="FF0000"/>
          <w:strike w:val="1"/>
        </w:rPr>
        <w:t>Company or</w:t>
      </w:r>
      <w:r>
        <w:rPr>
          <w:rFonts w:ascii="Arial" w:cs="Arial" w:eastAsia="Arial" w:hAnsi="Arial"/>
          <w:sz w:val="18"/>
          <w:szCs w:val="18"/>
          <w:color w:val="auto"/>
        </w:rPr>
        <w:t xml:space="preserve"> </w:t>
      </w:r>
      <w:r>
        <w:rPr>
          <w:rFonts w:ascii="Arial" w:cs="Arial" w:eastAsia="Arial" w:hAnsi="Arial"/>
          <w:sz w:val="18"/>
          <w:szCs w:val="18"/>
          <w:color w:val="FF0000"/>
          <w:strike w:val="1"/>
        </w:rPr>
        <w:t>relevant Subsidiary</w:t>
      </w:r>
      <w:r>
        <w:rPr>
          <w:rFonts w:ascii="Arial" w:cs="Arial" w:eastAsia="Arial" w:hAnsi="Arial"/>
          <w:sz w:val="18"/>
          <w:szCs w:val="18"/>
          <w:color w:val="FF0000"/>
        </w:rPr>
        <w:t xml:space="preserve"> </w:t>
      </w:r>
      <w:r>
        <w:rPr>
          <w:rFonts w:ascii="Arial" w:cs="Arial" w:eastAsia="Arial" w:hAnsi="Arial"/>
          <w:sz w:val="18"/>
          <w:szCs w:val="18"/>
          <w:color w:val="000000"/>
        </w:rPr>
        <w:t>Borrower) that</w:t>
      </w:r>
      <w:r>
        <w:rPr>
          <w:rFonts w:ascii="Arial" w:cs="Arial" w:eastAsia="Arial" w:hAnsi="Arial"/>
          <w:sz w:val="18"/>
          <w:szCs w:val="18"/>
          <w:color w:val="FF0000"/>
          <w:strike w:val="1"/>
        </w:rPr>
        <w:t>, by reason of circumstances affecting the relevant market,</w:t>
      </w:r>
      <w:r>
        <w:rPr>
          <w:rFonts w:ascii="Arial" w:cs="Arial" w:eastAsia="Arial" w:hAnsi="Arial"/>
          <w:sz w:val="18"/>
          <w:szCs w:val="18"/>
          <w:color w:val="FF0000"/>
        </w:rPr>
        <w:t xml:space="preserve"> </w:t>
      </w:r>
      <w:r>
        <w:rPr>
          <w:rFonts w:ascii="Arial" w:cs="Arial" w:eastAsia="Arial" w:hAnsi="Arial"/>
          <w:sz w:val="18"/>
          <w:szCs w:val="18"/>
          <w:color w:val="000000"/>
        </w:rPr>
        <w:t>adequate and reasonable means do not exist</w:t>
      </w:r>
      <w:r>
        <w:rPr>
          <w:rFonts w:ascii="Arial" w:cs="Arial" w:eastAsia="Arial" w:hAnsi="Arial"/>
          <w:sz w:val="18"/>
          <w:szCs w:val="18"/>
          <w:color w:val="FF0000"/>
        </w:rPr>
        <w:t xml:space="preserve"> </w:t>
      </w:r>
      <w:r>
        <w:rPr>
          <w:rFonts w:ascii="Arial" w:cs="Arial" w:eastAsia="Arial" w:hAnsi="Arial"/>
          <w:sz w:val="18"/>
          <w:szCs w:val="18"/>
          <w:color w:val="000000"/>
        </w:rPr>
        <w:t xml:space="preserve">for ascertaining the Eurocurrency Rate </w:t>
      </w:r>
      <w:r>
        <w:rPr>
          <w:rFonts w:ascii="Arial" w:cs="Arial" w:eastAsia="Arial" w:hAnsi="Arial"/>
          <w:sz w:val="18"/>
          <w:szCs w:val="18"/>
          <w:color w:val="FF0000"/>
        </w:rPr>
        <w:t>for</w:t>
      </w:r>
      <w:r>
        <w:rPr>
          <w:rFonts w:ascii="Arial" w:cs="Arial" w:eastAsia="Arial" w:hAnsi="Arial"/>
          <w:sz w:val="18"/>
          <w:szCs w:val="18"/>
          <w:u w:val="single" w:color="auto"/>
          <w:color w:val="0000FF"/>
        </w:rPr>
        <w:t>, the Eurocurrency Base Rate, the Adjusted EURIBOR Rate, the EURIBOR Rate, the Adjusted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TIBOR Rate or the TIBOR Rate, as applicable (including because the LIBO Screen Rate is not available or published on a current basis), for the applicable Currency and</w:t>
      </w:r>
      <w:r>
        <w:rPr>
          <w:rFonts w:ascii="Arial" w:cs="Arial" w:eastAsia="Arial" w:hAnsi="Arial"/>
          <w:sz w:val="18"/>
          <w:szCs w:val="18"/>
          <w:color w:val="0000FF"/>
        </w:rPr>
        <w:t xml:space="preserve"> </w:t>
      </w:r>
      <w:r>
        <w:rPr>
          <w:rFonts w:ascii="Arial" w:cs="Arial" w:eastAsia="Arial" w:hAnsi="Arial"/>
          <w:sz w:val="18"/>
          <w:szCs w:val="18"/>
          <w:color w:val="000000"/>
        </w:rPr>
        <w:t>such Interest Period;</w:t>
      </w:r>
    </w:p>
    <w:p>
      <w:pPr>
        <w:spacing w:after="0" w:line="81" w:lineRule="exact"/>
        <w:rPr>
          <w:rFonts w:ascii="Arial" w:cs="Arial" w:eastAsia="Arial" w:hAnsi="Arial"/>
          <w:sz w:val="18"/>
          <w:szCs w:val="18"/>
          <w:color w:val="auto"/>
        </w:rPr>
      </w:pPr>
    </w:p>
    <w:p>
      <w:pPr>
        <w:ind w:left="1000" w:right="80" w:firstLine="398"/>
        <w:spacing w:after="0" w:line="263" w:lineRule="auto"/>
        <w:tabs>
          <w:tab w:leader="none" w:pos="1799"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color w:val="FF0000"/>
          <w:strike w:val="1"/>
        </w:rPr>
        <w:t>shall have received notice from the Majority Facility Lenders in respect of such Facility</w:t>
      </w:r>
      <w:r>
        <w:rPr>
          <w:rFonts w:ascii="Arial" w:cs="Arial" w:eastAsia="Arial" w:hAnsi="Arial"/>
          <w:sz w:val="18"/>
          <w:szCs w:val="18"/>
          <w:u w:val="single" w:color="auto"/>
          <w:color w:val="0000FF"/>
        </w:rPr>
        <w:t>is advised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Required Lenders (or, in the case of a Eurocurrency Competitive Loan, the Lender that is required to make such Loan)</w:t>
      </w:r>
      <w:r>
        <w:rPr>
          <w:rFonts w:ascii="Arial" w:cs="Arial" w:eastAsia="Arial" w:hAnsi="Arial"/>
          <w:sz w:val="18"/>
          <w:szCs w:val="18"/>
          <w:color w:val="0000FF"/>
        </w:rPr>
        <w:t xml:space="preserve"> </w:t>
      </w:r>
      <w:r>
        <w:rPr>
          <w:rFonts w:ascii="Arial" w:cs="Arial" w:eastAsia="Arial" w:hAnsi="Arial"/>
          <w:sz w:val="18"/>
          <w:szCs w:val="18"/>
          <w:color w:val="000000"/>
        </w:rPr>
        <w:t>that the</w:t>
      </w:r>
      <w:r>
        <w:rPr>
          <w:rFonts w:ascii="Arial" w:cs="Arial" w:eastAsia="Arial" w:hAnsi="Arial"/>
          <w:sz w:val="18"/>
          <w:szCs w:val="18"/>
          <w:color w:val="0000FF"/>
        </w:rPr>
        <w:t xml:space="preserve"> </w:t>
      </w:r>
      <w:r>
        <w:rPr>
          <w:rFonts w:ascii="Arial" w:cs="Arial" w:eastAsia="Arial" w:hAnsi="Arial"/>
          <w:sz w:val="18"/>
          <w:szCs w:val="18"/>
          <w:color w:val="000000"/>
        </w:rPr>
        <w:t xml:space="preserve">Eurocurrency Rate </w:t>
      </w:r>
      <w:r>
        <w:rPr>
          <w:rFonts w:ascii="Arial" w:cs="Arial" w:eastAsia="Arial" w:hAnsi="Arial"/>
          <w:sz w:val="18"/>
          <w:szCs w:val="18"/>
          <w:color w:val="FF0000"/>
          <w:strike w:val="1"/>
        </w:rPr>
        <w:t>determined or to be determined for</w:t>
      </w:r>
      <w:r>
        <w:rPr>
          <w:rFonts w:ascii="Arial" w:cs="Arial" w:eastAsia="Arial" w:hAnsi="Arial"/>
          <w:sz w:val="18"/>
          <w:szCs w:val="18"/>
          <w:u w:val="single" w:color="auto"/>
          <w:color w:val="0000FF"/>
        </w:rPr>
        <w:t>, the Eurocurrency Base Rate,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-833120</wp:posOffset>
            </wp:positionV>
            <wp:extent cx="1612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4" w:right="479" w:bottom="1440" w:gutter="0" w:footer="0" w:header="0"/>
        </w:sectPr>
      </w:pPr>
    </w:p>
    <w:bookmarkStart w:id="547" w:name="page548"/>
    <w:bookmarkEnd w:id="547"/>
    <w:p>
      <w:pPr>
        <w:ind w:left="1000" w:right="160"/>
        <w:spacing w:after="0" w:line="258"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EURIBOR Rate, the EURIBOR Rate, the Adjusted TIBOR Rate or the TIBOR Rate, as applicable, for the applicable Currency and</w:t>
      </w:r>
      <w:r>
        <w:rPr>
          <w:rFonts w:ascii="Arial" w:cs="Arial" w:eastAsia="Arial" w:hAnsi="Arial"/>
          <w:sz w:val="18"/>
          <w:szCs w:val="18"/>
          <w:color w:val="0000FF"/>
        </w:rPr>
        <w:t xml:space="preserve"> </w:t>
      </w:r>
      <w:r>
        <w:rPr>
          <w:rFonts w:ascii="Arial" w:cs="Arial" w:eastAsia="Arial" w:hAnsi="Arial"/>
          <w:sz w:val="18"/>
          <w:szCs w:val="18"/>
          <w:color w:val="000000"/>
        </w:rPr>
        <w:t>such Interest Period will not adequately and fairly reflect the cost to such Lenders (</w:t>
      </w:r>
      <w:r>
        <w:rPr>
          <w:rFonts w:ascii="Arial" w:cs="Arial" w:eastAsia="Arial" w:hAnsi="Arial"/>
          <w:sz w:val="18"/>
          <w:szCs w:val="18"/>
          <w:color w:val="FF0000"/>
          <w:strike w:val="1"/>
        </w:rPr>
        <w:t>as conclusively certified by such</w:t>
      </w:r>
      <w:r>
        <w:rPr>
          <w:rFonts w:ascii="Arial" w:cs="Arial" w:eastAsia="Arial" w:hAnsi="Arial"/>
          <w:sz w:val="18"/>
          <w:szCs w:val="18"/>
          <w:u w:val="single" w:color="auto"/>
          <w:color w:val="0000FF"/>
        </w:rPr>
        <w:t>or</w:t>
      </w:r>
      <w:r>
        <w:rPr>
          <w:rFonts w:ascii="Arial" w:cs="Arial" w:eastAsia="Arial" w:hAnsi="Arial"/>
          <w:sz w:val="18"/>
          <w:szCs w:val="18"/>
          <w:color w:val="0000FF"/>
        </w:rPr>
        <w:t xml:space="preserve"> </w:t>
      </w:r>
      <w:r>
        <w:rPr>
          <w:rFonts w:ascii="Arial" w:cs="Arial" w:eastAsia="Arial" w:hAnsi="Arial"/>
          <w:sz w:val="18"/>
          <w:szCs w:val="18"/>
          <w:color w:val="000000"/>
        </w:rPr>
        <w:t>Lender</w:t>
      </w:r>
      <w:r>
        <w:rPr>
          <w:rFonts w:ascii="Arial" w:cs="Arial" w:eastAsia="Arial" w:hAnsi="Arial"/>
          <w:sz w:val="18"/>
          <w:szCs w:val="18"/>
          <w:color w:val="FF0000"/>
          <w:strike w:val="1"/>
        </w:rPr>
        <w:t>s</w:t>
      </w:r>
      <w:r>
        <w:rPr>
          <w:rFonts w:ascii="Arial" w:cs="Arial" w:eastAsia="Arial" w:hAnsi="Arial"/>
          <w:sz w:val="18"/>
          <w:szCs w:val="18"/>
          <w:color w:val="000000"/>
        </w:rPr>
        <w:t>) of</w:t>
      </w:r>
      <w:r>
        <w:rPr>
          <w:rFonts w:ascii="Arial" w:cs="Arial" w:eastAsia="Arial" w:hAnsi="Arial"/>
          <w:sz w:val="18"/>
          <w:szCs w:val="18"/>
          <w:color w:val="0000FF"/>
        </w:rPr>
        <w:t xml:space="preserve"> </w:t>
      </w:r>
      <w:r>
        <w:rPr>
          <w:rFonts w:ascii="Arial" w:cs="Arial" w:eastAsia="Arial" w:hAnsi="Arial"/>
          <w:sz w:val="18"/>
          <w:szCs w:val="18"/>
          <w:color w:val="000000"/>
        </w:rPr>
        <w:t xml:space="preserve">making or maintaining their </w:t>
      </w:r>
      <w:r>
        <w:rPr>
          <w:rFonts w:ascii="Arial" w:cs="Arial" w:eastAsia="Arial" w:hAnsi="Arial"/>
          <w:sz w:val="18"/>
          <w:szCs w:val="18"/>
          <w:color w:val="FF0000"/>
          <w:strike w:val="1"/>
        </w:rPr>
        <w:t>affected</w:t>
      </w:r>
      <w:r>
        <w:rPr>
          <w:rFonts w:ascii="Arial" w:cs="Arial" w:eastAsia="Arial" w:hAnsi="Arial"/>
          <w:sz w:val="18"/>
          <w:szCs w:val="18"/>
          <w:color w:val="000000"/>
        </w:rPr>
        <w:t xml:space="preserve"> Loans </w:t>
      </w:r>
      <w:r>
        <w:rPr>
          <w:rFonts w:ascii="Arial" w:cs="Arial" w:eastAsia="Arial" w:hAnsi="Arial"/>
          <w:sz w:val="18"/>
          <w:szCs w:val="18"/>
          <w:color w:val="FF0000"/>
          <w:strike w:val="1"/>
        </w:rPr>
        <w:t>during</w:t>
      </w:r>
      <w:r>
        <w:rPr>
          <w:rFonts w:ascii="Arial" w:cs="Arial" w:eastAsia="Arial" w:hAnsi="Arial"/>
          <w:sz w:val="18"/>
          <w:szCs w:val="18"/>
          <w:u w:val="single" w:color="auto"/>
          <w:color w:val="0000FF"/>
        </w:rPr>
        <w:t>(or its Loan) included in such Borrowing for the applicable Currency and</w:t>
      </w:r>
      <w:r>
        <w:rPr>
          <w:rFonts w:ascii="Arial" w:cs="Arial" w:eastAsia="Arial" w:hAnsi="Arial"/>
          <w:sz w:val="18"/>
          <w:szCs w:val="18"/>
          <w:color w:val="000000"/>
        </w:rPr>
        <w:t xml:space="preserve"> such Interest Period; or</w:t>
      </w:r>
    </w:p>
    <w:p>
      <w:pPr>
        <w:spacing w:after="0" w:line="187" w:lineRule="exact"/>
        <w:rPr>
          <w:sz w:val="20"/>
          <w:szCs w:val="20"/>
          <w:color w:val="auto"/>
        </w:rPr>
      </w:pPr>
    </w:p>
    <w:p>
      <w:pPr>
        <w:jc w:val="both"/>
        <w:ind w:left="1000" w:right="80" w:firstLine="398"/>
        <w:spacing w:after="0" w:line="285" w:lineRule="auto"/>
        <w:tabs>
          <w:tab w:leader="none" w:pos="1849"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the Administrative Agent determines (which determination shall be conclusive and binding upon the </w:t>
      </w:r>
      <w:r>
        <w:rPr>
          <w:rFonts w:ascii="Arial" w:cs="Arial" w:eastAsia="Arial" w:hAnsi="Arial"/>
          <w:sz w:val="17"/>
          <w:szCs w:val="17"/>
          <w:color w:val="FF0000"/>
          <w:strike w:val="1"/>
        </w:rPr>
        <w:t>Company or the relevant</w:t>
      </w:r>
      <w:r>
        <w:rPr>
          <w:rFonts w:ascii="Arial" w:cs="Arial" w:eastAsia="Arial" w:hAnsi="Arial"/>
          <w:sz w:val="17"/>
          <w:szCs w:val="17"/>
          <w:color w:val="auto"/>
        </w:rPr>
        <w:t xml:space="preserve"> </w:t>
      </w:r>
      <w:r>
        <w:rPr>
          <w:rFonts w:ascii="Arial" w:cs="Arial" w:eastAsia="Arial" w:hAnsi="Arial"/>
          <w:sz w:val="17"/>
          <w:szCs w:val="17"/>
          <w:color w:val="FF0000"/>
          <w:strike w:val="1"/>
        </w:rPr>
        <w:t>Subsidiary</w:t>
      </w:r>
      <w:r>
        <w:rPr>
          <w:rFonts w:ascii="Arial" w:cs="Arial" w:eastAsia="Arial" w:hAnsi="Arial"/>
          <w:sz w:val="17"/>
          <w:szCs w:val="17"/>
          <w:color w:val="FF0000"/>
        </w:rPr>
        <w:t xml:space="preserve"> </w:t>
      </w:r>
      <w:r>
        <w:rPr>
          <w:rFonts w:ascii="Arial" w:cs="Arial" w:eastAsia="Arial" w:hAnsi="Arial"/>
          <w:sz w:val="17"/>
          <w:szCs w:val="17"/>
          <w:color w:val="000000"/>
        </w:rPr>
        <w:t>Borrower) that deposits in the applicable Currency are not generally available in the applicable market (any Optional Currency</w:t>
      </w:r>
      <w:r>
        <w:rPr>
          <w:rFonts w:ascii="Arial" w:cs="Arial" w:eastAsia="Arial" w:hAnsi="Arial"/>
          <w:sz w:val="17"/>
          <w:szCs w:val="17"/>
          <w:color w:val="FF0000"/>
        </w:rPr>
        <w:t xml:space="preserve"> </w:t>
      </w:r>
      <w:r>
        <w:rPr>
          <w:rFonts w:ascii="Arial" w:cs="Arial" w:eastAsia="Arial" w:hAnsi="Arial"/>
          <w:sz w:val="17"/>
          <w:szCs w:val="17"/>
          <w:color w:val="000000"/>
        </w:rPr>
        <w:t>affected by the circumstances described in clause (i), (ii) or (iii) is referred to as an “</w:t>
      </w:r>
      <w:r>
        <w:rPr>
          <w:rFonts w:ascii="Arial" w:cs="Arial" w:eastAsia="Arial" w:hAnsi="Arial"/>
          <w:sz w:val="17"/>
          <w:szCs w:val="17"/>
          <w:u w:val="single" w:color="auto"/>
          <w:color w:val="000000"/>
        </w:rPr>
        <w:t>Affected Foreign Currency</w:t>
      </w:r>
      <w:r>
        <w:rPr>
          <w:rFonts w:ascii="Arial" w:cs="Arial" w:eastAsia="Arial" w:hAnsi="Arial"/>
          <w:sz w:val="17"/>
          <w:szCs w:val="17"/>
          <w:color w:val="000000"/>
        </w:rPr>
        <w:t>”);</w:t>
      </w:r>
    </w:p>
    <w:p>
      <w:pPr>
        <w:spacing w:after="0" w:line="166" w:lineRule="exact"/>
        <w:rPr>
          <w:sz w:val="20"/>
          <w:szCs w:val="20"/>
          <w:color w:val="auto"/>
        </w:rPr>
      </w:pPr>
    </w:p>
    <w:p>
      <w:pPr>
        <w:ind w:right="500"/>
        <w:spacing w:after="0" w:line="290" w:lineRule="auto"/>
        <w:rPr>
          <w:sz w:val="20"/>
          <w:szCs w:val="20"/>
          <w:color w:val="auto"/>
        </w:rPr>
      </w:pPr>
      <w:r>
        <w:rPr>
          <w:rFonts w:ascii="Arial" w:cs="Arial" w:eastAsia="Arial" w:hAnsi="Arial"/>
          <w:sz w:val="16"/>
          <w:szCs w:val="16"/>
          <w:u w:val="single" w:color="auto"/>
          <w:color w:val="0000FF"/>
        </w:rPr>
        <w:t>then</w:t>
      </w:r>
      <w:r>
        <w:rPr>
          <w:rFonts w:ascii="Arial" w:cs="Arial" w:eastAsia="Arial" w:hAnsi="Arial"/>
          <w:sz w:val="16"/>
          <w:szCs w:val="16"/>
          <w:color w:val="0000FF"/>
        </w:rPr>
        <w:t xml:space="preserve"> </w:t>
      </w:r>
      <w:r>
        <w:rPr>
          <w:rFonts w:ascii="Arial" w:cs="Arial" w:eastAsia="Arial" w:hAnsi="Arial"/>
          <w:sz w:val="16"/>
          <w:szCs w:val="16"/>
          <w:color w:val="000000"/>
        </w:rPr>
        <w:t>the Administrative Agent shall give notice thereof to the Company and any relevant Subsidiary Borrower and the relevant Lenders</w:t>
      </w:r>
      <w:r>
        <w:rPr>
          <w:rFonts w:ascii="Arial" w:cs="Arial" w:eastAsia="Arial" w:hAnsi="Arial"/>
          <w:sz w:val="16"/>
          <w:szCs w:val="16"/>
          <w:color w:val="0000FF"/>
        </w:rPr>
        <w:t xml:space="preserve"> </w:t>
      </w:r>
      <w:r>
        <w:rPr>
          <w:rFonts w:ascii="Arial" w:cs="Arial" w:eastAsia="Arial" w:hAnsi="Arial"/>
          <w:sz w:val="16"/>
          <w:szCs w:val="16"/>
          <w:color w:val="FF0000"/>
          <w:strike w:val="1"/>
        </w:rPr>
        <w:t>as soon</w:t>
      </w:r>
      <w:r>
        <w:rPr>
          <w:rFonts w:ascii="Arial" w:cs="Arial" w:eastAsia="Arial" w:hAnsi="Arial"/>
          <w:sz w:val="16"/>
          <w:szCs w:val="16"/>
          <w:u w:val="single" w:color="auto"/>
          <w:color w:val="0000FF"/>
        </w:rPr>
        <w:t>by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telephone, telecopy or electronic mail as promptly</w:t>
      </w:r>
      <w:r>
        <w:rPr>
          <w:rFonts w:ascii="Arial" w:cs="Arial" w:eastAsia="Arial" w:hAnsi="Arial"/>
          <w:sz w:val="16"/>
          <w:szCs w:val="16"/>
          <w:color w:val="0000FF"/>
        </w:rPr>
        <w:t xml:space="preserve"> </w:t>
      </w:r>
      <w:r>
        <w:rPr>
          <w:rFonts w:ascii="Arial" w:cs="Arial" w:eastAsia="Arial" w:hAnsi="Arial"/>
          <w:sz w:val="16"/>
          <w:szCs w:val="16"/>
          <w:color w:val="000000"/>
        </w:rPr>
        <w:t>as practicable thereafter</w:t>
      </w:r>
      <w:r>
        <w:rPr>
          <w:rFonts w:ascii="Arial" w:cs="Arial" w:eastAsia="Arial" w:hAnsi="Arial"/>
          <w:sz w:val="16"/>
          <w:szCs w:val="16"/>
          <w:color w:val="FF0000"/>
          <w:strike w:val="1"/>
        </w:rPr>
        <w:t>. If any such notice is given (A) pursuant to clause (i) or (ii) of this</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6"/>
          <w:szCs w:val="16"/>
          <w:color w:val="FF0000"/>
          <w:strike w:val="1"/>
        </w:rPr>
        <w:t>Section 2.16(a) in respect of Eurocurrency Loans denominated in Dollars, then thereafter (and</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and,</w:t>
      </w:r>
      <w:r>
        <w:rPr>
          <w:rFonts w:ascii="Arial" w:cs="Arial" w:eastAsia="Arial" w:hAnsi="Arial"/>
          <w:sz w:val="16"/>
          <w:szCs w:val="16"/>
          <w:color w:val="FF0000"/>
        </w:rPr>
        <w:t xml:space="preserve"> </w:t>
      </w:r>
      <w:r>
        <w:rPr>
          <w:rFonts w:ascii="Arial" w:cs="Arial" w:eastAsia="Arial" w:hAnsi="Arial"/>
          <w:sz w:val="16"/>
          <w:szCs w:val="16"/>
          <w:color w:val="000000"/>
        </w:rPr>
        <w:t>until the Administrative Agent notifies the Company</w:t>
      </w:r>
      <w:r>
        <w:rPr>
          <w:rFonts w:ascii="Arial" w:cs="Arial" w:eastAsia="Arial" w:hAnsi="Arial"/>
          <w:sz w:val="16"/>
          <w:szCs w:val="16"/>
          <w:color w:val="FF0000"/>
        </w:rPr>
        <w:t xml:space="preserve"> </w:t>
      </w:r>
      <w:r>
        <w:rPr>
          <w:rFonts w:ascii="Arial" w:cs="Arial" w:eastAsia="Arial" w:hAnsi="Arial"/>
          <w:sz w:val="16"/>
          <w:szCs w:val="16"/>
          <w:color w:val="000000"/>
        </w:rPr>
        <w:t>and the Lenders that the circumstances giving rise to such notice no longer exist</w:t>
      </w:r>
      <w:r>
        <w:rPr>
          <w:rFonts w:ascii="Arial" w:cs="Arial" w:eastAsia="Arial" w:hAnsi="Arial"/>
          <w:sz w:val="16"/>
          <w:szCs w:val="16"/>
          <w:color w:val="FF0000"/>
          <w:strike w:val="1"/>
        </w:rPr>
        <w:t>) (such notice to be given promptly upon the Administrative Agent</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w:t>
      </w:r>
      <w:r>
        <w:rPr>
          <w:rFonts w:ascii="Arial" w:cs="Arial" w:eastAsia="Arial" w:hAnsi="Arial"/>
          <w:sz w:val="16"/>
          <w:szCs w:val="16"/>
          <w:color w:val="008000"/>
          <w:strike w:val="1"/>
        </w:rPr>
        <w:t>to Eurocurrency Loans denominated in Dollars</w:t>
      </w:r>
      <w:r>
        <w:rPr>
          <w:rFonts w:ascii="Arial" w:cs="Arial" w:eastAsia="Arial" w:hAnsi="Arial"/>
          <w:sz w:val="16"/>
          <w:szCs w:val="16"/>
          <w:color w:val="FF0000"/>
          <w:strike w:val="1"/>
        </w:rPr>
        <w:t xml:space="preserve"> shall be continued as ABR Loans, (3) any outstanding Eurocurrency Loans denominated in Dollars shall be converted</w:t>
      </w:r>
      <w:r>
        <w:rPr>
          <w:rFonts w:ascii="Arial" w:cs="Arial" w:eastAsia="Arial" w:hAnsi="Arial"/>
          <w:sz w:val="16"/>
          <w:szCs w:val="16"/>
          <w:color w:val="008000"/>
          <w:strike w:val="1"/>
        </w:rPr>
        <w:t>, on the last day of the</w:t>
      </w:r>
      <w:r>
        <w:rPr>
          <w:rFonts w:ascii="Arial" w:cs="Arial" w:eastAsia="Arial" w:hAnsi="Arial"/>
          <w:sz w:val="16"/>
          <w:szCs w:val="16"/>
          <w:color w:val="FF0000"/>
          <w:strike w:val="1"/>
        </w:rPr>
        <w:t xml:space="preserve"> then-current Interest Period, to ABR Loans, (4) any Multicurrency Loans denominated in an Optional Currency requested to be made on the first day of such Interest Period shall not be made and (5) any outstanding Multicurrency Loans denominated in an Optional Currency shall be converted to or be made as Alternate Rate Loans (and any request set forth in such interest rate election </w:t>
      </w:r>
      <w:r>
        <w:rPr>
          <w:rFonts w:ascii="Arial" w:cs="Arial" w:eastAsia="Arial" w:hAnsi="Arial"/>
          <w:sz w:val="16"/>
          <w:szCs w:val="16"/>
          <w:color w:val="008000"/>
          <w:strike w:val="1"/>
        </w:rPr>
        <w:t xml:space="preserve">shall be deemed to be a </w:t>
      </w:r>
      <w:r>
        <w:rPr>
          <w:rFonts w:ascii="Arial" w:cs="Arial" w:eastAsia="Arial" w:hAnsi="Arial"/>
          <w:sz w:val="16"/>
          <w:szCs w:val="16"/>
          <w:color w:val="FF0000"/>
          <w:strike w:val="1"/>
        </w:rPr>
        <w:t>request for such Multicurrency Loans to be converted to or be made as Alternate Rate Loans) and (B) in respect of any</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Multicurrency Loans </w:t>
      </w:r>
      <w:r>
        <w:rPr>
          <w:rFonts w:ascii="Arial" w:cs="Arial" w:eastAsia="Arial" w:hAnsi="Arial"/>
          <w:sz w:val="16"/>
          <w:szCs w:val="16"/>
          <w:color w:val="008000"/>
          <w:strike w:val="1"/>
        </w:rPr>
        <w:t>denominated in an Optional Currency,</w:t>
      </w:r>
      <w:r>
        <w:rPr>
          <w:rFonts w:ascii="Arial" w:cs="Arial" w:eastAsia="Arial" w:hAnsi="Arial"/>
          <w:sz w:val="16"/>
          <w:szCs w:val="16"/>
          <w:color w:val="FF0000"/>
          <w:strike w:val="1"/>
        </w:rPr>
        <w:t xml:space="preserve"> then thereafter (and</w:t>
      </w:r>
      <w:r>
        <w:rPr>
          <w:rFonts w:ascii="Arial" w:cs="Arial" w:eastAsia="Arial" w:hAnsi="Arial"/>
          <w:sz w:val="16"/>
          <w:szCs w:val="16"/>
          <w:u w:val="single" w:color="auto"/>
          <w:color w:val="0000FF"/>
          <w:strike w:val="1"/>
        </w:rPr>
        <w:t>, (A) any Interest Election Request that requests the conversion of any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Borrowing to, or continuation of any Borrowing as, a Eurocurrency Borrowing shall be ineffective, (B) if any Borrowing Request requests a Eurocurrency Borrowing in Dollars, such Borrowing shall be made as an ABR Borrowing, (C) if any Borrowing Request requests a Eurocurrency Borrowing in an Optional Currency, then such request shall be ineffective and (D) any request by the Borrower for a Eurocurrency Competitive Borrowing shall be ineffective; provided that (x) if the circumstances giving rise to such notice do not affect all the Lenders, then requests by the Borrower for Eurocurrency Competitive Borrowings may be made to Lenders that are not affected thereby and (y) if the circumstances giving rise to such notice affect only one Type of Borrowings, then all other Types of Borrowings shall be permitted. Furthermore, if any Eurocurrency Loan in any Currency is outstanding on the date of the Borrower’s receipt of the notice from the Administrative Agent referred to in this Section 2.16(a) with respect to a Relevant Rate applicable to such Eurocurrency Loan, then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until the Administrative Agent notifies the Company and the Lenders that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circumstances giving rise to such notice no longer exist</w:t>
      </w:r>
      <w:r>
        <w:rPr>
          <w:rFonts w:ascii="Arial" w:cs="Arial" w:eastAsia="Arial" w:hAnsi="Arial"/>
          <w:sz w:val="16"/>
          <w:szCs w:val="16"/>
          <w:color w:val="FF0000"/>
          <w:strike w:val="1"/>
        </w:rPr>
        <w:t>) (such notice to be given promptly upon the Administrative Agent becoming aware of such</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change in circumstances) if such notice is given pursuant to clause (iii) above, any Multicurrency Loans in an Affected Foreign Currency requested to be made on the first day of such Interest Period shall not be made. </w:t>
      </w:r>
      <w:r>
        <w:rPr>
          <w:rFonts w:ascii="Arial" w:cs="Arial" w:eastAsia="Arial" w:hAnsi="Arial"/>
          <w:sz w:val="16"/>
          <w:szCs w:val="16"/>
          <w:u w:val="single" w:color="auto"/>
          <w:color w:val="0000FF"/>
          <w:strike w:val="1"/>
        </w:rPr>
        <w:t>, (i) if such Eurocurrency Loan is denominated in dollars, then on the last day of the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Currency (other than Dollars), then such Loan shall</w:t>
      </w:r>
      <w:r>
        <w:rPr>
          <w:rFonts w:ascii="Arial" w:cs="Arial" w:eastAsia="Arial" w:hAnsi="Arial"/>
          <w:sz w:val="16"/>
          <w:szCs w:val="16"/>
          <w:u w:val="single" w:color="auto"/>
          <w:color w:val="008000"/>
          <w:strike w:val="1"/>
        </w:rPr>
        <w:t>, on the last day of the</w:t>
      </w:r>
      <w:r>
        <w:rPr>
          <w:rFonts w:ascii="Arial" w:cs="Arial" w:eastAsia="Arial" w:hAnsi="Arial"/>
          <w:sz w:val="16"/>
          <w:szCs w:val="16"/>
          <w:u w:val="single" w:color="auto"/>
          <w:color w:val="0000FF"/>
          <w:strike w:val="1"/>
        </w:rPr>
        <w:t xml:space="preserve"> Interest Period applicable to such Loan (or the next succeeding Business Day if such day is not a Business Day), at the Borrower’s election prior to such day: (A) be prepaid by the Borrower on such day or (B) solely for the purpose of calculating the interest rate applicable to such Eurocurrency Loan, such Eurocurrency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-2815590</wp:posOffset>
            </wp:positionV>
            <wp:extent cx="219964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3" w:right="459" w:bottom="1440" w:gutter="0" w:footer="0" w:header="0"/>
        </w:sectPr>
      </w:pPr>
    </w:p>
    <w:bookmarkStart w:id="548" w:name="page549"/>
    <w:bookmarkEnd w:id="548"/>
    <w:p>
      <w:pPr>
        <w:ind w:right="80"/>
        <w:spacing w:after="0" w:line="276"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denominated in any Optional Currency </w:t>
      </w:r>
      <w:r>
        <w:rPr>
          <w:rFonts w:ascii="Arial" w:cs="Arial" w:eastAsia="Arial" w:hAnsi="Arial"/>
          <w:sz w:val="18"/>
          <w:szCs w:val="18"/>
          <w:u w:val="single" w:color="auto"/>
          <w:color w:val="008000"/>
        </w:rPr>
        <w:t>shall be deemed to be a</w:t>
      </w:r>
      <w:r>
        <w:rPr>
          <w:rFonts w:ascii="Arial" w:cs="Arial" w:eastAsia="Arial" w:hAnsi="Arial"/>
          <w:sz w:val="18"/>
          <w:szCs w:val="18"/>
          <w:u w:val="single" w:color="auto"/>
          <w:color w:val="0000FF"/>
        </w:rPr>
        <w:t xml:space="preserve"> Eurocurrency Loan denominated in Dollars and shall accrue interest at the same interest rate applicable to Eurocurrency Loans denominated in Dollars at such time.</w:t>
      </w:r>
    </w:p>
    <w:p>
      <w:pPr>
        <w:spacing w:after="0" w:line="170" w:lineRule="exact"/>
        <w:rPr>
          <w:sz w:val="20"/>
          <w:szCs w:val="20"/>
          <w:color w:val="auto"/>
        </w:rPr>
      </w:pPr>
    </w:p>
    <w:p>
      <w:pPr>
        <w:ind w:firstLine="998"/>
        <w:spacing w:after="0" w:line="283" w:lineRule="auto"/>
        <w:tabs>
          <w:tab w:leader="none" w:pos="1423" w:val="left"/>
        </w:tabs>
        <w:numPr>
          <w:ilvl w:val="1"/>
          <w:numId w:val="464"/>
        </w:numPr>
        <w:rPr>
          <w:rFonts w:ascii="Arial" w:cs="Arial" w:eastAsia="Arial" w:hAnsi="Arial"/>
          <w:sz w:val="16"/>
          <w:szCs w:val="16"/>
          <w:color w:val="FF0000"/>
          <w:strike w:val="1"/>
        </w:rPr>
      </w:pPr>
      <w:r>
        <w:rPr>
          <w:rFonts w:ascii="Arial" w:cs="Arial" w:eastAsia="Arial" w:hAnsi="Arial"/>
          <w:sz w:val="16"/>
          <w:szCs w:val="16"/>
          <w:color w:val="FF0000"/>
          <w:strike w:val="1"/>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w:t>
      </w:r>
    </w:p>
    <w:p>
      <w:pPr>
        <w:spacing w:after="0" w:line="2" w:lineRule="exact"/>
        <w:rPr>
          <w:rFonts w:ascii="Arial" w:cs="Arial" w:eastAsia="Arial" w:hAnsi="Arial"/>
          <w:sz w:val="16"/>
          <w:szCs w:val="16"/>
          <w:color w:val="FF0000"/>
          <w:strike w:val="1"/>
        </w:rPr>
      </w:pPr>
    </w:p>
    <w:p>
      <w:pPr>
        <w:ind w:right="60" w:firstLine="9"/>
        <w:spacing w:after="0" w:line="252" w:lineRule="auto"/>
        <w:tabs>
          <w:tab w:leader="none" w:pos="314" w:val="left"/>
        </w:tabs>
        <w:numPr>
          <w:ilvl w:val="0"/>
          <w:numId w:val="465"/>
        </w:numPr>
        <w:rPr>
          <w:rFonts w:ascii="Arial" w:cs="Arial" w:eastAsia="Arial" w:hAnsi="Arial"/>
          <w:sz w:val="18"/>
          <w:szCs w:val="18"/>
          <w:color w:val="FF0000"/>
          <w:strike w:val="1"/>
        </w:rPr>
      </w:pPr>
      <w:r>
        <w:rPr>
          <w:rFonts w:ascii="Arial" w:cs="Arial" w:eastAsia="Arial" w:hAnsi="Arial"/>
          <w:sz w:val="18"/>
          <w:szCs w:val="18"/>
          <w:color w:val="FF0000"/>
          <w:strike w:val="1"/>
        </w:rPr>
        <w:t>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2.20.</w:t>
      </w:r>
    </w:p>
    <w:p>
      <w:pPr>
        <w:spacing w:after="0" w:line="191" w:lineRule="exact"/>
        <w:rPr>
          <w:rFonts w:ascii="Arial" w:cs="Arial" w:eastAsia="Arial" w:hAnsi="Arial"/>
          <w:sz w:val="18"/>
          <w:szCs w:val="18"/>
          <w:color w:val="FF0000"/>
          <w:strike w:val="1"/>
        </w:rPr>
      </w:pPr>
    </w:p>
    <w:p>
      <w:pPr>
        <w:ind w:right="340" w:firstLine="998"/>
        <w:spacing w:after="0" w:line="290" w:lineRule="auto"/>
        <w:tabs>
          <w:tab w:leader="none" w:pos="1412" w:val="left"/>
        </w:tabs>
        <w:numPr>
          <w:ilvl w:val="1"/>
          <w:numId w:val="465"/>
        </w:numPr>
        <w:rPr>
          <w:rFonts w:ascii="Arial" w:cs="Arial" w:eastAsia="Arial" w:hAnsi="Arial"/>
          <w:sz w:val="16"/>
          <w:szCs w:val="16"/>
          <w:color w:val="FF0000"/>
          <w:strike w:val="1"/>
        </w:rPr>
      </w:pPr>
      <w:r>
        <w:rPr>
          <w:rFonts w:ascii="Arial" w:cs="Arial" w:eastAsia="Arial" w:hAnsi="Arial"/>
          <w:sz w:val="16"/>
          <w:szCs w:val="16"/>
          <w:color w:val="FF0000"/>
          <w:strike w:val="1"/>
        </w:rPr>
        <w:t>If at any time the Administrative Agent determines (which determination shall be conclusive and binding upon the Company or relevant Subsidiary Borrower) that (i) the circumstances set forth in clause (a)(i) have arisen and such circumstances are unlikely to be temporary or</w:t>
      </w:r>
    </w:p>
    <w:p>
      <w:pPr>
        <w:ind w:firstLine="9"/>
        <w:spacing w:after="0" w:line="281" w:lineRule="auto"/>
        <w:tabs>
          <w:tab w:leader="none" w:pos="264" w:val="left"/>
        </w:tabs>
        <w:numPr>
          <w:ilvl w:val="0"/>
          <w:numId w:val="466"/>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circumstances set forth in clause (a)(i) have not arisen but the supervisor for the administrator of the Screen Rate or a Governmental Authority having jurisdiction over the Administrative Agent has made a public statement identifying a specific date after which the Screen Rate for the applicable Currency shall no longer be used for determining interest rates for loans, then the Administrative Agent and the Company shall use their commercially reasonable efforts to endeavor to promptly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changes will not include a reduction in the Applicable Margin).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Majority Facility Lenders in respect of each Facility stating that such Majority Facility Lenders object to such amendment;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that, if such alternate rate of interest shall be less than zero, such rate shall be deemed to be zero for the purposes of this Agreement. Until an alternate rate of interest shall be determined in accordance with this clause (c) (but, only to the extent the Screen Rate for the applicable Currency and such Interest Period is not available or published at such time on a current basis), (A) any notice that requests the conversion of any Loans to, or continuation of any Loans as, Eurocurrency Loans shall be ineffective, (B) if any Borrowing Request requests a Eurocurrency Loan, such Loan shall be made as an ABR Loan and</w:t>
      </w:r>
    </w:p>
    <w:p>
      <w:pPr>
        <w:spacing w:after="0" w:line="1" w:lineRule="exact"/>
        <w:rPr>
          <w:rFonts w:ascii="Arial" w:cs="Arial" w:eastAsia="Arial" w:hAnsi="Arial"/>
          <w:sz w:val="16"/>
          <w:szCs w:val="16"/>
          <w:color w:val="FF0000"/>
          <w:strike w:val="1"/>
        </w:rPr>
      </w:pPr>
    </w:p>
    <w:p>
      <w:pPr>
        <w:spacing w:after="0"/>
        <w:rPr>
          <w:rFonts w:ascii="Arial" w:cs="Arial" w:eastAsia="Arial" w:hAnsi="Arial"/>
          <w:sz w:val="16"/>
          <w:szCs w:val="16"/>
          <w:color w:val="FF0000"/>
          <w:strike w:val="1"/>
        </w:rPr>
      </w:pPr>
      <w:r>
        <w:rPr>
          <w:rFonts w:ascii="Arial" w:cs="Arial" w:eastAsia="Arial" w:hAnsi="Arial"/>
          <w:sz w:val="18"/>
          <w:szCs w:val="18"/>
          <w:color w:val="FF0000"/>
          <w:strike w:val="1"/>
        </w:rPr>
        <w:t>(C) any request by the Borrower for a Eurocurrency Competitive Loan shall be ineffective.</w:t>
      </w:r>
    </w:p>
    <w:p>
      <w:pPr>
        <w:spacing w:after="0" w:line="210" w:lineRule="exact"/>
        <w:rPr>
          <w:sz w:val="20"/>
          <w:szCs w:val="20"/>
          <w:color w:val="auto"/>
        </w:rPr>
      </w:pPr>
    </w:p>
    <w:p>
      <w:pPr>
        <w:ind w:firstLine="998"/>
        <w:spacing w:after="0" w:line="263" w:lineRule="auto"/>
        <w:tabs>
          <w:tab w:leader="none" w:pos="1423" w:val="left"/>
        </w:tabs>
        <w:numPr>
          <w:ilvl w:val="0"/>
          <w:numId w:val="46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0"/>
          </w:cols>
          <w:pgMar w:left="440" w:top="274" w:right="479" w:bottom="1440" w:gutter="0" w:footer="0" w:header="0"/>
        </w:sectPr>
      </w:pPr>
    </w:p>
    <w:bookmarkStart w:id="549" w:name="page550"/>
    <w:bookmarkEnd w:id="549"/>
    <w:p>
      <w:pPr>
        <w:spacing w:after="0" w:line="26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3" w:lineRule="exact"/>
        <w:rPr>
          <w:sz w:val="20"/>
          <w:szCs w:val="20"/>
          <w:color w:val="auto"/>
        </w:rPr>
      </w:pPr>
    </w:p>
    <w:p>
      <w:pPr>
        <w:ind w:right="20" w:firstLine="998"/>
        <w:spacing w:after="0" w:line="253" w:lineRule="auto"/>
        <w:tabs>
          <w:tab w:leader="none" w:pos="1412" w:val="left"/>
        </w:tabs>
        <w:numPr>
          <w:ilvl w:val="0"/>
          <w:numId w:val="46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to the contrary herein or in any other Loan Document and subject to the proviso below in this paragraph, with respect to a Loan denominated in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 shall not be effective unless the Administrative Agent has delivered to the Lenders and the Company a Term SOFR Notice</w:t>
      </w:r>
      <w:r>
        <w:rPr>
          <w:rFonts w:ascii="Arial" w:cs="Arial" w:eastAsia="Arial" w:hAnsi="Arial"/>
          <w:sz w:val="18"/>
          <w:szCs w:val="18"/>
          <w:u w:val="single" w:color="auto"/>
          <w:color w:val="008000"/>
        </w:rPr>
        <w:t>. For the avoidance of doubt, the</w:t>
      </w:r>
      <w:r>
        <w:rPr>
          <w:rFonts w:ascii="Arial" w:cs="Arial" w:eastAsia="Arial" w:hAnsi="Arial"/>
          <w:sz w:val="18"/>
          <w:szCs w:val="18"/>
          <w:u w:val="single" w:color="auto"/>
          <w:color w:val="0000FF"/>
        </w:rPr>
        <w:t xml:space="preserve"> Administrative Agent </w:t>
      </w:r>
      <w:r>
        <w:rPr>
          <w:rFonts w:ascii="Arial" w:cs="Arial" w:eastAsia="Arial" w:hAnsi="Arial"/>
          <w:sz w:val="18"/>
          <w:szCs w:val="18"/>
          <w:u w:val="single" w:color="auto"/>
          <w:color w:val="008000"/>
        </w:rPr>
        <w:t>shall not be required to</w:t>
      </w:r>
      <w:r>
        <w:rPr>
          <w:rFonts w:ascii="Arial" w:cs="Arial" w:eastAsia="Arial" w:hAnsi="Arial"/>
          <w:sz w:val="18"/>
          <w:szCs w:val="18"/>
          <w:u w:val="single" w:color="auto"/>
          <w:color w:val="0000FF"/>
        </w:rPr>
        <w:t xml:space="preserve"> deliver any Term SOFR Notice after the occurrence of a Term SOFR Transition Event and may do so in its sole discretion.</w:t>
      </w:r>
    </w:p>
    <w:p>
      <w:pPr>
        <w:spacing w:after="0" w:line="193" w:lineRule="exact"/>
        <w:rPr>
          <w:rFonts w:ascii="Arial" w:cs="Arial" w:eastAsia="Arial" w:hAnsi="Arial"/>
          <w:sz w:val="18"/>
          <w:szCs w:val="18"/>
          <w:u w:val="single" w:color="auto"/>
          <w:color w:val="0000FF"/>
        </w:rPr>
      </w:pPr>
    </w:p>
    <w:p>
      <w:pPr>
        <w:ind w:right="120" w:firstLine="998"/>
        <w:spacing w:after="0" w:line="258" w:lineRule="auto"/>
        <w:tabs>
          <w:tab w:leader="none" w:pos="1423" w:val="left"/>
        </w:tabs>
        <w:numPr>
          <w:ilvl w:val="0"/>
          <w:numId w:val="46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Arial" w:cs="Arial" w:eastAsia="Arial" w:hAnsi="Arial"/>
          <w:sz w:val="18"/>
          <w:szCs w:val="18"/>
          <w:u w:val="single" w:color="auto"/>
          <w:color w:val="0000FF"/>
        </w:rPr>
      </w:pPr>
    </w:p>
    <w:p>
      <w:pPr>
        <w:ind w:right="20" w:firstLine="998"/>
        <w:spacing w:after="0" w:line="289" w:lineRule="auto"/>
        <w:tabs>
          <w:tab w:leader="none" w:pos="1368" w:val="left"/>
        </w:tabs>
        <w:numPr>
          <w:ilvl w:val="0"/>
          <w:numId w:val="46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The Administrative Agent will promptly notify the Company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w:t>
      </w:r>
      <w:r>
        <w:rPr>
          <w:rFonts w:ascii="Arial" w:cs="Arial" w:eastAsia="Arial" w:hAnsi="Arial"/>
          <w:sz w:val="16"/>
          <w:szCs w:val="16"/>
          <w:u w:val="single" w:color="auto"/>
          <w:color w:val="008000"/>
        </w:rPr>
        <w:t>this Agreement or any other Loan Document</w:t>
      </w:r>
      <w:r>
        <w:rPr>
          <w:rFonts w:ascii="Arial" w:cs="Arial" w:eastAsia="Arial" w:hAnsi="Arial"/>
          <w:sz w:val="16"/>
          <w:szCs w:val="16"/>
          <w:u w:val="single" w:color="auto"/>
          <w:color w:val="0000FF"/>
        </w:rPr>
        <w:t>, except, in each case, as expressly required pursuant to this Section 2.16.</w:t>
      </w:r>
    </w:p>
    <w:p>
      <w:pPr>
        <w:spacing w:after="0" w:line="167" w:lineRule="exact"/>
        <w:rPr>
          <w:rFonts w:ascii="Arial" w:cs="Arial" w:eastAsia="Arial" w:hAnsi="Arial"/>
          <w:sz w:val="16"/>
          <w:szCs w:val="16"/>
          <w:u w:val="single" w:color="auto"/>
          <w:color w:val="0000FF"/>
        </w:rPr>
      </w:pPr>
    </w:p>
    <w:p>
      <w:pPr>
        <w:ind w:right="140" w:firstLine="998"/>
        <w:spacing w:after="0" w:line="256" w:lineRule="auto"/>
        <w:tabs>
          <w:tab w:leader="none" w:pos="1393" w:val="left"/>
        </w:tabs>
        <w:numPr>
          <w:ilvl w:val="0"/>
          <w:numId w:val="46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to the contrary herein or in any other Loan Document, at any time (including in connection with the implementation of a Benchmark Replacement), (i) if the then-current Benchmark is a term rate (including Term SOFR, Eurocurrency Base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3" w:right="459" w:bottom="1440" w:gutter="0" w:footer="0" w:header="0"/>
        </w:sectPr>
      </w:pPr>
    </w:p>
    <w:bookmarkStart w:id="550" w:name="page551"/>
    <w:bookmarkEnd w:id="550"/>
    <w:p>
      <w:pPr>
        <w:ind w:right="80"/>
        <w:spacing w:after="0" w:line="273"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4" w:lineRule="exact"/>
        <w:rPr>
          <w:sz w:val="20"/>
          <w:szCs w:val="20"/>
          <w:color w:val="auto"/>
        </w:rPr>
      </w:pPr>
    </w:p>
    <w:p>
      <w:pPr>
        <w:ind w:firstLine="998"/>
        <w:spacing w:after="0" w:line="285" w:lineRule="auto"/>
        <w:tabs>
          <w:tab w:leader="none" w:pos="1378" w:val="left"/>
        </w:tabs>
        <w:numPr>
          <w:ilvl w:val="0"/>
          <w:numId w:val="46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Upon the Borrower’s receipt of notice of the commencement of a Benchmark Unavailability Period, the Borrower may revoke any request for a Eurocurrency Borrowing of, conversion to or continuation of Eurocurrency Loans to be made, converted or continued during any Benchmark Unavailability Period and, failing that, either (x) the Borrower will be deemed to have converted any request for a Eurocurrency Borrowing denominated in Dollars into a request for a Borrowing of or conversion to ABR Loans or (y) any Eurocurrency Borrowing denominated in an Optional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Currency is outstanding on the date of the Borrower’s receipt of notice of the commencement of a Benchmark Unavailability Period with respect to a Relevant Rate applicable to such Eurocurrency Loan, then until such time as a Benchmark Replacement for such Optional Currency is implemented pursuant to this Section 2.16,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Currency (other than Dollars), then such Loan shall, on the last day of the Interest Period applicable to such Loan (or the next succeeding Business Day if such day is not a Business Day), at the Borrower’s election prior to such day: (A) be prepaid by the Borrower on such day or (B) solely for the purpose of calculating the interest rate applicable to such Eurocurrency Loan, such Eurocurrency Loan denominated in any Currency other than Dollars shall be deemed to be a Eurocurrency Loan denominated in Dollars and shall accrue interest at the same interest rate applicable </w:t>
      </w:r>
      <w:r>
        <w:rPr>
          <w:rFonts w:ascii="Arial" w:cs="Arial" w:eastAsia="Arial" w:hAnsi="Arial"/>
          <w:sz w:val="16"/>
          <w:szCs w:val="16"/>
          <w:u w:val="single" w:color="auto"/>
          <w:color w:val="008000"/>
        </w:rPr>
        <w:t>to Eurocurrency Loans denominated in Dollars</w:t>
      </w:r>
      <w:r>
        <w:rPr>
          <w:rFonts w:ascii="Arial" w:cs="Arial" w:eastAsia="Arial" w:hAnsi="Arial"/>
          <w:sz w:val="16"/>
          <w:szCs w:val="16"/>
          <w:u w:val="single" w:color="auto"/>
          <w:color w:val="0000FF"/>
        </w:rPr>
        <w:t xml:space="preserve"> at such time.</w:t>
      </w:r>
    </w:p>
    <w:p>
      <w:pPr>
        <w:spacing w:after="0" w:line="168" w:lineRule="exact"/>
        <w:rPr>
          <w:sz w:val="20"/>
          <w:szCs w:val="20"/>
          <w:color w:val="auto"/>
        </w:rPr>
      </w:pPr>
    </w:p>
    <w:p>
      <w:pPr>
        <w:ind w:right="20" w:firstLine="989"/>
        <w:spacing w:after="0" w:line="256" w:lineRule="auto"/>
        <w:rPr>
          <w:sz w:val="20"/>
          <w:szCs w:val="20"/>
          <w:color w:val="auto"/>
        </w:rPr>
      </w:pPr>
      <w:r>
        <w:rPr>
          <w:rFonts w:ascii="Arial" w:cs="Arial" w:eastAsia="Arial" w:hAnsi="Arial"/>
          <w:sz w:val="18"/>
          <w:szCs w:val="18"/>
          <w:color w:val="auto"/>
        </w:rPr>
        <w:t xml:space="preserve">2.17 Pro Rata Treatment and Payments; Evidence of Debt. (a) Each borrowing of Loans under any Facility by the Company or any Subsidiary Borrower from the Lenders under such Facility, each payment by the Company or any Subsidiary Borrower on account of any Facility Fee or Letter of Credit Fee and any reduction of the Commitments of the Lenders under any Facility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Percentages under such Facility, of the relevant Lenders in such Facility except to the extent required or permitted pursuant to Sections 2.7, 2.9, 2.22, 2.23, 2.25 and 2.27.</w:t>
      </w:r>
    </w:p>
    <w:p>
      <w:pPr>
        <w:spacing w:after="0" w:line="189" w:lineRule="exact"/>
        <w:rPr>
          <w:sz w:val="20"/>
          <w:szCs w:val="20"/>
          <w:color w:val="auto"/>
        </w:rPr>
      </w:pPr>
    </w:p>
    <w:p>
      <w:pPr>
        <w:jc w:val="both"/>
        <w:ind w:right="160" w:firstLine="998"/>
        <w:spacing w:after="0" w:line="287" w:lineRule="auto"/>
        <w:tabs>
          <w:tab w:leader="none" w:pos="1378" w:val="left"/>
        </w:tabs>
        <w:numPr>
          <w:ilvl w:val="0"/>
          <w:numId w:val="470"/>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2.7, 2.9, 2.22,</w:t>
      </w:r>
    </w:p>
    <w:p>
      <w:pPr>
        <w:spacing w:after="0"/>
        <w:rPr>
          <w:rFonts w:ascii="Arial" w:cs="Arial" w:eastAsia="Arial" w:hAnsi="Arial"/>
          <w:sz w:val="16"/>
          <w:szCs w:val="16"/>
          <w:color w:val="auto"/>
        </w:rPr>
      </w:pPr>
      <w:r>
        <w:rPr>
          <w:rFonts w:ascii="Arial" w:cs="Arial" w:eastAsia="Arial" w:hAnsi="Arial"/>
          <w:sz w:val="16"/>
          <w:szCs w:val="16"/>
          <w:color w:val="auto"/>
        </w:rPr>
        <w:t>2.23, 2.25 and 2.27. Except as otherwise provided in Section 8, each such payment shall be paid in the relevant Currency in which such Loan was made.</w:t>
      </w:r>
    </w:p>
    <w:p>
      <w:pPr>
        <w:spacing w:after="0" w:line="232" w:lineRule="exact"/>
        <w:rPr>
          <w:rFonts w:ascii="Arial" w:cs="Arial" w:eastAsia="Arial" w:hAnsi="Arial"/>
          <w:sz w:val="16"/>
          <w:szCs w:val="16"/>
          <w:color w:val="auto"/>
        </w:rPr>
      </w:pPr>
    </w:p>
    <w:p>
      <w:pPr>
        <w:jc w:val="both"/>
        <w:ind w:right="320" w:firstLine="998"/>
        <w:spacing w:after="0" w:line="285" w:lineRule="auto"/>
        <w:tabs>
          <w:tab w:leader="none" w:pos="1358" w:val="left"/>
        </w:tabs>
        <w:numPr>
          <w:ilvl w:val="0"/>
          <w:numId w:val="470"/>
        </w:numPr>
        <w:rPr>
          <w:rFonts w:ascii="Arial" w:cs="Arial" w:eastAsia="Arial" w:hAnsi="Arial"/>
          <w:sz w:val="17"/>
          <w:szCs w:val="17"/>
          <w:color w:val="auto"/>
        </w:rPr>
      </w:pPr>
      <w:r>
        <w:rPr>
          <w:rFonts w:ascii="Arial" w:cs="Arial" w:eastAsia="Arial" w:hAnsi="Arial"/>
          <w:sz w:val="17"/>
          <w:szCs w:val="17"/>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551" w:name="page552"/>
    <w:bookmarkEnd w:id="55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Currency and in immediately available funds, except that (x) payment of fronting fees owing to any Issuing Lender shall be made directly to the relevant Issuing Lender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9" w:lineRule="exact"/>
        <w:rPr>
          <w:sz w:val="20"/>
          <w:szCs w:val="20"/>
          <w:color w:val="auto"/>
        </w:rPr>
      </w:pPr>
    </w:p>
    <w:p>
      <w:pPr>
        <w:ind w:right="20" w:firstLine="998"/>
        <w:spacing w:after="0" w:line="285" w:lineRule="auto"/>
        <w:tabs>
          <w:tab w:leader="none" w:pos="1378" w:val="left"/>
        </w:tabs>
        <w:numPr>
          <w:ilvl w:val="0"/>
          <w:numId w:val="471"/>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73" w:lineRule="exact"/>
        <w:rPr>
          <w:rFonts w:ascii="Arial" w:cs="Arial" w:eastAsia="Arial" w:hAnsi="Arial"/>
          <w:sz w:val="16"/>
          <w:szCs w:val="16"/>
          <w:color w:val="auto"/>
        </w:rPr>
      </w:pPr>
    </w:p>
    <w:p>
      <w:pPr>
        <w:ind w:firstLine="998"/>
        <w:spacing w:after="0" w:line="268" w:lineRule="auto"/>
        <w:tabs>
          <w:tab w:leader="none" w:pos="1368" w:val="left"/>
        </w:tabs>
        <w:numPr>
          <w:ilvl w:val="0"/>
          <w:numId w:val="471"/>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3" w:right="459" w:bottom="1440" w:gutter="0" w:footer="0" w:header="0"/>
        </w:sectPr>
      </w:pPr>
    </w:p>
    <w:bookmarkStart w:id="552" w:name="page553"/>
    <w:bookmarkEnd w:id="552"/>
    <w:p>
      <w:pPr>
        <w:ind w:right="60" w:firstLine="998"/>
        <w:spacing w:after="0" w:line="285" w:lineRule="auto"/>
        <w:tabs>
          <w:tab w:leader="none" w:pos="1348" w:val="left"/>
        </w:tabs>
        <w:numPr>
          <w:ilvl w:val="0"/>
          <w:numId w:val="4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2.17(a) and (b) (applied as if such payments were made by the Company) and Section 10.7.</w:t>
      </w:r>
    </w:p>
    <w:p>
      <w:pPr>
        <w:spacing w:after="0" w:line="165" w:lineRule="exact"/>
        <w:rPr>
          <w:rFonts w:ascii="Arial" w:cs="Arial" w:eastAsia="Arial" w:hAnsi="Arial"/>
          <w:sz w:val="17"/>
          <w:szCs w:val="17"/>
          <w:color w:val="auto"/>
        </w:rPr>
      </w:pPr>
    </w:p>
    <w:p>
      <w:pPr>
        <w:ind w:right="40" w:firstLine="998"/>
        <w:spacing w:after="0" w:line="258" w:lineRule="auto"/>
        <w:tabs>
          <w:tab w:leader="none" w:pos="1378"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8"/>
          <w:szCs w:val="18"/>
          <w:u w:val="single" w:color="auto"/>
          <w:color w:val="auto"/>
        </w:rPr>
        <w:t>Note</w:t>
      </w:r>
      <w:r>
        <w:rPr>
          <w:rFonts w:ascii="Arial" w:cs="Arial" w:eastAsia="Arial" w:hAnsi="Arial"/>
          <w:sz w:val="18"/>
          <w:szCs w:val="18"/>
          <w:color w:val="auto"/>
        </w:rPr>
        <w:t>”), with appropriate insertions as to date and principal amount.</w:t>
      </w:r>
    </w:p>
    <w:p>
      <w:pPr>
        <w:spacing w:after="0" w:line="187"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Requirements of Law.</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Except with respect to Competitive Loans to which this Section 2.18 shall not apply:</w:t>
      </w:r>
    </w:p>
    <w:p>
      <w:pPr>
        <w:spacing w:after="0" w:line="224" w:lineRule="exact"/>
        <w:rPr>
          <w:sz w:val="20"/>
          <w:szCs w:val="20"/>
          <w:color w:val="auto"/>
        </w:rPr>
      </w:pPr>
    </w:p>
    <w:p>
      <w:pPr>
        <w:ind w:left="1380" w:hanging="382"/>
        <w:spacing w:after="0"/>
        <w:tabs>
          <w:tab w:leader="none" w:pos="13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6" w:lineRule="exact"/>
        <w:rPr>
          <w:rFonts w:ascii="Arial" w:cs="Arial" w:eastAsia="Arial" w:hAnsi="Arial"/>
          <w:sz w:val="18"/>
          <w:szCs w:val="18"/>
          <w:color w:val="auto"/>
        </w:rPr>
      </w:pPr>
    </w:p>
    <w:p>
      <w:pPr>
        <w:jc w:val="both"/>
        <w:ind w:left="1000" w:right="140" w:firstLine="398"/>
        <w:spacing w:after="0" w:line="285" w:lineRule="auto"/>
        <w:tabs>
          <w:tab w:leader="none" w:pos="1749" w:val="left"/>
        </w:tabs>
        <w:numPr>
          <w:ilvl w:val="1"/>
          <w:numId w:val="473"/>
        </w:numPr>
        <w:rPr>
          <w:rFonts w:ascii="Arial" w:cs="Arial" w:eastAsia="Arial" w:hAnsi="Arial"/>
          <w:sz w:val="17"/>
          <w:szCs w:val="17"/>
          <w:color w:val="auto"/>
        </w:rPr>
      </w:pPr>
      <w:r>
        <w:rPr>
          <w:rFonts w:ascii="Arial" w:cs="Arial" w:eastAsia="Arial" w:hAnsi="Arial"/>
          <w:sz w:val="17"/>
          <w:szCs w:val="17"/>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57" w:lineRule="exact"/>
        <w:rPr>
          <w:rFonts w:ascii="Arial" w:cs="Arial" w:eastAsia="Arial" w:hAnsi="Arial"/>
          <w:sz w:val="17"/>
          <w:szCs w:val="17"/>
          <w:color w:val="auto"/>
        </w:rPr>
      </w:pPr>
    </w:p>
    <w:p>
      <w:pPr>
        <w:ind w:left="1800" w:hanging="402"/>
        <w:spacing w:after="0"/>
        <w:tabs>
          <w:tab w:leader="none" w:pos="180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 xml:space="preserve">impose on such Lender or any London </w:t>
      </w:r>
      <w:r>
        <w:rPr>
          <w:rFonts w:ascii="Arial" w:cs="Arial" w:eastAsia="Arial" w:hAnsi="Arial"/>
          <w:sz w:val="18"/>
          <w:szCs w:val="18"/>
          <w:color w:val="FF0000"/>
          <w:strike w:val="1"/>
        </w:rPr>
        <w:t>I</w:t>
      </w:r>
      <w:r>
        <w:rPr>
          <w:rFonts w:ascii="Arial" w:cs="Arial" w:eastAsia="Arial" w:hAnsi="Arial"/>
          <w:sz w:val="18"/>
          <w:szCs w:val="18"/>
          <w:u w:val="single" w:color="auto"/>
          <w:color w:val="0000FF"/>
        </w:rPr>
        <w:t>i</w:t>
      </w:r>
      <w:r>
        <w:rPr>
          <w:rFonts w:ascii="Arial" w:cs="Arial" w:eastAsia="Arial" w:hAnsi="Arial"/>
          <w:sz w:val="18"/>
          <w:szCs w:val="18"/>
          <w:color w:val="auto"/>
        </w:rPr>
        <w:t>nterbank market any other condition;</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2.18(a) are not intended to derogate from the Company’s rights provided in Section 2.21 and Section 2.22).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85" w:lineRule="exact"/>
        <w:rPr>
          <w:sz w:val="20"/>
          <w:szCs w:val="20"/>
          <w:color w:val="auto"/>
        </w:rPr>
      </w:pPr>
    </w:p>
    <w:p>
      <w:pPr>
        <w:ind w:firstLine="998"/>
        <w:spacing w:after="0" w:line="256" w:lineRule="auto"/>
        <w:tabs>
          <w:tab w:leader="none" w:pos="1378"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40"/>
          </w:cols>
          <w:pgMar w:left="440" w:top="273" w:right="519" w:bottom="1440" w:gutter="0" w:footer="0" w:header="0"/>
        </w:sectPr>
      </w:pPr>
    </w:p>
    <w:bookmarkStart w:id="553" w:name="page554"/>
    <w:bookmarkEnd w:id="553"/>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2.18(b) are not intended to derogate from the Company’s rights provided in Sections 2.21 and 2.22).</w:t>
      </w:r>
    </w:p>
    <w:p>
      <w:pPr>
        <w:spacing w:after="0" w:line="189" w:lineRule="exact"/>
        <w:rPr>
          <w:sz w:val="20"/>
          <w:szCs w:val="20"/>
          <w:color w:val="auto"/>
        </w:rPr>
      </w:pPr>
    </w:p>
    <w:p>
      <w:pPr>
        <w:ind w:right="60" w:firstLine="998"/>
        <w:spacing w:after="0" w:line="283" w:lineRule="auto"/>
        <w:tabs>
          <w:tab w:leader="none" w:pos="1358" w:val="left"/>
        </w:tabs>
        <w:numPr>
          <w:ilvl w:val="1"/>
          <w:numId w:val="475"/>
        </w:numPr>
        <w:rPr>
          <w:rFonts w:ascii="Arial" w:cs="Arial" w:eastAsia="Arial" w:hAnsi="Arial"/>
          <w:sz w:val="16"/>
          <w:szCs w:val="16"/>
          <w:color w:val="auto"/>
        </w:rPr>
      </w:pPr>
      <w:r>
        <w:rPr>
          <w:rFonts w:ascii="Arial" w:cs="Arial" w:eastAsia="Arial" w:hAnsi="Arial"/>
          <w:sz w:val="16"/>
          <w:szCs w:val="16"/>
          <w:color w:val="auto"/>
        </w:rPr>
        <w:t>A certificate as to any additional amounts payable pursuant to this Section 2.18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2.18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the Administrative Agent nor the Brazilian Administrative Agent shall be under any obligation to verify any such request of a Lender) and</w:t>
      </w:r>
    </w:p>
    <w:p>
      <w:pPr>
        <w:spacing w:after="0" w:line="4" w:lineRule="exact"/>
        <w:rPr>
          <w:rFonts w:ascii="Arial" w:cs="Arial" w:eastAsia="Arial" w:hAnsi="Arial"/>
          <w:sz w:val="16"/>
          <w:szCs w:val="16"/>
          <w:color w:val="auto"/>
        </w:rPr>
      </w:pPr>
    </w:p>
    <w:p>
      <w:pPr>
        <w:ind w:right="80" w:firstLine="9"/>
        <w:spacing w:after="0" w:line="251" w:lineRule="auto"/>
        <w:tabs>
          <w:tab w:leader="none" w:pos="26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the Company and any relevant Subsidiary Borrower shall not be required to compensate the Administrative Agent, the Brazilian Administrative Agent or a Lender pursuant to this Section 2.18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2.18 shall survive the termination of this Agreement and the payment of the Loans and all interest thereon and fees payable hereunder.</w:t>
      </w:r>
    </w:p>
    <w:p>
      <w:pPr>
        <w:spacing w:after="0" w:line="193" w:lineRule="exact"/>
        <w:rPr>
          <w:sz w:val="20"/>
          <w:szCs w:val="20"/>
          <w:color w:val="auto"/>
        </w:rPr>
      </w:pPr>
    </w:p>
    <w:p>
      <w:pPr>
        <w:ind w:firstLine="989"/>
        <w:spacing w:after="0" w:line="267" w:lineRule="auto"/>
        <w:rPr>
          <w:sz w:val="20"/>
          <w:szCs w:val="20"/>
          <w:color w:val="auto"/>
        </w:rPr>
      </w:pPr>
      <w:r>
        <w:rPr>
          <w:rFonts w:ascii="Arial" w:cs="Arial" w:eastAsia="Arial" w:hAnsi="Arial"/>
          <w:sz w:val="17"/>
          <w:szCs w:val="17"/>
          <w:color w:val="auto"/>
        </w:rPr>
        <w:t xml:space="preserve">2.19 Taxes. (a) All payments made by or on behalf of any Loan Party under this Agreement (other than in respect of any Competitive Loans as to which this Section 2.19(a)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w:t>
      </w:r>
      <w:r>
        <w:rPr>
          <w:rFonts w:ascii="Arial" w:cs="Arial" w:eastAsia="Arial" w:hAnsi="Arial"/>
          <w:sz w:val="17"/>
          <w:szCs w:val="17"/>
          <w:color w:val="FF0000"/>
          <w:strike w:val="1"/>
        </w:rPr>
        <w:t>t</w:t>
      </w:r>
      <w:r>
        <w:rPr>
          <w:rFonts w:ascii="Arial" w:cs="Arial" w:eastAsia="Arial" w:hAnsi="Arial"/>
          <w:sz w:val="17"/>
          <w:szCs w:val="17"/>
          <w:u w:val="single" w:color="auto"/>
          <w:color w:val="0000FF"/>
        </w:rPr>
        <w:t>T</w:t>
      </w:r>
      <w:r>
        <w:rPr>
          <w:rFonts w:ascii="Arial" w:cs="Arial" w:eastAsia="Arial" w:hAnsi="Arial"/>
          <w:sz w:val="17"/>
          <w:szCs w:val="17"/>
          <w:color w:val="auto"/>
        </w:rPr>
        <w:t xml:space="preserve">axes) imposed on the Administrative Agent, the Brazilian Administrative Agent or any Lender as a result of a present or former connection between the Administrative Agent, the Brazilian Administrative Agent or such Lender and the jurisdiction of the Governmental Authority imposing such </w:t>
      </w:r>
      <w:r>
        <w:rPr>
          <w:rFonts w:ascii="Arial" w:cs="Arial" w:eastAsia="Arial" w:hAnsi="Arial"/>
          <w:sz w:val="17"/>
          <w:szCs w:val="17"/>
          <w:color w:val="FF0000"/>
          <w:strike w:val="1"/>
        </w:rPr>
        <w:t>t</w:t>
      </w:r>
      <w:r>
        <w:rPr>
          <w:rFonts w:ascii="Arial" w:cs="Arial" w:eastAsia="Arial" w:hAnsi="Arial"/>
          <w:sz w:val="17"/>
          <w:szCs w:val="17"/>
          <w:u w:val="single" w:color="auto"/>
          <w:color w:val="0000FF"/>
        </w:rPr>
        <w:t>T</w:t>
      </w:r>
      <w:r>
        <w:rPr>
          <w:rFonts w:ascii="Arial" w:cs="Arial" w:eastAsia="Arial" w:hAnsi="Arial"/>
          <w:sz w:val="17"/>
          <w:szCs w:val="17"/>
          <w:color w:val="auto"/>
        </w:rPr>
        <w:t xml:space="preserve">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w:t>
      </w:r>
      <w:r>
        <w:rPr>
          <w:rFonts w:ascii="Arial" w:cs="Arial" w:eastAsia="Arial" w:hAnsi="Arial"/>
          <w:sz w:val="17"/>
          <w:szCs w:val="17"/>
          <w:color w:val="FF0000"/>
          <w:strike w:val="1"/>
        </w:rPr>
        <w:t>t</w:t>
      </w:r>
      <w:r>
        <w:rPr>
          <w:rFonts w:ascii="Arial" w:cs="Arial" w:eastAsia="Arial" w:hAnsi="Arial"/>
          <w:sz w:val="17"/>
          <w:szCs w:val="17"/>
          <w:u w:val="single" w:color="auto"/>
          <w:color w:val="0000FF"/>
        </w:rPr>
        <w:t>T</w:t>
      </w:r>
      <w:r>
        <w:rPr>
          <w:rFonts w:ascii="Arial" w:cs="Arial" w:eastAsia="Arial" w:hAnsi="Arial"/>
          <w:sz w:val="17"/>
          <w:szCs w:val="17"/>
          <w:color w:val="auto"/>
        </w:rPr>
        <w:t>ax imposed by any other Governmental Authority in a jurisdiction described in clause (i) above and (iii) any Taxes imposed by reason of FATCA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If any Taxes are required to be </w:t>
      </w:r>
      <w:r>
        <w:rPr>
          <w:rFonts w:ascii="Arial" w:cs="Arial" w:eastAsia="Arial" w:hAnsi="Arial"/>
          <w:sz w:val="17"/>
          <w:szCs w:val="17"/>
          <w:u w:val="single" w:color="auto"/>
          <w:color w:val="0000FF"/>
        </w:rPr>
        <w:t>deducted or</w:t>
      </w:r>
      <w:r>
        <w:rPr>
          <w:rFonts w:ascii="Arial" w:cs="Arial" w:eastAsia="Arial" w:hAnsi="Arial"/>
          <w:sz w:val="17"/>
          <w:szCs w:val="17"/>
          <w:color w:val="auto"/>
        </w:rPr>
        <w:t xml:space="preserve"> withheld from any amounts payable to the Administrative Agent, the Brazilian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w:t>
      </w:r>
      <w:r>
        <w:rPr>
          <w:rFonts w:ascii="Arial" w:cs="Arial" w:eastAsia="Arial" w:hAnsi="Arial"/>
          <w:sz w:val="17"/>
          <w:szCs w:val="17"/>
          <w:u w:val="single" w:color="auto"/>
          <w:color w:val="0000FF"/>
        </w:rPr>
        <w:t>or withholdings</w:t>
      </w:r>
      <w:r>
        <w:rPr>
          <w:rFonts w:ascii="Arial" w:cs="Arial" w:eastAsia="Arial" w:hAnsi="Arial"/>
          <w:sz w:val="17"/>
          <w:szCs w:val="17"/>
          <w:color w:val="auto"/>
        </w:rPr>
        <w:t xml:space="preserve"> and shall pay the full amount deducted </w:t>
      </w:r>
      <w:r>
        <w:rPr>
          <w:rFonts w:ascii="Arial" w:cs="Arial" w:eastAsia="Arial" w:hAnsi="Arial"/>
          <w:sz w:val="17"/>
          <w:szCs w:val="17"/>
          <w:u w:val="single" w:color="auto"/>
          <w:color w:val="0000FF"/>
        </w:rPr>
        <w:t>or withheld</w:t>
      </w:r>
      <w:r>
        <w:rPr>
          <w:rFonts w:ascii="Arial" w:cs="Arial" w:eastAsia="Arial" w:hAnsi="Arial"/>
          <w:sz w:val="17"/>
          <w:szCs w:val="17"/>
          <w:color w:val="auto"/>
        </w:rPr>
        <w:t xml:space="preserve"> to the relevant Governmental 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3" w:right="459" w:bottom="1440" w:gutter="0" w:footer="0" w:header="0"/>
        </w:sectPr>
      </w:pPr>
    </w:p>
    <w:bookmarkStart w:id="554" w:name="page555"/>
    <w:bookmarkEnd w:id="55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of all Non-Excluded Taxes and Other Taxes) an amount equal to the sum which would have been received had no such deduction or withholding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7"/>
          <w:szCs w:val="17"/>
          <w:u w:val="single" w:color="auto"/>
          <w:color w:val="auto"/>
        </w:rPr>
        <w:t>Change in Tax Law</w:t>
      </w:r>
      <w:r>
        <w:rPr>
          <w:rFonts w:ascii="Arial" w:cs="Arial" w:eastAsia="Arial" w:hAnsi="Arial"/>
          <w:sz w:val="17"/>
          <w:szCs w:val="17"/>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2.19.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w:t>
      </w:r>
      <w:r>
        <w:rPr>
          <w:rFonts w:ascii="Arial" w:cs="Arial" w:eastAsia="Arial" w:hAnsi="Arial"/>
          <w:sz w:val="17"/>
          <w:szCs w:val="17"/>
          <w:color w:val="FF0000"/>
          <w:strike w:val="1"/>
        </w:rPr>
        <w:t>f</w:t>
      </w:r>
      <w:r>
        <w:rPr>
          <w:rFonts w:ascii="Arial" w:cs="Arial" w:eastAsia="Arial" w:hAnsi="Arial"/>
          <w:sz w:val="17"/>
          <w:szCs w:val="17"/>
          <w:u w:val="single" w:color="auto"/>
          <w:color w:val="0000FF"/>
        </w:rPr>
        <w:t>e</w:t>
      </w:r>
      <w:r>
        <w:rPr>
          <w:rFonts w:ascii="Arial" w:cs="Arial" w:eastAsia="Arial" w:hAnsi="Arial"/>
          <w:sz w:val="17"/>
          <w:szCs w:val="17"/>
          <w:color w:val="auto"/>
        </w:rPr>
        <w:t>) of this Section 2.19 except as such failure relates to a Change in Tax Law rendering such Person legally unable to comply.</w:t>
      </w:r>
    </w:p>
    <w:p>
      <w:pPr>
        <w:spacing w:after="0" w:line="185"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 addition, each Loan Party shall pay any Other Taxes over to the relevant Governmental Authority in accordance with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0" w:lineRule="exact"/>
        <w:rPr>
          <w:sz w:val="20"/>
          <w:szCs w:val="20"/>
          <w:color w:val="auto"/>
        </w:rPr>
      </w:pPr>
    </w:p>
    <w:p>
      <w:pPr>
        <w:ind w:right="200" w:firstLine="998"/>
        <w:spacing w:after="0" w:line="285" w:lineRule="auto"/>
        <w:tabs>
          <w:tab w:leader="none" w:pos="1365" w:val="left"/>
        </w:tabs>
        <w:numPr>
          <w:ilvl w:val="1"/>
          <w:numId w:val="477"/>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w:t>
      </w:r>
    </w:p>
    <w:p>
      <w:pPr>
        <w:spacing w:after="0" w:line="2" w:lineRule="exact"/>
        <w:rPr>
          <w:rFonts w:ascii="Arial" w:cs="Arial" w:eastAsia="Arial" w:hAnsi="Arial"/>
          <w:sz w:val="16"/>
          <w:szCs w:val="16"/>
          <w:color w:val="auto"/>
        </w:rPr>
      </w:pPr>
    </w:p>
    <w:p>
      <w:pPr>
        <w:ind w:right="60" w:firstLine="9"/>
        <w:spacing w:after="0" w:line="286" w:lineRule="auto"/>
        <w:tabs>
          <w:tab w:leader="none" w:pos="264"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any Loan Party fails to remit to the Administrative Agent the required receipts or other required documentary evidence or (iii) 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2.19 shall be made within 30 days after the date the Administrative Agent, the Brazilian Administrative Agent or such Lender (as the case may be) makes a written demand therefor (together with a reasonably detailed calculation of such amounts). </w:t>
      </w:r>
      <w:r>
        <w:rPr>
          <w:rFonts w:ascii="Arial" w:cs="Arial" w:eastAsia="Arial" w:hAnsi="Arial"/>
          <w:sz w:val="16"/>
          <w:szCs w:val="16"/>
          <w:color w:val="FF0000"/>
        </w:rPr>
        <w:t>The UK Borrower</w:t>
      </w:r>
      <w:r>
        <w:rPr>
          <w:rFonts w:ascii="Arial" w:cs="Arial" w:eastAsia="Arial" w:hAnsi="Arial"/>
          <w:sz w:val="16"/>
          <w:szCs w:val="16"/>
          <w:color w:val="auto"/>
        </w:rPr>
        <w:t xml:space="preserve"> </w:t>
      </w:r>
      <w:r>
        <w:rPr>
          <w:rFonts w:ascii="Arial" w:cs="Arial" w:eastAsia="Arial" w:hAnsi="Arial"/>
          <w:sz w:val="16"/>
          <w:szCs w:val="16"/>
          <w:color w:val="008000"/>
          <w:strike w:val="1"/>
        </w:rPr>
        <w:t>shall not be required to</w:t>
      </w:r>
      <w:r>
        <w:rPr>
          <w:rFonts w:ascii="Arial" w:cs="Arial" w:eastAsia="Arial" w:hAnsi="Arial"/>
          <w:sz w:val="16"/>
          <w:szCs w:val="16"/>
          <w:color w:val="auto"/>
        </w:rPr>
        <w:t xml:space="preserve"> </w:t>
      </w:r>
      <w:r>
        <w:rPr>
          <w:rFonts w:ascii="Arial" w:cs="Arial" w:eastAsia="Arial" w:hAnsi="Arial"/>
          <w:sz w:val="16"/>
          <w:szCs w:val="16"/>
          <w:color w:val="FF0000"/>
          <w:strike w:val="1"/>
        </w:rPr>
        <w:t>indemnify the Administrative Agent, the Brazilian Administrative Agent or the Lenders for any amount which would have been compensated for by an increased payment pursuant to Section 2.19(a) but was not so compensated solely because one of the exclusions in Section 2.19(e)(ii) applied.</w:t>
      </w:r>
    </w:p>
    <w:p>
      <w:pPr>
        <w:spacing w:after="0" w:line="167" w:lineRule="exact"/>
        <w:rPr>
          <w:rFonts w:ascii="Arial" w:cs="Arial" w:eastAsia="Arial" w:hAnsi="Arial"/>
          <w:sz w:val="16"/>
          <w:szCs w:val="16"/>
          <w:color w:val="auto"/>
        </w:rPr>
      </w:pPr>
    </w:p>
    <w:p>
      <w:pPr>
        <w:ind w:firstLine="998"/>
        <w:spacing w:after="0" w:line="269" w:lineRule="auto"/>
        <w:tabs>
          <w:tab w:leader="none" w:pos="1378" w:val="left"/>
        </w:tabs>
        <w:numPr>
          <w:ilvl w:val="1"/>
          <w:numId w:val="478"/>
        </w:numPr>
        <w:rPr>
          <w:rFonts w:ascii="Arial" w:cs="Arial" w:eastAsia="Arial" w:hAnsi="Arial"/>
          <w:sz w:val="17"/>
          <w:szCs w:val="17"/>
          <w:color w:val="auto"/>
        </w:rPr>
      </w:pPr>
      <w:r>
        <w:rPr>
          <w:rFonts w:ascii="Arial" w:cs="Arial" w:eastAsia="Arial" w:hAnsi="Arial"/>
          <w:sz w:val="17"/>
          <w:szCs w:val="17"/>
          <w:color w:val="auto"/>
        </w:rPr>
        <w:t>Each Lender (or Transferee) (i) that is not a “United States person” as defined in Section 7701(a)(30) of the Code (a “</w:t>
      </w:r>
      <w:r>
        <w:rPr>
          <w:rFonts w:ascii="Arial" w:cs="Arial" w:eastAsia="Arial" w:hAnsi="Arial"/>
          <w:sz w:val="17"/>
          <w:szCs w:val="17"/>
          <w:u w:val="single" w:color="auto"/>
          <w:color w:val="auto"/>
        </w:rPr>
        <w:t>Non-U.S.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-1721485</wp:posOffset>
            </wp:positionV>
            <wp:extent cx="89281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92810"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80"/>
          </w:cols>
          <w:pgMar w:left="440" w:top="273" w:right="479" w:bottom="1440" w:gutter="0" w:footer="0" w:header="0"/>
        </w:sectPr>
      </w:pPr>
    </w:p>
    <w:bookmarkStart w:id="555" w:name="page556"/>
    <w:bookmarkEnd w:id="555"/>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2.9(b),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2.19(d), “FATCA” shall include any amendments made to FATCA after the date of this Agreement. Notwithstanding any other provision of this Section 2.19, a Lender shall not be required to deliver any form pursuant to this Section 2.19 (other than clause (ii) of the first sentence of this paragraph) that such Lender is not legally able to deliver.</w:t>
      </w:r>
    </w:p>
    <w:p>
      <w:pPr>
        <w:spacing w:after="0" w:line="399" w:lineRule="exact"/>
        <w:rPr>
          <w:sz w:val="20"/>
          <w:szCs w:val="20"/>
          <w:color w:val="auto"/>
        </w:rPr>
      </w:pPr>
    </w:p>
    <w:p>
      <w:pPr>
        <w:ind w:left="1420" w:hanging="422"/>
        <w:spacing w:after="0"/>
        <w:tabs>
          <w:tab w:leader="none" w:pos="1420" w:val="left"/>
        </w:tabs>
        <w:numPr>
          <w:ilvl w:val="0"/>
          <w:numId w:val="479"/>
        </w:numPr>
        <w:rPr>
          <w:rFonts w:ascii="Arial" w:cs="Arial" w:eastAsia="Arial" w:hAnsi="Arial"/>
          <w:sz w:val="18"/>
          <w:szCs w:val="18"/>
          <w:color w:val="FF0000"/>
          <w:strike w:val="1"/>
        </w:rPr>
      </w:pPr>
      <w:r>
        <w:rPr>
          <w:rFonts w:ascii="Arial" w:cs="Arial" w:eastAsia="Arial" w:hAnsi="Arial"/>
          <w:sz w:val="18"/>
          <w:szCs w:val="18"/>
          <w:color w:val="FF0000"/>
          <w:strike w:val="1"/>
        </w:rPr>
        <w:t>Additional United Kingdom Withholding Tax Matters.</w:t>
      </w:r>
    </w:p>
    <w:p>
      <w:pPr>
        <w:spacing w:after="0" w:line="224" w:lineRule="exact"/>
        <w:rPr>
          <w:sz w:val="20"/>
          <w:szCs w:val="20"/>
          <w:color w:val="auto"/>
        </w:rPr>
      </w:pPr>
    </w:p>
    <w:p>
      <w:pPr>
        <w:jc w:val="both"/>
        <w:ind w:firstLine="998"/>
        <w:spacing w:after="0" w:line="258" w:lineRule="auto"/>
        <w:tabs>
          <w:tab w:leader="none" w:pos="1742" w:val="left"/>
        </w:tabs>
        <w:numPr>
          <w:ilvl w:val="1"/>
          <w:numId w:val="48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Each UK Borrower shall promptly upon becoming aware that it must make a UK Tax Deduction (or that there is any change in the rate or the basis of a UK Tax Deduction) notify the Administrative Agent accordingly. Similarly, a </w:t>
      </w:r>
      <w:r>
        <w:rPr>
          <w:rFonts w:ascii="Arial" w:cs="Arial" w:eastAsia="Arial" w:hAnsi="Arial"/>
          <w:sz w:val="18"/>
          <w:szCs w:val="18"/>
          <w:color w:val="008000"/>
          <w:strike w:val="1"/>
        </w:rPr>
        <w:t>Lender shall promptly notify the Administrative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Agent </w:t>
      </w:r>
      <w:r>
        <w:rPr>
          <w:rFonts w:ascii="Arial" w:cs="Arial" w:eastAsia="Arial" w:hAnsi="Arial"/>
          <w:sz w:val="18"/>
          <w:szCs w:val="18"/>
          <w:color w:val="FF0000"/>
          <w:strike w:val="1"/>
        </w:rPr>
        <w:t>on becoming so aware in respect of a payment payable by any UK Borrower to that Lender. If the Administrative Agent receives such notification</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from a Lender it shall notify the relevant UK Borrower.</w:t>
      </w:r>
    </w:p>
    <w:p>
      <w:pPr>
        <w:spacing w:after="0" w:line="187" w:lineRule="exact"/>
        <w:rPr>
          <w:rFonts w:ascii="Arial" w:cs="Arial" w:eastAsia="Arial" w:hAnsi="Arial"/>
          <w:sz w:val="18"/>
          <w:szCs w:val="18"/>
          <w:color w:val="FF0000"/>
          <w:strike w:val="1"/>
        </w:rPr>
      </w:pPr>
    </w:p>
    <w:p>
      <w:pPr>
        <w:ind w:right="180" w:firstLine="998"/>
        <w:spacing w:after="0" w:line="290" w:lineRule="auto"/>
        <w:tabs>
          <w:tab w:leader="none" w:pos="1747" w:val="left"/>
        </w:tabs>
        <w:numPr>
          <w:ilvl w:val="1"/>
          <w:numId w:val="480"/>
        </w:numPr>
        <w:rPr>
          <w:rFonts w:ascii="Arial" w:cs="Arial" w:eastAsia="Arial" w:hAnsi="Arial"/>
          <w:sz w:val="16"/>
          <w:szCs w:val="16"/>
          <w:color w:val="FF0000"/>
          <w:strike w:val="1"/>
        </w:rPr>
      </w:pPr>
      <w:r>
        <w:rPr>
          <w:rFonts w:ascii="Arial" w:cs="Arial" w:eastAsia="Arial" w:hAnsi="Arial"/>
          <w:sz w:val="16"/>
          <w:szCs w:val="16"/>
          <w:color w:val="FF0000"/>
          <w:strike w:val="1"/>
        </w:rPr>
        <w:t>Without prejudice to the generality of Section 2.19(a), a payment from a UK Borrower shall not be increased pursuant to Section 2.19(a) by reason of a UK Tax Deduction on account of Taxes imposed by the United Kingdom, if on the date on which the payment falls due:</w:t>
      </w:r>
    </w:p>
    <w:p>
      <w:pPr>
        <w:ind w:right="100" w:firstLine="9"/>
        <w:spacing w:after="0" w:line="291" w:lineRule="auto"/>
        <w:tabs>
          <w:tab w:leader="none" w:pos="294" w:val="left"/>
        </w:tabs>
        <w:numPr>
          <w:ilvl w:val="0"/>
          <w:numId w:val="481"/>
        </w:numPr>
        <w:rPr>
          <w:rFonts w:ascii="Arial" w:cs="Arial" w:eastAsia="Arial" w:hAnsi="Arial"/>
          <w:sz w:val="16"/>
          <w:szCs w:val="16"/>
          <w:color w:val="FF0000"/>
          <w:strike w:val="1"/>
        </w:rPr>
      </w:pPr>
      <w:r>
        <w:rPr>
          <w:rFonts w:ascii="Arial" w:cs="Arial" w:eastAsia="Arial" w:hAnsi="Arial"/>
          <w:sz w:val="16"/>
          <w:szCs w:val="16"/>
          <w:color w:val="FF0000"/>
          <w:strike w:val="1"/>
        </w:rPr>
        <w:t>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 (B) the relevant Lender is a UK Qualifying Lender solely by virtue of paragraph (a)(ii) of the definition of “UK Qualifying Lender”; an officer of HMRC has given (and not revoked) a direction (a “</w:t>
      </w:r>
      <w:r>
        <w:rPr>
          <w:rFonts w:ascii="Arial" w:cs="Arial" w:eastAsia="Arial" w:hAnsi="Arial"/>
          <w:sz w:val="16"/>
          <w:szCs w:val="16"/>
          <w:u w:val="single" w:color="auto"/>
          <w:color w:val="FF4338"/>
          <w:strike w:val="1"/>
        </w:rPr>
        <w:t>Direction</w:t>
      </w:r>
      <w:r>
        <w:rPr>
          <w:rFonts w:ascii="Arial" w:cs="Arial" w:eastAsia="Arial" w:hAnsi="Arial"/>
          <w:sz w:val="16"/>
          <w:szCs w:val="16"/>
          <w:color w:val="FF0000"/>
          <w:strike w:val="1"/>
        </w:rPr>
        <w:t>”) under section 931 of the UK ITA which relates to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40" w:top="273" w:right="459" w:bottom="1440" w:gutter="0" w:footer="0" w:header="0"/>
        </w:sectPr>
      </w:pPr>
    </w:p>
    <w:bookmarkStart w:id="556" w:name="page557"/>
    <w:bookmarkEnd w:id="556"/>
    <w:p>
      <w:pPr>
        <w:spacing w:after="0" w:line="269"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and that Lender has received from the relevant UK Borrower (or from the Company) a certified copy of that Direction; and the payment could have been made to the Lender without any UK Tax Deduction if that Direction had not been made; or (C) the relevant Lender is a UK Qualifying Lender solely by virtue of paragraph (a)(ii) of the definition of “UK Qualifying Lender”; the relevant Lender has not given a UK Tax Confirmation to the relevant UK Borrower; and the payment could have been made to the Lender without any UK Tax Deduction if the Lender had given a UK Tax Confirmation to the relevant UK Borrower, on the basis that the UK Tax Confirmation would have enabled the relevant UK Borrower to have formed a reasonable belief that the payment was an “excepted payment” for the purpose of section 930 of the UK ITA; or (D) the relevant Lender is a UK Treaty Lender (or would be a UK Treaty Lender following the completion of any necessary procedural formalities) and the relevant UK Borrower is able to demonstrate that the payment could have been made to the Lender without the UK Tax Deduction had that Lender complied with its obligations under Section 2.19(e)(iii) or Section 2.19(e)(iv) (as applicable) below.</w:t>
      </w:r>
    </w:p>
    <w:p>
      <w:pPr>
        <w:spacing w:after="0" w:line="75" w:lineRule="exact"/>
        <w:rPr>
          <w:sz w:val="20"/>
          <w:szCs w:val="20"/>
          <w:color w:val="auto"/>
        </w:rPr>
      </w:pPr>
    </w:p>
    <w:p>
      <w:pPr>
        <w:ind w:right="200" w:firstLine="998"/>
        <w:spacing w:after="0" w:line="263" w:lineRule="auto"/>
        <w:tabs>
          <w:tab w:leader="none" w:pos="1303" w:val="left"/>
        </w:tabs>
        <w:numPr>
          <w:ilvl w:val="0"/>
          <w:numId w:val="482"/>
        </w:numPr>
        <w:rPr>
          <w:rFonts w:ascii="Arial" w:cs="Arial" w:eastAsia="Arial" w:hAnsi="Arial"/>
          <w:sz w:val="18"/>
          <w:szCs w:val="18"/>
          <w:color w:val="FF0000"/>
          <w:strike w:val="1"/>
        </w:rPr>
      </w:pPr>
      <w:r>
        <w:rPr>
          <w:rFonts w:ascii="Arial" w:cs="Arial" w:eastAsia="Arial" w:hAnsi="Arial"/>
          <w:sz w:val="18"/>
          <w:szCs w:val="18"/>
          <w:color w:val="FF0000"/>
          <w:strike w:val="1"/>
        </w:rPr>
        <w:t>Subject to clause (e)(iv) below, each Lender and each UK Borrower which makes a payment to which that Lender is entitled shall co-operate in completing any procedural formalities necessary for such UK Borrower to obtain authorization to make such payment without a UK Tax Deduction.</w:t>
      </w:r>
    </w:p>
    <w:p>
      <w:pPr>
        <w:spacing w:after="0" w:line="73" w:lineRule="exact"/>
        <w:rPr>
          <w:rFonts w:ascii="Arial" w:cs="Arial" w:eastAsia="Arial" w:hAnsi="Arial"/>
          <w:sz w:val="18"/>
          <w:szCs w:val="18"/>
          <w:color w:val="FF0000"/>
          <w:strike w:val="1"/>
        </w:rPr>
      </w:pPr>
    </w:p>
    <w:p>
      <w:pPr>
        <w:ind w:right="180" w:firstLine="998"/>
        <w:spacing w:after="0" w:line="263" w:lineRule="auto"/>
        <w:tabs>
          <w:tab w:leader="none" w:pos="1293" w:val="left"/>
        </w:tabs>
        <w:numPr>
          <w:ilvl w:val="0"/>
          <w:numId w:val="482"/>
        </w:numPr>
        <w:rPr>
          <w:rFonts w:ascii="Arial" w:cs="Arial" w:eastAsia="Arial" w:hAnsi="Arial"/>
          <w:sz w:val="18"/>
          <w:szCs w:val="18"/>
          <w:color w:val="FF0000"/>
          <w:strike w:val="1"/>
        </w:rPr>
      </w:pPr>
      <w:r>
        <w:rPr>
          <w:rFonts w:ascii="Arial" w:cs="Arial" w:eastAsia="Arial" w:hAnsi="Arial"/>
          <w:sz w:val="18"/>
          <w:szCs w:val="18"/>
          <w:color w:val="FF0000"/>
          <w:strike w:val="1"/>
        </w:rPr>
        <w:t>(A) A Lender on the day on which this Agreement is entered into that (x) holds a passport under the HMRC DT Treaty Passport scheme and (y) wishes such scheme to apply to this Agreement, shall confirm its scheme reference number and its jurisdiction of tax residence to each UK Borrower and the Administrative Agent; and</w:t>
      </w:r>
    </w:p>
    <w:p>
      <w:pPr>
        <w:spacing w:after="0" w:line="73" w:lineRule="exact"/>
        <w:rPr>
          <w:rFonts w:ascii="Arial" w:cs="Arial" w:eastAsia="Arial" w:hAnsi="Arial"/>
          <w:sz w:val="18"/>
          <w:szCs w:val="18"/>
          <w:color w:val="FF0000"/>
          <w:strike w:val="1"/>
        </w:rPr>
      </w:pPr>
    </w:p>
    <w:p>
      <w:pPr>
        <w:ind w:left="1000" w:right="60" w:firstLine="398"/>
        <w:spacing w:after="0" w:line="278" w:lineRule="auto"/>
        <w:tabs>
          <w:tab w:leader="none" w:pos="1684" w:val="left"/>
        </w:tabs>
        <w:numPr>
          <w:ilvl w:val="1"/>
          <w:numId w:val="482"/>
        </w:numPr>
        <w:rPr>
          <w:rFonts w:ascii="Arial" w:cs="Arial" w:eastAsia="Arial" w:hAnsi="Arial"/>
          <w:sz w:val="17"/>
          <w:szCs w:val="17"/>
          <w:color w:val="FF0000"/>
          <w:strike w:val="1"/>
        </w:rPr>
      </w:pPr>
      <w:r>
        <w:rPr>
          <w:rFonts w:ascii="Arial" w:cs="Arial" w:eastAsia="Arial" w:hAnsi="Arial"/>
          <w:sz w:val="17"/>
          <w:szCs w:val="17"/>
          <w:color w:val="FF0000"/>
          <w:strike w:val="1"/>
        </w:rPr>
        <w:t xml:space="preserve">A Lender which becomes a Lender hereunder after the day on which this Agreement is entered into </w:t>
      </w:r>
      <w:r>
        <w:rPr>
          <w:rFonts w:ascii="Arial" w:cs="Arial" w:eastAsia="Arial" w:hAnsi="Arial"/>
          <w:sz w:val="17"/>
          <w:szCs w:val="17"/>
          <w:color w:val="008000"/>
          <w:strike w:val="1"/>
        </w:rPr>
        <w:t>(including, for the avoidance</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of doubt, </w:t>
      </w:r>
      <w:r>
        <w:rPr>
          <w:rFonts w:ascii="Arial" w:cs="Arial" w:eastAsia="Arial" w:hAnsi="Arial"/>
          <w:sz w:val="17"/>
          <w:szCs w:val="17"/>
          <w:color w:val="FF0000"/>
          <w:strike w:val="1"/>
        </w:rPr>
        <w:t>any Transferee) that (x) holds a passport under the HMRC DT Treaty Passport scheme and (y) wishes such scheme to apply to</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this Agreement, shall confirm its scheme reference number and its jurisdiction of tax residence to each UK Borrower and the Administrative Agent in the documentation which it executes upon becoming a party to this Agreement, and</w:t>
      </w:r>
    </w:p>
    <w:p>
      <w:pPr>
        <w:spacing w:after="0" w:line="64" w:lineRule="exact"/>
        <w:rPr>
          <w:rFonts w:ascii="Arial" w:cs="Arial" w:eastAsia="Arial" w:hAnsi="Arial"/>
          <w:sz w:val="17"/>
          <w:szCs w:val="17"/>
          <w:color w:val="FF0000"/>
          <w:strike w:val="1"/>
        </w:rPr>
      </w:pPr>
    </w:p>
    <w:p>
      <w:pPr>
        <w:ind w:left="1680" w:hanging="282"/>
        <w:spacing w:after="0"/>
        <w:tabs>
          <w:tab w:leader="none" w:pos="1680" w:val="left"/>
        </w:tabs>
        <w:numPr>
          <w:ilvl w:val="1"/>
          <w:numId w:val="482"/>
        </w:numPr>
        <w:rPr>
          <w:rFonts w:ascii="Arial" w:cs="Arial" w:eastAsia="Arial" w:hAnsi="Arial"/>
          <w:sz w:val="17"/>
          <w:szCs w:val="17"/>
          <w:color w:val="FF0000"/>
          <w:strike w:val="1"/>
        </w:rPr>
      </w:pPr>
      <w:r>
        <w:rPr>
          <w:rFonts w:ascii="Arial" w:cs="Arial" w:eastAsia="Arial" w:hAnsi="Arial"/>
          <w:sz w:val="17"/>
          <w:szCs w:val="17"/>
          <w:color w:val="FF0000"/>
          <w:strike w:val="1"/>
        </w:rPr>
        <w:t>Upon satisfying either clause (A) or (B) above, such Lender shall have satisfied its obligation under clause (e)(iii) above.</w:t>
      </w:r>
    </w:p>
    <w:p>
      <w:pPr>
        <w:spacing w:after="0" w:line="127" w:lineRule="exact"/>
        <w:rPr>
          <w:rFonts w:ascii="Arial" w:cs="Arial" w:eastAsia="Arial" w:hAnsi="Arial"/>
          <w:sz w:val="17"/>
          <w:szCs w:val="17"/>
          <w:color w:val="FF0000"/>
          <w:strike w:val="1"/>
        </w:rPr>
      </w:pPr>
    </w:p>
    <w:p>
      <w:pPr>
        <w:ind w:right="40" w:firstLine="998"/>
        <w:spacing w:after="0" w:line="276" w:lineRule="auto"/>
        <w:tabs>
          <w:tab w:leader="none" w:pos="1243" w:val="left"/>
        </w:tabs>
        <w:numPr>
          <w:ilvl w:val="0"/>
          <w:numId w:val="48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a Lender has confirmed its scheme reference number and its jurisdiction of tax residence in accordance with clause (e)(iv) above, the UK Borrower(s) shall make a Borrower DTTP Filing with respect to such Lender;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w:t>
      </w:r>
    </w:p>
    <w:p>
      <w:pPr>
        <w:spacing w:after="0" w:line="62" w:lineRule="exact"/>
        <w:rPr>
          <w:rFonts w:ascii="Arial" w:cs="Arial" w:eastAsia="Arial" w:hAnsi="Arial"/>
          <w:sz w:val="18"/>
          <w:szCs w:val="18"/>
          <w:color w:val="FF0000"/>
          <w:strike w:val="1"/>
        </w:rPr>
      </w:pPr>
    </w:p>
    <w:p>
      <w:pPr>
        <w:ind w:left="1700" w:hanging="302"/>
        <w:spacing w:after="0"/>
        <w:tabs>
          <w:tab w:leader="none" w:pos="1700" w:val="left"/>
        </w:tabs>
        <w:numPr>
          <w:ilvl w:val="1"/>
          <w:numId w:val="483"/>
        </w:numPr>
        <w:rPr>
          <w:rFonts w:ascii="Arial" w:cs="Arial" w:eastAsia="Arial" w:hAnsi="Arial"/>
          <w:sz w:val="17"/>
          <w:szCs w:val="17"/>
          <w:color w:val="FF0000"/>
          <w:strike w:val="1"/>
        </w:rPr>
      </w:pPr>
      <w:r>
        <w:rPr>
          <w:rFonts w:ascii="Arial" w:cs="Arial" w:eastAsia="Arial" w:hAnsi="Arial"/>
          <w:sz w:val="17"/>
          <w:szCs w:val="17"/>
          <w:color w:val="FF0000"/>
          <w:strike w:val="1"/>
        </w:rPr>
        <w:t>a UK Borrower making a payment to such Lender has not made a Borrower DTTP Filing in respect of such Lender; or</w:t>
      </w:r>
    </w:p>
    <w:p>
      <w:pPr>
        <w:spacing w:after="0" w:line="127" w:lineRule="exact"/>
        <w:rPr>
          <w:rFonts w:ascii="Arial" w:cs="Arial" w:eastAsia="Arial" w:hAnsi="Arial"/>
          <w:sz w:val="17"/>
          <w:szCs w:val="17"/>
          <w:color w:val="FF0000"/>
          <w:strike w:val="1"/>
        </w:rPr>
      </w:pPr>
    </w:p>
    <w:p>
      <w:pPr>
        <w:ind w:left="1680" w:hanging="282"/>
        <w:spacing w:after="0"/>
        <w:tabs>
          <w:tab w:leader="none" w:pos="1680" w:val="left"/>
        </w:tabs>
        <w:numPr>
          <w:ilvl w:val="1"/>
          <w:numId w:val="483"/>
        </w:numPr>
        <w:rPr>
          <w:rFonts w:ascii="Arial" w:cs="Arial" w:eastAsia="Arial" w:hAnsi="Arial"/>
          <w:sz w:val="18"/>
          <w:szCs w:val="18"/>
          <w:color w:val="FF0000"/>
          <w:strike w:val="1"/>
        </w:rPr>
      </w:pPr>
      <w:r>
        <w:rPr>
          <w:rFonts w:ascii="Arial" w:cs="Arial" w:eastAsia="Arial" w:hAnsi="Arial"/>
          <w:sz w:val="18"/>
          <w:szCs w:val="18"/>
          <w:color w:val="FF0000"/>
          <w:strike w:val="1"/>
        </w:rPr>
        <w:t>a UK Borrower making a payment to such Lender has made a Borrower DTTP Filing in respect of such Lender but:</w:t>
      </w:r>
    </w:p>
    <w:p>
      <w:pPr>
        <w:spacing w:after="0" w:line="116" w:lineRule="exact"/>
        <w:rPr>
          <w:rFonts w:ascii="Arial" w:cs="Arial" w:eastAsia="Arial" w:hAnsi="Arial"/>
          <w:sz w:val="18"/>
          <w:szCs w:val="18"/>
          <w:color w:val="FF0000"/>
          <w:strike w:val="1"/>
        </w:rPr>
      </w:pPr>
    </w:p>
    <w:p>
      <w:pPr>
        <w:ind w:left="2080" w:hanging="260"/>
        <w:spacing w:after="0"/>
        <w:tabs>
          <w:tab w:leader="none" w:pos="2080" w:val="left"/>
        </w:tabs>
        <w:numPr>
          <w:ilvl w:val="2"/>
          <w:numId w:val="483"/>
        </w:numPr>
        <w:rPr>
          <w:rFonts w:ascii="Arial" w:cs="Arial" w:eastAsia="Arial" w:hAnsi="Arial"/>
          <w:sz w:val="18"/>
          <w:szCs w:val="18"/>
          <w:color w:val="FF0000"/>
          <w:strike w:val="1"/>
        </w:rPr>
      </w:pPr>
      <w:r>
        <w:rPr>
          <w:rFonts w:ascii="Arial" w:cs="Arial" w:eastAsia="Arial" w:hAnsi="Arial"/>
          <w:sz w:val="18"/>
          <w:szCs w:val="18"/>
          <w:color w:val="FF0000"/>
          <w:strike w:val="1"/>
        </w:rPr>
        <w:t>such Borrower DTTP Filing has been rejected by HMRC; or</w:t>
      </w:r>
    </w:p>
    <w:p>
      <w:pPr>
        <w:spacing w:after="0" w:line="116" w:lineRule="exact"/>
        <w:rPr>
          <w:rFonts w:ascii="Arial" w:cs="Arial" w:eastAsia="Arial" w:hAnsi="Arial"/>
          <w:sz w:val="18"/>
          <w:szCs w:val="18"/>
          <w:color w:val="FF0000"/>
          <w:strike w:val="1"/>
        </w:rPr>
      </w:pPr>
    </w:p>
    <w:p>
      <w:pPr>
        <w:ind w:left="1440" w:right="200" w:firstLine="380"/>
        <w:spacing w:after="0" w:line="276" w:lineRule="auto"/>
        <w:tabs>
          <w:tab w:leader="none" w:pos="2077" w:val="left"/>
        </w:tabs>
        <w:numPr>
          <w:ilvl w:val="2"/>
          <w:numId w:val="483"/>
        </w:numPr>
        <w:rPr>
          <w:rFonts w:ascii="Arial" w:cs="Arial" w:eastAsia="Arial" w:hAnsi="Arial"/>
          <w:sz w:val="18"/>
          <w:szCs w:val="18"/>
          <w:color w:val="FF0000"/>
          <w:strike w:val="1"/>
        </w:rPr>
      </w:pPr>
      <w:r>
        <w:rPr>
          <w:rFonts w:ascii="Arial" w:cs="Arial" w:eastAsia="Arial" w:hAnsi="Arial"/>
          <w:sz w:val="18"/>
          <w:szCs w:val="18"/>
          <w:color w:val="FF0000"/>
          <w:strike w:val="1"/>
        </w:rPr>
        <w:t>HMRC has not given such UK Borrower authority to make payments to such Lender without a UK Tax Deduction within 60 days of the date of such Borrower DTTP Filing;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3" w:right="459" w:bottom="1440" w:gutter="0" w:footer="0" w:header="0"/>
        </w:sectPr>
      </w:pPr>
    </w:p>
    <w:bookmarkStart w:id="557" w:name="page558"/>
    <w:bookmarkEnd w:id="557"/>
    <w:p>
      <w:pPr>
        <w:ind w:left="1440" w:right="10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in each case, such UK Borrower has notified that Lender in writing of either clause (1) or (2) above, then such Lender and such UK Borrower shall co-operate in completing any additional procedural formalities necessary for such UK Borrower to obtain authorization to make that payment without a UK Tax Deduction.</w:t>
      </w:r>
    </w:p>
    <w:p>
      <w:pPr>
        <w:spacing w:after="0" w:line="74" w:lineRule="exact"/>
        <w:rPr>
          <w:sz w:val="20"/>
          <w:szCs w:val="20"/>
          <w:color w:val="auto"/>
        </w:rPr>
      </w:pPr>
    </w:p>
    <w:p>
      <w:pPr>
        <w:ind w:right="180" w:firstLine="998"/>
        <w:spacing w:after="0" w:line="263" w:lineRule="auto"/>
        <w:tabs>
          <w:tab w:leader="none" w:pos="1293" w:val="left"/>
        </w:tabs>
        <w:numPr>
          <w:ilvl w:val="0"/>
          <w:numId w:val="484"/>
        </w:numPr>
        <w:rPr>
          <w:rFonts w:ascii="Arial" w:cs="Arial" w:eastAsia="Arial" w:hAnsi="Arial"/>
          <w:sz w:val="18"/>
          <w:szCs w:val="18"/>
          <w:color w:val="FF0000"/>
          <w:strike w:val="1"/>
        </w:rPr>
      </w:pPr>
      <w:r>
        <w:rPr>
          <w:rFonts w:ascii="Arial" w:cs="Arial" w:eastAsia="Arial" w:hAnsi="Arial"/>
          <w:sz w:val="18"/>
          <w:szCs w:val="18"/>
          <w:color w:val="FF0000"/>
          <w:strike w:val="1"/>
        </w:rPr>
        <w:t>If a Lender has not confirmed its scheme reference number and jurisdiction of tax residence in accordance with clause (e)(iv) above, no UK Borrower shall make a Borrower DTTP Filing or file any other form relating to the HMRC DT Treaty Passport scheme in respect of that Lender’s Commitment(s) or its participation in any Loan unless the Lender otherwise agrees.</w:t>
      </w:r>
    </w:p>
    <w:p>
      <w:pPr>
        <w:spacing w:after="0" w:line="73" w:lineRule="exact"/>
        <w:rPr>
          <w:rFonts w:ascii="Arial" w:cs="Arial" w:eastAsia="Arial" w:hAnsi="Arial"/>
          <w:sz w:val="18"/>
          <w:szCs w:val="18"/>
          <w:color w:val="FF0000"/>
          <w:strike w:val="1"/>
        </w:rPr>
      </w:pPr>
    </w:p>
    <w:p>
      <w:pPr>
        <w:ind w:right="640" w:firstLine="998"/>
        <w:spacing w:after="0" w:line="276" w:lineRule="auto"/>
        <w:tabs>
          <w:tab w:leader="none" w:pos="1343" w:val="left"/>
        </w:tabs>
        <w:numPr>
          <w:ilvl w:val="0"/>
          <w:numId w:val="484"/>
        </w:numPr>
        <w:rPr>
          <w:rFonts w:ascii="Arial" w:cs="Arial" w:eastAsia="Arial" w:hAnsi="Arial"/>
          <w:sz w:val="18"/>
          <w:szCs w:val="18"/>
          <w:color w:val="FF0000"/>
          <w:strike w:val="1"/>
        </w:rPr>
      </w:pPr>
      <w:r>
        <w:rPr>
          <w:rFonts w:ascii="Arial" w:cs="Arial" w:eastAsia="Arial" w:hAnsi="Arial"/>
          <w:sz w:val="18"/>
          <w:szCs w:val="18"/>
          <w:color w:val="FF0000"/>
          <w:strike w:val="1"/>
        </w:rPr>
        <w:t>Each UK Borrower shall, promptly on making a Borrower DTTP Filing, deliver a copy of such Borrower DTTP Filing to the Administrative Agent for delivery to the relevant Lender.</w:t>
      </w:r>
    </w:p>
    <w:p>
      <w:pPr>
        <w:spacing w:after="0" w:line="62" w:lineRule="exact"/>
        <w:rPr>
          <w:rFonts w:ascii="Arial" w:cs="Arial" w:eastAsia="Arial" w:hAnsi="Arial"/>
          <w:sz w:val="18"/>
          <w:szCs w:val="18"/>
          <w:color w:val="FF0000"/>
          <w:strike w:val="1"/>
        </w:rPr>
      </w:pPr>
    </w:p>
    <w:p>
      <w:pPr>
        <w:ind w:right="100" w:firstLine="998"/>
        <w:spacing w:after="0" w:line="258" w:lineRule="auto"/>
        <w:tabs>
          <w:tab w:leader="none" w:pos="1393" w:val="left"/>
        </w:tabs>
        <w:numPr>
          <w:ilvl w:val="0"/>
          <w:numId w:val="48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Each Lender shall notify HMRC, each UK Borrower and the Administrative Agent if it determines </w:t>
      </w:r>
      <w:r>
        <w:rPr>
          <w:rFonts w:ascii="Arial" w:cs="Arial" w:eastAsia="Arial" w:hAnsi="Arial"/>
          <w:sz w:val="18"/>
          <w:szCs w:val="18"/>
          <w:color w:val="008000"/>
          <w:strike w:val="1"/>
        </w:rPr>
        <w:t>in its sole discretion that it</w:t>
      </w:r>
      <w:r>
        <w:rPr>
          <w:rFonts w:ascii="Arial" w:cs="Arial" w:eastAsia="Arial" w:hAnsi="Arial"/>
          <w:sz w:val="18"/>
          <w:szCs w:val="18"/>
          <w:color w:val="FF0000"/>
          <w:strike w:val="1"/>
        </w:rPr>
        <w:t xml:space="preserve"> is not or ceases to be entitled to claim the benefits of the applicable UK Treaty with respect to payments made by any UK Borrower hereunder, including as the result of any participation under Section 10.6(c) pursuant to which it ceases to be beneficially entitled to any interest payable to it by any UK Borrower under any Loan Document.</w:t>
      </w:r>
    </w:p>
    <w:p>
      <w:pPr>
        <w:spacing w:after="0" w:line="79" w:lineRule="exact"/>
        <w:rPr>
          <w:rFonts w:ascii="Arial" w:cs="Arial" w:eastAsia="Arial" w:hAnsi="Arial"/>
          <w:sz w:val="18"/>
          <w:szCs w:val="18"/>
          <w:color w:val="FF0000"/>
          <w:strike w:val="1"/>
        </w:rPr>
      </w:pPr>
    </w:p>
    <w:p>
      <w:pPr>
        <w:ind w:right="40" w:firstLine="998"/>
        <w:spacing w:after="0" w:line="270" w:lineRule="auto"/>
        <w:tabs>
          <w:tab w:leader="none" w:pos="1293" w:val="left"/>
        </w:tabs>
        <w:numPr>
          <w:ilvl w:val="0"/>
          <w:numId w:val="484"/>
        </w:numPr>
        <w:rPr>
          <w:rFonts w:ascii="Arial" w:cs="Arial" w:eastAsia="Arial" w:hAnsi="Arial"/>
          <w:sz w:val="17"/>
          <w:szCs w:val="17"/>
          <w:color w:val="FF0000"/>
          <w:strike w:val="1"/>
        </w:rPr>
      </w:pPr>
      <w:r>
        <w:rPr>
          <w:rFonts w:ascii="Arial" w:cs="Arial" w:eastAsia="Arial" w:hAnsi="Arial"/>
          <w:sz w:val="17"/>
          <w:szCs w:val="17"/>
          <w:color w:val="FF0000"/>
          <w:strike w:val="1"/>
        </w:rPr>
        <w:t xml:space="preserve">Each Lender which becomes a party to this Agreement after the date of this Agreement shall indicate, in the documentation which it executes on becoming a party, and for the benefit of the Administrative Agent and without liability to any Loan Party, which of the following categories it falls in </w:t>
      </w:r>
      <w:r>
        <w:rPr>
          <w:rFonts w:ascii="Arial" w:cs="Arial" w:eastAsia="Arial" w:hAnsi="Arial"/>
          <w:sz w:val="17"/>
          <w:szCs w:val="17"/>
          <w:color w:val="008000"/>
          <w:strike w:val="1"/>
        </w:rPr>
        <w:t>with respect to any UK</w:t>
      </w:r>
      <w:r>
        <w:rPr>
          <w:rFonts w:ascii="Arial" w:cs="Arial" w:eastAsia="Arial" w:hAnsi="Arial"/>
          <w:sz w:val="17"/>
          <w:szCs w:val="17"/>
          <w:color w:val="FF0000"/>
          <w:strike w:val="1"/>
        </w:rPr>
        <w:t xml:space="preserve"> Borrower to which it will make advances under any Loan Document: (A) not a UK Qualifying Lender; (B) a UK Qualifying Lender (other than a UK Treaty Lender); or (C) a UK Treaty Lender. If such a Lender fails to indicate its status in accordance with this Section 2.19(e)(ix) then that Lender shall be treated for the purposes of this Agreement (including by each UK Borrower) as if it is not a UK Qualifying Lender until such time as it notifies the Administrative Agent which category applies (and the Administrative Agent, upon receipt of such notification, shall inform the Company). </w:t>
      </w:r>
      <w:r>
        <w:rPr>
          <w:rFonts w:ascii="Arial" w:cs="Arial" w:eastAsia="Arial" w:hAnsi="Arial"/>
          <w:sz w:val="17"/>
          <w:szCs w:val="17"/>
          <w:color w:val="008000"/>
          <w:strike w:val="1"/>
        </w:rPr>
        <w:t>For the avoidance of doubt, the</w:t>
      </w:r>
      <w:r>
        <w:rPr>
          <w:rFonts w:ascii="Arial" w:cs="Arial" w:eastAsia="Arial" w:hAnsi="Arial"/>
          <w:sz w:val="17"/>
          <w:szCs w:val="17"/>
          <w:color w:val="FF0000"/>
          <w:strike w:val="1"/>
        </w:rPr>
        <w:t xml:space="preserve"> documentation which a Lender executes on becoming a party to this Agreement shall not be invalidated by any failure of a Lender to comply with this Section 2.19(e)(ix).</w:t>
      </w:r>
    </w:p>
    <w:p>
      <w:pPr>
        <w:spacing w:after="0" w:line="72" w:lineRule="exact"/>
        <w:rPr>
          <w:sz w:val="20"/>
          <w:szCs w:val="20"/>
          <w:color w:val="auto"/>
        </w:rPr>
      </w:pPr>
    </w:p>
    <w:p>
      <w:pPr>
        <w:ind w:firstLine="9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f</w:t>
      </w:r>
      <w:r>
        <w:rPr>
          <w:rFonts w:ascii="Arial" w:cs="Arial" w:eastAsia="Arial" w:hAnsi="Arial"/>
          <w:sz w:val="17"/>
          <w:szCs w:val="17"/>
          <w:u w:val="single" w:color="auto"/>
          <w:color w:val="0000FF"/>
        </w:rPr>
        <w:t>e</w:t>
      </w:r>
      <w:r>
        <w:rPr>
          <w:rFonts w:ascii="Arial" w:cs="Arial" w:eastAsia="Arial" w:hAnsi="Arial"/>
          <w:sz w:val="17"/>
          <w:szCs w:val="17"/>
          <w:color w:val="auto"/>
        </w:rPr>
        <w:t xml:space="preserve">) 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2.9,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t>
      </w:r>
      <w:r>
        <w:rPr>
          <w:rFonts w:ascii="Arial" w:cs="Arial" w:eastAsia="Arial" w:hAnsi="Arial"/>
          <w:sz w:val="17"/>
          <w:szCs w:val="17"/>
          <w:color w:val="FF0000"/>
          <w:strike w:val="1"/>
        </w:rPr>
        <w:t>With respect to any UK Borrower</w:t>
      </w:r>
      <w:r>
        <w:rPr>
          <w:rFonts w:ascii="Arial" w:cs="Arial" w:eastAsia="Arial" w:hAnsi="Arial"/>
          <w:sz w:val="17"/>
          <w:szCs w:val="17"/>
          <w:color w:val="008000"/>
          <w:strike w:val="1"/>
        </w:rPr>
        <w:t>, in the case of any</w:t>
      </w:r>
      <w:r>
        <w:rPr>
          <w:rFonts w:ascii="Arial" w:cs="Arial" w:eastAsia="Arial" w:hAnsi="Arial"/>
          <w:sz w:val="17"/>
          <w:szCs w:val="17"/>
          <w:color w:val="auto"/>
        </w:rPr>
        <w:t xml:space="preserve"> </w:t>
      </w:r>
      <w:r>
        <w:rPr>
          <w:rFonts w:ascii="Arial" w:cs="Arial" w:eastAsia="Arial" w:hAnsi="Arial"/>
          <w:sz w:val="17"/>
          <w:szCs w:val="17"/>
          <w:color w:val="FF0000"/>
          <w:strike w:val="1"/>
        </w:rPr>
        <w:t>conflict between this Section 2.19(f) and</w:t>
      </w:r>
      <w:r>
        <w:rPr>
          <w:rFonts w:ascii="Arial" w:cs="Arial" w:eastAsia="Arial" w:hAnsi="Arial"/>
          <w:sz w:val="17"/>
          <w:szCs w:val="17"/>
          <w:color w:val="auto"/>
        </w:rPr>
        <w:t xml:space="preserve"> </w:t>
      </w:r>
      <w:r>
        <w:rPr>
          <w:rFonts w:ascii="Arial" w:cs="Arial" w:eastAsia="Arial" w:hAnsi="Arial"/>
          <w:sz w:val="17"/>
          <w:szCs w:val="17"/>
          <w:color w:val="FF0000"/>
          <w:strike w:val="1"/>
        </w:rPr>
        <w:t>Section 2.19(e), the provisions of Section 2.19(e) shall prevail.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3" w:right="479" w:bottom="1440" w:gutter="0" w:footer="0" w:header="0"/>
        </w:sectPr>
      </w:pPr>
    </w:p>
    <w:bookmarkStart w:id="558" w:name="page559"/>
    <w:bookmarkEnd w:id="558"/>
    <w:p>
      <w:pPr>
        <w:ind w:firstLine="98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color w:val="FF0000"/>
          <w:strike w:val="1"/>
        </w:rPr>
        <w:t>g</w:t>
      </w:r>
      <w:r>
        <w:rPr>
          <w:rFonts w:ascii="Arial" w:cs="Arial" w:eastAsia="Arial" w:hAnsi="Arial"/>
          <w:sz w:val="17"/>
          <w:szCs w:val="17"/>
          <w:u w:val="single" w:color="auto"/>
          <w:color w:val="0000FF"/>
        </w:rPr>
        <w:t>f</w:t>
      </w:r>
      <w:r>
        <w:rPr>
          <w:rFonts w:ascii="Arial" w:cs="Arial" w:eastAsia="Arial" w:hAnsi="Arial"/>
          <w:sz w:val="17"/>
          <w:szCs w:val="17"/>
          <w:color w:val="auto"/>
        </w:rPr>
        <w:t xml:space="preserve">) 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2.19, it shall pay over such refund to such Loan Party (but only to the extent of indemnity payments made, or additional amounts paid, by such Loan Party under this Section 2.19 with respect to the Non-Excluded Taxes or Other Taxes giving rise to such refund), net of all out-of-pocket expenses of the Administrative Agent, the Brazilian Administrative Agent, such Transferee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Loan Party, upon the request of the Administrative Agent, the Brazilian Administrative Agent, such Transferee or such Lender, agrees to repay the amount paid over to such Loan Party (plus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74" w:lineRule="exact"/>
        <w:rPr>
          <w:sz w:val="20"/>
          <w:szCs w:val="20"/>
          <w:color w:val="auto"/>
        </w:rPr>
      </w:pPr>
    </w:p>
    <w:p>
      <w:pPr>
        <w:ind w:right="60" w:firstLine="98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h</w:t>
      </w:r>
      <w:r>
        <w:rPr>
          <w:rFonts w:ascii="Arial" w:cs="Arial" w:eastAsia="Arial" w:hAnsi="Arial"/>
          <w:sz w:val="16"/>
          <w:szCs w:val="16"/>
          <w:u w:val="single" w:color="auto"/>
          <w:color w:val="0000FF"/>
        </w:rPr>
        <w:t>g</w:t>
      </w:r>
      <w:r>
        <w:rPr>
          <w:rFonts w:ascii="Arial" w:cs="Arial" w:eastAsia="Arial" w:hAnsi="Arial"/>
          <w:sz w:val="16"/>
          <w:szCs w:val="16"/>
          <w:color w:val="auto"/>
        </w:rPr>
        <w:t>) Each Lender shall indemnify the Administrative Agent and the Brazilian Administrative Agent (to the extent not reimbursed by or on behalf of the Company if it is required to do so under Section 2.19(a) or 10.5 and without limiting the obligation of the Company under Section 2.19(a)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 A certificate as to the amount of such payment or liability delivered to any Lender by the Administrative Agent or the Brazilian Administrative Agent shall be conclusive absent manifest error.</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w:t>
      </w:r>
      <w:r>
        <w:rPr>
          <w:rFonts w:ascii="Arial" w:cs="Arial" w:eastAsia="Arial" w:hAnsi="Arial"/>
          <w:sz w:val="18"/>
          <w:szCs w:val="18"/>
          <w:u w:val="single" w:color="auto"/>
          <w:color w:val="0000FF"/>
        </w:rPr>
        <w:t>h</w:t>
      </w:r>
      <w:r>
        <w:rPr>
          <w:rFonts w:ascii="Arial" w:cs="Arial" w:eastAsia="Arial" w:hAnsi="Arial"/>
          <w:sz w:val="18"/>
          <w:szCs w:val="18"/>
          <w:color w:val="auto"/>
        </w:rPr>
        <w:t>) Each Assignee shall be bound by this Section 2.19.</w:t>
      </w:r>
    </w:p>
    <w:p>
      <w:pPr>
        <w:spacing w:after="0" w:line="116" w:lineRule="exact"/>
        <w:rPr>
          <w:sz w:val="20"/>
          <w:szCs w:val="20"/>
          <w:color w:val="auto"/>
        </w:rPr>
      </w:pPr>
    </w:p>
    <w:p>
      <w:pPr>
        <w:ind w:right="600" w:firstLine="98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j</w:t>
      </w:r>
      <w:r>
        <w:rPr>
          <w:rFonts w:ascii="Arial" w:cs="Arial" w:eastAsia="Arial" w:hAnsi="Arial"/>
          <w:sz w:val="18"/>
          <w:szCs w:val="18"/>
          <w:u w:val="single" w:color="auto"/>
          <w:color w:val="0000FF"/>
        </w:rPr>
        <w:t>i</w:t>
      </w:r>
      <w:r>
        <w:rPr>
          <w:rFonts w:ascii="Arial" w:cs="Arial" w:eastAsia="Arial" w:hAnsi="Arial"/>
          <w:sz w:val="18"/>
          <w:szCs w:val="18"/>
          <w:color w:val="auto"/>
        </w:rPr>
        <w:t>) The agreements in this Section 2.19 shall survive the termination of this Agreement and the payment of the Loans and all other amounts payable hereunder and the other Loan Documents.</w:t>
      </w:r>
    </w:p>
    <w:p>
      <w:pPr>
        <w:spacing w:after="0" w:line="63" w:lineRule="exact"/>
        <w:rPr>
          <w:sz w:val="20"/>
          <w:szCs w:val="20"/>
          <w:color w:val="auto"/>
        </w:rPr>
      </w:pPr>
    </w:p>
    <w:p>
      <w:pPr>
        <w:ind w:right="20" w:firstLine="989"/>
        <w:spacing w:after="0" w:line="269" w:lineRule="auto"/>
        <w:rPr>
          <w:sz w:val="20"/>
          <w:szCs w:val="20"/>
          <w:color w:val="auto"/>
        </w:rPr>
      </w:pPr>
      <w:r>
        <w:rPr>
          <w:rFonts w:ascii="Arial" w:cs="Arial" w:eastAsia="Arial" w:hAnsi="Arial"/>
          <w:sz w:val="17"/>
          <w:szCs w:val="17"/>
          <w:color w:val="auto"/>
        </w:rPr>
        <w:t>2.20 Indemnity.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2.22. Such indemnification may include an amount up to the excess, if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3" w:right="479" w:bottom="1440" w:gutter="0" w:footer="0" w:header="0"/>
        </w:sectPr>
      </w:pPr>
    </w:p>
    <w:bookmarkStart w:id="559" w:name="page560"/>
    <w:bookmarkEnd w:id="55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Iinterbank Eurocurrency market. A certificate as to any amounts payable pursuant to this Section 2.20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2.20 shall survive the termination of this Agreement, the repayment of the Loans and all other amounts payable hereunder and the other Loan Documents.</w:t>
      </w:r>
    </w:p>
    <w:p>
      <w:pPr>
        <w:spacing w:after="0" w:line="60" w:lineRule="exact"/>
        <w:rPr>
          <w:sz w:val="20"/>
          <w:szCs w:val="20"/>
          <w:color w:val="auto"/>
        </w:rPr>
      </w:pPr>
    </w:p>
    <w:p>
      <w:pPr>
        <w:ind w:right="60" w:firstLine="989"/>
        <w:spacing w:after="0" w:line="254" w:lineRule="auto"/>
        <w:rPr>
          <w:sz w:val="20"/>
          <w:szCs w:val="20"/>
          <w:color w:val="auto"/>
        </w:rPr>
      </w:pPr>
      <w:r>
        <w:rPr>
          <w:rFonts w:ascii="Arial" w:cs="Arial" w:eastAsia="Arial" w:hAnsi="Arial"/>
          <w:sz w:val="18"/>
          <w:szCs w:val="18"/>
          <w:color w:val="auto"/>
        </w:rPr>
        <w:t xml:space="preserve">2.21 Change of Applicable Lending Office. Each Lender agrees that, upon the occurrence of any event giving rise to the operation of Section 2.18 or 2.19(a)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2.21 shall affect or postpone any of the obligations of the Company or the rights of any Lender pursuant to Section 2.18 or 2.19(a).</w:t>
      </w:r>
    </w:p>
    <w:p>
      <w:pPr>
        <w:spacing w:after="0" w:line="83" w:lineRule="exact"/>
        <w:rPr>
          <w:sz w:val="20"/>
          <w:szCs w:val="20"/>
          <w:color w:val="auto"/>
        </w:rPr>
      </w:pPr>
    </w:p>
    <w:p>
      <w:pPr>
        <w:ind w:firstLine="989"/>
        <w:spacing w:after="0" w:line="284" w:lineRule="auto"/>
        <w:rPr>
          <w:sz w:val="20"/>
          <w:szCs w:val="20"/>
          <w:color w:val="auto"/>
        </w:rPr>
      </w:pPr>
      <w:r>
        <w:rPr>
          <w:rFonts w:ascii="Arial" w:cs="Arial" w:eastAsia="Arial" w:hAnsi="Arial"/>
          <w:sz w:val="16"/>
          <w:szCs w:val="16"/>
          <w:color w:val="auto"/>
        </w:rPr>
        <w:t>2.22 Replacement/Termination of Lenders.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2.18 or 2.19(a),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w:t>
      </w:r>
    </w:p>
    <w:p>
      <w:pPr>
        <w:spacing w:after="0" w:line="3" w:lineRule="exact"/>
        <w:rPr>
          <w:sz w:val="20"/>
          <w:szCs w:val="20"/>
          <w:color w:val="auto"/>
        </w:rPr>
      </w:pPr>
    </w:p>
    <w:p>
      <w:pPr>
        <w:ind w:right="240" w:firstLine="9"/>
        <w:spacing w:after="0" w:line="281" w:lineRule="auto"/>
        <w:tabs>
          <w:tab w:leader="none" w:pos="314" w:val="left"/>
        </w:tabs>
        <w:numPr>
          <w:ilvl w:val="0"/>
          <w:numId w:val="485"/>
        </w:numPr>
        <w:rPr>
          <w:rFonts w:ascii="Arial" w:cs="Arial" w:eastAsia="Arial" w:hAnsi="Arial"/>
          <w:sz w:val="16"/>
          <w:szCs w:val="16"/>
          <w:color w:val="auto"/>
        </w:rPr>
      </w:pPr>
      <w:r>
        <w:rPr>
          <w:rFonts w:ascii="Arial" w:cs="Arial" w:eastAsia="Arial" w:hAnsi="Arial"/>
          <w:sz w:val="16"/>
          <w:szCs w:val="16"/>
          <w:color w:val="auto"/>
        </w:rPr>
        <w:t>fails to give its consent to an extension of the Termination Date to which the Majority Facility Lenders under such Facility have consented, (b) in the case of any Multicurrency Lender that fails to give its consent to the addition of a new Optional Currency to which the Majority Facility Lenders under such Facility have consented, to reallocate such Lender’s Multicurrency Commitment to a Domestic Commitment pursuant to Section 2.9(b)</w:t>
      </w: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(regardless of whether the amount of such Commitment is less than the minimum amount required under such section) and (c) in the case of any Multicurrency Lender that fails to give its consent to the addition of a new Borrower pursuant to Section 10.1(d)(i) to which the Administrative Agent has agreed, to reallocate such Lender’s Multicurrency Commitment to a Domestic Commitment pursuant to Section 2.9(b)(regardless of whether the amount of such Commitment is less than the minimum amount required under such section);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2.20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3" w:right="479" w:bottom="1440" w:gutter="0" w:footer="0" w:header="0"/>
        </w:sectPr>
      </w:pPr>
    </w:p>
    <w:bookmarkStart w:id="560" w:name="page561"/>
    <w:bookmarkEnd w:id="560"/>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agreed, the Company shall be obligated to pay the registration and processing fee referred to therein), (E) until such time as such replacement shall be consummated, the Company shall pay all additional amounts (if any) required pursuant to Section 2.18 or 2.19(a),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2.22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8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2.23 Defaulting Lender.</w:t>
      </w:r>
    </w:p>
    <w:p>
      <w:pPr>
        <w:spacing w:after="0" w:line="116" w:lineRule="exact"/>
        <w:rPr>
          <w:sz w:val="20"/>
          <w:szCs w:val="20"/>
          <w:color w:val="auto"/>
        </w:rPr>
      </w:pPr>
    </w:p>
    <w:p>
      <w:pPr>
        <w:ind w:right="720" w:firstLine="989"/>
        <w:spacing w:after="0" w:line="276"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3" w:lineRule="exact"/>
        <w:rPr>
          <w:sz w:val="20"/>
          <w:szCs w:val="20"/>
          <w:color w:val="auto"/>
        </w:rPr>
      </w:pPr>
    </w:p>
    <w:p>
      <w:pPr>
        <w:ind w:left="1240" w:hanging="242"/>
        <w:spacing w:after="0"/>
        <w:tabs>
          <w:tab w:leader="none" w:pos="124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Facility Fees shall cease to accrue on the unfunded Commitment of such Defaulting Lender pursuant to Section 2.8;</w:t>
      </w:r>
    </w:p>
    <w:p>
      <w:pPr>
        <w:spacing w:after="0" w:line="116" w:lineRule="exact"/>
        <w:rPr>
          <w:rFonts w:ascii="Arial" w:cs="Arial" w:eastAsia="Arial" w:hAnsi="Arial"/>
          <w:sz w:val="18"/>
          <w:szCs w:val="18"/>
          <w:color w:val="auto"/>
        </w:rPr>
      </w:pPr>
    </w:p>
    <w:p>
      <w:pPr>
        <w:ind w:firstLine="998"/>
        <w:spacing w:after="0" w:line="288" w:lineRule="auto"/>
        <w:tabs>
          <w:tab w:leader="none" w:pos="1243"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60" w:lineRule="exact"/>
        <w:rPr>
          <w:rFonts w:ascii="Arial" w:cs="Arial" w:eastAsia="Arial" w:hAnsi="Arial"/>
          <w:sz w:val="16"/>
          <w:szCs w:val="16"/>
          <w:color w:val="auto"/>
        </w:rPr>
      </w:pPr>
    </w:p>
    <w:p>
      <w:pPr>
        <w:ind w:left="1640" w:hanging="242"/>
        <w:spacing w:after="0"/>
        <w:tabs>
          <w:tab w:leader="none" w:pos="16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if any L/C Obligations exist at the time any Domestic Lender becomes a Defaulting Lender then:</w:t>
      </w:r>
    </w:p>
    <w:p>
      <w:pPr>
        <w:spacing w:after="0" w:line="116" w:lineRule="exact"/>
        <w:rPr>
          <w:sz w:val="20"/>
          <w:szCs w:val="20"/>
          <w:color w:val="auto"/>
        </w:rPr>
      </w:pPr>
    </w:p>
    <w:p>
      <w:pPr>
        <w:ind w:left="1000" w:right="60" w:firstLine="398"/>
        <w:spacing w:after="0" w:line="275" w:lineRule="auto"/>
        <w:tabs>
          <w:tab w:leader="none" w:pos="1614" w:val="left"/>
        </w:tabs>
        <w:numPr>
          <w:ilvl w:val="0"/>
          <w:numId w:val="487"/>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at such time all or any part of the L/C Obligations of such Defaulting Lender shall be reallocated among the Domestic Lenders that are not Defaulting Lenders in accordance with their respective Domestic Percentages (calculated without regard to such Defaulting Lender) but only to the extent the sum of all non-Defaulting Lenders’ Domestic Extensions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outstanding Domestic Competitive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L/C Obligations does not exceed the total of all Domestic Lenders that are not Defaulting Lenders’ Domestic Commitments;</w:t>
      </w:r>
    </w:p>
    <w:p>
      <w:pPr>
        <w:spacing w:after="0" w:line="65" w:lineRule="exact"/>
        <w:rPr>
          <w:rFonts w:ascii="Arial" w:cs="Arial" w:eastAsia="Arial" w:hAnsi="Arial"/>
          <w:sz w:val="17"/>
          <w:szCs w:val="17"/>
          <w:color w:val="auto"/>
        </w:rPr>
      </w:pPr>
    </w:p>
    <w:p>
      <w:pPr>
        <w:ind w:left="1000" w:right="20" w:firstLine="398"/>
        <w:spacing w:after="0" w:line="263" w:lineRule="auto"/>
        <w:tabs>
          <w:tab w:leader="none" w:pos="166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Company or any Domestic Subsidiary Borrower shall, at any time and from time to time following notice by the Administrative Agent, Collateralize for the benefit of each Issuing Lender that is not, itself, a Defaulting Lender, the Borrowers’ obligations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273" w:right="479" w:bottom="1440" w:gutter="0" w:footer="0" w:header="0"/>
        </w:sectPr>
      </w:pPr>
    </w:p>
    <w:bookmarkStart w:id="561" w:name="page562"/>
    <w:bookmarkEnd w:id="561"/>
    <w:p>
      <w:pPr>
        <w:ind w:left="1000"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applicable Subsidiary Borrower at any time and from time to time upon its request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have then occurred and be continuing);</w:t>
      </w:r>
    </w:p>
    <w:p>
      <w:pPr>
        <w:spacing w:after="0" w:line="65" w:lineRule="exact"/>
        <w:rPr>
          <w:sz w:val="20"/>
          <w:szCs w:val="20"/>
          <w:color w:val="auto"/>
        </w:rPr>
      </w:pPr>
    </w:p>
    <w:p>
      <w:pPr>
        <w:jc w:val="both"/>
        <w:ind w:left="1000" w:right="60" w:firstLine="398"/>
        <w:spacing w:after="0" w:line="258" w:lineRule="auto"/>
        <w:tabs>
          <w:tab w:leader="none" w:pos="171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79" w:lineRule="exact"/>
        <w:rPr>
          <w:rFonts w:ascii="Arial" w:cs="Arial" w:eastAsia="Arial" w:hAnsi="Arial"/>
          <w:sz w:val="18"/>
          <w:szCs w:val="18"/>
          <w:color w:val="auto"/>
        </w:rPr>
      </w:pPr>
    </w:p>
    <w:p>
      <w:pPr>
        <w:ind w:left="1700" w:hanging="302"/>
        <w:spacing w:after="0"/>
        <w:tabs>
          <w:tab w:leader="none" w:pos="170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if the L/C Obligations of the Defaulting Lenders are reallocated pursuant to clause (i) above, then the fees payable to the</w:t>
      </w:r>
    </w:p>
    <w:p>
      <w:pPr>
        <w:spacing w:after="0" w:line="34" w:lineRule="exact"/>
        <w:rPr>
          <w:sz w:val="20"/>
          <w:szCs w:val="20"/>
          <w:color w:val="auto"/>
        </w:rPr>
      </w:pPr>
    </w:p>
    <w:p>
      <w:pPr>
        <w:ind w:left="1000" w:right="140"/>
        <w:spacing w:after="0" w:line="254" w:lineRule="auto"/>
        <w:rPr>
          <w:sz w:val="20"/>
          <w:szCs w:val="20"/>
          <w:color w:val="auto"/>
        </w:rPr>
      </w:pPr>
      <w:r>
        <w:rPr>
          <w:rFonts w:ascii="Arial" w:cs="Arial" w:eastAsia="Arial" w:hAnsi="Arial"/>
          <w:sz w:val="18"/>
          <w:szCs w:val="18"/>
          <w:color w:val="auto"/>
        </w:rPr>
        <w:t>non-Defaulting Lenders pursuant to Section 2.8 and Section 3.3, as applicable, shall be adjusted in accordance with such non-Defaulting Lenders’ Domestic Percentages of the Domestic Commitments calculated without regard to such Defaulting Lender’s Domestic Percentage of the Domestic Commitments; and</w:t>
      </w:r>
    </w:p>
    <w:p>
      <w:pPr>
        <w:spacing w:after="0" w:line="83" w:lineRule="exact"/>
        <w:rPr>
          <w:sz w:val="20"/>
          <w:szCs w:val="20"/>
          <w:color w:val="auto"/>
        </w:rPr>
      </w:pPr>
    </w:p>
    <w:p>
      <w:pPr>
        <w:ind w:left="1660" w:hanging="262"/>
        <w:spacing w:after="0"/>
        <w:tabs>
          <w:tab w:leader="none" w:pos="1660" w:val="left"/>
        </w:tabs>
        <w:numPr>
          <w:ilvl w:val="1"/>
          <w:numId w:val="489"/>
        </w:numPr>
        <w:rPr>
          <w:rFonts w:ascii="Arial" w:cs="Arial" w:eastAsia="Arial" w:hAnsi="Arial"/>
          <w:sz w:val="16"/>
          <w:szCs w:val="16"/>
          <w:color w:val="auto"/>
        </w:rPr>
      </w:pPr>
      <w:r>
        <w:rPr>
          <w:rFonts w:ascii="Arial" w:cs="Arial" w:eastAsia="Arial" w:hAnsi="Arial"/>
          <w:sz w:val="16"/>
          <w:szCs w:val="16"/>
          <w:color w:val="auto"/>
        </w:rPr>
        <w:t>if all or any portion of such Defaulting Lender’s L/C Obligations is neither reallocated nor Collateralized pursuant to clause (i) or</w:t>
      </w:r>
    </w:p>
    <w:p>
      <w:pPr>
        <w:spacing w:after="0" w:line="45" w:lineRule="exact"/>
        <w:rPr>
          <w:rFonts w:ascii="Arial" w:cs="Arial" w:eastAsia="Arial" w:hAnsi="Arial"/>
          <w:sz w:val="16"/>
          <w:szCs w:val="16"/>
          <w:color w:val="auto"/>
        </w:rPr>
      </w:pPr>
    </w:p>
    <w:p>
      <w:pPr>
        <w:ind w:left="1000" w:right="160" w:hanging="2"/>
        <w:spacing w:after="0" w:line="253" w:lineRule="auto"/>
        <w:tabs>
          <w:tab w:leader="none" w:pos="126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above, then, without prejudice to any rights or remedies of the Company or any relevant Subsidiary Borrower, the applicable Issuing Lender or any other Domestic Lender hereunder, all Letter of Credit Fees payable under Section 3.3 with respect to such Defaulting Lender’s L/C Obligations shall be payable to the applicable Issuing Lender until and to the extent that such L/C Obligations are so reallocated and/or Collateralized; and</w:t>
      </w:r>
    </w:p>
    <w:p>
      <w:pPr>
        <w:spacing w:after="0" w:line="82" w:lineRule="exact"/>
        <w:rPr>
          <w:sz w:val="20"/>
          <w:szCs w:val="20"/>
          <w:color w:val="auto"/>
        </w:rPr>
      </w:pPr>
    </w:p>
    <w:p>
      <w:pPr>
        <w:ind w:right="40" w:firstLine="998"/>
        <w:spacing w:after="0" w:line="275" w:lineRule="auto"/>
        <w:tabs>
          <w:tab w:leader="none" w:pos="1243" w:val="left"/>
        </w:tabs>
        <w:numPr>
          <w:ilvl w:val="0"/>
          <w:numId w:val="491"/>
        </w:numPr>
        <w:rPr>
          <w:rFonts w:ascii="Arial" w:cs="Arial" w:eastAsia="Arial" w:hAnsi="Arial"/>
          <w:sz w:val="17"/>
          <w:szCs w:val="17"/>
          <w:color w:val="auto"/>
        </w:rPr>
      </w:pPr>
      <w:r>
        <w:rPr>
          <w:rFonts w:ascii="Arial" w:cs="Arial" w:eastAsia="Arial" w:hAnsi="Arial"/>
          <w:sz w:val="17"/>
          <w:szCs w:val="17"/>
          <w:color w:val="auto"/>
        </w:rPr>
        <w:t>no Issuing Lender shall be required to issue, renew, amend or increase any Letter of Credit unless it is reasonably satisfied that the related exposure and such Defaulting Lender’s then outstanding L/C Obligations will be 100% covered by the Domestic Commitments of the Domestic Lenders that are not Defaulting Lenders and/or Collateralized by the Company or any applicable Subsidiary Borrower in accordance with this Section 2.23 and participating interests in any newly issued or increased Letter of Credit shall be allocated among the Domestic Lenders that are not Defaulting Lenders in a manner consistent with this Section 2.23 (and such Defaulting Lender shall not participate therein).</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(i) either (x) a Lender Insolvency Event with respect to the parent company of any Domestic Lender shall occur following the Closing Date or (y) the parent company of any Domestic Lender shall become the subject of a Bail-In Action following the Closing Date and, in each case, for so long as such event shall continue or (ii) any Domestic Lender has defaulted in fulfilling its obligations under one or more other agreements in which such Domestic Lender commits to extend credit, no Issuing Lender shall be required to issue, amend or increase any Letter of Credit, unless such Issuing Lender shall have entered into arrangements with the Company or such Domestic Lender, satisfactory to such Issuing Lender, to defease any risk to it in respect of such Domestic Lender hereunder.</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event that a Domestic Lender becomes a Defaulting Lender, the Administrative Agent shall give notice to the Company and each affected Issuing Lender stating that such Domestic Lender has become a Defaulting Lender. In the event that each of the Administrative Agent, the Company, each relevant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0"/>
          </w:cols>
          <w:pgMar w:left="440" w:top="274" w:right="519" w:bottom="1440" w:gutter="0" w:footer="0" w:header="0"/>
        </w:sectPr>
      </w:pPr>
    </w:p>
    <w:bookmarkStart w:id="562" w:name="page563"/>
    <w:bookmarkEnd w:id="562"/>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Borrower and each affected Issuing Lender agrees that a Defaulting Lender has adequately remedied all matters that caused such Defaulting Lender to be a Defaulting Lender, then the L/C Obligations of the Domestic Lenders shall be readjusted to reflect the inclusion of such Defaulting Lender’s Domestic Commitment and, on such date, such Domestic Lender shall purchase at par such of the Loans and/or participations in the L/C Obligations of the other Domestic Lenders as the Administrative Agent shall determine may be necessary in order for such Domestic Lender to hold such Domestic Loans and participations in the L/C Obligations in accordance with its Domestic Percentage of the Domestic Commitments.</w:t>
      </w:r>
    </w:p>
    <w:p>
      <w:pPr>
        <w:spacing w:after="0" w:line="51" w:lineRule="exact"/>
        <w:rPr>
          <w:sz w:val="20"/>
          <w:szCs w:val="20"/>
          <w:color w:val="auto"/>
        </w:rPr>
      </w:pPr>
    </w:p>
    <w:p>
      <w:pPr>
        <w:ind w:firstLine="989"/>
        <w:spacing w:after="0" w:line="283" w:lineRule="auto"/>
        <w:rPr>
          <w:sz w:val="20"/>
          <w:szCs w:val="20"/>
          <w:color w:val="auto"/>
        </w:rPr>
      </w:pPr>
      <w:r>
        <w:rPr>
          <w:rFonts w:ascii="Arial" w:cs="Arial" w:eastAsia="Arial" w:hAnsi="Arial"/>
          <w:sz w:val="16"/>
          <w:szCs w:val="16"/>
          <w:color w:val="auto"/>
        </w:rPr>
        <w:t xml:space="preserve">2.24 Reallocation of Payments for the Account of Defaulting Lenders. Any payment of principal, interest, fees or other 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and the Brazilian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and the Brazilian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Domestic Facility only,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each Issuing Lender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Issuing Lenders in accordance with the amounts owed by such Defaulting Lender to each Issuing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Domestic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Domestic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2.24 shall be deemed paid to and redirected by such Defaulting Lender, and each Lender under the applicable Facility irrevocably consents hereto.</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3" w:right="479" w:bottom="1440" w:gutter="0" w:footer="0" w:header="0"/>
        </w:sectPr>
      </w:pPr>
    </w:p>
    <w:bookmarkStart w:id="563" w:name="page564"/>
    <w:bookmarkEnd w:id="563"/>
    <w:p>
      <w:pPr>
        <w:ind w:right="40" w:firstLine="98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2.25 New Local Facilities.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6"/>
          <w:szCs w:val="16"/>
          <w:u w:val="single" w:color="auto"/>
          <w:color w:val="auto"/>
        </w:rPr>
        <w:t>New Local 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required to make Extensions of Credit in excess of its Commitment then in effect, and (ii) after giving effect to any such New Local Facility, the Total Brazilian Extensions of Credit shall not exceed the Total Brazilian Commitments then in effect, the Total Domestic Extensions of Credit shall not exceed the Total Domestic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2.25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6"/>
          <w:szCs w:val="16"/>
          <w:u w:val="single" w:color="auto"/>
          <w:color w:val="auto"/>
        </w:rPr>
        <w:t>New Local Facility Lender</w:t>
      </w:r>
      <w:r>
        <w:rPr>
          <w:rFonts w:ascii="Arial" w:cs="Arial" w:eastAsia="Arial" w:hAnsi="Arial"/>
          <w:sz w:val="16"/>
          <w:szCs w:val="16"/>
          <w:color w:val="auto"/>
        </w:rPr>
        <w:t xml:space="preserve">”) shall have such portion of their Commitment under such Facility designated to such New Local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 with the aggregate Commitments of the other New Local Facility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may so reallocate its Commitments to a New Local Facility if such reallocation would result in amounts being payable by the Company or any Subsidiary Borrower under Section 2.18 or 2.19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6"/>
          <w:szCs w:val="16"/>
          <w:u w:val="single" w:color="auto"/>
          <w:color w:val="auto"/>
        </w:rPr>
        <w:t>Local Facility Amendment</w:t>
      </w:r>
      <w:r>
        <w:rPr>
          <w:rFonts w:ascii="Arial" w:cs="Arial" w:eastAsia="Arial" w:hAnsi="Arial"/>
          <w:sz w:val="16"/>
          <w:szCs w:val="16"/>
          <w:color w:val="auto"/>
        </w:rPr>
        <w:t>”) to this Agreement and, as appropriate, the other Loan Documents, executed by the Loan Parties, the Administrative Agent and each New Local Facility Lender. Notwithstanding anything in this Section 2.25 to the contrary, no Lender shall be obligated to transfer any portion of its Commitments to a New Local Facility unless it so agrees.</w:t>
      </w:r>
    </w:p>
    <w:p>
      <w:pPr>
        <w:spacing w:after="0" w:line="63" w:lineRule="exact"/>
        <w:rPr>
          <w:sz w:val="20"/>
          <w:szCs w:val="20"/>
          <w:color w:val="auto"/>
        </w:rPr>
      </w:pPr>
    </w:p>
    <w:p>
      <w:pPr>
        <w:ind w:right="160" w:firstLine="998"/>
        <w:spacing w:after="0" w:line="258" w:lineRule="auto"/>
        <w:tabs>
          <w:tab w:leader="none" w:pos="124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2.25, a copy of which shall be made available to each Lender.</w:t>
      </w:r>
    </w:p>
    <w:p>
      <w:pPr>
        <w:spacing w:after="0" w:line="80" w:lineRule="exact"/>
        <w:rPr>
          <w:sz w:val="20"/>
          <w:szCs w:val="20"/>
          <w:color w:val="auto"/>
        </w:rPr>
      </w:pPr>
    </w:p>
    <w:p>
      <w:pPr>
        <w:ind w:right="140" w:firstLine="989"/>
        <w:spacing w:after="0" w:line="283" w:lineRule="auto"/>
        <w:rPr>
          <w:sz w:val="20"/>
          <w:szCs w:val="20"/>
          <w:color w:val="auto"/>
        </w:rPr>
      </w:pPr>
      <w:r>
        <w:rPr>
          <w:rFonts w:ascii="Arial" w:cs="Arial" w:eastAsia="Arial" w:hAnsi="Arial"/>
          <w:sz w:val="16"/>
          <w:szCs w:val="16"/>
          <w:color w:val="auto"/>
        </w:rPr>
        <w:t>2.26 Incremental Commitments/Facilities.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w:t>
      </w:r>
    </w:p>
    <w:p>
      <w:pPr>
        <w:spacing w:after="0" w:line="4" w:lineRule="exact"/>
        <w:rPr>
          <w:sz w:val="20"/>
          <w:szCs w:val="20"/>
          <w:color w:val="auto"/>
        </w:rPr>
      </w:pPr>
    </w:p>
    <w:p>
      <w:pPr>
        <w:ind w:firstLine="9"/>
        <w:spacing w:after="0" w:line="286" w:lineRule="auto"/>
        <w:tabs>
          <w:tab w:leader="none" w:pos="294" w:val="left"/>
        </w:tabs>
        <w:numPr>
          <w:ilvl w:val="0"/>
          <w:numId w:val="493"/>
        </w:numPr>
        <w:rPr>
          <w:rFonts w:ascii="Arial" w:cs="Arial" w:eastAsia="Arial" w:hAnsi="Arial"/>
          <w:sz w:val="16"/>
          <w:szCs w:val="16"/>
          <w:color w:val="auto"/>
        </w:rPr>
      </w:pPr>
      <w:r>
        <w:rPr>
          <w:rFonts w:ascii="Arial" w:cs="Arial" w:eastAsia="Arial" w:hAnsi="Arial"/>
          <w:sz w:val="16"/>
          <w:szCs w:val="16"/>
          <w:color w:val="auto"/>
        </w:rPr>
        <w:t xml:space="preserve">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3-Year Total Commitments then in effect (including, for the avoidance of doubt, any commitments under incremental facilities under the 3-Year Revolving Credit Agreement) and the aggregate amount of all Ancillary Commitments (under and as defined in the 3-Year Revolving Credit Agreement) then in effect shall not exceed $18 billion.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564" w:name="page565"/>
    <w:bookmarkEnd w:id="564"/>
    <w:p>
      <w:pPr>
        <w:ind w:right="80" w:firstLine="998"/>
        <w:spacing w:after="0" w:line="293" w:lineRule="auto"/>
        <w:tabs>
          <w:tab w:leader="none" w:pos="1243" w:val="left"/>
        </w:tabs>
        <w:numPr>
          <w:ilvl w:val="1"/>
          <w:numId w:val="4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Incremental Lender that is a signatory to an Incremental Loan Activation Notice severally agrees, on the terms and conditions of this Agreement, to make revolving credit loans (each, an “</w:t>
      </w:r>
      <w:r>
        <w:rPr>
          <w:rFonts w:ascii="Arial" w:cs="Arial" w:eastAsia="Arial" w:hAnsi="Arial"/>
          <w:sz w:val="16"/>
          <w:szCs w:val="16"/>
          <w:u w:val="single" w:color="auto"/>
          <w:color w:val="auto"/>
        </w:rPr>
        <w:t>Incremental Loan</w:t>
      </w:r>
      <w:r>
        <w:rPr>
          <w:rFonts w:ascii="Arial" w:cs="Arial" w:eastAsia="Arial" w:hAnsi="Arial"/>
          <w:sz w:val="16"/>
          <w:szCs w:val="16"/>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2.26 shall be construed to obligate any Lender to execute an Incremental Loan Activation Notice.</w:t>
      </w:r>
    </w:p>
    <w:p>
      <w:pPr>
        <w:spacing w:after="0" w:line="53" w:lineRule="exact"/>
        <w:rPr>
          <w:rFonts w:ascii="Arial" w:cs="Arial" w:eastAsia="Arial" w:hAnsi="Arial"/>
          <w:sz w:val="16"/>
          <w:szCs w:val="16"/>
          <w:color w:val="auto"/>
        </w:rPr>
      </w:pPr>
    </w:p>
    <w:p>
      <w:pPr>
        <w:ind w:left="1240" w:hanging="242"/>
        <w:spacing w:after="0"/>
        <w:tabs>
          <w:tab w:leader="none" w:pos="1240" w:val="left"/>
        </w:tabs>
        <w:numPr>
          <w:ilvl w:val="1"/>
          <w:numId w:val="494"/>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w:t>
      </w:r>
    </w:p>
    <w:p>
      <w:pPr>
        <w:spacing w:after="0" w:line="34" w:lineRule="exact"/>
        <w:rPr>
          <w:rFonts w:ascii="Arial" w:cs="Arial" w:eastAsia="Arial" w:hAnsi="Arial"/>
          <w:sz w:val="17"/>
          <w:szCs w:val="17"/>
          <w:color w:val="auto"/>
        </w:rPr>
      </w:pPr>
    </w:p>
    <w:p>
      <w:pPr>
        <w:ind w:right="20" w:firstLine="9"/>
        <w:spacing w:after="0" w:line="268" w:lineRule="auto"/>
        <w:tabs>
          <w:tab w:leader="none" w:pos="214" w:val="left"/>
        </w:tabs>
        <w:numPr>
          <w:ilvl w:val="0"/>
          <w:numId w:val="495"/>
        </w:numPr>
        <w:rPr>
          <w:rFonts w:ascii="Arial" w:cs="Arial" w:eastAsia="Arial" w:hAnsi="Arial"/>
          <w:sz w:val="17"/>
          <w:szCs w:val="17"/>
          <w:color w:val="auto"/>
        </w:rPr>
      </w:pPr>
      <w:r>
        <w:rPr>
          <w:rFonts w:ascii="Arial" w:cs="Arial" w:eastAsia="Arial" w:hAnsi="Arial"/>
          <w:sz w:val="17"/>
          <w:szCs w:val="17"/>
          <w:color w:val="auto"/>
        </w:rPr>
        <w:t>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2.20 as a result of such prepayment.</w:t>
      </w:r>
    </w:p>
    <w:p>
      <w:pPr>
        <w:spacing w:after="0" w:line="7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2.27 Termination Date Extension. (a) The Company may at any time and from time to time, by notice to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Brazilian Administrative Agent, if applicable, propose an extension of the Termination Date, which proposal may include a proposal to change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Applicable Margins (including any provision of the Applicable Pricing Grid) for the Lenders as may be specified in such proposal. Upon receipt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proposal the Administrative Agent and the Brazilian Administrative Agent, if applicable, shall promptly notify each Lender thereof. Each Lender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respond to such proposal in writing within 30 calendar days after the date of such proposal and any failure of a Lender to respond within such</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period shall be deemed to be a rejection of such proposal. If any Lender consents to such proposal (each such consenting Lender, an “</w:t>
      </w:r>
      <w:r>
        <w:rPr>
          <w:rFonts w:ascii="Arial" w:cs="Arial" w:eastAsia="Arial" w:hAnsi="Arial"/>
          <w:sz w:val="17"/>
          <w:szCs w:val="17"/>
          <w:u w:val="single" w:color="auto"/>
          <w:color w:val="auto"/>
        </w:rPr>
        <w:t>Extending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Lender</w:t>
      </w:r>
      <w:r>
        <w:rPr>
          <w:rFonts w:ascii="Arial" w:cs="Arial" w:eastAsia="Arial" w:hAnsi="Arial"/>
          <w:sz w:val="16"/>
          <w:szCs w:val="16"/>
          <w:color w:val="auto"/>
        </w:rPr>
        <w:t>”), the Termination Date applicable to each Extending Lender shall be extended to the date specified in the Company’s extension proposal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Margin with respect to each such Extending Lender shall be adjusted in the manner specified in such proposal, if any, and each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Non-Extending Lender will be treated as provided in Section 2.27(b).</w:t>
      </w:r>
    </w:p>
    <w:p>
      <w:pPr>
        <w:spacing w:after="0" w:line="102" w:lineRule="exact"/>
        <w:rPr>
          <w:sz w:val="20"/>
          <w:szCs w:val="20"/>
          <w:color w:val="auto"/>
        </w:rPr>
      </w:pPr>
    </w:p>
    <w:p>
      <w:pPr>
        <w:ind w:right="20" w:firstLine="998"/>
        <w:spacing w:after="0" w:line="258" w:lineRule="auto"/>
        <w:tabs>
          <w:tab w:leader="none" w:pos="124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any Lender does not consent to any extension request that becomes effective pursuant to Section 2.27(a) (each such Lender,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then the Termination Date for such Non-Extending Lender shall remain unchanged from that applicable prior to the extension and the Commitments of each Non-Extending Lender and the existing Applicable Margins shall, subject to the terms of Section 2.16, continue in full force and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3" w:right="459" w:bottom="1440" w:gutter="0" w:footer="0" w:header="0"/>
        </w:sectPr>
      </w:pPr>
    </w:p>
    <w:bookmarkStart w:id="565" w:name="page566"/>
    <w:bookmarkEnd w:id="565"/>
    <w:p>
      <w:pPr>
        <w:ind w:right="40" w:firstLine="998"/>
        <w:spacing w:after="0" w:line="301" w:lineRule="auto"/>
        <w:tabs>
          <w:tab w:leader="none" w:pos="1233" w:val="left"/>
        </w:tabs>
        <w:numPr>
          <w:ilvl w:val="0"/>
          <w:numId w:val="4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2.27 without the consent of any Non-Extending Lender.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LETTERS OF CREDIT</w:t>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3.1 L/C Commitment. (a) Subject to the terms and conditions hereof, each Issuing Lender, in reliance on the agreements of the Lenders set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forth in Section 3.4(a), agrees to issue (or cause its Applicable Lending Office to issue) letters of credit and, with the consent of such Issuing Lender,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letters of guarantee (each a “</w:t>
      </w:r>
      <w:r>
        <w:rPr>
          <w:rFonts w:ascii="Arial" w:cs="Arial" w:eastAsia="Arial" w:hAnsi="Arial"/>
          <w:sz w:val="17"/>
          <w:szCs w:val="17"/>
          <w:u w:val="single" w:color="auto"/>
          <w:color w:val="auto"/>
        </w:rPr>
        <w:t>Letter of Credit</w:t>
      </w:r>
      <w:r>
        <w:rPr>
          <w:rFonts w:ascii="Arial" w:cs="Arial" w:eastAsia="Arial" w:hAnsi="Arial"/>
          <w:sz w:val="17"/>
          <w:szCs w:val="17"/>
          <w:color w:val="auto"/>
        </w:rPr>
        <w:t>”) under the Domestic Facility for the account of a Loan Party or a Subsidiary of a Loan Party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Account Party</w:t>
      </w:r>
      <w:r>
        <w:rPr>
          <w:rFonts w:ascii="Arial" w:cs="Arial" w:eastAsia="Arial" w:hAnsi="Arial"/>
          <w:sz w:val="17"/>
          <w:szCs w:val="17"/>
          <w:color w:val="auto"/>
        </w:rPr>
        <w:t>”) on any Business Day during the Commitment Period of such Issuing Lender in such form as may be reasonable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customary for the purpose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(i) no Applicable Account Party shall request, and no Issuing Lender shall be required to issue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its Applicable Lending Office to issue), any Letter of Credit if, after giving effect to such issuance (and to any concurrent funding or prepayment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Loan and to the application of proceeds thereof and to any concurrent expiration or termination or amendment or modification of any previously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Letter of Credit), (A) the Dollar Equivalent of the then Outstanding Amount of all Letters of Credit issued by such Issuing Lender (or 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Applicable Lending Office thereof) would exceed such Issuing Lender’s L/C Commitment then in effect, (B) the Dollar Equivalent of the then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Outstanding Amount of all Letters of Credit would exceed the L/C Sublimit then in effect or (C) sum of (x) 105% of the Dollar Equivalent of Letters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Domestic Extensions of Credit other than Letters of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denominated in Optional Currencies would exceed the Total Domestic Commitments then in effect and (ii) the Company shall be jointly and severally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liable with respect to each Letter of Credit issued for the account of an Applicable Account Party (other than the Company). Each Letter of Credit shall</w:t>
      </w:r>
    </w:p>
    <w:p>
      <w:pPr>
        <w:spacing w:after="0" w:line="32" w:lineRule="exact"/>
        <w:rPr>
          <w:sz w:val="20"/>
          <w:szCs w:val="20"/>
          <w:color w:val="auto"/>
        </w:rPr>
      </w:pPr>
    </w:p>
    <w:p>
      <w:pPr>
        <w:ind w:right="20" w:firstLine="9"/>
        <w:spacing w:after="0" w:line="284" w:lineRule="auto"/>
        <w:tabs>
          <w:tab w:leader="none" w:pos="254" w:val="left"/>
        </w:tabs>
        <w:numPr>
          <w:ilvl w:val="0"/>
          <w:numId w:val="498"/>
        </w:numPr>
        <w:rPr>
          <w:rFonts w:ascii="Arial" w:cs="Arial" w:eastAsia="Arial" w:hAnsi="Arial"/>
          <w:sz w:val="16"/>
          <w:szCs w:val="16"/>
          <w:color w:val="auto"/>
        </w:rPr>
      </w:pPr>
      <w:r>
        <w:rPr>
          <w:rFonts w:ascii="Arial" w:cs="Arial" w:eastAsia="Arial" w:hAnsi="Arial"/>
          <w:sz w:val="16"/>
          <w:szCs w:val="16"/>
          <w:color w:val="auto"/>
        </w:rPr>
        <w:t xml:space="preserve">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3" w:right="459" w:bottom="1440" w:gutter="0" w:footer="0" w:header="0"/>
        </w:sectPr>
      </w:pPr>
    </w:p>
    <w:bookmarkStart w:id="566" w:name="page567"/>
    <w:bookmarkEnd w:id="566"/>
    <w:p>
      <w:pPr>
        <w:ind w:right="140" w:firstLine="998"/>
        <w:spacing w:after="0" w:line="263" w:lineRule="auto"/>
        <w:tabs>
          <w:tab w:leader="none" w:pos="1243" w:val="left"/>
        </w:tabs>
        <w:numPr>
          <w:ilvl w:val="1"/>
          <w:numId w:val="4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73" w:lineRule="exact"/>
        <w:rPr>
          <w:rFonts w:ascii="Arial" w:cs="Arial" w:eastAsia="Arial" w:hAnsi="Arial"/>
          <w:sz w:val="18"/>
          <w:szCs w:val="18"/>
          <w:color w:val="auto"/>
        </w:rPr>
      </w:pPr>
    </w:p>
    <w:p>
      <w:pPr>
        <w:ind w:right="340" w:firstLine="998"/>
        <w:spacing w:after="0" w:line="290" w:lineRule="auto"/>
        <w:tabs>
          <w:tab w:leader="none" w:pos="1233" w:val="left"/>
        </w:tabs>
        <w:numPr>
          <w:ilvl w:val="1"/>
          <w:numId w:val="49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If the Termination Date has been extended (pursuant to Section 2.27 or otherwise) and any Domestic Lenders are Non-Consenting Lenders with respect thereto, and any Letter of Credit remains outstanding on the Termination Date applicable to such Non-Extending Lenders, then</w:t>
      </w:r>
    </w:p>
    <w:p>
      <w:pPr>
        <w:ind w:right="20" w:firstLine="9"/>
        <w:spacing w:after="0" w:line="284" w:lineRule="auto"/>
        <w:tabs>
          <w:tab w:leader="none" w:pos="214" w:val="left"/>
        </w:tabs>
        <w:numPr>
          <w:ilvl w:val="0"/>
          <w:numId w:val="50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so long as no Event of Default shall have occurred and be continuing at such time, all or any part of the L/C Obligations of such Non-Extending Lenders shall be reallocated among the Domestic Lenders that are Extending Lenders with respect thereto in accordance with their Domestic Percentages (calculated after giving effect to the termination of the Commitments of the Non-Extending Lenders on such Termination Date) but only to the extent the sum of all Extending Lenders’ Domestic Extensions of Credit plus such L/C Obligations does not exceed the total of all Domestic Lenders that are Extending Lenders’ Domestic Commitments, (ii) if any reallocation described in clause (i) above cannot, or can only partially, be effected, the Company or any applicable Subsidiary Borrower shall, at any time and from time to time following notice by the Administrative Agent, (x) prepay Domestic Loans in an amount sufficient to permit such reallocation of the L/C Obligations of the Non-Extending Lenders in full or (y) Collateralize for the benefit of each Issuing Lender, the Borrowers’ obligations corresponding to such Non-Extending Lenders’ L/C Obligations (after giving effect to any partial reallocation pursuant to clause (i) above) for so long as such L/C Obligations are outstanding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provided, that no Event of Default shall have then occurred and be continuing), and (iii) if all or any portion of such Non-Extending Lenders’ L/C Obligations is neither reallocated nor Collateralized pursuant to clause (i) or (ii) above, then, without prejudice to any rights or remedies of the applicable Issuing Lender or any other Domestic Lender hereunder, all fees payable hereunder with respect to such Non-Extending Lenders’ L/C Obligations shall be payable to the applicable Issuing Lender until and to the extent that such L/C Obligations are so reallocated and/or Collateralized.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-2201545</wp:posOffset>
            </wp:positionV>
            <wp:extent cx="609790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0979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-2064385</wp:posOffset>
            </wp:positionV>
            <wp:extent cx="67646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67646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-1927860</wp:posOffset>
            </wp:positionV>
            <wp:extent cx="670496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67049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-1790700</wp:posOffset>
            </wp:positionV>
            <wp:extent cx="642302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64230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-1654175</wp:posOffset>
            </wp:positionV>
            <wp:extent cx="691007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-1517015</wp:posOffset>
            </wp:positionV>
            <wp:extent cx="696150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-1380490</wp:posOffset>
            </wp:positionV>
            <wp:extent cx="685038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68503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-1243330</wp:posOffset>
            </wp:positionV>
            <wp:extent cx="670496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67049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-1106805</wp:posOffset>
            </wp:positionV>
            <wp:extent cx="691007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-969645</wp:posOffset>
            </wp:positionV>
            <wp:extent cx="67906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-833120</wp:posOffset>
            </wp:positionV>
            <wp:extent cx="688467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68846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-695960</wp:posOffset>
            </wp:positionV>
            <wp:extent cx="680783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68078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-559435</wp:posOffset>
            </wp:positionV>
            <wp:extent cx="68160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6816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-422910</wp:posOffset>
            </wp:positionV>
            <wp:extent cx="6739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6739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-285750</wp:posOffset>
            </wp:positionV>
            <wp:extent cx="67138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67138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-149225</wp:posOffset>
            </wp:positionV>
            <wp:extent cx="682498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68249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-12065</wp:posOffset>
            </wp:positionV>
            <wp:extent cx="403669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4036695" cy="8255"/>
                    </a:xfrm>
                    <a:prstGeom prst="rect">
                      <a:avLst/>
                    </a:prstGeom>
                    <a:noFill/>
                  </pic:spPr>
                </pic:pic>
              </a:graphicData>
            </a:graphic>
          </wp:anchor>
        </w:drawing>
      </w:r>
    </w:p>
    <w:p>
      <w:pPr>
        <w:spacing w:after="0" w:line="40" w:lineRule="exact"/>
        <w:rPr>
          <w:sz w:val="20"/>
          <w:szCs w:val="20"/>
          <w:color w:val="auto"/>
        </w:rPr>
      </w:pPr>
    </w:p>
    <w:p>
      <w:pPr>
        <w:ind w:firstLine="989"/>
        <w:spacing w:after="0" w:line="285" w:lineRule="auto"/>
        <w:rPr>
          <w:sz w:val="20"/>
          <w:szCs w:val="20"/>
          <w:color w:val="auto"/>
        </w:rPr>
      </w:pPr>
      <w:r>
        <w:rPr>
          <w:rFonts w:ascii="Arial" w:cs="Arial" w:eastAsia="Arial" w:hAnsi="Arial"/>
          <w:sz w:val="16"/>
          <w:szCs w:val="16"/>
          <w:color w:val="auto"/>
        </w:rPr>
        <w:t>3.2 Procedure for Issuance of Letters of Credit. Any Applicable Account Party, with (in the case of any such Applicable Account Party other than the Company) the written consent of the Company, may from time to time request that any Issuing Lender issue (or cause its Applicable Lending 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3" w:right="459" w:bottom="1440" w:gutter="0" w:footer="0" w:header="0"/>
        </w:sectPr>
      </w:pPr>
    </w:p>
    <w:bookmarkStart w:id="567" w:name="page568"/>
    <w:bookmarkEnd w:id="567"/>
    <w:p>
      <w:pPr>
        <w:ind w:right="6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64" w:lineRule="exact"/>
        <w:rPr>
          <w:sz w:val="20"/>
          <w:szCs w:val="20"/>
          <w:color w:val="auto"/>
        </w:rPr>
      </w:pPr>
    </w:p>
    <w:p>
      <w:pPr>
        <w:ind w:firstLine="989"/>
        <w:spacing w:after="0" w:line="267" w:lineRule="auto"/>
        <w:rPr>
          <w:sz w:val="20"/>
          <w:szCs w:val="20"/>
          <w:color w:val="auto"/>
        </w:rPr>
      </w:pPr>
      <w:r>
        <w:rPr>
          <w:rFonts w:ascii="Arial" w:cs="Arial" w:eastAsia="Arial" w:hAnsi="Arial"/>
          <w:sz w:val="17"/>
          <w:szCs w:val="17"/>
          <w:color w:val="auto"/>
        </w:rPr>
        <w:t>3.3 Fees and Other Charges. The Company shall, or shall cause the Applicable Account Party to, pay a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on the average daily undrawn and unexpired amount of all outstanding Letters of Credit during each Fee Payment Period at a per annum rate equal to the Applicable Margin then in effect with respect to Eurocurrency Loans, shared ratably among the Domestic Lenders based on the Domestic Percentages of the Domestic Lenders during the relevant Fee Payment Period and payable in arrears for each Fee Payment Period on the related Fee Payment Date. In addition, the Company shall pay a fronting fee in an amount equal to 0.25% per annum on the average daily undrawn and unexpired amount of each Letter of Credit issued by such Issuing Lender, payable in arrears to the relevant Issuing Lender for each Fee Payment Period on the related Fee Payment Date. For the purposes of the foregoing calculations, the average daily undrawn and unexpired amount of any Letter of Credit denominated in an Optional Currency for any Fee Payment Period shall be calculated by multiplying (i) the average daily undrawn and unexpired amount of such Letter of Credit (expressed in the Optional Currency in which such Letter of Credit giving rise to such fee is denominated) by (ii) the Exchange Rate for each such Optional Currency in effect on the first Business Day of the related Fee Payment Period or by such other method that the Administrative Agent and the Company may agree. In addition to the foregoing fees, the Company shall pay or reimburse each Issuing Lender, for its own account such customary out-of-pocket costs and expenses as are incurred or charged by such Issuing Lender in issuing, negotiating, effecting payment under, amending or otherwise administering any Letter of Credit, to the extent that such costs and expenses have been mutually agreed upon between the Company and such Issuing Lender.</w:t>
      </w:r>
    </w:p>
    <w:p>
      <w:pPr>
        <w:spacing w:after="0" w:line="80" w:lineRule="exact"/>
        <w:rPr>
          <w:sz w:val="20"/>
          <w:szCs w:val="20"/>
          <w:color w:val="auto"/>
        </w:rPr>
      </w:pPr>
    </w:p>
    <w:p>
      <w:pPr>
        <w:ind w:firstLine="989"/>
        <w:spacing w:after="0" w:line="284" w:lineRule="auto"/>
        <w:rPr>
          <w:sz w:val="20"/>
          <w:szCs w:val="20"/>
          <w:color w:val="auto"/>
        </w:rPr>
      </w:pPr>
      <w:r>
        <w:rPr>
          <w:rFonts w:ascii="Arial" w:cs="Arial" w:eastAsia="Arial" w:hAnsi="Arial"/>
          <w:sz w:val="16"/>
          <w:szCs w:val="16"/>
          <w:color w:val="auto"/>
        </w:rPr>
        <w:t xml:space="preserve">3.4 L/C Participations.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Domestic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Domestic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Domestic Extensions of Credit to exceed such L/C Participant’s Domestic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3" w:right="459" w:bottom="1440" w:gutter="0" w:footer="0" w:header="0"/>
        </w:sectPr>
      </w:pPr>
    </w:p>
    <w:bookmarkStart w:id="568" w:name="page569"/>
    <w:bookmarkEnd w:id="568"/>
    <w:p>
      <w:pPr>
        <w:ind w:right="60" w:firstLine="998"/>
        <w:spacing w:after="0" w:line="269" w:lineRule="auto"/>
        <w:tabs>
          <w:tab w:leader="none" w:pos="1243" w:val="left"/>
        </w:tabs>
        <w:numPr>
          <w:ilvl w:val="0"/>
          <w:numId w:val="5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71" w:lineRule="exact"/>
        <w:rPr>
          <w:rFonts w:ascii="Arial" w:cs="Arial" w:eastAsia="Arial" w:hAnsi="Arial"/>
          <w:sz w:val="17"/>
          <w:szCs w:val="17"/>
          <w:color w:val="auto"/>
        </w:rPr>
      </w:pPr>
    </w:p>
    <w:p>
      <w:pPr>
        <w:ind w:right="60" w:firstLine="998"/>
        <w:spacing w:after="0" w:line="293" w:lineRule="auto"/>
        <w:tabs>
          <w:tab w:leader="none" w:pos="1233" w:val="left"/>
        </w:tabs>
        <w:numPr>
          <w:ilvl w:val="0"/>
          <w:numId w:val="501"/>
        </w:numPr>
        <w:rPr>
          <w:rFonts w:ascii="Arial" w:cs="Arial" w:eastAsia="Arial" w:hAnsi="Arial"/>
          <w:sz w:val="16"/>
          <w:szCs w:val="16"/>
          <w:color w:val="auto"/>
        </w:rPr>
      </w:pPr>
      <w:r>
        <w:rPr>
          <w:rFonts w:ascii="Arial" w:cs="Arial" w:eastAsia="Arial" w:hAnsi="Arial"/>
          <w:sz w:val="16"/>
          <w:szCs w:val="16"/>
          <w:color w:val="auto"/>
        </w:rPr>
        <w:t xml:space="preserve">Whenever, at any time after any Issuing Lender has made payment under any Letter of Credit and has received from any L/C Participant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5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3.5 Reimbursement Obligation of the Company and the Applicable Account Party. If any draft or demand is paid under any Letter of</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Credit issued for the account of an Applicable Account Party, the Company or such Applicable Account Party, on a joint and several basis, shall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reimburse the Issuing Lender for the amount of the draft or demand so paid, not later than 3:00 P.M., New York City time, on the second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immediately following the day that the Company receives notice of payment of such draft or demand (or if notice of such payment is received after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10:00 A.M., New York City time, on a Business Day, on the third Business Day immediately following such date of receipt) (such date,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Reimbursement Date</w:t>
      </w:r>
      <w:r>
        <w:rPr>
          <w:rFonts w:ascii="Arial" w:cs="Arial" w:eastAsia="Arial" w:hAnsi="Arial"/>
          <w:sz w:val="16"/>
          <w:szCs w:val="16"/>
          <w:color w:val="auto"/>
        </w:rPr>
        <w:t>”). Each such payment shall be made to the relevant Issuing Lender in the currency in which such Letter of Credit is denominated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in immediately available funds;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any Letter of Credit denominated in an Optional Currency, if such payment, 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obligation to make such payment, in an Optional Currency would subject the Administrative Agent, the relevant Issuing Lender or any Domestic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any stamp duty, ad valorem charge or any similar Tax that would not be payable if such payment were paid or required to be paid in Dollars,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or such Applicable Account Party shall, at its option, (A) pay the amount of such Tax to the Administrative Agent, the relevant Issuing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the relevant Domestic Lender or (B) pay the Dollar Equivalent of such draft or demand (calculated as of the Reimbursement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if such payment is not made on the applicable Reimbursement Date the obligation to pay such draft or demand shall be permanently converted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obligation to pay the Dollar Equivalent amount of such draft or demand (calculated as of such Reimbursement Date). Interest shall be payable on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amounts from the Reimbursement Date until payment in full at the rate set forth in Section 2.14(c). Notwithstanding any inconsistent provision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unless (x) the Company or such Applicable Account Party gives notice to the Administrative Agent that it has paid its Reimbursement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 by 2:00 P.M., New York City time, on the Reimbursement Date or notifies the Administrative Agent that it does not wish to have such</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Reimbursement Obligation paid with the proceeds of an ABR Loan by such time, or (y) the Administrative Agent has actual knowledge that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conditions precedent to an ABR Loan to be made on such Reimbursement Date which are contained in Section 5.2 have not been satisfied or waived,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such Applicable Account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3" w:right="479" w:bottom="1440" w:gutter="0" w:footer="0" w:header="0"/>
        </w:sectPr>
      </w:pPr>
    </w:p>
    <w:bookmarkStart w:id="569" w:name="page570"/>
    <w:bookmarkEnd w:id="569"/>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shall be deemed to have requested that the Domestic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2.2,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Domestic Percentage of such ABR Loan to the relevant Reimbursement Obligation in lieu of funding such amount to the Administrative Agent.</w:t>
      </w:r>
    </w:p>
    <w:p>
      <w:pPr>
        <w:spacing w:after="0" w:line="71" w:lineRule="exact"/>
        <w:rPr>
          <w:sz w:val="20"/>
          <w:szCs w:val="20"/>
          <w:color w:val="auto"/>
        </w:rPr>
      </w:pPr>
    </w:p>
    <w:p>
      <w:pPr>
        <w:ind w:right="40" w:firstLine="1978"/>
        <w:spacing w:after="0" w:line="285" w:lineRule="auto"/>
        <w:rPr>
          <w:sz w:val="20"/>
          <w:szCs w:val="20"/>
          <w:color w:val="auto"/>
        </w:rPr>
      </w:pPr>
      <w:r>
        <w:rPr>
          <w:rFonts w:ascii="Arial" w:cs="Arial" w:eastAsia="Arial" w:hAnsi="Arial"/>
          <w:sz w:val="16"/>
          <w:szCs w:val="16"/>
          <w:color w:val="auto"/>
        </w:rPr>
        <w:t>3.6 Obligations Absolute.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66" w:lineRule="exact"/>
        <w:rPr>
          <w:sz w:val="20"/>
          <w:szCs w:val="20"/>
          <w:color w:val="auto"/>
        </w:rPr>
      </w:pPr>
    </w:p>
    <w:p>
      <w:pPr>
        <w:ind w:firstLine="1978"/>
        <w:spacing w:after="0" w:line="268" w:lineRule="auto"/>
        <w:rPr>
          <w:sz w:val="20"/>
          <w:szCs w:val="20"/>
          <w:color w:val="auto"/>
        </w:rPr>
      </w:pPr>
      <w:r>
        <w:rPr>
          <w:rFonts w:ascii="Arial" w:cs="Arial" w:eastAsia="Arial" w:hAnsi="Arial"/>
          <w:sz w:val="17"/>
          <w:szCs w:val="17"/>
          <w:color w:val="auto"/>
        </w:rPr>
        <w:t xml:space="preserve">3.7 Letter of Credit Payments.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and the Company of the date and amount thereof and whether such Issuing Lender has made or will make the payment under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77" w:lineRule="exact"/>
        <w:rPr>
          <w:sz w:val="20"/>
          <w:szCs w:val="20"/>
          <w:color w:val="auto"/>
        </w:rPr>
      </w:pPr>
    </w:p>
    <w:p>
      <w:pPr>
        <w:ind w:right="160" w:firstLine="1978"/>
        <w:spacing w:after="0" w:line="263" w:lineRule="auto"/>
        <w:rPr>
          <w:sz w:val="20"/>
          <w:szCs w:val="20"/>
          <w:color w:val="auto"/>
        </w:rPr>
      </w:pPr>
      <w:r>
        <w:rPr>
          <w:rFonts w:ascii="Arial" w:cs="Arial" w:eastAsia="Arial" w:hAnsi="Arial"/>
          <w:sz w:val="18"/>
          <w:szCs w:val="18"/>
          <w:color w:val="auto"/>
        </w:rPr>
        <w:t>3.8 Applications.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3" w:right="499" w:bottom="1440" w:gutter="0" w:footer="0" w:header="0"/>
        </w:sectPr>
      </w:pPr>
    </w:p>
    <w:bookmarkStart w:id="570" w:name="page571"/>
    <w:bookmarkEnd w:id="570"/>
    <w:p>
      <w:pPr>
        <w:ind w:right="20" w:firstLine="989"/>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3.9 Collateralization.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89" w:lineRule="exact"/>
        <w:rPr>
          <w:sz w:val="20"/>
          <w:szCs w:val="20"/>
          <w:color w:val="auto"/>
        </w:rPr>
      </w:pPr>
    </w:p>
    <w:p>
      <w:pPr>
        <w:ind w:firstLine="989"/>
        <w:spacing w:after="0" w:line="284" w:lineRule="auto"/>
        <w:rPr>
          <w:sz w:val="20"/>
          <w:szCs w:val="20"/>
          <w:color w:val="auto"/>
        </w:rPr>
      </w:pPr>
      <w:r>
        <w:rPr>
          <w:rFonts w:ascii="Arial" w:cs="Arial" w:eastAsia="Arial" w:hAnsi="Arial"/>
          <w:sz w:val="16"/>
          <w:szCs w:val="16"/>
          <w:color w:val="auto"/>
        </w:rPr>
        <w:t>3.10 New Issuing Lenders; L/C Commitments. (a)The Company may from time to time (i) decrease the L/C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Commitment of any existing Issuing Lender. If the Company shall decide to add a new Issuing Lender under this Agreement, then the Company may appoint from among the Domestic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Commitment shall become effective. Any decrease of an L/C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Domestic Lenders of the effectiveness of any replacement or addition of an Issuing Lender, or any changed L/C Commitment pursuant to this Section 3.10.</w:t>
      </w:r>
    </w:p>
    <w:p>
      <w:pPr>
        <w:spacing w:after="0" w:line="70" w:lineRule="exact"/>
        <w:rPr>
          <w:sz w:val="20"/>
          <w:szCs w:val="20"/>
          <w:color w:val="auto"/>
        </w:rPr>
      </w:pPr>
    </w:p>
    <w:p>
      <w:pPr>
        <w:ind w:right="440" w:firstLine="998"/>
        <w:spacing w:after="0" w:line="276" w:lineRule="auto"/>
        <w:tabs>
          <w:tab w:leader="none" w:pos="124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Any Issuing Lender may, in its discretion, arrange for one or more Letters of Credit to be issued by an Applicable Lending Office thereof, in which case, such Applicable Lending Office shall be an “Issuing Lender” hereunder.</w:t>
      </w:r>
    </w:p>
    <w:p>
      <w:pPr>
        <w:spacing w:after="0" w:line="63" w:lineRule="exact"/>
        <w:rPr>
          <w:sz w:val="20"/>
          <w:szCs w:val="20"/>
          <w:color w:val="auto"/>
        </w:rPr>
      </w:pPr>
    </w:p>
    <w:p>
      <w:pPr>
        <w:ind w:right="120" w:firstLine="989"/>
        <w:spacing w:after="0" w:line="296" w:lineRule="auto"/>
        <w:rPr>
          <w:sz w:val="20"/>
          <w:szCs w:val="20"/>
          <w:color w:val="auto"/>
        </w:rPr>
      </w:pPr>
      <w:r>
        <w:rPr>
          <w:rFonts w:ascii="Arial" w:cs="Arial" w:eastAsia="Arial" w:hAnsi="Arial"/>
          <w:sz w:val="16"/>
          <w:szCs w:val="16"/>
          <w:color w:val="auto"/>
        </w:rPr>
        <w:t>3.11 Conflicts. 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provided, that in the case of a Letter of Credit that is issued in a jurisdiction outside of the United States, such Letter of Credit shall be governed by, and shall be construed in accordance with, the laws of a jurisdiction requested by the beneficiary and acceptable to the Issuing Lender and the Company and (ii) to the extent not prohibited by such laws and not materially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571" w:name="page572"/>
    <w:bookmarkEnd w:id="571"/>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REPRESENTATIONS AND WARRANTIES</w:t>
      </w:r>
    </w:p>
    <w:p>
      <w:pPr>
        <w:spacing w:after="0" w:line="120" w:lineRule="exact"/>
        <w:rPr>
          <w:sz w:val="20"/>
          <w:szCs w:val="20"/>
          <w:color w:val="auto"/>
        </w:rPr>
      </w:pPr>
    </w:p>
    <w:p>
      <w:pPr>
        <w:ind w:right="280" w:firstLine="989"/>
        <w:spacing w:after="0" w:line="276"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63" w:lineRule="exact"/>
        <w:rPr>
          <w:sz w:val="20"/>
          <w:szCs w:val="20"/>
          <w:color w:val="auto"/>
        </w:rPr>
      </w:pPr>
    </w:p>
    <w:p>
      <w:pPr>
        <w:ind w:firstLine="989"/>
        <w:spacing w:after="0" w:line="254" w:lineRule="auto"/>
        <w:rPr>
          <w:sz w:val="20"/>
          <w:szCs w:val="20"/>
          <w:color w:val="auto"/>
        </w:rPr>
      </w:pPr>
      <w:r>
        <w:rPr>
          <w:rFonts w:ascii="Arial" w:cs="Arial" w:eastAsia="Arial" w:hAnsi="Arial"/>
          <w:sz w:val="18"/>
          <w:szCs w:val="18"/>
          <w:color w:val="auto"/>
        </w:rPr>
        <w:t>4.1 Financial Condition. The consolidated financial statements of the Company included in its Annual Report on Form 10-K, for the twelve-month period ended December 31, 2017 (the “</w:t>
      </w:r>
      <w:r>
        <w:rPr>
          <w:rFonts w:ascii="Arial" w:cs="Arial" w:eastAsia="Arial" w:hAnsi="Arial"/>
          <w:sz w:val="18"/>
          <w:szCs w:val="18"/>
          <w:u w:val="single" w:color="auto"/>
          <w:color w:val="auto"/>
        </w:rPr>
        <w:t>2017 10-K</w:t>
      </w:r>
      <w:r>
        <w:rPr>
          <w:rFonts w:ascii="Arial" w:cs="Arial" w:eastAsia="Arial" w:hAnsi="Arial"/>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2017;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83" w:lineRule="exact"/>
        <w:rPr>
          <w:sz w:val="20"/>
          <w:szCs w:val="20"/>
          <w:color w:val="auto"/>
        </w:rPr>
      </w:pPr>
    </w:p>
    <w:p>
      <w:pPr>
        <w:ind w:right="840" w:firstLine="989"/>
        <w:spacing w:after="0" w:line="276" w:lineRule="auto"/>
        <w:rPr>
          <w:sz w:val="20"/>
          <w:szCs w:val="20"/>
          <w:color w:val="auto"/>
        </w:rPr>
      </w:pPr>
      <w:r>
        <w:rPr>
          <w:rFonts w:ascii="Arial" w:cs="Arial" w:eastAsia="Arial" w:hAnsi="Arial"/>
          <w:sz w:val="18"/>
          <w:szCs w:val="18"/>
          <w:color w:val="auto"/>
        </w:rPr>
        <w:t>4.2 No Change. Between the date of the financial statements included in the 2017 10-K and the Closing Date, there has been no development or event which has had a Material Adverse Effect.</w:t>
      </w:r>
    </w:p>
    <w:p>
      <w:pPr>
        <w:spacing w:after="0" w:line="63" w:lineRule="exact"/>
        <w:rPr>
          <w:sz w:val="20"/>
          <w:szCs w:val="20"/>
          <w:color w:val="auto"/>
        </w:rPr>
      </w:pPr>
    </w:p>
    <w:p>
      <w:pPr>
        <w:ind w:right="20" w:firstLine="989"/>
        <w:spacing w:after="0" w:line="258" w:lineRule="auto"/>
        <w:rPr>
          <w:sz w:val="20"/>
          <w:szCs w:val="20"/>
          <w:color w:val="auto"/>
        </w:rPr>
      </w:pPr>
      <w:r>
        <w:rPr>
          <w:rFonts w:ascii="Arial" w:cs="Arial" w:eastAsia="Arial" w:hAnsi="Arial"/>
          <w:sz w:val="18"/>
          <w:szCs w:val="18"/>
          <w:color w:val="auto"/>
        </w:rPr>
        <w:t>4.3 Existence.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80" w:lineRule="exact"/>
        <w:rPr>
          <w:sz w:val="20"/>
          <w:szCs w:val="20"/>
          <w:color w:val="auto"/>
        </w:rPr>
      </w:pPr>
    </w:p>
    <w:p>
      <w:pPr>
        <w:ind w:right="100" w:firstLine="989"/>
        <w:spacing w:after="0" w:line="287" w:lineRule="auto"/>
        <w:rPr>
          <w:sz w:val="20"/>
          <w:szCs w:val="20"/>
          <w:color w:val="auto"/>
        </w:rPr>
      </w:pPr>
      <w:r>
        <w:rPr>
          <w:rFonts w:ascii="Arial" w:cs="Arial" w:eastAsia="Arial" w:hAnsi="Arial"/>
          <w:sz w:val="16"/>
          <w:szCs w:val="16"/>
          <w:color w:val="auto"/>
        </w:rPr>
        <w:t>4.4 Power; Authorization; Enforceable Obligations.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right="160" w:firstLine="9"/>
        <w:spacing w:after="0" w:line="301" w:lineRule="auto"/>
        <w:tabs>
          <w:tab w:leader="none" w:pos="254" w:val="left"/>
        </w:tabs>
        <w:numPr>
          <w:ilvl w:val="0"/>
          <w:numId w:val="503"/>
        </w:numPr>
        <w:rPr>
          <w:rFonts w:ascii="Arial" w:cs="Arial" w:eastAsia="Arial" w:hAnsi="Arial"/>
          <w:sz w:val="16"/>
          <w:szCs w:val="16"/>
          <w:color w:val="auto"/>
        </w:rPr>
      </w:pPr>
      <w:r>
        <w:rPr>
          <w:rFonts w:ascii="Arial" w:cs="Arial" w:eastAsia="Arial" w:hAnsi="Arial"/>
          <w:sz w:val="16"/>
          <w:szCs w:val="16"/>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48" w:lineRule="exact"/>
        <w:rPr>
          <w:sz w:val="20"/>
          <w:szCs w:val="20"/>
          <w:color w:val="auto"/>
        </w:rPr>
      </w:pPr>
    </w:p>
    <w:p>
      <w:pPr>
        <w:ind w:right="200" w:firstLine="989"/>
        <w:spacing w:after="0" w:line="256" w:lineRule="auto"/>
        <w:rPr>
          <w:sz w:val="20"/>
          <w:szCs w:val="20"/>
          <w:color w:val="auto"/>
        </w:rPr>
      </w:pPr>
      <w:r>
        <w:rPr>
          <w:rFonts w:ascii="Arial" w:cs="Arial" w:eastAsia="Arial" w:hAnsi="Arial"/>
          <w:sz w:val="18"/>
          <w:szCs w:val="18"/>
          <w:color w:val="auto"/>
        </w:rPr>
        <w:t>4.5 No Legal Bar.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572" w:name="page573"/>
    <w:bookmarkEnd w:id="572"/>
    <w:p>
      <w:pPr>
        <w:ind w:right="20" w:firstLine="989"/>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4.6 Litigation. Except as set forth on Schedule 4.6 and except as set forth in the 2017 10-K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4.7 No Default. As of the Closing Date no Default or Event of Default has occurred and is continuing.</w:t>
      </w:r>
    </w:p>
    <w:p>
      <w:pPr>
        <w:spacing w:after="0" w:line="116" w:lineRule="exact"/>
        <w:rPr>
          <w:sz w:val="20"/>
          <w:szCs w:val="20"/>
          <w:color w:val="auto"/>
        </w:rPr>
      </w:pPr>
    </w:p>
    <w:p>
      <w:pPr>
        <w:ind w:right="20" w:firstLine="989"/>
        <w:spacing w:after="0" w:line="270" w:lineRule="auto"/>
        <w:rPr>
          <w:sz w:val="20"/>
          <w:szCs w:val="20"/>
          <w:color w:val="auto"/>
        </w:rPr>
      </w:pPr>
      <w:r>
        <w:rPr>
          <w:rFonts w:ascii="Arial" w:cs="Arial" w:eastAsia="Arial" w:hAnsi="Arial"/>
          <w:sz w:val="17"/>
          <w:szCs w:val="17"/>
          <w:color w:val="auto"/>
        </w:rPr>
        <w:t xml:space="preserve">4.8 Ownership of Property.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72" w:lineRule="exact"/>
        <w:rPr>
          <w:sz w:val="20"/>
          <w:szCs w:val="20"/>
          <w:color w:val="auto"/>
        </w:rPr>
      </w:pPr>
    </w:p>
    <w:p>
      <w:pPr>
        <w:jc w:val="both"/>
        <w:ind w:right="200" w:firstLine="989"/>
        <w:spacing w:after="0" w:line="285" w:lineRule="auto"/>
        <w:rPr>
          <w:sz w:val="20"/>
          <w:szCs w:val="20"/>
          <w:color w:val="auto"/>
        </w:rPr>
      </w:pPr>
      <w:r>
        <w:rPr>
          <w:rFonts w:ascii="Arial" w:cs="Arial" w:eastAsia="Arial" w:hAnsi="Arial"/>
          <w:sz w:val="17"/>
          <w:szCs w:val="17"/>
          <w:color w:val="auto"/>
        </w:rPr>
        <w:t>4.9 Intellectual Property.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58" w:lineRule="exact"/>
        <w:rPr>
          <w:sz w:val="20"/>
          <w:szCs w:val="20"/>
          <w:color w:val="auto"/>
        </w:rPr>
      </w:pPr>
    </w:p>
    <w:p>
      <w:pPr>
        <w:ind w:right="160" w:firstLine="989"/>
        <w:spacing w:after="0" w:line="276" w:lineRule="auto"/>
        <w:rPr>
          <w:sz w:val="20"/>
          <w:szCs w:val="20"/>
          <w:color w:val="auto"/>
        </w:rPr>
      </w:pPr>
      <w:r>
        <w:rPr>
          <w:rFonts w:ascii="Arial" w:cs="Arial" w:eastAsia="Arial" w:hAnsi="Arial"/>
          <w:sz w:val="18"/>
          <w:szCs w:val="18"/>
          <w:color w:val="auto"/>
        </w:rPr>
        <w:t>4.10 Federal Regulations. No part of the proceeds of any Loans or Letters of Credit, and no other extensions of credit hereunder, will be used for any purpose that violates the provisions of Regulation T, U or X of the Board.</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4.11 ERISA. No ERISA Default has occurred and is continuing.</w:t>
      </w:r>
    </w:p>
    <w:p>
      <w:pPr>
        <w:spacing w:after="0" w:line="116" w:lineRule="exact"/>
        <w:rPr>
          <w:sz w:val="20"/>
          <w:szCs w:val="20"/>
          <w:color w:val="auto"/>
        </w:rPr>
      </w:pPr>
    </w:p>
    <w:p>
      <w:pPr>
        <w:ind w:right="320" w:firstLine="989"/>
        <w:spacing w:after="0" w:line="276" w:lineRule="auto"/>
        <w:rPr>
          <w:sz w:val="20"/>
          <w:szCs w:val="20"/>
          <w:color w:val="auto"/>
        </w:rPr>
      </w:pPr>
      <w:r>
        <w:rPr>
          <w:rFonts w:ascii="Arial" w:cs="Arial" w:eastAsia="Arial" w:hAnsi="Arial"/>
          <w:sz w:val="18"/>
          <w:szCs w:val="18"/>
          <w:color w:val="auto"/>
        </w:rPr>
        <w:t>4.12 Investment Company Act. No Loan Party is an “investment company”, or a company “controlled” by an “investment company”, registered or required to be registered as such under the Investment Company Act of 1940, as amended.</w:t>
      </w:r>
    </w:p>
    <w:p>
      <w:pPr>
        <w:spacing w:after="0" w:line="63" w:lineRule="exact"/>
        <w:rPr>
          <w:sz w:val="20"/>
          <w:szCs w:val="20"/>
          <w:color w:val="auto"/>
        </w:rPr>
      </w:pPr>
    </w:p>
    <w:p>
      <w:pPr>
        <w:ind w:right="400" w:firstLine="989"/>
        <w:spacing w:after="0" w:line="276" w:lineRule="auto"/>
        <w:rPr>
          <w:sz w:val="20"/>
          <w:szCs w:val="20"/>
          <w:color w:val="auto"/>
        </w:rPr>
      </w:pPr>
      <w:r>
        <w:rPr>
          <w:rFonts w:ascii="Arial" w:cs="Arial" w:eastAsia="Arial" w:hAnsi="Arial"/>
          <w:sz w:val="18"/>
          <w:szCs w:val="18"/>
          <w:color w:val="auto"/>
        </w:rPr>
        <w:t>4.13 Ownership of the Subsidiary Borrowers. As of the Closing Date, each Subsidiary Borrower is a direct or indirect wholly-owned Subsidiary of the Company.</w:t>
      </w:r>
    </w:p>
    <w:p>
      <w:pPr>
        <w:spacing w:after="0" w:line="63" w:lineRule="exact"/>
        <w:rPr>
          <w:sz w:val="20"/>
          <w:szCs w:val="20"/>
          <w:color w:val="auto"/>
        </w:rPr>
      </w:pPr>
    </w:p>
    <w:p>
      <w:pPr>
        <w:jc w:val="both"/>
        <w:ind w:right="60" w:firstLine="989"/>
        <w:spacing w:after="0" w:line="263" w:lineRule="auto"/>
        <w:rPr>
          <w:sz w:val="20"/>
          <w:szCs w:val="20"/>
          <w:color w:val="auto"/>
        </w:rPr>
      </w:pPr>
      <w:r>
        <w:rPr>
          <w:rFonts w:ascii="Arial" w:cs="Arial" w:eastAsia="Arial" w:hAnsi="Arial"/>
          <w:sz w:val="18"/>
          <w:szCs w:val="18"/>
          <w:color w:val="auto"/>
        </w:rPr>
        <w:t>4.14 Use of Proceeds.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74" w:lineRule="exact"/>
        <w:rPr>
          <w:sz w:val="20"/>
          <w:szCs w:val="20"/>
          <w:color w:val="auto"/>
        </w:rPr>
      </w:pPr>
    </w:p>
    <w:p>
      <w:pPr>
        <w:ind w:firstLine="989"/>
        <w:spacing w:after="0" w:line="284" w:lineRule="auto"/>
        <w:rPr>
          <w:sz w:val="20"/>
          <w:szCs w:val="20"/>
          <w:color w:val="auto"/>
        </w:rPr>
      </w:pPr>
      <w:r>
        <w:rPr>
          <w:rFonts w:ascii="Arial" w:cs="Arial" w:eastAsia="Arial" w:hAnsi="Arial"/>
          <w:sz w:val="16"/>
          <w:szCs w:val="16"/>
          <w:color w:val="auto"/>
        </w:rPr>
        <w:t>4.15 Anti-Corruption Laws and Sanctions.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w:t>
      </w:r>
      <w:r>
        <w:rPr>
          <w:rFonts w:ascii="Arial" w:cs="Arial" w:eastAsia="Arial" w:hAnsi="Arial"/>
          <w:sz w:val="16"/>
          <w:szCs w:val="16"/>
          <w:u w:val="single" w:color="auto"/>
          <w:color w:val="0000FF"/>
        </w:rPr>
        <w:t>, Her Majesty’s Treasury of the United Kingdom</w:t>
      </w:r>
      <w:r>
        <w:rPr>
          <w:rFonts w:ascii="Arial" w:cs="Arial" w:eastAsia="Arial" w:hAnsi="Arial"/>
          <w:sz w:val="16"/>
          <w:szCs w:val="16"/>
          <w:color w:val="auto"/>
        </w:rPr>
        <w:t xml:space="preserve"> or the U.S. Department of State or the European Union (collectively, the “</w:t>
      </w:r>
      <w:r>
        <w:rPr>
          <w:rFonts w:ascii="Arial" w:cs="Arial" w:eastAsia="Arial" w:hAnsi="Arial"/>
          <w:sz w:val="16"/>
          <w:szCs w:val="16"/>
          <w:u w:val="single" w:color="auto"/>
          <w:color w:val="auto"/>
        </w:rPr>
        <w:t>Sanctions Lists</w:t>
      </w:r>
      <w:r>
        <w:rPr>
          <w:rFonts w:ascii="Arial" w:cs="Arial" w:eastAsia="Arial" w:hAnsi="Arial"/>
          <w:sz w:val="16"/>
          <w:szCs w:val="16"/>
          <w:color w:val="auto"/>
        </w:rPr>
        <w:t>”). Neither the Company nor any of its Subsidiaries has a physical place of business, or is organized or resident,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-127000</wp:posOffset>
            </wp:positionV>
            <wp:extent cx="222377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ind w:left="5420" w:right="1500" w:hanging="5411"/>
        <w:spacing w:after="0" w:line="431" w:lineRule="auto"/>
        <w:tabs>
          <w:tab w:leader="none" w:pos="259"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Cuba, Iran, North Korea, Syria or Crimea or (b) in any other Sanctioned Country </w:t>
      </w:r>
      <w:r>
        <w:rPr>
          <w:rFonts w:ascii="Arial" w:cs="Arial" w:eastAsia="Arial" w:hAnsi="Arial"/>
          <w:sz w:val="18"/>
          <w:szCs w:val="18"/>
          <w:color w:val="FF0000"/>
        </w:rPr>
        <w:t>in violation of U.S. law</w:t>
      </w:r>
      <w:r>
        <w:rPr>
          <w:rFonts w:ascii="Arial" w:cs="Arial" w:eastAsia="Arial" w:hAnsi="Arial"/>
          <w:sz w:val="18"/>
          <w:szCs w:val="18"/>
          <w:color w:val="auto"/>
        </w:rPr>
        <w:t>. The Company and its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-403225</wp:posOffset>
            </wp:positionV>
            <wp:extent cx="109855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ectPr>
          <w:pgSz w:w="11900" w:h="16838" w:orient="portrait"/>
          <w:cols w:equalWidth="0" w:num="1">
            <w:col w:w="10920"/>
          </w:cols>
          <w:pgMar w:left="440" w:top="273" w:right="539" w:bottom="1440" w:gutter="0" w:footer="0" w:header="0"/>
        </w:sectPr>
      </w:pPr>
    </w:p>
    <w:bookmarkStart w:id="573" w:name="page574"/>
    <w:bookmarkEnd w:id="57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 CONDITIONS PRECEDENT</w:t>
      </w:r>
    </w:p>
    <w:p>
      <w:pPr>
        <w:spacing w:after="0" w:line="120" w:lineRule="exact"/>
        <w:rPr>
          <w:sz w:val="20"/>
          <w:szCs w:val="20"/>
          <w:color w:val="auto"/>
        </w:rPr>
      </w:pPr>
    </w:p>
    <w:p>
      <w:pPr>
        <w:ind w:right="20" w:firstLine="989"/>
        <w:spacing w:after="0" w:line="275" w:lineRule="auto"/>
        <w:rPr>
          <w:sz w:val="20"/>
          <w:szCs w:val="20"/>
          <w:color w:val="auto"/>
        </w:rPr>
      </w:pPr>
      <w:r>
        <w:rPr>
          <w:rFonts w:ascii="Arial" w:cs="Arial" w:eastAsia="Arial" w:hAnsi="Arial"/>
          <w:sz w:val="17"/>
          <w:szCs w:val="17"/>
          <w:color w:val="auto"/>
        </w:rPr>
        <w:t xml:space="preserve">5.1 Conditions to Closing Date. This Agreement and the obligation of each Lender to make extensions of credit requested to be made by it hereunder shall be effective upon (1) the execution and delivery of this Agreement by each of the Administrative Agent, the Brazilian Administrative Agent, the Syndication Agent, the Co-Syndication Agent, the Company, each other Borrower, the Existing Required Lenders, each Person listed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65" w:lineRule="exact"/>
        <w:rPr>
          <w:sz w:val="20"/>
          <w:szCs w:val="20"/>
          <w:color w:val="auto"/>
        </w:rPr>
      </w:pPr>
    </w:p>
    <w:p>
      <w:pPr>
        <w:ind w:right="300" w:firstLine="998"/>
        <w:spacing w:after="0" w:line="276" w:lineRule="auto"/>
        <w:tabs>
          <w:tab w:leader="none" w:pos="1233" w:val="left"/>
        </w:tabs>
        <w:numPr>
          <w:ilvl w:val="1"/>
          <w:numId w:val="505"/>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(x) The Company shall have executed and delivered the Guarantee and (y) each Brazilian Bank Certificate shall have been executed and delivered by GMB and/or the relevant Brazilian Subsidiary, as applicable.</w:t>
      </w:r>
    </w:p>
    <w:p>
      <w:pPr>
        <w:spacing w:after="0" w:line="62" w:lineRule="exact"/>
        <w:rPr>
          <w:rFonts w:ascii="Arial" w:cs="Arial" w:eastAsia="Arial" w:hAnsi="Arial"/>
          <w:sz w:val="18"/>
          <w:szCs w:val="18"/>
          <w:color w:val="auto"/>
        </w:rPr>
      </w:pPr>
    </w:p>
    <w:p>
      <w:pPr>
        <w:ind w:right="120" w:firstLine="998"/>
        <w:spacing w:after="0" w:line="263" w:lineRule="auto"/>
        <w:tabs>
          <w:tab w:leader="none" w:pos="1243" w:val="left"/>
        </w:tabs>
        <w:numPr>
          <w:ilvl w:val="1"/>
          <w:numId w:val="50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73" w:lineRule="exact"/>
        <w:rPr>
          <w:rFonts w:ascii="Arial" w:cs="Arial" w:eastAsia="Arial" w:hAnsi="Arial"/>
          <w:sz w:val="18"/>
          <w:szCs w:val="18"/>
          <w:color w:val="auto"/>
        </w:rPr>
      </w:pPr>
    </w:p>
    <w:p>
      <w:pPr>
        <w:ind w:left="1240" w:hanging="242"/>
        <w:spacing w:after="0"/>
        <w:tabs>
          <w:tab w:leader="none" w:pos="1240" w:val="left"/>
        </w:tabs>
        <w:numPr>
          <w:ilvl w:val="1"/>
          <w:numId w:val="505"/>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w:t>
      </w:r>
    </w:p>
    <w:p>
      <w:pPr>
        <w:spacing w:after="0" w:line="45" w:lineRule="exact"/>
        <w:rPr>
          <w:rFonts w:ascii="Arial" w:cs="Arial" w:eastAsia="Arial" w:hAnsi="Arial"/>
          <w:sz w:val="16"/>
          <w:szCs w:val="16"/>
          <w:color w:val="auto"/>
        </w:rPr>
      </w:pPr>
    </w:p>
    <w:p>
      <w:pPr>
        <w:ind w:firstLine="9"/>
        <w:spacing w:after="0" w:line="286" w:lineRule="auto"/>
        <w:tabs>
          <w:tab w:leader="none" w:pos="214"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a certificate of each Loan Party </w:t>
      </w:r>
      <w:r>
        <w:rPr>
          <w:rFonts w:ascii="Arial" w:cs="Arial" w:eastAsia="Arial" w:hAnsi="Arial"/>
          <w:sz w:val="16"/>
          <w:szCs w:val="16"/>
          <w:color w:val="FF0000"/>
          <w:strike w:val="1"/>
        </w:rPr>
        <w:t>other than GMGTC</w:t>
      </w:r>
      <w:r>
        <w:rPr>
          <w:rFonts w:ascii="Arial" w:cs="Arial" w:eastAsia="Arial" w:hAnsi="Arial"/>
          <w:sz w:val="16"/>
          <w:szCs w:val="16"/>
          <w:color w:val="auto"/>
        </w:rPr>
        <w:t xml:space="preserve">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00FF"/>
        </w:rPr>
        <w:t>and</w:t>
      </w:r>
      <w:r>
        <w:rPr>
          <w:rFonts w:ascii="Arial" w:cs="Arial" w:eastAsia="Arial" w:hAnsi="Arial"/>
          <w:sz w:val="16"/>
          <w:szCs w:val="16"/>
          <w:color w:val="auto"/>
        </w:rPr>
        <w:t xml:space="preserve"> (iii) a certificate of the Company, dated the Closing Date, to the effect that the conditions set forth in Section 5.2 have been satisfied or waived </w:t>
      </w:r>
      <w:r>
        <w:rPr>
          <w:rFonts w:ascii="Arial" w:cs="Arial" w:eastAsia="Arial" w:hAnsi="Arial"/>
          <w:sz w:val="16"/>
          <w:szCs w:val="16"/>
          <w:color w:val="FF0000"/>
          <w:strike w:val="1"/>
        </w:rPr>
        <w:t>and (iv) a certificate from GMGTC (signed by an authorised signatory), with appropriate insertions and attachments, including its constitutional</w:t>
      </w:r>
      <w:r>
        <w:rPr>
          <w:rFonts w:ascii="Arial" w:cs="Arial" w:eastAsia="Arial" w:hAnsi="Arial"/>
          <w:sz w:val="16"/>
          <w:szCs w:val="16"/>
          <w:color w:val="auto"/>
        </w:rPr>
        <w:t xml:space="preserve"> </w:t>
      </w:r>
      <w:r>
        <w:rPr>
          <w:rFonts w:ascii="Arial" w:cs="Arial" w:eastAsia="Arial" w:hAnsi="Arial"/>
          <w:sz w:val="16"/>
          <w:szCs w:val="16"/>
          <w:color w:val="FF0000"/>
          <w:strike w:val="1"/>
        </w:rPr>
        <w:t>documents, certifying that: (A) borrowing, guaranteeing or securing (as appropriate) under this Agreement would not cause any borrowing, guarantee, security or similar limit binding on it to be exceeded; and (B) each copy document relating to it in this Section 5.1 (including its constitutional documents) is correct, complete and in full force and effect and has not been amended or superseded prior to the date of this Agreement.</w:t>
      </w:r>
      <w:r>
        <w:rPr>
          <w:rFonts w:ascii="Arial" w:cs="Arial" w:eastAsia="Arial" w:hAnsi="Arial"/>
          <w:sz w:val="16"/>
          <w:szCs w:val="16"/>
          <w:u w:val="single" w:color="auto"/>
          <w:color w:val="0000FF"/>
          <w:strike w:val="1"/>
        </w:rPr>
        <w:t>.</w:t>
      </w:r>
    </w:p>
    <w:p>
      <w:pPr>
        <w:spacing w:after="0" w:line="59" w:lineRule="exact"/>
        <w:rPr>
          <w:rFonts w:ascii="Arial" w:cs="Arial" w:eastAsia="Arial" w:hAnsi="Arial"/>
          <w:sz w:val="16"/>
          <w:szCs w:val="16"/>
          <w:color w:val="auto"/>
        </w:rPr>
      </w:pPr>
    </w:p>
    <w:p>
      <w:pPr>
        <w:ind w:left="1260" w:hanging="262"/>
        <w:spacing w:after="0"/>
        <w:tabs>
          <w:tab w:leader="none" w:pos="1260" w:val="left"/>
        </w:tabs>
        <w:numPr>
          <w:ilvl w:val="1"/>
          <w:numId w:val="506"/>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shall have received the executed legal opinion of (i) in-house counsel to the Loan Parties,</w:t>
      </w:r>
    </w:p>
    <w:p>
      <w:pPr>
        <w:spacing w:after="0" w:line="45" w:lineRule="exact"/>
        <w:rPr>
          <w:rFonts w:ascii="Arial" w:cs="Arial" w:eastAsia="Arial" w:hAnsi="Arial"/>
          <w:sz w:val="16"/>
          <w:szCs w:val="16"/>
          <w:color w:val="auto"/>
        </w:rPr>
      </w:pPr>
    </w:p>
    <w:p>
      <w:pPr>
        <w:ind w:right="180" w:firstLine="9"/>
        <w:spacing w:after="0" w:line="254" w:lineRule="auto"/>
        <w:tabs>
          <w:tab w:leader="none" w:pos="264" w:val="left"/>
        </w:tabs>
        <w:numPr>
          <w:ilvl w:val="0"/>
          <w:numId w:val="507"/>
        </w:numPr>
        <w:rPr>
          <w:rFonts w:ascii="Arial" w:cs="Arial" w:eastAsia="Arial" w:hAnsi="Arial"/>
          <w:sz w:val="18"/>
          <w:szCs w:val="18"/>
          <w:color w:val="auto"/>
        </w:rPr>
      </w:pPr>
      <w:r>
        <w:rPr>
          <w:rFonts w:ascii="Arial" w:cs="Arial" w:eastAsia="Arial" w:hAnsi="Arial"/>
          <w:sz w:val="18"/>
          <w:szCs w:val="18"/>
          <w:color w:val="FF0000"/>
          <w:strike w:val="1"/>
        </w:rPr>
        <w:t>Weil Gotshal &amp; Manges</w:t>
      </w:r>
      <w:r>
        <w:rPr>
          <w:rFonts w:ascii="Arial" w:cs="Arial" w:eastAsia="Arial" w:hAnsi="Arial"/>
          <w:sz w:val="18"/>
          <w:szCs w:val="18"/>
          <w:u w:val="single" w:color="auto"/>
          <w:color w:val="0000FF"/>
        </w:rPr>
        <w:t>Mayer Brown</w:t>
      </w:r>
      <w:r>
        <w:rPr>
          <w:rFonts w:ascii="Arial" w:cs="Arial" w:eastAsia="Arial" w:hAnsi="Arial"/>
          <w:sz w:val="18"/>
          <w:szCs w:val="18"/>
          <w:color w:val="FF0000"/>
        </w:rPr>
        <w:t xml:space="preserve"> </w:t>
      </w:r>
      <w:r>
        <w:rPr>
          <w:rFonts w:ascii="Arial" w:cs="Arial" w:eastAsia="Arial" w:hAnsi="Arial"/>
          <w:sz w:val="18"/>
          <w:szCs w:val="18"/>
          <w:color w:val="000000"/>
        </w:rPr>
        <w:t>LLP, counsel to the Loan Parties,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w:t>
      </w:r>
      <w:r>
        <w:rPr>
          <w:rFonts w:ascii="Arial" w:cs="Arial" w:eastAsia="Arial" w:hAnsi="Arial"/>
          <w:sz w:val="18"/>
          <w:szCs w:val="18"/>
          <w:color w:val="FF0000"/>
        </w:rPr>
        <w:t xml:space="preserve"> </w:t>
      </w:r>
      <w:r>
        <w:rPr>
          <w:rFonts w:ascii="Arial" w:cs="Arial" w:eastAsia="Arial" w:hAnsi="Arial"/>
          <w:sz w:val="18"/>
          <w:szCs w:val="18"/>
          <w:color w:val="000000"/>
        </w:rPr>
        <w:t>(iii) Demarest Advogados, special Brazil counsel to the Brazilian</w:t>
      </w:r>
      <w:r>
        <w:rPr>
          <w:rFonts w:ascii="Arial" w:cs="Arial" w:eastAsia="Arial" w:hAnsi="Arial"/>
          <w:sz w:val="18"/>
          <w:szCs w:val="18"/>
          <w:color w:val="FF0000"/>
        </w:rPr>
        <w:t xml:space="preserve"> </w:t>
      </w:r>
      <w:r>
        <w:rPr>
          <w:rFonts w:ascii="Arial" w:cs="Arial" w:eastAsia="Arial" w:hAnsi="Arial"/>
          <w:sz w:val="18"/>
          <w:szCs w:val="18"/>
          <w:color w:val="000000"/>
        </w:rPr>
        <w:t xml:space="preserve">Administrative Agent </w:t>
      </w:r>
      <w:r>
        <w:rPr>
          <w:rFonts w:ascii="Arial" w:cs="Arial" w:eastAsia="Arial" w:hAnsi="Arial"/>
          <w:sz w:val="18"/>
          <w:szCs w:val="18"/>
          <w:color w:val="FF0000"/>
          <w:strike w:val="1"/>
        </w:rPr>
        <w:t>and (iv) Weil Gotshal &amp; Manges LLP, special UK counsel to GMGTC</w:t>
      </w:r>
      <w:r>
        <w:rPr>
          <w:rFonts w:ascii="Arial" w:cs="Arial" w:eastAsia="Arial" w:hAnsi="Arial"/>
          <w:sz w:val="18"/>
          <w:szCs w:val="18"/>
          <w:color w:val="000000"/>
        </w:rPr>
        <w:t>, each in form and substance reasonably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-1160780</wp:posOffset>
            </wp:positionV>
            <wp:extent cx="19685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-1195070</wp:posOffset>
            </wp:positionV>
            <wp:extent cx="19304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9304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-613410</wp:posOffset>
            </wp:positionV>
            <wp:extent cx="2540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-271145</wp:posOffset>
            </wp:positionV>
            <wp:extent cx="64135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641350" cy="825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-271145</wp:posOffset>
            </wp:positionV>
            <wp:extent cx="16256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40" w:top="274" w:right="499" w:bottom="1440" w:gutter="0" w:footer="0" w:header="0"/>
        </w:sectPr>
      </w:pPr>
    </w:p>
    <w:bookmarkStart w:id="574" w:name="page575"/>
    <w:bookmarkEnd w:id="574"/>
    <w:p>
      <w:pPr>
        <w:ind w:right="20" w:firstLine="998"/>
        <w:spacing w:after="0" w:line="301" w:lineRule="auto"/>
        <w:tabs>
          <w:tab w:leader="none" w:pos="1233" w:val="left"/>
        </w:tabs>
        <w:numPr>
          <w:ilvl w:val="0"/>
          <w:numId w:val="5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Five-Year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Five Year Credit Agreement that are not Lenders hereunder shall have been terminated (and the Commitments of all continuing Lenders shall be as set forth on Schedule 1.1(A)) and all accrued interest and fees under the Existing Five Year Credit Agreement shall have been paid, or arrangements satisfactory to the Administrative Agent in respect thereof shall have been made.</w:t>
      </w:r>
    </w:p>
    <w:p>
      <w:pPr>
        <w:spacing w:after="0" w:line="46" w:lineRule="exact"/>
        <w:rPr>
          <w:rFonts w:ascii="Arial" w:cs="Arial" w:eastAsia="Arial" w:hAnsi="Arial"/>
          <w:sz w:val="16"/>
          <w:szCs w:val="16"/>
          <w:color w:val="auto"/>
        </w:rPr>
      </w:pPr>
    </w:p>
    <w:p>
      <w:pPr>
        <w:ind w:right="180" w:firstLine="998"/>
        <w:spacing w:after="0" w:line="285" w:lineRule="auto"/>
        <w:tabs>
          <w:tab w:leader="none" w:pos="1213"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xml:space="preserve">. The Administrative Agent shall have received all documentation and other information reasonably requested by the Administrative Agent or any Lender who is not a lender under the Existing Five Year Credit Agreement under applicable “know your customer” and anti-money-laundering rules and regulations, including the USA Patriot Act </w:t>
      </w:r>
      <w:r>
        <w:rPr>
          <w:rFonts w:ascii="Arial" w:cs="Arial" w:eastAsia="Arial" w:hAnsi="Arial"/>
          <w:sz w:val="17"/>
          <w:szCs w:val="17"/>
          <w:u w:val="single" w:color="auto"/>
          <w:color w:val="0000FF"/>
        </w:rPr>
        <w:t>and the Beneficial Ownership Regulation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-13335</wp:posOffset>
            </wp:positionV>
            <wp:extent cx="188150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38" w:lineRule="exact"/>
        <w:rPr>
          <w:sz w:val="20"/>
          <w:szCs w:val="20"/>
          <w:color w:val="auto"/>
        </w:rPr>
      </w:pPr>
    </w:p>
    <w:p>
      <w:pPr>
        <w:ind w:right="20" w:firstLine="989"/>
        <w:spacing w:after="0" w:line="255" w:lineRule="auto"/>
        <w:rPr>
          <w:sz w:val="20"/>
          <w:szCs w:val="20"/>
          <w:color w:val="auto"/>
        </w:rPr>
      </w:pPr>
      <w:r>
        <w:rPr>
          <w:rFonts w:ascii="Arial" w:cs="Arial" w:eastAsia="Arial" w:hAnsi="Arial"/>
          <w:sz w:val="18"/>
          <w:szCs w:val="18"/>
          <w:color w:val="auto"/>
        </w:rPr>
        <w:t>5.2 Conditions to Each Extension of Credit.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81" w:lineRule="exact"/>
        <w:rPr>
          <w:sz w:val="20"/>
          <w:szCs w:val="20"/>
          <w:color w:val="auto"/>
        </w:rPr>
      </w:pPr>
    </w:p>
    <w:p>
      <w:pPr>
        <w:jc w:val="both"/>
        <w:ind w:right="360" w:firstLine="998"/>
        <w:spacing w:after="0" w:line="278" w:lineRule="auto"/>
        <w:tabs>
          <w:tab w:leader="none" w:pos="1233"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64" w:lineRule="exact"/>
        <w:rPr>
          <w:rFonts w:ascii="Arial" w:cs="Arial" w:eastAsia="Arial" w:hAnsi="Arial"/>
          <w:sz w:val="17"/>
          <w:szCs w:val="17"/>
          <w:color w:val="auto"/>
        </w:rPr>
      </w:pPr>
    </w:p>
    <w:p>
      <w:pPr>
        <w:ind w:right="80" w:firstLine="998"/>
        <w:spacing w:after="0" w:line="276" w:lineRule="auto"/>
        <w:tabs>
          <w:tab w:leader="none" w:pos="1243"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62" w:lineRule="exact"/>
        <w:rPr>
          <w:rFonts w:ascii="Arial" w:cs="Arial" w:eastAsia="Arial" w:hAnsi="Arial"/>
          <w:sz w:val="18"/>
          <w:szCs w:val="18"/>
          <w:color w:val="auto"/>
        </w:rPr>
      </w:pPr>
    </w:p>
    <w:p>
      <w:pPr>
        <w:ind w:firstLine="998"/>
        <w:spacing w:after="0" w:line="253" w:lineRule="auto"/>
        <w:tabs>
          <w:tab w:leader="none" w:pos="1233"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No Subsidiary Borrower Bankruptcy Events</w:t>
      </w:r>
      <w:r>
        <w:rPr>
          <w:rFonts w:ascii="Arial" w:cs="Arial" w:eastAsia="Arial" w:hAnsi="Arial"/>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83" w:lineRule="exact"/>
        <w:rPr>
          <w:sz w:val="20"/>
          <w:szCs w:val="20"/>
          <w:color w:val="auto"/>
        </w:rPr>
      </w:pPr>
    </w:p>
    <w:p>
      <w:pPr>
        <w:jc w:val="both"/>
        <w:ind w:right="120" w:firstLine="989"/>
        <w:spacing w:after="0" w:line="258"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3" w:right="479" w:bottom="1440" w:gutter="0" w:footer="0" w:header="0"/>
        </w:sectPr>
      </w:pPr>
    </w:p>
    <w:bookmarkStart w:id="575" w:name="page576"/>
    <w:bookmarkEnd w:id="575"/>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89535</wp:posOffset>
            </wp:positionV>
            <wp:extent cx="7174865" cy="3810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tab/>
        <w:t>AFFIRMATIVE COVENANTS</w:t>
      </w:r>
    </w:p>
    <w:p>
      <w:pPr>
        <w:spacing w:after="0" w:line="120" w:lineRule="exact"/>
        <w:rPr>
          <w:sz w:val="20"/>
          <w:szCs w:val="20"/>
          <w:color w:val="auto"/>
        </w:rPr>
      </w:pPr>
    </w:p>
    <w:p>
      <w:pPr>
        <w:ind w:right="180" w:firstLine="989"/>
        <w:spacing w:after="0" w:line="276" w:lineRule="auto"/>
        <w:rPr>
          <w:sz w:val="20"/>
          <w:szCs w:val="20"/>
          <w:color w:val="auto"/>
        </w:rPr>
      </w:pPr>
      <w:r>
        <w:rPr>
          <w:rFonts w:ascii="Arial" w:cs="Arial" w:eastAsia="Arial" w:hAnsi="Arial"/>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70" w:lineRule="exact"/>
        <w:rPr>
          <w:sz w:val="20"/>
          <w:szCs w:val="20"/>
          <w:color w:val="auto"/>
        </w:rPr>
      </w:pPr>
    </w:p>
    <w:p>
      <w:pPr>
        <w:ind w:firstLine="989"/>
        <w:spacing w:after="0" w:line="269" w:lineRule="auto"/>
        <w:rPr>
          <w:sz w:val="20"/>
          <w:szCs w:val="20"/>
          <w:color w:val="auto"/>
        </w:rPr>
      </w:pPr>
      <w:r>
        <w:rPr>
          <w:rFonts w:ascii="Arial" w:cs="Arial" w:eastAsia="Arial" w:hAnsi="Arial"/>
          <w:sz w:val="17"/>
          <w:szCs w:val="17"/>
          <w:color w:val="auto"/>
        </w:rPr>
        <w:t xml:space="preserve">6.1 Financial Statements.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83" w:lineRule="exact"/>
        <w:rPr>
          <w:sz w:val="20"/>
          <w:szCs w:val="20"/>
          <w:color w:val="auto"/>
        </w:rPr>
      </w:pPr>
    </w:p>
    <w:p>
      <w:pPr>
        <w:ind w:firstLine="989"/>
        <w:spacing w:after="0" w:line="256" w:lineRule="auto"/>
        <w:rPr>
          <w:sz w:val="20"/>
          <w:szCs w:val="20"/>
          <w:color w:val="auto"/>
        </w:rPr>
      </w:pPr>
      <w:r>
        <w:rPr>
          <w:rFonts w:ascii="Arial" w:cs="Arial" w:eastAsia="Arial" w:hAnsi="Arial"/>
          <w:sz w:val="18"/>
          <w:szCs w:val="18"/>
          <w:color w:val="auto"/>
        </w:rPr>
        <w:t>6.2 Compliance Certificates.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9" w:lineRule="exact"/>
        <w:rPr>
          <w:sz w:val="20"/>
          <w:szCs w:val="20"/>
          <w:color w:val="auto"/>
        </w:rPr>
      </w:pPr>
    </w:p>
    <w:p>
      <w:pPr>
        <w:ind w:firstLine="989"/>
        <w:spacing w:after="0" w:line="258" w:lineRule="auto"/>
        <w:rPr>
          <w:sz w:val="20"/>
          <w:szCs w:val="20"/>
          <w:color w:val="auto"/>
        </w:rPr>
      </w:pPr>
      <w:r>
        <w:rPr>
          <w:rFonts w:ascii="Arial" w:cs="Arial" w:eastAsia="Arial" w:hAnsi="Arial"/>
          <w:sz w:val="18"/>
          <w:szCs w:val="18"/>
          <w:color w:val="auto"/>
        </w:rPr>
        <w:t>6.3 Maintenance of Business; Existence.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40" w:firstLine="989"/>
        <w:spacing w:after="0" w:line="273" w:lineRule="auto"/>
        <w:rPr>
          <w:sz w:val="20"/>
          <w:szCs w:val="20"/>
          <w:color w:val="auto"/>
        </w:rPr>
      </w:pPr>
      <w:r>
        <w:rPr>
          <w:rFonts w:ascii="Arial" w:cs="Arial" w:eastAsia="Arial" w:hAnsi="Arial"/>
          <w:sz w:val="17"/>
          <w:szCs w:val="17"/>
          <w:color w:val="auto"/>
        </w:rPr>
        <w:t>6.4 Maintenance of Insurance.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4" w:lineRule="exact"/>
        <w:rPr>
          <w:sz w:val="20"/>
          <w:szCs w:val="20"/>
          <w:color w:val="auto"/>
        </w:rPr>
      </w:pPr>
    </w:p>
    <w:p>
      <w:pPr>
        <w:ind w:right="220" w:firstLine="989"/>
        <w:spacing w:after="0" w:line="278" w:lineRule="auto"/>
        <w:rPr>
          <w:sz w:val="20"/>
          <w:szCs w:val="20"/>
          <w:color w:val="auto"/>
        </w:rPr>
      </w:pPr>
      <w:r>
        <w:rPr>
          <w:rFonts w:ascii="Arial" w:cs="Arial" w:eastAsia="Arial" w:hAnsi="Arial"/>
          <w:sz w:val="17"/>
          <w:szCs w:val="17"/>
          <w:color w:val="auto"/>
        </w:rPr>
        <w:t>6.5 Notices. Promptly upon a Financial Officer of the Company obtaining actual knowledge thereof, the Company shall give notice to the Administrative Agent and the Brazilian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0" w:right="479" w:bottom="1440" w:gutter="0" w:footer="0" w:header="0"/>
        </w:sectPr>
      </w:pPr>
    </w:p>
    <w:bookmarkStart w:id="576" w:name="page577"/>
    <w:bookmarkEnd w:id="576"/>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6.6</w:t>
      </w:r>
      <w:r>
        <w:rPr>
          <w:sz w:val="20"/>
          <w:szCs w:val="20"/>
          <w:color w:val="auto"/>
        </w:rPr>
        <w:tab/>
      </w:r>
      <w:r>
        <w:rPr>
          <w:rFonts w:ascii="Arial" w:cs="Arial" w:eastAsia="Arial" w:hAnsi="Arial"/>
          <w:sz w:val="15"/>
          <w:szCs w:val="15"/>
          <w:color w:val="auto"/>
        </w:rPr>
        <w:t>Reinstated Guarantors, etc.</w:t>
      </w:r>
      <w:r>
        <w:rPr>
          <w:rFonts w:ascii="Arial" w:cs="Arial" w:eastAsia="Arial" w:hAnsi="Arial"/>
          <w:sz w:val="15"/>
          <w:szCs w:val="15"/>
          <w:color w:val="FF0000"/>
          <w:strike w:val="1"/>
        </w:rPr>
        <w:t>.</w:t>
      </w:r>
    </w:p>
    <w:p>
      <w:pPr>
        <w:spacing w:after="0" w:line="224" w:lineRule="exact"/>
        <w:rPr>
          <w:sz w:val="20"/>
          <w:szCs w:val="20"/>
          <w:color w:val="auto"/>
        </w:rPr>
      </w:pPr>
    </w:p>
    <w:p>
      <w:pPr>
        <w:ind w:right="220" w:firstLine="998"/>
        <w:spacing w:after="0" w:line="258" w:lineRule="auto"/>
        <w:tabs>
          <w:tab w:leader="none" w:pos="136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requirements shall not apply to GM Holdings.</w:t>
      </w:r>
    </w:p>
    <w:p>
      <w:pPr>
        <w:spacing w:after="0" w:line="187" w:lineRule="exact"/>
        <w:rPr>
          <w:rFonts w:ascii="Arial" w:cs="Arial" w:eastAsia="Arial" w:hAnsi="Arial"/>
          <w:sz w:val="18"/>
          <w:szCs w:val="18"/>
          <w:color w:val="auto"/>
        </w:rPr>
      </w:pPr>
    </w:p>
    <w:p>
      <w:pPr>
        <w:ind w:firstLine="998"/>
        <w:spacing w:after="0" w:line="268" w:lineRule="auto"/>
        <w:tabs>
          <w:tab w:leader="none" w:pos="1378" w:val="left"/>
        </w:tabs>
        <w:numPr>
          <w:ilvl w:val="0"/>
          <w:numId w:val="510"/>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within 90 days after the end of any fiscal quarter of the Company, during which (w) 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84" w:lineRule="exact"/>
        <w:rPr>
          <w:rFonts w:ascii="Arial" w:cs="Arial" w:eastAsia="Arial" w:hAnsi="Arial"/>
          <w:sz w:val="17"/>
          <w:szCs w:val="17"/>
          <w:color w:val="auto"/>
        </w:rPr>
      </w:pPr>
    </w:p>
    <w:p>
      <w:pPr>
        <w:ind w:right="520" w:firstLine="998"/>
        <w:spacing w:after="0" w:line="276" w:lineRule="auto"/>
        <w:tabs>
          <w:tab w:leader="none" w:pos="13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right="20" w:firstLine="989"/>
        <w:spacing w:after="0" w:line="285" w:lineRule="auto"/>
        <w:rPr>
          <w:sz w:val="20"/>
          <w:szCs w:val="20"/>
          <w:color w:val="auto"/>
        </w:rPr>
      </w:pPr>
      <w:r>
        <w:rPr>
          <w:rFonts w:ascii="Arial" w:cs="Arial" w:eastAsia="Arial" w:hAnsi="Arial"/>
          <w:sz w:val="17"/>
          <w:szCs w:val="17"/>
          <w:color w:val="auto"/>
        </w:rPr>
        <w:t>6.7 Books and Records.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66" w:lineRule="exact"/>
        <w:rPr>
          <w:sz w:val="20"/>
          <w:szCs w:val="20"/>
          <w:color w:val="auto"/>
        </w:rPr>
      </w:pPr>
    </w:p>
    <w:p>
      <w:pPr>
        <w:jc w:val="both"/>
        <w:ind w:right="260" w:firstLine="989"/>
        <w:spacing w:after="0" w:line="263" w:lineRule="auto"/>
        <w:rPr>
          <w:sz w:val="20"/>
          <w:szCs w:val="20"/>
          <w:color w:val="auto"/>
        </w:rPr>
      </w:pPr>
      <w:r>
        <w:rPr>
          <w:rFonts w:ascii="Arial" w:cs="Arial" w:eastAsia="Arial" w:hAnsi="Arial"/>
          <w:sz w:val="18"/>
          <w:szCs w:val="18"/>
          <w:color w:val="auto"/>
        </w:rPr>
        <w:t xml:space="preserve">6.8 Ratings.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Company shall not be required to obtain or maintain, as applicable, a specific Index Debt Rating.</w:t>
      </w:r>
    </w:p>
    <w:p>
      <w:pPr>
        <w:spacing w:after="0" w:line="28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u w:val="single" w:color="auto"/>
          <w:color w:val="auto"/>
        </w:rPr>
        <w:t>SECTION 7.</w:t>
        <w:tab/>
        <w:t>NEGATIVE COVENANTS</w:t>
      </w:r>
    </w:p>
    <w:p>
      <w:pPr>
        <w:spacing w:after="0" w:line="120" w:lineRule="exact"/>
        <w:rPr>
          <w:sz w:val="20"/>
          <w:szCs w:val="20"/>
          <w:color w:val="auto"/>
        </w:rPr>
      </w:pPr>
    </w:p>
    <w:p>
      <w:pPr>
        <w:ind w:right="320" w:firstLine="989"/>
        <w:spacing w:after="0" w:line="306"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48" w:lineRule="exact"/>
        <w:rPr>
          <w:sz w:val="20"/>
          <w:szCs w:val="20"/>
          <w:color w:val="auto"/>
        </w:rPr>
      </w:pPr>
    </w:p>
    <w:p>
      <w:pPr>
        <w:ind w:right="240" w:firstLine="989"/>
        <w:spacing w:after="0" w:line="276" w:lineRule="auto"/>
        <w:rPr>
          <w:sz w:val="20"/>
          <w:szCs w:val="20"/>
          <w:color w:val="auto"/>
        </w:rPr>
      </w:pPr>
      <w:r>
        <w:rPr>
          <w:rFonts w:ascii="Arial" w:cs="Arial" w:eastAsia="Arial" w:hAnsi="Arial"/>
          <w:sz w:val="18"/>
          <w:szCs w:val="18"/>
          <w:color w:val="auto"/>
        </w:rPr>
        <w:t>7.1 Minimum Liquidity. The Company shall not at any time permit the Consolidated Global Liquidity to be less than $4 billion or the Consolidated Domestic Liquidity to be less than $2 billion.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440" w:top="273" w:right="499" w:bottom="1440" w:gutter="0" w:footer="0" w:header="0"/>
        </w:sectPr>
      </w:pPr>
    </w:p>
    <w:bookmarkStart w:id="577" w:name="page578"/>
    <w:bookmarkEnd w:id="577"/>
    <w:p>
      <w:pPr>
        <w:ind w:right="120" w:firstLine="989"/>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7.2 Indebtedness. The Company shall not, and shall not permit any Principal Domestic Subsidiary to, incur Indebtedness that is secured by a Lien on any Previously Pledged Assets other than (A) Indebtedness secured by Permitted Liens on such Previously Pledged Assets and</w:t>
      </w:r>
    </w:p>
    <w:p>
      <w:pPr>
        <w:spacing w:after="0" w:line="1" w:lineRule="exact"/>
        <w:rPr>
          <w:sz w:val="20"/>
          <w:szCs w:val="20"/>
          <w:color w:val="auto"/>
        </w:rPr>
      </w:pPr>
    </w:p>
    <w:p>
      <w:pPr>
        <w:ind w:right="140" w:firstLine="9"/>
        <w:spacing w:after="0" w:line="259" w:lineRule="auto"/>
        <w:tabs>
          <w:tab w:leader="none" w:pos="284"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Indebtedness secured by Liens on such Previously Pledged Assets, in an aggregate principal amount, the Dollar Equivalent of which, at the time of the incurrence thereof, does not exceed 7.5% of Consolidated Tangible Assets.</w:t>
      </w:r>
    </w:p>
    <w:p>
      <w:pPr>
        <w:spacing w:after="0" w:line="293"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Asset Sale Restrictions.</w:t>
      </w:r>
    </w:p>
    <w:p>
      <w:pPr>
        <w:spacing w:after="0" w:line="116" w:lineRule="exact"/>
        <w:rPr>
          <w:sz w:val="20"/>
          <w:szCs w:val="20"/>
          <w:color w:val="auto"/>
        </w:rPr>
      </w:pPr>
    </w:p>
    <w:p>
      <w:pPr>
        <w:ind w:right="80" w:firstLine="998"/>
        <w:spacing w:after="0" w:line="271" w:lineRule="auto"/>
        <w:tabs>
          <w:tab w:leader="none" w:pos="1368"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Reinstated Guarantee Period, any such transfer from a Subsidiary Guarantor shall be to another Subsidiary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 Company or any of its Principal Domestic Subsidiaries may Dispose of all or any portion of an Excluded Subsidiary Business to one or more Excluded Subsidiaries.</w:t>
      </w:r>
    </w:p>
    <w:p>
      <w:pPr>
        <w:spacing w:after="0" w:line="178" w:lineRule="exact"/>
        <w:rPr>
          <w:rFonts w:ascii="Arial" w:cs="Arial" w:eastAsia="Arial" w:hAnsi="Arial"/>
          <w:sz w:val="17"/>
          <w:szCs w:val="17"/>
          <w:color w:val="auto"/>
        </w:rPr>
      </w:pPr>
    </w:p>
    <w:p>
      <w:pPr>
        <w:ind w:right="20" w:firstLine="998"/>
        <w:spacing w:after="0" w:line="273" w:lineRule="auto"/>
        <w:tabs>
          <w:tab w:leader="none" w:pos="1378"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Principal Trade Names</w:t>
      </w:r>
      <w:r>
        <w:rPr>
          <w:rFonts w:ascii="Arial" w:cs="Arial" w:eastAsia="Arial" w:hAnsi="Arial"/>
          <w:sz w:val="17"/>
          <w:szCs w:val="17"/>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282"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color w:val="auto"/>
        </w:rPr>
        <w:t>Fundamental Changes.</w:t>
      </w:r>
    </w:p>
    <w:p>
      <w:pPr>
        <w:spacing w:after="0" w:line="116" w:lineRule="exact"/>
        <w:rPr>
          <w:sz w:val="20"/>
          <w:szCs w:val="20"/>
          <w:color w:val="auto"/>
        </w:rPr>
      </w:pPr>
    </w:p>
    <w:p>
      <w:pPr>
        <w:ind w:firstLine="998"/>
        <w:spacing w:after="0" w:line="286" w:lineRule="auto"/>
        <w:tabs>
          <w:tab w:leader="none" w:pos="1368"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0" w:lineRule="exact"/>
        <w:rPr>
          <w:rFonts w:ascii="Arial" w:cs="Arial" w:eastAsia="Arial" w:hAnsi="Arial"/>
          <w:sz w:val="16"/>
          <w:szCs w:val="16"/>
          <w:color w:val="auto"/>
        </w:rPr>
      </w:pPr>
    </w:p>
    <w:p>
      <w:pPr>
        <w:ind w:firstLine="998"/>
        <w:spacing w:after="0" w:line="263" w:lineRule="auto"/>
        <w:tabs>
          <w:tab w:leader="none" w:pos="1378" w:val="left"/>
        </w:tabs>
        <w:numPr>
          <w:ilvl w:val="0"/>
          <w:numId w:val="513"/>
        </w:numPr>
        <w:rPr>
          <w:rFonts w:ascii="Arial" w:cs="Arial" w:eastAsia="Arial" w:hAnsi="Arial"/>
          <w:sz w:val="18"/>
          <w:szCs w:val="18"/>
          <w:color w:val="auto"/>
        </w:rPr>
      </w:pPr>
      <w:r>
        <w:rPr>
          <w:rFonts w:ascii="Arial" w:cs="Arial" w:eastAsia="Arial" w:hAnsi="Arial"/>
          <w:sz w:val="18"/>
          <w:szCs w:val="18"/>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3" w:right="479" w:bottom="1440" w:gutter="0" w:footer="0" w:header="0"/>
        </w:sectPr>
      </w:pPr>
    </w:p>
    <w:bookmarkStart w:id="578" w:name="page579"/>
    <w:bookmarkEnd w:id="57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79" w:lineRule="exact"/>
        <w:rPr>
          <w:sz w:val="20"/>
          <w:szCs w:val="20"/>
          <w:color w:val="auto"/>
        </w:rPr>
      </w:pPr>
    </w:p>
    <w:p>
      <w:pPr>
        <w:ind w:firstLine="989"/>
        <w:spacing w:after="0" w:line="253" w:lineRule="auto"/>
        <w:rPr>
          <w:sz w:val="20"/>
          <w:szCs w:val="20"/>
          <w:color w:val="auto"/>
        </w:rPr>
      </w:pPr>
      <w:r>
        <w:rPr>
          <w:rFonts w:ascii="Arial" w:cs="Arial" w:eastAsia="Arial" w:hAnsi="Arial"/>
          <w:sz w:val="18"/>
          <w:szCs w:val="18"/>
          <w:color w:val="auto"/>
        </w:rPr>
        <w:t>7.5 Anti-Corruption Laws and Sanctions. The Company and its Subsidiary Borrowers shall not, and shall not permit any of 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29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u w:val="single" w:color="auto"/>
          <w:color w:val="auto"/>
        </w:rPr>
        <w:t>SECTION 8.</w:t>
      </w:r>
      <w:r>
        <w:rPr>
          <w:sz w:val="20"/>
          <w:szCs w:val="20"/>
          <w:color w:val="auto"/>
        </w:rPr>
        <w:tab/>
      </w:r>
      <w:r>
        <w:rPr>
          <w:rFonts w:ascii="Arial" w:cs="Arial" w:eastAsia="Arial" w:hAnsi="Arial"/>
          <w:sz w:val="17"/>
          <w:szCs w:val="17"/>
          <w:b w:val="1"/>
          <w:bCs w:val="1"/>
          <w:u w:val="single" w:color="auto"/>
          <w:color w:val="auto"/>
        </w:rPr>
        <w:t>EVENTS OF DEFAULT</w:t>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224" w:lineRule="exact"/>
        <w:rPr>
          <w:sz w:val="20"/>
          <w:szCs w:val="20"/>
          <w:color w:val="auto"/>
        </w:rPr>
      </w:pPr>
    </w:p>
    <w:p>
      <w:pPr>
        <w:ind w:right="180" w:firstLine="998"/>
        <w:spacing w:after="0" w:line="254" w:lineRule="auto"/>
        <w:tabs>
          <w:tab w:leader="none" w:pos="1368"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Borrower shall fail to pay (i) any principal of any Loan at maturity, (ii) any interest, Facility Fee, Letter of Credit Fee or any Reimbursement Obligation hereunder or any fee owing pursuant to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90" w:lineRule="exact"/>
        <w:rPr>
          <w:rFonts w:ascii="Arial" w:cs="Arial" w:eastAsia="Arial" w:hAnsi="Arial"/>
          <w:sz w:val="18"/>
          <w:szCs w:val="18"/>
          <w:color w:val="auto"/>
        </w:rPr>
      </w:pPr>
    </w:p>
    <w:p>
      <w:pPr>
        <w:jc w:val="both"/>
        <w:ind w:firstLine="998"/>
        <w:spacing w:after="0" w:line="341" w:lineRule="auto"/>
        <w:tabs>
          <w:tab w:leader="none" w:pos="1378"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left="1380" w:hanging="382"/>
        <w:spacing w:after="0"/>
        <w:tabs>
          <w:tab w:leader="none" w:pos="138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any Loan Party or any Principal Domestic Subsidiary shall default in the observance or performance of (i) its agreements in</w:t>
      </w:r>
    </w:p>
    <w:p>
      <w:pPr>
        <w:spacing w:after="0" w:line="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Section 7.1 for a period of 20 consecutive days, or (ii) any other agreement contained in this Agreement (limited with respect to any Subsidiary Borrower, to Section 7.4 and 7.5) or in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73" w:lineRule="exact"/>
        <w:rPr>
          <w:sz w:val="20"/>
          <w:szCs w:val="20"/>
          <w:color w:val="auto"/>
        </w:rPr>
      </w:pPr>
    </w:p>
    <w:p>
      <w:pPr>
        <w:jc w:val="both"/>
        <w:ind w:right="660" w:firstLine="998"/>
        <w:spacing w:after="0" w:line="263" w:lineRule="auto"/>
        <w:tabs>
          <w:tab w:leader="none" w:pos="1378"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440" w:top="274" w:right="499" w:bottom="1440" w:gutter="0" w:footer="0" w:header="0"/>
        </w:sectPr>
      </w:pPr>
    </w:p>
    <w:bookmarkStart w:id="579" w:name="page580"/>
    <w:bookmarkEnd w:id="57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9" w:lineRule="exact"/>
        <w:rPr>
          <w:sz w:val="20"/>
          <w:szCs w:val="20"/>
          <w:color w:val="auto"/>
        </w:rPr>
      </w:pPr>
    </w:p>
    <w:p>
      <w:pPr>
        <w:ind w:right="120" w:firstLine="998"/>
        <w:spacing w:after="0" w:line="291" w:lineRule="auto"/>
        <w:tabs>
          <w:tab w:leader="none" w:pos="1368" w:val="left"/>
        </w:tabs>
        <w:numPr>
          <w:ilvl w:val="0"/>
          <w:numId w:val="516"/>
        </w:numPr>
        <w:rPr>
          <w:rFonts w:ascii="Arial" w:cs="Arial" w:eastAsia="Arial" w:hAnsi="Arial"/>
          <w:sz w:val="16"/>
          <w:szCs w:val="16"/>
          <w:color w:val="auto"/>
        </w:rPr>
      </w:pPr>
      <w:r>
        <w:rPr>
          <w:rFonts w:ascii="Arial" w:cs="Arial" w:eastAsia="Arial" w:hAnsi="Arial"/>
          <w:sz w:val="16"/>
          <w:szCs w:val="16"/>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62" w:lineRule="exact"/>
        <w:rPr>
          <w:rFonts w:ascii="Arial" w:cs="Arial" w:eastAsia="Arial" w:hAnsi="Arial"/>
          <w:sz w:val="16"/>
          <w:szCs w:val="16"/>
          <w:color w:val="auto"/>
        </w:rPr>
      </w:pPr>
    </w:p>
    <w:p>
      <w:pPr>
        <w:ind w:left="1360" w:hanging="362"/>
        <w:spacing w:after="0"/>
        <w:tabs>
          <w:tab w:leader="none" w:pos="13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24" w:lineRule="exact"/>
        <w:rPr>
          <w:rFonts w:ascii="Arial" w:cs="Arial" w:eastAsia="Arial" w:hAnsi="Arial"/>
          <w:sz w:val="18"/>
          <w:szCs w:val="18"/>
          <w:color w:val="auto"/>
        </w:rPr>
      </w:pPr>
    </w:p>
    <w:p>
      <w:pPr>
        <w:ind w:firstLine="998"/>
        <w:spacing w:after="0" w:line="258" w:lineRule="auto"/>
        <w:tabs>
          <w:tab w:leader="none" w:pos="1378" w:val="left"/>
        </w:tabs>
        <w:numPr>
          <w:ilvl w:val="0"/>
          <w:numId w:val="516"/>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7" w:lineRule="exact"/>
        <w:rPr>
          <w:rFonts w:ascii="Arial" w:cs="Arial" w:eastAsia="Arial" w:hAnsi="Arial"/>
          <w:sz w:val="18"/>
          <w:szCs w:val="18"/>
          <w:color w:val="auto"/>
        </w:rPr>
      </w:pPr>
    </w:p>
    <w:p>
      <w:pPr>
        <w:ind w:right="200" w:firstLine="998"/>
        <w:spacing w:after="0" w:line="276" w:lineRule="auto"/>
        <w:tabs>
          <w:tab w:leader="none" w:pos="1378"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340" w:hanging="342"/>
        <w:spacing w:after="0"/>
        <w:tabs>
          <w:tab w:leader="none" w:pos="13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3" w:right="479" w:bottom="1440" w:gutter="0" w:footer="0" w:header="0"/>
        </w:sectPr>
      </w:pPr>
    </w:p>
    <w:bookmarkStart w:id="580" w:name="page581"/>
    <w:bookmarkEnd w:id="58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27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u w:val="single" w:color="auto"/>
          <w:color w:val="auto"/>
        </w:rPr>
        <w:t>SECTION 9.</w:t>
      </w:r>
      <w:r>
        <w:rPr>
          <w:sz w:val="20"/>
          <w:szCs w:val="20"/>
          <w:color w:val="auto"/>
        </w:rPr>
        <w:tab/>
      </w:r>
      <w:r>
        <w:rPr>
          <w:rFonts w:ascii="Arial" w:cs="Arial" w:eastAsia="Arial" w:hAnsi="Arial"/>
          <w:sz w:val="17"/>
          <w:szCs w:val="17"/>
          <w:b w:val="1"/>
          <w:bCs w:val="1"/>
          <w:u w:val="single" w:color="auto"/>
          <w:color w:val="auto"/>
        </w:rPr>
        <w:t>THE AGENTS</w:t>
      </w:r>
    </w:p>
    <w:p>
      <w:pPr>
        <w:spacing w:after="0" w:line="120" w:lineRule="exact"/>
        <w:rPr>
          <w:sz w:val="20"/>
          <w:szCs w:val="20"/>
          <w:color w:val="auto"/>
        </w:rPr>
      </w:pPr>
    </w:p>
    <w:p>
      <w:pPr>
        <w:ind w:firstLine="989"/>
        <w:spacing w:after="0" w:line="287" w:lineRule="auto"/>
        <w:rPr>
          <w:sz w:val="20"/>
          <w:szCs w:val="20"/>
          <w:color w:val="auto"/>
        </w:rPr>
      </w:pPr>
      <w:r>
        <w:rPr>
          <w:rFonts w:ascii="Arial" w:cs="Arial" w:eastAsia="Arial" w:hAnsi="Arial"/>
          <w:sz w:val="16"/>
          <w:szCs w:val="16"/>
          <w:color w:val="auto"/>
        </w:rPr>
        <w:t>9.1 Appointment. Each Lender hereby irrevocably designates and appoints the Administrative Agent and the Brazilian Administrative Agent, as applicable, as the agents of such Lender 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66" w:lineRule="exact"/>
        <w:rPr>
          <w:sz w:val="20"/>
          <w:szCs w:val="20"/>
          <w:color w:val="auto"/>
        </w:rPr>
      </w:pPr>
    </w:p>
    <w:p>
      <w:pPr>
        <w:ind w:right="160" w:firstLine="989"/>
        <w:spacing w:after="0" w:line="311" w:lineRule="auto"/>
        <w:rPr>
          <w:sz w:val="20"/>
          <w:szCs w:val="20"/>
          <w:color w:val="auto"/>
        </w:rPr>
      </w:pPr>
      <w:r>
        <w:rPr>
          <w:rFonts w:ascii="Arial" w:cs="Arial" w:eastAsia="Arial" w:hAnsi="Arial"/>
          <w:sz w:val="16"/>
          <w:szCs w:val="16"/>
          <w:color w:val="auto"/>
        </w:rPr>
        <w:t>9.2 Delegation of Duties.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47" w:lineRule="exact"/>
        <w:rPr>
          <w:sz w:val="20"/>
          <w:szCs w:val="20"/>
          <w:color w:val="auto"/>
        </w:rPr>
      </w:pPr>
    </w:p>
    <w:p>
      <w:pPr>
        <w:ind w:right="40" w:firstLine="989"/>
        <w:spacing w:after="0" w:line="269" w:lineRule="auto"/>
        <w:rPr>
          <w:sz w:val="20"/>
          <w:szCs w:val="20"/>
          <w:color w:val="auto"/>
        </w:rPr>
      </w:pPr>
      <w:r>
        <w:rPr>
          <w:rFonts w:ascii="Arial" w:cs="Arial" w:eastAsia="Arial" w:hAnsi="Arial"/>
          <w:sz w:val="17"/>
          <w:szCs w:val="17"/>
          <w:color w:val="auto"/>
        </w:rPr>
        <w:t>9.3 Exculpatory Provisions.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3" w:right="459" w:bottom="1440" w:gutter="0" w:footer="0" w:header="0"/>
        </w:sectPr>
      </w:pPr>
    </w:p>
    <w:bookmarkStart w:id="581" w:name="page582"/>
    <w:bookmarkEnd w:id="581"/>
    <w:p>
      <w:pPr>
        <w:ind w:right="48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observance or performance of any of the agreements contained in, or conditions of, this Agreement, any other Loan Document or the Brazilian Intercreditor Agreement, or to inspect the properties, books or records of any Loan Party.</w:t>
      </w:r>
    </w:p>
    <w:p>
      <w:pPr>
        <w:spacing w:after="0" w:line="170" w:lineRule="exact"/>
        <w:rPr>
          <w:sz w:val="20"/>
          <w:szCs w:val="20"/>
          <w:color w:val="auto"/>
        </w:rPr>
      </w:pPr>
    </w:p>
    <w:p>
      <w:pPr>
        <w:ind w:firstLine="989"/>
        <w:spacing w:after="0" w:line="285" w:lineRule="auto"/>
        <w:rPr>
          <w:sz w:val="20"/>
          <w:szCs w:val="20"/>
          <w:color w:val="auto"/>
        </w:rPr>
      </w:pPr>
      <w:r>
        <w:rPr>
          <w:rFonts w:ascii="Arial" w:cs="Arial" w:eastAsia="Arial" w:hAnsi="Arial"/>
          <w:sz w:val="16"/>
          <w:szCs w:val="16"/>
          <w:color w:val="auto"/>
        </w:rPr>
        <w:t>9.4 Reliance by Administrative Agent and the Brazilian Administrative Agent. Each of the 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71" w:lineRule="exact"/>
        <w:rPr>
          <w:sz w:val="20"/>
          <w:szCs w:val="20"/>
          <w:color w:val="auto"/>
        </w:rPr>
      </w:pPr>
    </w:p>
    <w:p>
      <w:pPr>
        <w:ind w:right="40" w:firstLine="989"/>
        <w:spacing w:after="0" w:line="287" w:lineRule="auto"/>
        <w:rPr>
          <w:sz w:val="20"/>
          <w:szCs w:val="20"/>
          <w:color w:val="auto"/>
        </w:rPr>
      </w:pPr>
      <w:r>
        <w:rPr>
          <w:rFonts w:ascii="Arial" w:cs="Arial" w:eastAsia="Arial" w:hAnsi="Arial"/>
          <w:sz w:val="16"/>
          <w:szCs w:val="16"/>
          <w:color w:val="auto"/>
        </w:rPr>
        <w:t>9.5 Notice of Default.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170" w:lineRule="exact"/>
        <w:rPr>
          <w:sz w:val="20"/>
          <w:szCs w:val="20"/>
          <w:color w:val="auto"/>
        </w:rPr>
      </w:pPr>
    </w:p>
    <w:p>
      <w:pPr>
        <w:ind w:firstLine="989"/>
        <w:spacing w:after="0" w:line="273" w:lineRule="auto"/>
        <w:rPr>
          <w:sz w:val="20"/>
          <w:szCs w:val="20"/>
          <w:color w:val="auto"/>
        </w:rPr>
      </w:pPr>
      <w:r>
        <w:rPr>
          <w:rFonts w:ascii="Arial" w:cs="Arial" w:eastAsia="Arial" w:hAnsi="Arial"/>
          <w:sz w:val="17"/>
          <w:szCs w:val="17"/>
          <w:color w:val="auto"/>
        </w:rPr>
        <w:t>9.6 Non-Reliance on Agents and Other Lenders. Each Lender expressly acknowledges that none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3" w:right="459" w:bottom="1440" w:gutter="0" w:footer="0" w:header="0"/>
        </w:sectPr>
      </w:pPr>
    </w:p>
    <w:bookmarkStart w:id="582" w:name="page583"/>
    <w:bookmarkEnd w:id="582"/>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70" w:lineRule="exact"/>
        <w:rPr>
          <w:sz w:val="20"/>
          <w:szCs w:val="20"/>
          <w:color w:val="auto"/>
        </w:rPr>
      </w:pPr>
    </w:p>
    <w:p>
      <w:pPr>
        <w:ind w:firstLine="989"/>
        <w:spacing w:after="0" w:line="286" w:lineRule="auto"/>
        <w:rPr>
          <w:sz w:val="20"/>
          <w:szCs w:val="20"/>
          <w:color w:val="auto"/>
        </w:rPr>
      </w:pPr>
      <w:r>
        <w:rPr>
          <w:rFonts w:ascii="Arial" w:cs="Arial" w:eastAsia="Arial" w:hAnsi="Arial"/>
          <w:sz w:val="16"/>
          <w:szCs w:val="16"/>
          <w:color w:val="auto"/>
        </w:rPr>
        <w:t xml:space="preserve">9.7 Indemnification.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9.7 shall survive the payment of the Loans and all other amounts payable hereunder.</w:t>
      </w:r>
    </w:p>
    <w:p>
      <w:pPr>
        <w:spacing w:after="0" w:line="170" w:lineRule="exact"/>
        <w:rPr>
          <w:sz w:val="20"/>
          <w:szCs w:val="20"/>
          <w:color w:val="auto"/>
        </w:rPr>
      </w:pPr>
    </w:p>
    <w:p>
      <w:pPr>
        <w:ind w:right="140" w:firstLine="989"/>
        <w:spacing w:after="0" w:line="275" w:lineRule="auto"/>
        <w:rPr>
          <w:sz w:val="20"/>
          <w:szCs w:val="20"/>
          <w:color w:val="auto"/>
        </w:rPr>
      </w:pPr>
      <w:r>
        <w:rPr>
          <w:rFonts w:ascii="Arial" w:cs="Arial" w:eastAsia="Arial" w:hAnsi="Arial"/>
          <w:sz w:val="17"/>
          <w:szCs w:val="17"/>
          <w:color w:val="auto"/>
        </w:rPr>
        <w:t>9.8 Agent in Its Individual Capacity.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73" w:lineRule="exact"/>
        <w:rPr>
          <w:sz w:val="20"/>
          <w:szCs w:val="20"/>
          <w:color w:val="auto"/>
        </w:rPr>
      </w:pPr>
    </w:p>
    <w:p>
      <w:pPr>
        <w:ind w:right="40" w:firstLine="989"/>
        <w:spacing w:after="0" w:line="253" w:lineRule="auto"/>
        <w:rPr>
          <w:sz w:val="20"/>
          <w:szCs w:val="20"/>
          <w:color w:val="auto"/>
        </w:rPr>
      </w:pPr>
      <w:r>
        <w:rPr>
          <w:rFonts w:ascii="Arial" w:cs="Arial" w:eastAsia="Arial" w:hAnsi="Arial"/>
          <w:sz w:val="18"/>
          <w:szCs w:val="18"/>
          <w:color w:val="auto"/>
        </w:rPr>
        <w:t>9.9 Successor Administrative Agent.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4" w:right="479" w:bottom="1440" w:gutter="0" w:footer="0" w:header="0"/>
        </w:sectPr>
      </w:pPr>
    </w:p>
    <w:bookmarkStart w:id="583" w:name="page584"/>
    <w:bookmarkEnd w:id="58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70" w:lineRule="exact"/>
        <w:rPr>
          <w:sz w:val="20"/>
          <w:szCs w:val="20"/>
          <w:color w:val="auto"/>
        </w:rPr>
      </w:pPr>
    </w:p>
    <w:p>
      <w:pPr>
        <w:ind w:right="60" w:firstLine="989"/>
        <w:spacing w:after="0" w:line="287" w:lineRule="auto"/>
        <w:rPr>
          <w:sz w:val="20"/>
          <w:szCs w:val="20"/>
          <w:color w:val="auto"/>
        </w:rPr>
      </w:pPr>
      <w:r>
        <w:rPr>
          <w:rFonts w:ascii="Arial" w:cs="Arial" w:eastAsia="Arial" w:hAnsi="Arial"/>
          <w:sz w:val="16"/>
          <w:szCs w:val="16"/>
          <w:color w:val="auto"/>
        </w:rPr>
        <w:t xml:space="preserve">9.10 Replacement of Brazilian Administrative Agent. The Company may replace the Brazilian Administrative Agent, upon 30 days’ written notice to the Brazilian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any proposed successor agent shall require the consent of (x) the Administrative Agent and (y) 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66" w:lineRule="exact"/>
        <w:rPr>
          <w:sz w:val="20"/>
          <w:szCs w:val="20"/>
          <w:color w:val="auto"/>
        </w:rPr>
      </w:pPr>
    </w:p>
    <w:p>
      <w:pPr>
        <w:ind w:right="160" w:firstLine="989"/>
        <w:spacing w:after="0" w:line="273" w:lineRule="auto"/>
        <w:rPr>
          <w:sz w:val="20"/>
          <w:szCs w:val="20"/>
          <w:color w:val="auto"/>
        </w:rPr>
      </w:pPr>
      <w:r>
        <w:rPr>
          <w:rFonts w:ascii="Arial" w:cs="Arial" w:eastAsia="Arial" w:hAnsi="Arial"/>
          <w:sz w:val="17"/>
          <w:szCs w:val="17"/>
          <w:color w:val="auto"/>
        </w:rPr>
        <w:t>9.11 Bookrunners, Lead Arrangers, Global and Regional Coordinators, Documentation Agents, Syndication Agent and Co-Syndication Agent.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7"/>
          <w:szCs w:val="17"/>
          <w:u w:val="single" w:color="auto"/>
          <w:color w:val="auto"/>
        </w:rPr>
        <w:t>Arrangers</w:t>
      </w:r>
      <w:r>
        <w:rPr>
          <w:rFonts w:ascii="Arial" w:cs="Arial" w:eastAsia="Arial" w:hAnsi="Arial"/>
          <w:sz w:val="17"/>
          <w:szCs w:val="17"/>
          <w:color w:val="auto"/>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282"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Certain ERISA Matters.</w:t>
      </w:r>
    </w:p>
    <w:p>
      <w:pPr>
        <w:spacing w:after="0" w:line="116" w:lineRule="exact"/>
        <w:rPr>
          <w:sz w:val="20"/>
          <w:szCs w:val="20"/>
          <w:color w:val="auto"/>
        </w:rPr>
      </w:pPr>
    </w:p>
    <w:p>
      <w:pPr>
        <w:ind w:right="300" w:firstLine="998"/>
        <w:spacing w:after="0" w:line="263" w:lineRule="auto"/>
        <w:tabs>
          <w:tab w:leader="none" w:pos="1368" w:val="left"/>
        </w:tabs>
        <w:numPr>
          <w:ilvl w:val="0"/>
          <w:numId w:val="51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each Arranger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3" w:right="459" w:bottom="1440" w:gutter="0" w:footer="0" w:header="0"/>
        </w:sectPr>
      </w:pPr>
    </w:p>
    <w:bookmarkStart w:id="584" w:name="page585"/>
    <w:bookmarkEnd w:id="584"/>
    <w:p>
      <w:pPr>
        <w:ind w:right="38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respective Affiliates, and not, for the avoidance of doubt, to or for the benefit of the Borrowers or any other Loan Party, that at least one of the following is and will be true:</w:t>
      </w:r>
    </w:p>
    <w:p>
      <w:pPr>
        <w:spacing w:after="0" w:line="63" w:lineRule="exact"/>
        <w:rPr>
          <w:sz w:val="20"/>
          <w:szCs w:val="20"/>
          <w:color w:val="auto"/>
        </w:rPr>
      </w:pPr>
    </w:p>
    <w:p>
      <w:pPr>
        <w:ind w:left="1000" w:right="620" w:firstLine="398"/>
        <w:spacing w:after="0" w:line="276" w:lineRule="auto"/>
        <w:tabs>
          <w:tab w:leader="none" w:pos="1614" w:val="left"/>
        </w:tabs>
        <w:numPr>
          <w:ilvl w:val="1"/>
          <w:numId w:val="51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62" w:lineRule="exact"/>
        <w:rPr>
          <w:rFonts w:ascii="Arial" w:cs="Arial" w:eastAsia="Arial" w:hAnsi="Arial"/>
          <w:sz w:val="18"/>
          <w:szCs w:val="18"/>
          <w:color w:val="auto"/>
        </w:rPr>
      </w:pPr>
    </w:p>
    <w:p>
      <w:pPr>
        <w:ind w:left="1000" w:right="100" w:firstLine="398"/>
        <w:spacing w:after="0" w:line="293" w:lineRule="auto"/>
        <w:tabs>
          <w:tab w:leader="none" w:pos="1664" w:val="left"/>
        </w:tabs>
        <w:numPr>
          <w:ilvl w:val="1"/>
          <w:numId w:val="518"/>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53" w:lineRule="exact"/>
        <w:rPr>
          <w:rFonts w:ascii="Arial" w:cs="Arial" w:eastAsia="Arial" w:hAnsi="Arial"/>
          <w:sz w:val="16"/>
          <w:szCs w:val="16"/>
          <w:color w:val="auto"/>
        </w:rPr>
      </w:pPr>
    </w:p>
    <w:p>
      <w:pPr>
        <w:ind w:left="1000" w:right="80" w:firstLine="398"/>
        <w:spacing w:after="0" w:line="271" w:lineRule="auto"/>
        <w:tabs>
          <w:tab w:leader="none" w:pos="1714" w:val="left"/>
        </w:tabs>
        <w:numPr>
          <w:ilvl w:val="1"/>
          <w:numId w:val="518"/>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71" w:lineRule="exact"/>
        <w:rPr>
          <w:rFonts w:ascii="Arial" w:cs="Arial" w:eastAsia="Arial" w:hAnsi="Arial"/>
          <w:sz w:val="17"/>
          <w:szCs w:val="17"/>
          <w:color w:val="auto"/>
        </w:rPr>
      </w:pPr>
    </w:p>
    <w:p>
      <w:pPr>
        <w:ind w:left="1000" w:right="420" w:firstLine="398"/>
        <w:spacing w:after="0" w:line="276" w:lineRule="auto"/>
        <w:tabs>
          <w:tab w:leader="none" w:pos="1704" w:val="left"/>
        </w:tabs>
        <w:numPr>
          <w:ilvl w:val="1"/>
          <w:numId w:val="51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right="260" w:firstLine="998"/>
        <w:spacing w:after="0" w:line="296" w:lineRule="auto"/>
        <w:tabs>
          <w:tab w:leader="none" w:pos="1378" w:val="left"/>
        </w:tabs>
        <w:numPr>
          <w:ilvl w:val="0"/>
          <w:numId w:val="519"/>
        </w:numPr>
        <w:rPr>
          <w:rFonts w:ascii="Arial" w:cs="Arial" w:eastAsia="Arial" w:hAnsi="Arial"/>
          <w:sz w:val="16"/>
          <w:szCs w:val="16"/>
          <w:color w:val="auto"/>
        </w:rPr>
      </w:pPr>
      <w:r>
        <w:rPr>
          <w:rFonts w:ascii="Arial" w:cs="Arial" w:eastAsia="Arial" w:hAnsi="Arial"/>
          <w:sz w:val="16"/>
          <w:szCs w:val="16"/>
          <w:color w:val="auto"/>
        </w:rPr>
        <w:t xml:space="preserve">In addition, unless </w:t>
      </w:r>
      <w:r>
        <w:rPr>
          <w:rFonts w:ascii="Arial" w:cs="Arial" w:eastAsia="Arial" w:hAnsi="Arial"/>
          <w:sz w:val="16"/>
          <w:szCs w:val="16"/>
          <w:u w:val="single" w:color="auto"/>
          <w:color w:val="0000FF"/>
        </w:rPr>
        <w:t>either (1)</w:t>
      </w:r>
      <w:r>
        <w:rPr>
          <w:rFonts w:ascii="Arial" w:cs="Arial" w:eastAsia="Arial" w:hAnsi="Arial"/>
          <w:sz w:val="16"/>
          <w:szCs w:val="16"/>
          <w:color w:val="auto"/>
        </w:rPr>
        <w:t xml:space="preserve"> sub-clause (i) in the immediately preceding clause (a) is true with respect to a Lender or </w:t>
      </w:r>
      <w:r>
        <w:rPr>
          <w:rFonts w:ascii="Arial" w:cs="Arial" w:eastAsia="Arial" w:hAnsi="Arial"/>
          <w:sz w:val="16"/>
          <w:szCs w:val="16"/>
          <w:color w:val="FF0000"/>
          <w:strike w:val="1"/>
        </w:rPr>
        <w:t>such</w:t>
      </w:r>
      <w:r>
        <w:rPr>
          <w:rFonts w:ascii="Arial" w:cs="Arial" w:eastAsia="Arial" w:hAnsi="Arial"/>
          <w:sz w:val="16"/>
          <w:szCs w:val="16"/>
          <w:u w:val="single" w:color="auto"/>
          <w:color w:val="0000FF"/>
        </w:rPr>
        <w:t>(2) a</w:t>
      </w:r>
      <w:r>
        <w:rPr>
          <w:rFonts w:ascii="Arial" w:cs="Arial" w:eastAsia="Arial" w:hAnsi="Arial"/>
          <w:sz w:val="16"/>
          <w:szCs w:val="16"/>
          <w:color w:val="auto"/>
        </w:rPr>
        <w:t xml:space="preserve"> Lender has </w:t>
      </w:r>
      <w:r>
        <w:rPr>
          <w:rFonts w:ascii="Arial" w:cs="Arial" w:eastAsia="Arial" w:hAnsi="Arial"/>
          <w:sz w:val="16"/>
          <w:szCs w:val="16"/>
          <w:color w:val="FF0000"/>
          <w:strike w:val="1"/>
        </w:rPr>
        <w:t>not</w:t>
      </w:r>
      <w:r>
        <w:rPr>
          <w:rFonts w:ascii="Arial" w:cs="Arial" w:eastAsia="Arial" w:hAnsi="Arial"/>
          <w:sz w:val="16"/>
          <w:szCs w:val="16"/>
          <w:color w:val="auto"/>
        </w:rPr>
        <w:t xml:space="preserve">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w:t>
      </w:r>
      <w:r>
        <w:rPr>
          <w:rFonts w:ascii="Arial" w:cs="Arial" w:eastAsia="Arial" w:hAnsi="Arial"/>
          <w:sz w:val="16"/>
          <w:szCs w:val="16"/>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-565150</wp:posOffset>
            </wp:positionV>
            <wp:extent cx="41910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419100" cy="8255"/>
                    </a:xfrm>
                    <a:prstGeom prst="rect">
                      <a:avLst/>
                    </a:prstGeom>
                    <a:noFill/>
                  </pic:spPr>
                </pic:pic>
              </a:graphicData>
            </a:graphic>
          </wp:anchor>
        </w:drawing>
        <w:drawing>
          <wp:anchor simplePos="0" relativeHeight="251657728" behindDoc="1" locked="0" layoutInCell="0" allowOverlap="1">
            <wp:simplePos x="0" y="0"/>
            <wp:positionH relativeFrom="column">
              <wp:posOffset>6445885</wp:posOffset>
            </wp:positionH>
            <wp:positionV relativeFrom="paragraph">
              <wp:posOffset>-565150</wp:posOffset>
            </wp:positionV>
            <wp:extent cx="21399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138" w:lineRule="exact"/>
        <w:rPr>
          <w:sz w:val="20"/>
          <w:szCs w:val="20"/>
          <w:color w:val="auto"/>
        </w:rPr>
      </w:pPr>
    </w:p>
    <w:p>
      <w:pPr>
        <w:ind w:firstLine="998"/>
        <w:spacing w:after="0" w:line="258" w:lineRule="auto"/>
        <w:tabs>
          <w:tab w:leader="none" w:pos="1203" w:val="left"/>
        </w:tabs>
        <w:numPr>
          <w:ilvl w:val="0"/>
          <w:numId w:val="520"/>
        </w:numPr>
        <w:rPr>
          <w:rFonts w:ascii="Arial" w:cs="Arial" w:eastAsia="Arial" w:hAnsi="Arial"/>
          <w:sz w:val="18"/>
          <w:szCs w:val="18"/>
          <w:color w:val="FF0000"/>
          <w:strike w:val="1"/>
        </w:rPr>
      </w:pPr>
      <w:r>
        <w:rPr>
          <w:rFonts w:ascii="Arial" w:cs="Arial" w:eastAsia="Arial" w:hAnsi="Arial"/>
          <w:sz w:val="18"/>
          <w:szCs w:val="18"/>
          <w:color w:val="auto"/>
        </w:rPr>
        <w:t xml:space="preserve">none of the Agents, or any Arranger or any of their respective Affiliates is a fiduciary with respect to the assets of such Lender </w:t>
      </w:r>
      <w:r>
        <w:rPr>
          <w:rFonts w:ascii="Arial" w:cs="Arial" w:eastAsia="Arial" w:hAnsi="Arial"/>
          <w:sz w:val="18"/>
          <w:szCs w:val="18"/>
          <w:u w:val="single" w:color="auto"/>
          <w:color w:val="0000FF"/>
        </w:rPr>
        <w:t>involved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xml:space="preserve">in such Lender’s </w:t>
      </w:r>
      <w:r>
        <w:rPr>
          <w:rFonts w:ascii="Arial" w:cs="Arial" w:eastAsia="Arial" w:hAnsi="Arial"/>
          <w:sz w:val="18"/>
          <w:szCs w:val="18"/>
          <w:u w:val="single" w:color="auto"/>
          <w:color w:val="008000"/>
        </w:rPr>
        <w:t>entrance into, participation in, administration of and performance of the Loans, the Letters of Credit, the Commitments and this</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Agreement</w:t>
      </w:r>
      <w:r>
        <w:rPr>
          <w:rFonts w:ascii="Arial" w:cs="Arial" w:eastAsia="Arial" w:hAnsi="Arial"/>
          <w:sz w:val="18"/>
          <w:szCs w:val="18"/>
          <w:color w:val="008000"/>
        </w:rPr>
        <w:t xml:space="preserve"> </w:t>
      </w:r>
      <w:r>
        <w:rPr>
          <w:rFonts w:ascii="Arial" w:cs="Arial" w:eastAsia="Arial" w:hAnsi="Arial"/>
          <w:sz w:val="18"/>
          <w:szCs w:val="18"/>
          <w:color w:val="000000"/>
        </w:rPr>
        <w:t>(including in connection with the reservation or exercise of any rights by the Agents under this Agreement, any Loan Document or any</w:t>
      </w:r>
      <w:r>
        <w:rPr>
          <w:rFonts w:ascii="Arial" w:cs="Arial" w:eastAsia="Arial" w:hAnsi="Arial"/>
          <w:sz w:val="18"/>
          <w:szCs w:val="18"/>
          <w:color w:val="008000"/>
        </w:rPr>
        <w:t xml:space="preserve"> </w:t>
      </w:r>
      <w:r>
        <w:rPr>
          <w:rFonts w:ascii="Arial" w:cs="Arial" w:eastAsia="Arial" w:hAnsi="Arial"/>
          <w:sz w:val="18"/>
          <w:szCs w:val="18"/>
          <w:color w:val="000000"/>
        </w:rPr>
        <w:t>documents related to hereto or thereto)</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6565265</wp:posOffset>
            </wp:positionH>
            <wp:positionV relativeFrom="paragraph">
              <wp:posOffset>-410210</wp:posOffset>
            </wp:positionV>
            <wp:extent cx="4019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4019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59384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65938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50482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504825" cy="8255"/>
                    </a:xfrm>
                    <a:prstGeom prst="rect">
                      <a:avLst/>
                    </a:prstGeom>
                    <a:noFill/>
                  </pic:spPr>
                </pic:pic>
              </a:graphicData>
            </a:graphic>
          </wp:anchor>
        </w:drawing>
        <w:drawing>
          <wp:anchor simplePos="0" relativeHeight="251657728" behindDoc="1" locked="0" layoutInCell="0" allowOverlap="1">
            <wp:simplePos x="0" y="0"/>
            <wp:positionH relativeFrom="column">
              <wp:posOffset>1801495</wp:posOffset>
            </wp:positionH>
            <wp:positionV relativeFrom="paragraph">
              <wp:posOffset>0</wp:posOffset>
            </wp:positionV>
            <wp:extent cx="342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7" w:lineRule="exact"/>
        <w:rPr>
          <w:sz w:val="20"/>
          <w:szCs w:val="20"/>
          <w:color w:val="auto"/>
        </w:rPr>
      </w:pPr>
    </w:p>
    <w:p>
      <w:pPr>
        <w:ind w:left="1000"/>
        <w:spacing w:after="0"/>
        <w:tabs>
          <w:tab w:leader="none" w:pos="1520" w:val="left"/>
        </w:tabs>
        <w:rPr>
          <w:sz w:val="20"/>
          <w:szCs w:val="20"/>
          <w:color w:val="auto"/>
        </w:rPr>
      </w:pPr>
      <w:r>
        <w:rPr>
          <w:rFonts w:ascii="Arial" w:cs="Arial" w:eastAsia="Arial" w:hAnsi="Arial"/>
          <w:sz w:val="18"/>
          <w:szCs w:val="18"/>
          <w:u w:val="single" w:color="auto"/>
          <w:color w:val="0000FF"/>
        </w:rPr>
        <w:t>9.13</w:t>
      </w:r>
      <w:r>
        <w:rPr>
          <w:sz w:val="20"/>
          <w:szCs w:val="20"/>
          <w:color w:val="auto"/>
        </w:rPr>
        <w:tab/>
      </w:r>
      <w:r>
        <w:rPr>
          <w:rFonts w:ascii="Arial" w:cs="Arial" w:eastAsia="Arial" w:hAnsi="Arial"/>
          <w:sz w:val="16"/>
          <w:szCs w:val="16"/>
          <w:u w:val="single" w:color="auto"/>
          <w:color w:val="0000FF"/>
        </w:rPr>
        <w:t>Acknowledgements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179578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795780" cy="8255"/>
                    </a:xfrm>
                    <a:prstGeom prst="rect">
                      <a:avLst/>
                    </a:prstGeom>
                    <a:noFill/>
                  </pic:spPr>
                </pic:pic>
              </a:graphicData>
            </a:graphic>
          </wp:anchor>
        </w:drawing>
      </w:r>
    </w:p>
    <w:p>
      <w:pPr>
        <w:spacing w:after="0" w:line="96" w:lineRule="exact"/>
        <w:rPr>
          <w:sz w:val="20"/>
          <w:szCs w:val="20"/>
          <w:color w:val="auto"/>
        </w:rPr>
      </w:pPr>
    </w:p>
    <w:p>
      <w:pPr>
        <w:ind w:left="1000" w:right="540" w:firstLine="398"/>
        <w:spacing w:after="0" w:line="341" w:lineRule="auto"/>
        <w:tabs>
          <w:tab w:leader="none" w:pos="1664" w:val="left"/>
        </w:tabs>
        <w:numPr>
          <w:ilvl w:val="0"/>
          <w:numId w:val="521"/>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Person making the investment decision on behalf </w:t>
      </w:r>
      <w:r>
        <w:rPr>
          <w:rFonts w:ascii="Arial" w:cs="Arial" w:eastAsia="Arial" w:hAnsi="Arial"/>
          <w:sz w:val="16"/>
          <w:szCs w:val="16"/>
          <w:color w:val="008000"/>
          <w:strike w:val="1"/>
        </w:rPr>
        <w:t>of such Lender with respect to</w:t>
      </w:r>
      <w:r>
        <w:rPr>
          <w:rFonts w:ascii="Arial" w:cs="Arial" w:eastAsia="Arial" w:hAnsi="Arial"/>
          <w:sz w:val="16"/>
          <w:szCs w:val="16"/>
          <w:color w:val="FF0000"/>
          <w:strike w:val="1"/>
        </w:rPr>
        <w:t xml:space="preserve"> the </w:t>
      </w:r>
      <w:r>
        <w:rPr>
          <w:rFonts w:ascii="Arial" w:cs="Arial" w:eastAsia="Arial" w:hAnsi="Arial"/>
          <w:sz w:val="16"/>
          <w:szCs w:val="16"/>
          <w:color w:val="008000"/>
          <w:strike w:val="1"/>
        </w:rPr>
        <w:t>entrance into, participation in,</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administration of and performance of the Loans, the Letters of Credit, the Commitments and this Agreement </w:t>
      </w:r>
      <w:r>
        <w:rPr>
          <w:rFonts w:ascii="Arial" w:cs="Arial" w:eastAsia="Arial" w:hAnsi="Arial"/>
          <w:sz w:val="16"/>
          <w:szCs w:val="16"/>
          <w:color w:val="FF0000"/>
          <w:strike w:val="1"/>
        </w:rPr>
        <w:t>is independent (within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3" w:right="479" w:bottom="1440" w:gutter="0" w:footer="0" w:header="0"/>
        </w:sectPr>
      </w:pPr>
    </w:p>
    <w:bookmarkStart w:id="585" w:name="page586"/>
    <w:bookmarkEnd w:id="585"/>
    <w:p>
      <w:pPr>
        <w:jc w:val="both"/>
        <w:ind w:left="980" w:right="22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meaning of 29 CFR § 2510.3-21, </w:t>
      </w:r>
      <w:r>
        <w:rPr>
          <w:rFonts w:ascii="Arial" w:cs="Arial" w:eastAsia="Arial" w:hAnsi="Arial"/>
          <w:sz w:val="18"/>
          <w:szCs w:val="18"/>
          <w:color w:val="008000"/>
          <w:strike w:val="1"/>
        </w:rPr>
        <w:t>as amended from time to time) and</w:t>
      </w:r>
      <w:r>
        <w:rPr>
          <w:rFonts w:ascii="Arial" w:cs="Arial" w:eastAsia="Arial" w:hAnsi="Arial"/>
          <w:sz w:val="18"/>
          <w:szCs w:val="18"/>
          <w:color w:val="FF0000"/>
          <w:strike w:val="1"/>
        </w:rPr>
        <w:t xml:space="preserve"> is a bank, an insurance carrier, an investment adviser, a broker-dealer or other person that holds, or has under management or control, total assets of at least $50 million, in each case as described in 29 CFR § 2510.3-21(c)(1)(i)(A)-(E),</w:t>
      </w:r>
    </w:p>
    <w:p>
      <w:pPr>
        <w:spacing w:after="0" w:line="182" w:lineRule="exact"/>
        <w:rPr>
          <w:sz w:val="20"/>
          <w:szCs w:val="20"/>
          <w:color w:val="auto"/>
        </w:rPr>
      </w:pPr>
    </w:p>
    <w:p>
      <w:pPr>
        <w:ind w:left="-20" w:right="40" w:firstLine="998"/>
        <w:spacing w:after="0" w:line="267" w:lineRule="auto"/>
        <w:tabs>
          <w:tab w:leader="none" w:pos="1392" w:val="left"/>
        </w:tabs>
        <w:numPr>
          <w:ilvl w:val="0"/>
          <w:numId w:val="52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purchasing, acquiring or holding any other type of financial instrument (and each Lender agrees not to assert a claim in contravention of the foregoing), (iii) it has, independently and without reliance upon the Administrative Agent, any Arranger, any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5" w:lineRule="exact"/>
        <w:rPr>
          <w:rFonts w:ascii="Arial" w:cs="Arial" w:eastAsia="Arial" w:hAnsi="Arial"/>
          <w:sz w:val="17"/>
          <w:szCs w:val="17"/>
          <w:u w:val="single" w:color="auto"/>
          <w:color w:val="0000FF"/>
        </w:rPr>
      </w:pPr>
    </w:p>
    <w:p>
      <w:pPr>
        <w:ind w:left="-20" w:firstLine="998"/>
        <w:spacing w:after="0" w:line="258" w:lineRule="auto"/>
        <w:tabs>
          <w:tab w:leader="none" w:pos="1403" w:val="left"/>
        </w:tabs>
        <w:numPr>
          <w:ilvl w:val="0"/>
          <w:numId w:val="5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79" w:lineRule="exact"/>
        <w:rPr>
          <w:rFonts w:ascii="Arial" w:cs="Arial" w:eastAsia="Arial" w:hAnsi="Arial"/>
          <w:sz w:val="18"/>
          <w:szCs w:val="18"/>
          <w:u w:val="single" w:color="auto"/>
          <w:color w:val="0000FF"/>
        </w:rPr>
      </w:pPr>
    </w:p>
    <w:p>
      <w:pPr>
        <w:ind w:left="980" w:right="40" w:firstLine="398"/>
        <w:spacing w:after="0" w:line="258" w:lineRule="auto"/>
        <w:tabs>
          <w:tab w:leader="none" w:pos="1694" w:val="left"/>
        </w:tabs>
        <w:numPr>
          <w:ilvl w:val="1"/>
          <w:numId w:val="522"/>
        </w:numPr>
        <w:rPr>
          <w:rFonts w:ascii="Arial" w:cs="Arial" w:eastAsia="Arial" w:hAnsi="Arial"/>
          <w:sz w:val="18"/>
          <w:szCs w:val="18"/>
          <w:color w:val="FF0000"/>
          <w:strike w:val="1"/>
        </w:rPr>
      </w:pPr>
      <w:r>
        <w:rPr>
          <w:rFonts w:ascii="Arial" w:cs="Arial" w:eastAsia="Arial" w:hAnsi="Arial"/>
          <w:sz w:val="18"/>
          <w:szCs w:val="18"/>
          <w:color w:val="FF0000"/>
          <w:strike w:val="1"/>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87" w:lineRule="exact"/>
        <w:rPr>
          <w:rFonts w:ascii="Arial" w:cs="Arial" w:eastAsia="Arial" w:hAnsi="Arial"/>
          <w:sz w:val="18"/>
          <w:szCs w:val="18"/>
          <w:color w:val="FF0000"/>
          <w:strike w:val="1"/>
        </w:rPr>
      </w:pPr>
    </w:p>
    <w:p>
      <w:pPr>
        <w:ind w:left="-20" w:firstLine="998"/>
        <w:spacing w:after="0" w:line="287" w:lineRule="auto"/>
        <w:tabs>
          <w:tab w:leader="none" w:pos="1392" w:val="left"/>
        </w:tabs>
        <w:numPr>
          <w:ilvl w:val="0"/>
          <w:numId w:val="52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(i) Each Lender hereby agrees that (x) if the Administrative Agent notifies such Lender that the Administrative Agent has determined </w:t>
      </w:r>
      <w:r>
        <w:rPr>
          <w:rFonts w:ascii="Arial" w:cs="Arial" w:eastAsia="Arial" w:hAnsi="Arial"/>
          <w:sz w:val="16"/>
          <w:szCs w:val="16"/>
          <w:u w:val="single" w:color="auto"/>
          <w:color w:val="008000"/>
        </w:rPr>
        <w:t>in its sole discretion that</w:t>
      </w:r>
      <w:r>
        <w:rPr>
          <w:rFonts w:ascii="Arial" w:cs="Arial" w:eastAsia="Arial" w:hAnsi="Arial"/>
          <w:sz w:val="16"/>
          <w:szCs w:val="16"/>
          <w:u w:val="single" w:color="auto"/>
          <w:color w:val="0000FF"/>
        </w:rPr>
        <w:t xml:space="preserve">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6"/>
          <w:szCs w:val="16"/>
          <w:b w:val="1"/>
          <w:bCs w:val="1"/>
          <w:i w:val="1"/>
          <w:iCs w:val="1"/>
          <w:u w:val="single" w:color="auto"/>
          <w:color w:val="0000FF"/>
        </w:rPr>
        <w:t>Payment</w:t>
      </w:r>
      <w:r>
        <w:rPr>
          <w:rFonts w:ascii="Arial" w:cs="Arial" w:eastAsia="Arial" w:hAnsi="Arial"/>
          <w:sz w:val="16"/>
          <w:szCs w:val="16"/>
          <w:u w:val="single" w:color="auto"/>
          <w:color w:val="0000FF"/>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-4731385</wp:posOffset>
            </wp:positionV>
            <wp:extent cx="600392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600392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-4594225</wp:posOffset>
            </wp:positionV>
            <wp:extent cx="693610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-4457700</wp:posOffset>
            </wp:positionV>
            <wp:extent cx="6739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67392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-4320540</wp:posOffset>
            </wp:positionV>
            <wp:extent cx="689292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689292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-4184015</wp:posOffset>
            </wp:positionV>
            <wp:extent cx="695325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695325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-4046855</wp:posOffset>
            </wp:positionV>
            <wp:extent cx="670496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6704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-3910330</wp:posOffset>
            </wp:positionV>
            <wp:extent cx="688467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688467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-3773170</wp:posOffset>
            </wp:positionV>
            <wp:extent cx="690181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-3636645</wp:posOffset>
            </wp:positionV>
            <wp:extent cx="680783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680783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-3499485</wp:posOffset>
            </wp:positionV>
            <wp:extent cx="666242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666242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-3362960</wp:posOffset>
            </wp:positionV>
            <wp:extent cx="674751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674751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-3225800</wp:posOffset>
            </wp:positionV>
            <wp:extent cx="691896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-3089275</wp:posOffset>
            </wp:positionV>
            <wp:extent cx="690181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-2952750</wp:posOffset>
            </wp:positionV>
            <wp:extent cx="666242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666242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-2815590</wp:posOffset>
            </wp:positionV>
            <wp:extent cx="157353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573530" cy="825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-2541905</wp:posOffset>
            </wp:positionV>
            <wp:extent cx="590994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590994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-2405380</wp:posOffset>
            </wp:positionV>
            <wp:extent cx="697865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-2268220</wp:posOffset>
            </wp:positionV>
            <wp:extent cx="689292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689292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-2131695</wp:posOffset>
            </wp:positionV>
            <wp:extent cx="30187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3018790" cy="825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-1242060</wp:posOffset>
            </wp:positionV>
            <wp:extent cx="581533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5815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-1104900</wp:posOffset>
            </wp:positionV>
            <wp:extent cx="683323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-968375</wp:posOffset>
            </wp:positionV>
            <wp:extent cx="67138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67138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-831215</wp:posOffset>
            </wp:positionV>
            <wp:extent cx="679894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679894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-694690</wp:posOffset>
            </wp:positionV>
            <wp:extent cx="692721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692721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-557530</wp:posOffset>
            </wp:positionV>
            <wp:extent cx="697865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-421005</wp:posOffset>
            </wp:positionV>
            <wp:extent cx="687578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-283845</wp:posOffset>
            </wp:positionV>
            <wp:extent cx="67646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67646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-147320</wp:posOffset>
            </wp:positionV>
            <wp:extent cx="693610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wp:posOffset>
            </wp:positionV>
            <wp:extent cx="565340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565340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60" w:top="273" w:right="459" w:bottom="1440" w:gutter="0" w:footer="0" w:header="0"/>
        </w:sectPr>
      </w:pPr>
    </w:p>
    <w:bookmarkStart w:id="586" w:name="page587"/>
    <w:bookmarkEnd w:id="586"/>
    <w:p>
      <w:pPr>
        <w:ind w:right="1040"/>
        <w:spacing w:after="0" w:line="276"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Payments received, including without limitation any defense based on “discharge for value” or any similar doctrine. A notice of the Administrative Agent to any Lender under this Section 9.13(c)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631190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63119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79806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4798060" cy="8255"/>
                    </a:xfrm>
                    <a:prstGeom prst="rect">
                      <a:avLst/>
                    </a:prstGeom>
                    <a:noFill/>
                  </pic:spPr>
                </pic:pic>
              </a:graphicData>
            </a:graphic>
          </wp:anchor>
        </w:drawing>
      </w:r>
    </w:p>
    <w:p>
      <w:pPr>
        <w:spacing w:after="0" w:line="150" w:lineRule="exact"/>
        <w:rPr>
          <w:sz w:val="20"/>
          <w:szCs w:val="20"/>
          <w:color w:val="auto"/>
        </w:rPr>
      </w:pPr>
    </w:p>
    <w:p>
      <w:pPr>
        <w:ind w:right="20" w:firstLine="998"/>
        <w:spacing w:after="0" w:line="269" w:lineRule="auto"/>
        <w:tabs>
          <w:tab w:leader="none" w:pos="1433" w:val="left"/>
        </w:tabs>
        <w:numPr>
          <w:ilvl w:val="0"/>
          <w:numId w:val="52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b w:val="1"/>
          <w:bCs w:val="1"/>
          <w:i w:val="1"/>
          <w:iCs w:val="1"/>
          <w:u w:val="single" w:color="auto"/>
          <w:color w:val="0000FF"/>
        </w:rPr>
        <w:t>Payment Notice</w:t>
      </w:r>
      <w:r>
        <w:rPr>
          <w:rFonts w:ascii="Arial" w:cs="Arial" w:eastAsia="Arial" w:hAnsi="Arial"/>
          <w:sz w:val="17"/>
          <w:szCs w:val="17"/>
          <w:u w:val="single" w:color="auto"/>
          <w:color w:val="0000FF"/>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w:t>
      </w:r>
      <w:r>
        <w:rPr>
          <w:rFonts w:ascii="Arial" w:cs="Arial" w:eastAsia="Arial" w:hAnsi="Arial"/>
          <w:sz w:val="17"/>
          <w:szCs w:val="17"/>
          <w:u w:val="single" w:color="auto"/>
          <w:color w:val="008000"/>
        </w:rPr>
        <w:t>Lender shall promptly notify the Administrative Agent</w:t>
      </w:r>
      <w:r>
        <w:rPr>
          <w:rFonts w:ascii="Arial" w:cs="Arial" w:eastAsia="Arial" w:hAnsi="Arial"/>
          <w:sz w:val="17"/>
          <w:szCs w:val="17"/>
          <w:u w:val="single" w:color="auto"/>
          <w:color w:val="0000FF"/>
        </w:rPr>
        <w:t xml:space="preserve">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79" w:lineRule="exact"/>
        <w:rPr>
          <w:rFonts w:ascii="Arial" w:cs="Arial" w:eastAsia="Arial" w:hAnsi="Arial"/>
          <w:sz w:val="17"/>
          <w:szCs w:val="17"/>
          <w:u w:val="single" w:color="auto"/>
          <w:color w:val="0000FF"/>
        </w:rPr>
      </w:pPr>
    </w:p>
    <w:p>
      <w:pPr>
        <w:ind w:right="100" w:firstLine="998"/>
        <w:spacing w:after="0" w:line="273" w:lineRule="auto"/>
        <w:tabs>
          <w:tab w:leader="none" w:pos="1483" w:val="left"/>
        </w:tabs>
        <w:numPr>
          <w:ilvl w:val="0"/>
          <w:numId w:val="52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The Borrower and each other Loan Party hereby agrees that (x) in the event an erroneous Payment (or portion thereof) are not recovered from any Lender that has received such Payment (or portion thereof) for any reason, the Administrative Agent shall be subrogated to all the rights </w:t>
      </w:r>
      <w:r>
        <w:rPr>
          <w:rFonts w:ascii="Arial" w:cs="Arial" w:eastAsia="Arial" w:hAnsi="Arial"/>
          <w:sz w:val="17"/>
          <w:szCs w:val="17"/>
          <w:u w:val="single" w:color="auto"/>
          <w:color w:val="008000"/>
        </w:rPr>
        <w:t>of such Lender with respect to</w:t>
      </w:r>
      <w:r>
        <w:rPr>
          <w:rFonts w:ascii="Arial" w:cs="Arial" w:eastAsia="Arial" w:hAnsi="Arial"/>
          <w:sz w:val="17"/>
          <w:szCs w:val="17"/>
          <w:u w:val="single" w:color="auto"/>
          <w:color w:val="0000FF"/>
        </w:rPr>
        <w:t xml:space="preserve"> such amount and (y) an erroneous Payment shall not pay, prepay, repay, discharge or otherwise satisfy any Obligations owed by the Borrower or any other Loan Party, except, in each case, to the extent such Payment is, and solely with respect to the amount of such Payment that is, comprised of funds of the Borrower or any other Loan Party </w:t>
      </w:r>
      <w:r>
        <w:rPr>
          <w:rFonts w:ascii="Arial" w:cs="Arial" w:eastAsia="Arial" w:hAnsi="Arial"/>
          <w:sz w:val="17"/>
          <w:szCs w:val="17"/>
          <w:u w:val="single" w:color="auto"/>
          <w:color w:val="008000"/>
        </w:rPr>
        <w:t>(including, for the avoidance of doubt,</w:t>
      </w:r>
      <w:r>
        <w:rPr>
          <w:rFonts w:ascii="Arial" w:cs="Arial" w:eastAsia="Arial" w:hAnsi="Arial"/>
          <w:sz w:val="17"/>
          <w:szCs w:val="17"/>
          <w:u w:val="single" w:color="auto"/>
          <w:color w:val="0000FF"/>
        </w:rPr>
        <w:t xml:space="preserve"> the proceeds of any financing or contribution incurred or obtained by the Borrower or any Loan Party).</w:t>
      </w:r>
    </w:p>
    <w:p>
      <w:pPr>
        <w:spacing w:after="0" w:line="174" w:lineRule="exact"/>
        <w:rPr>
          <w:rFonts w:ascii="Arial" w:cs="Arial" w:eastAsia="Arial" w:hAnsi="Arial"/>
          <w:sz w:val="17"/>
          <w:szCs w:val="17"/>
          <w:u w:val="single" w:color="auto"/>
          <w:color w:val="0000FF"/>
        </w:rPr>
      </w:pPr>
    </w:p>
    <w:p>
      <w:pPr>
        <w:ind w:right="140" w:firstLine="998"/>
        <w:spacing w:after="0" w:line="255" w:lineRule="auto"/>
        <w:tabs>
          <w:tab w:leader="none" w:pos="1293" w:val="left"/>
        </w:tabs>
        <w:numPr>
          <w:ilvl w:val="0"/>
          <w:numId w:val="523"/>
        </w:numPr>
        <w:rPr>
          <w:rFonts w:ascii="Arial" w:cs="Arial" w:eastAsia="Arial" w:hAnsi="Arial"/>
          <w:sz w:val="18"/>
          <w:szCs w:val="18"/>
          <w:color w:val="auto"/>
        </w:rPr>
      </w:pPr>
      <w:r>
        <w:rPr>
          <w:rFonts w:ascii="Arial" w:cs="Arial" w:eastAsia="Arial" w:hAnsi="Arial"/>
          <w:sz w:val="18"/>
          <w:szCs w:val="18"/>
          <w:color w:val="FF0000"/>
        </w:rPr>
        <w:t xml:space="preserve">the Person making the investment decision on behalf of such Lender with respect to the entrance into, participation in, administration </w:t>
      </w:r>
      <w:r>
        <w:rPr>
          <w:rFonts w:ascii="Arial" w:cs="Arial" w:eastAsia="Arial" w:hAnsi="Arial"/>
          <w:sz w:val="18"/>
          <w:szCs w:val="18"/>
          <w:color w:val="FF0000"/>
          <w:strike w:val="1"/>
        </w:rPr>
        <w:t xml:space="preserve">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 </w:t>
      </w:r>
      <w:r>
        <w:rPr>
          <w:rFonts w:ascii="Arial" w:cs="Arial" w:eastAsia="Arial" w:hAnsi="Arial"/>
          <w:sz w:val="18"/>
          <w:szCs w:val="18"/>
          <w:u w:val="single" w:color="auto"/>
          <w:color w:val="0000FF"/>
          <w:strike w:val="1"/>
        </w:rPr>
        <w:t>Each party’s obligations under this Section 9.13(c) shall survive the resignation or replacement of the Administrative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Agent or any transfer of rights or obligations by, or the replacement of, a Lender, the termination of the Commitments or the repayment, satisfaction or discharge of all Obligations under any Loan Document.</w:t>
      </w:r>
    </w:p>
    <w:p>
      <w:pPr>
        <w:spacing w:after="0" w:line="81" w:lineRule="exact"/>
        <w:rPr>
          <w:rFonts w:ascii="Arial" w:cs="Arial" w:eastAsia="Arial" w:hAnsi="Arial"/>
          <w:sz w:val="18"/>
          <w:szCs w:val="18"/>
          <w:color w:val="auto"/>
        </w:rPr>
      </w:pPr>
    </w:p>
    <w:p>
      <w:pPr>
        <w:ind w:left="1000" w:firstLine="398"/>
        <w:spacing w:after="0" w:line="341" w:lineRule="auto"/>
        <w:tabs>
          <w:tab w:leader="none" w:pos="1654" w:val="left"/>
        </w:tabs>
        <w:numPr>
          <w:ilvl w:val="1"/>
          <w:numId w:val="523"/>
        </w:numPr>
        <w:rPr>
          <w:rFonts w:ascii="Arial" w:cs="Arial" w:eastAsia="Arial" w:hAnsi="Arial"/>
          <w:sz w:val="16"/>
          <w:szCs w:val="16"/>
          <w:color w:val="FF0000"/>
          <w:strike w:val="1"/>
        </w:rPr>
      </w:pPr>
      <w:r>
        <w:rPr>
          <w:rFonts w:ascii="Arial" w:cs="Arial" w:eastAsia="Arial" w:hAnsi="Arial"/>
          <w:sz w:val="16"/>
          <w:szCs w:val="16"/>
          <w:color w:val="FF0000"/>
          <w:strike w:val="1"/>
        </w:rPr>
        <w:t>no fee or other compensation is being paid directly to the Agents, or any Arranger or any their respective Affiliates for investment advice (as opposed to other services) in connection with the Loans, the Letters of Credit, the Commitments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-3529330</wp:posOffset>
            </wp:positionV>
            <wp:extent cx="62947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62947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-3392805</wp:posOffset>
            </wp:positionV>
            <wp:extent cx="683323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-3255645</wp:posOffset>
            </wp:positionV>
            <wp:extent cx="6739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6739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-3119120</wp:posOffset>
            </wp:positionV>
            <wp:extent cx="691896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-2981960</wp:posOffset>
            </wp:positionV>
            <wp:extent cx="697039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-2845435</wp:posOffset>
            </wp:positionV>
            <wp:extent cx="695325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69532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-2708275</wp:posOffset>
            </wp:positionV>
            <wp:extent cx="679894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67989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-2571750</wp:posOffset>
            </wp:positionV>
            <wp:extent cx="687578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-2434590</wp:posOffset>
            </wp:positionV>
            <wp:extent cx="680783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68078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-2298065</wp:posOffset>
            </wp:positionV>
            <wp:extent cx="188976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889760" cy="82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-2024380</wp:posOffset>
            </wp:positionV>
            <wp:extent cx="605536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60553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-1887220</wp:posOffset>
            </wp:positionV>
            <wp:extent cx="684212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-1750695</wp:posOffset>
            </wp:positionV>
            <wp:extent cx="654240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65424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-1613535</wp:posOffset>
            </wp:positionV>
            <wp:extent cx="691896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-1477010</wp:posOffset>
            </wp:positionV>
            <wp:extent cx="691007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6910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-1339850</wp:posOffset>
            </wp:positionV>
            <wp:extent cx="332676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3326765"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-1143000</wp:posOffset>
            </wp:positionV>
            <wp:extent cx="610298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610298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-655955</wp:posOffset>
            </wp:positionV>
            <wp:extent cx="532828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53282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-518795</wp:posOffset>
            </wp:positionV>
            <wp:extent cx="687578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-382270</wp:posOffset>
            </wp:positionV>
            <wp:extent cx="254000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104" w:lineRule="exact"/>
        <w:rPr>
          <w:sz w:val="20"/>
          <w:szCs w:val="20"/>
          <w:color w:val="auto"/>
        </w:rPr>
      </w:pPr>
    </w:p>
    <w:p>
      <w:pPr>
        <w:ind w:right="40" w:firstLine="998"/>
        <w:spacing w:after="0" w:line="291" w:lineRule="auto"/>
        <w:tabs>
          <w:tab w:leader="none" w:pos="1412" w:val="left"/>
        </w:tabs>
        <w:numPr>
          <w:ilvl w:val="0"/>
          <w:numId w:val="524"/>
        </w:numPr>
        <w:rPr>
          <w:rFonts w:ascii="Arial" w:cs="Arial" w:eastAsia="Arial" w:hAnsi="Arial"/>
          <w:sz w:val="16"/>
          <w:szCs w:val="16"/>
          <w:color w:val="FF0000"/>
          <w:strike w:val="1"/>
        </w:rPr>
      </w:pPr>
      <w:r>
        <w:rPr>
          <w:rFonts w:ascii="Arial" w:cs="Arial" w:eastAsia="Arial" w:hAnsi="Arial"/>
          <w:sz w:val="16"/>
          <w:szCs w:val="16"/>
          <w:color w:val="FF0000"/>
          <w:strike w:val="1"/>
        </w:rPr>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587" w:name="page588"/>
    <w:bookmarkEnd w:id="587"/>
    <w:p>
      <w:pPr>
        <w:ind w:right="180"/>
        <w:spacing w:after="0" w:line="306"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 MISCELLANEOUS</w:t>
      </w:r>
    </w:p>
    <w:p>
      <w:pPr>
        <w:spacing w:after="0" w:line="120" w:lineRule="exact"/>
        <w:rPr>
          <w:sz w:val="20"/>
          <w:szCs w:val="20"/>
          <w:color w:val="auto"/>
        </w:rPr>
      </w:pPr>
    </w:p>
    <w:p>
      <w:pPr>
        <w:ind w:firstLine="989"/>
        <w:spacing w:after="0" w:line="285" w:lineRule="auto"/>
        <w:rPr>
          <w:sz w:val="20"/>
          <w:szCs w:val="20"/>
          <w:color w:val="auto"/>
        </w:rPr>
      </w:pPr>
      <w:r>
        <w:rPr>
          <w:rFonts w:ascii="Arial" w:cs="Arial" w:eastAsia="Arial" w:hAnsi="Arial"/>
          <w:sz w:val="16"/>
          <w:szCs w:val="16"/>
          <w:color w:val="auto"/>
        </w:rPr>
        <w:t>10.1 Amendments and Waivers . (a) Subject to Section 2.16</w:t>
      </w:r>
      <w:r>
        <w:rPr>
          <w:rFonts w:ascii="Arial" w:cs="Arial" w:eastAsia="Arial" w:hAnsi="Arial"/>
          <w:sz w:val="16"/>
          <w:szCs w:val="16"/>
          <w:u w:val="single" w:color="auto"/>
          <w:color w:val="0000FF"/>
        </w:rPr>
        <w:t>(b), (c) and (d)</w:t>
      </w:r>
      <w:r>
        <w:rPr>
          <w:rFonts w:ascii="Arial" w:cs="Arial" w:eastAsia="Arial" w:hAnsi="Arial"/>
          <w:sz w:val="16"/>
          <w:szCs w:val="16"/>
          <w:color w:val="auto"/>
        </w:rPr>
        <w:t xml:space="preserve">,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-1925955</wp:posOffset>
            </wp:positionV>
            <wp:extent cx="67564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spacing w:after="0" w:line="43" w:lineRule="exact"/>
        <w:rPr>
          <w:sz w:val="20"/>
          <w:szCs w:val="20"/>
          <w:color w:val="auto"/>
        </w:rPr>
      </w:pPr>
    </w:p>
    <w:p>
      <w:pPr>
        <w:ind w:left="1000" w:firstLine="398"/>
        <w:spacing w:after="0" w:line="255" w:lineRule="auto"/>
        <w:tabs>
          <w:tab w:leader="none" w:pos="169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81" w:lineRule="exact"/>
        <w:rPr>
          <w:rFonts w:ascii="Arial" w:cs="Arial" w:eastAsia="Arial" w:hAnsi="Arial"/>
          <w:sz w:val="18"/>
          <w:szCs w:val="18"/>
          <w:color w:val="auto"/>
        </w:rPr>
      </w:pPr>
    </w:p>
    <w:p>
      <w:pPr>
        <w:ind w:left="1680" w:hanging="282"/>
        <w:spacing w:after="0"/>
        <w:tabs>
          <w:tab w:leader="none" w:pos="168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eliminate or reduce the voting rights of any Lender under this Section 10.1 without the written consent of such Lender;</w:t>
      </w:r>
    </w:p>
    <w:p>
      <w:pPr>
        <w:spacing w:after="0" w:line="127" w:lineRule="exact"/>
        <w:rPr>
          <w:rFonts w:ascii="Arial" w:cs="Arial" w:eastAsia="Arial" w:hAnsi="Arial"/>
          <w:sz w:val="17"/>
          <w:szCs w:val="17"/>
          <w:color w:val="auto"/>
        </w:rPr>
      </w:pPr>
    </w:p>
    <w:p>
      <w:pPr>
        <w:ind w:left="1000" w:firstLine="398"/>
        <w:spacing w:after="0" w:line="256" w:lineRule="auto"/>
        <w:tabs>
          <w:tab w:leader="none" w:pos="168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81" w:lineRule="exact"/>
        <w:rPr>
          <w:rFonts w:ascii="Arial" w:cs="Arial" w:eastAsia="Arial" w:hAnsi="Arial"/>
          <w:sz w:val="18"/>
          <w:szCs w:val="18"/>
          <w:color w:val="auto"/>
        </w:rPr>
      </w:pPr>
    </w:p>
    <w:p>
      <w:pPr>
        <w:ind w:left="1700" w:hanging="302"/>
        <w:spacing w:after="0"/>
        <w:tabs>
          <w:tab w:leader="none" w:pos="17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3" w:right="479" w:bottom="1440" w:gutter="0" w:footer="0" w:header="0"/>
        </w:sectPr>
      </w:pPr>
    </w:p>
    <w:bookmarkStart w:id="588" w:name="page589"/>
    <w:bookmarkEnd w:id="588"/>
    <w:p>
      <w:pPr>
        <w:ind w:left="1000" w:right="380" w:firstLine="398"/>
        <w:spacing w:after="0" w:line="276" w:lineRule="auto"/>
        <w:tabs>
          <w:tab w:leader="none" w:pos="1674" w:val="left"/>
        </w:tabs>
        <w:numPr>
          <w:ilvl w:val="0"/>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 the percentage specified in the definition of Majority Facility Lenders with respect to any Facility without the written consent of all Lenders under such Facility;</w:t>
      </w:r>
    </w:p>
    <w:p>
      <w:pPr>
        <w:spacing w:after="0" w:line="62" w:lineRule="exact"/>
        <w:rPr>
          <w:rFonts w:ascii="Arial" w:cs="Arial" w:eastAsia="Arial" w:hAnsi="Arial"/>
          <w:sz w:val="18"/>
          <w:szCs w:val="18"/>
          <w:color w:val="auto"/>
        </w:rPr>
      </w:pPr>
    </w:p>
    <w:p>
      <w:pPr>
        <w:ind w:left="1000" w:right="80" w:firstLine="398"/>
        <w:spacing w:after="0" w:line="263" w:lineRule="auto"/>
        <w:tabs>
          <w:tab w:leader="none" w:pos="166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73" w:lineRule="exact"/>
        <w:rPr>
          <w:rFonts w:ascii="Arial" w:cs="Arial" w:eastAsia="Arial" w:hAnsi="Arial"/>
          <w:sz w:val="18"/>
          <w:szCs w:val="18"/>
          <w:color w:val="auto"/>
        </w:rPr>
      </w:pPr>
    </w:p>
    <w:p>
      <w:pPr>
        <w:ind w:left="1000" w:right="40" w:firstLine="398"/>
        <w:spacing w:after="0" w:line="276" w:lineRule="auto"/>
        <w:tabs>
          <w:tab w:leader="none" w:pos="169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62" w:lineRule="exact"/>
        <w:rPr>
          <w:rFonts w:ascii="Arial" w:cs="Arial" w:eastAsia="Arial" w:hAnsi="Arial"/>
          <w:sz w:val="18"/>
          <w:szCs w:val="18"/>
          <w:color w:val="auto"/>
        </w:rPr>
      </w:pPr>
    </w:p>
    <w:p>
      <w:pPr>
        <w:ind w:left="1000" w:right="260" w:firstLine="398"/>
        <w:spacing w:after="0" w:line="276" w:lineRule="auto"/>
        <w:tabs>
          <w:tab w:leader="none" w:pos="169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amend, modify or waive any provision of Section 2.17(a) or (b) without the written consent of each Lender adversely affected thereby; or</w:t>
      </w:r>
    </w:p>
    <w:p>
      <w:pPr>
        <w:spacing w:after="0" w:line="62" w:lineRule="exact"/>
        <w:rPr>
          <w:rFonts w:ascii="Arial" w:cs="Arial" w:eastAsia="Arial" w:hAnsi="Arial"/>
          <w:sz w:val="18"/>
          <w:szCs w:val="18"/>
          <w:color w:val="auto"/>
        </w:rPr>
      </w:pPr>
    </w:p>
    <w:p>
      <w:pPr>
        <w:ind w:left="1620" w:hanging="222"/>
        <w:spacing w:after="0"/>
        <w:tabs>
          <w:tab w:leader="none" w:pos="16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add additional available currencies to any Facility without the written consent of each Lender directly affected thereby.</w:t>
      </w:r>
    </w:p>
    <w:p>
      <w:pPr>
        <w:spacing w:after="0" w:line="224"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 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81" w:lineRule="exact"/>
        <w:rPr>
          <w:sz w:val="20"/>
          <w:szCs w:val="20"/>
          <w:color w:val="auto"/>
        </w:rPr>
      </w:pPr>
    </w:p>
    <w:p>
      <w:pPr>
        <w:ind w:firstLine="448"/>
        <w:spacing w:after="0" w:line="285" w:lineRule="auto"/>
        <w:tabs>
          <w:tab w:leader="none" w:pos="694" w:val="left"/>
        </w:tabs>
        <w:numPr>
          <w:ilvl w:val="0"/>
          <w:numId w:val="527"/>
        </w:numPr>
        <w:rPr>
          <w:rFonts w:ascii="Arial" w:cs="Arial" w:eastAsia="Arial" w:hAnsi="Arial"/>
          <w:sz w:val="16"/>
          <w:szCs w:val="16"/>
          <w:color w:val="auto"/>
        </w:rPr>
      </w:pPr>
      <w:r>
        <w:rPr>
          <w:rFonts w:ascii="Arial" w:cs="Arial" w:eastAsia="Arial" w:hAnsi="Arial"/>
          <w:sz w:val="16"/>
          <w:szCs w:val="16"/>
          <w:color w:val="auto"/>
        </w:rPr>
        <w:t xml:space="preserve">Notwithstanding the foregoing paragraph (a), without the consent of the Required Lenders (or, in the case of clauses (i) and (iii) below, any Issuing Lender), but subject to any consent required by paragraphs (A) through (I) above, (i) the terms of any Facility may be amended, modified or waived in any manner that does not adversely affect the rights or obligations of Lenders under any other Facility with the written consent of the Majority Facility Lenders in respect of such Facility, (ii) this Agreement may be amended with only the consent of the Company, the Administrative Agent and each Issuing Lender, if any, as may be necessary in the reasonable opinion of the Company and the Administrative Agent in order to provide that Letters of Credit are to be issued under the Multicurrency Facility rather than the Domestic Facility and (iii)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notify the Lenders and Issuing Lenders of any such amendment, modification, supplement or waiver consummated in accordance with this clause (iii) promptly after consummation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3" w:right="459" w:bottom="1440" w:gutter="0" w:footer="0" w:header="0"/>
        </w:sectPr>
      </w:pPr>
    </w:p>
    <w:bookmarkStart w:id="589" w:name="page590"/>
    <w:bookmarkEnd w:id="589"/>
    <w:p>
      <w:pPr>
        <w:ind w:left="-20" w:firstLine="998"/>
        <w:spacing w:after="0" w:line="255" w:lineRule="auto"/>
        <w:tabs>
          <w:tab w:leader="none" w:pos="1213" w:val="left"/>
        </w:tabs>
        <w:numPr>
          <w:ilvl w:val="0"/>
          <w:numId w:val="5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it is understood that (i) any transaction permitted by Sections 2.9, 2.25, 2.26 and 2.27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81" w:lineRule="exact"/>
        <w:rPr>
          <w:rFonts w:ascii="Arial" w:cs="Arial" w:eastAsia="Arial" w:hAnsi="Arial"/>
          <w:sz w:val="18"/>
          <w:szCs w:val="18"/>
          <w:color w:val="auto"/>
        </w:rPr>
      </w:pPr>
    </w:p>
    <w:p>
      <w:pPr>
        <w:ind w:left="-20" w:right="100" w:firstLine="998"/>
        <w:spacing w:after="0" w:line="276" w:lineRule="auto"/>
        <w:tabs>
          <w:tab w:leader="none" w:pos="1223"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62" w:lineRule="exact"/>
        <w:rPr>
          <w:rFonts w:ascii="Arial" w:cs="Arial" w:eastAsia="Arial" w:hAnsi="Arial"/>
          <w:sz w:val="18"/>
          <w:szCs w:val="18"/>
          <w:color w:val="auto"/>
        </w:rPr>
      </w:pPr>
    </w:p>
    <w:p>
      <w:pPr>
        <w:ind w:left="1600" w:hanging="222"/>
        <w:spacing w:after="0"/>
        <w:tabs>
          <w:tab w:leader="none" w:pos="1600" w:val="left"/>
        </w:tabs>
        <w:numPr>
          <w:ilvl w:val="1"/>
          <w:numId w:val="528"/>
        </w:numPr>
        <w:rPr>
          <w:rFonts w:ascii="Arial" w:cs="Arial" w:eastAsia="Arial" w:hAnsi="Arial"/>
          <w:sz w:val="17"/>
          <w:szCs w:val="17"/>
          <w:color w:val="auto"/>
        </w:rPr>
      </w:pPr>
      <w:r>
        <w:rPr>
          <w:rFonts w:ascii="Arial" w:cs="Arial" w:eastAsia="Arial" w:hAnsi="Arial"/>
          <w:sz w:val="17"/>
          <w:szCs w:val="17"/>
          <w:color w:val="auto"/>
        </w:rPr>
        <w:t xml:space="preserve">to designate (v) any Domestic Subsidiary of the Company as a Domestic Subsidiary Borrower, (w) any </w:t>
      </w:r>
      <w:r>
        <w:rPr>
          <w:rFonts w:ascii="Arial" w:cs="Arial" w:eastAsia="Arial" w:hAnsi="Arial"/>
          <w:sz w:val="17"/>
          <w:szCs w:val="17"/>
          <w:color w:val="FF0000"/>
          <w:strike w:val="1"/>
        </w:rPr>
        <w:t>Foreign</w:t>
      </w:r>
      <w:r>
        <w:rPr>
          <w:rFonts w:ascii="Arial" w:cs="Arial" w:eastAsia="Arial" w:hAnsi="Arial"/>
          <w:sz w:val="17"/>
          <w:szCs w:val="17"/>
          <w:u w:val="single" w:color="auto"/>
          <w:color w:val="0000FF"/>
        </w:rPr>
        <w:t>Domestic</w:t>
      </w:r>
    </w:p>
    <w:p>
      <w:pPr>
        <w:spacing w:after="0" w:line="34" w:lineRule="exact"/>
        <w:rPr>
          <w:rFonts w:ascii="Arial" w:cs="Arial" w:eastAsia="Arial" w:hAnsi="Arial"/>
          <w:sz w:val="17"/>
          <w:szCs w:val="17"/>
          <w:color w:val="auto"/>
        </w:rPr>
      </w:pPr>
    </w:p>
    <w:p>
      <w:pPr>
        <w:ind w:left="980"/>
        <w:spacing w:after="0" w:line="283" w:lineRule="auto"/>
        <w:rPr>
          <w:rFonts w:ascii="Arial" w:cs="Arial" w:eastAsia="Arial" w:hAnsi="Arial"/>
          <w:sz w:val="17"/>
          <w:szCs w:val="17"/>
          <w:color w:val="auto"/>
        </w:rPr>
      </w:pPr>
      <w:r>
        <w:rPr>
          <w:rFonts w:ascii="Arial" w:cs="Arial" w:eastAsia="Arial" w:hAnsi="Arial"/>
          <w:sz w:val="16"/>
          <w:szCs w:val="16"/>
          <w:color w:val="auto"/>
        </w:rPr>
        <w:t xml:space="preserve">Subsidiary </w:t>
      </w:r>
      <w:r>
        <w:rPr>
          <w:rFonts w:ascii="Arial" w:cs="Arial" w:eastAsia="Arial" w:hAnsi="Arial"/>
          <w:sz w:val="16"/>
          <w:szCs w:val="16"/>
          <w:color w:val="FF0000"/>
          <w:strike w:val="1"/>
        </w:rPr>
        <w:t>incorporated under the laws of England and Wales or Sweden as a Foreign</w:t>
      </w:r>
      <w:r>
        <w:rPr>
          <w:rFonts w:ascii="Arial" w:cs="Arial" w:eastAsia="Arial" w:hAnsi="Arial"/>
          <w:sz w:val="16"/>
          <w:szCs w:val="16"/>
          <w:u w:val="single" w:color="auto"/>
          <w:color w:val="0000FF"/>
        </w:rPr>
        <w:t>of the Company as a Domestic</w:t>
      </w:r>
      <w:r>
        <w:rPr>
          <w:rFonts w:ascii="Arial" w:cs="Arial" w:eastAsia="Arial" w:hAnsi="Arial"/>
          <w:sz w:val="16"/>
          <w:szCs w:val="16"/>
          <w:color w:val="auto"/>
        </w:rPr>
        <w:t xml:space="preserve"> Subsidiary Borrower under the Multicurrency Facility, (x) any Foreign Subsidiary organized or domiciled under the laws of Canada</w:t>
      </w:r>
      <w:r>
        <w:rPr>
          <w:rFonts w:ascii="Arial" w:cs="Arial" w:eastAsia="Arial" w:hAnsi="Arial"/>
          <w:sz w:val="16"/>
          <w:szCs w:val="16"/>
          <w:color w:val="FF0000"/>
          <w:strike w:val="1"/>
        </w:rPr>
        <w:t>, Germany or any other</w:t>
      </w:r>
      <w:r>
        <w:rPr>
          <w:rFonts w:ascii="Arial" w:cs="Arial" w:eastAsia="Arial" w:hAnsi="Arial"/>
          <w:sz w:val="16"/>
          <w:szCs w:val="16"/>
          <w:color w:val="auto"/>
        </w:rPr>
        <w:t xml:space="preserve"> </w:t>
      </w:r>
      <w:r>
        <w:rPr>
          <w:rFonts w:ascii="Arial" w:cs="Arial" w:eastAsia="Arial" w:hAnsi="Arial"/>
          <w:sz w:val="16"/>
          <w:szCs w:val="16"/>
          <w:color w:val="FF0000"/>
          <w:strike w:val="1"/>
        </w:rPr>
        <w:t>foreign jurisdiction</w:t>
      </w:r>
      <w:r>
        <w:rPr>
          <w:rFonts w:ascii="Arial" w:cs="Arial" w:eastAsia="Arial" w:hAnsi="Arial"/>
          <w:sz w:val="16"/>
          <w:szCs w:val="16"/>
          <w:color w:val="000000"/>
        </w:rPr>
        <w:t>, in each case with the consent of each Lender under the Multicurrency Facility (provided, that no such Lender may</w:t>
      </w:r>
      <w:r>
        <w:rPr>
          <w:rFonts w:ascii="Arial" w:cs="Arial" w:eastAsia="Arial" w:hAnsi="Arial"/>
          <w:sz w:val="16"/>
          <w:szCs w:val="16"/>
          <w:color w:val="FF0000"/>
        </w:rPr>
        <w:t xml:space="preserve"> </w:t>
      </w:r>
      <w:r>
        <w:rPr>
          <w:rFonts w:ascii="Arial" w:cs="Arial" w:eastAsia="Arial" w:hAnsi="Arial"/>
          <w:sz w:val="16"/>
          <w:szCs w:val="16"/>
          <w:color w:val="000000"/>
        </w:rPr>
        <w:t>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(y) with the consent of the Brazilian Lenders, any Brazilian Subsidiary as a Brazilian Subsidiary Borrower under the Brazilian Facility and (z) any other Foreign Subsidiary of the Company as a Foreign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6090920</wp:posOffset>
            </wp:positionH>
            <wp:positionV relativeFrom="paragraph">
              <wp:posOffset>-2608580</wp:posOffset>
            </wp:positionV>
            <wp:extent cx="43624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43624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-2471420</wp:posOffset>
            </wp:positionV>
            <wp:extent cx="140271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60"/>
          </w:cols>
          <w:pgMar w:left="460" w:top="273" w:right="479" w:bottom="1440" w:gutter="0" w:footer="0" w:header="0"/>
        </w:sectPr>
      </w:pPr>
    </w:p>
    <w:bookmarkStart w:id="590" w:name="page591"/>
    <w:bookmarkEnd w:id="590"/>
    <w:p>
      <w:pPr>
        <w:ind w:left="1000" w:right="20" w:firstLine="398"/>
        <w:spacing w:after="0" w:line="270" w:lineRule="auto"/>
        <w:tabs>
          <w:tab w:leader="none" w:pos="1664" w:val="left"/>
        </w:tabs>
        <w:numPr>
          <w:ilvl w:val="0"/>
          <w:numId w:val="5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72" w:lineRule="exact"/>
        <w:rPr>
          <w:sz w:val="20"/>
          <w:szCs w:val="20"/>
          <w:color w:val="auto"/>
        </w:rPr>
      </w:pPr>
    </w:p>
    <w:p>
      <w:pPr>
        <w:ind w:firstLine="989"/>
        <w:spacing w:after="0" w:line="273" w:lineRule="auto"/>
        <w:rPr>
          <w:sz w:val="20"/>
          <w:szCs w:val="20"/>
          <w:color w:val="auto"/>
        </w:rPr>
      </w:pPr>
      <w:r>
        <w:rPr>
          <w:rFonts w:ascii="Arial" w:cs="Arial" w:eastAsia="Arial" w:hAnsi="Arial"/>
          <w:sz w:val="17"/>
          <w:szCs w:val="17"/>
          <w:color w:val="auto"/>
        </w:rPr>
        <w:t>10.2 Notices.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or to such other address as may be hereafter notified by the respective parties hereto:</w:t>
      </w:r>
    </w:p>
    <w:p>
      <w:pPr>
        <w:spacing w:after="0" w:line="201"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Any Borrower:</w:t>
      </w:r>
      <w:r>
        <w:rPr>
          <w:sz w:val="20"/>
          <w:szCs w:val="20"/>
          <w:color w:val="auto"/>
        </w:rPr>
        <w:tab/>
      </w:r>
      <w:r>
        <w:rPr>
          <w:rFonts w:ascii="Arial" w:cs="Arial" w:eastAsia="Arial" w:hAnsi="Arial"/>
          <w:sz w:val="16"/>
          <w:szCs w:val="16"/>
          <w:color w:val="auto"/>
        </w:rPr>
        <w:t>General Motors Company</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Mail code: 482-C26-A68</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Attention: Treasurer</w:t>
      </w:r>
    </w:p>
    <w:p>
      <w:pPr>
        <w:sectPr>
          <w:pgSz w:w="11900" w:h="16838" w:orient="portrait"/>
          <w:cols w:equalWidth="0" w:num="1">
            <w:col w:w="10980"/>
          </w:cols>
          <w:pgMar w:left="440" w:top="273" w:right="479" w:bottom="1440" w:gutter="0" w:footer="0" w:header="0"/>
        </w:sectPr>
      </w:pP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Treasurer</w:t>
      </w:r>
    </w:p>
    <w:p>
      <w:pPr>
        <w:spacing w:after="0" w:line="138" w:lineRule="exact"/>
        <w:rPr>
          <w:sz w:val="20"/>
          <w:szCs w:val="20"/>
          <w:color w:val="auto"/>
        </w:rPr>
      </w:pPr>
    </w:p>
    <w:p>
      <w:pPr>
        <w:sectPr>
          <w:pgSz w:w="11900" w:h="16838" w:orient="portrait"/>
          <w:cols w:equalWidth="0" w:num="2">
            <w:col w:w="2240" w:space="300"/>
            <w:col w:w="8440"/>
          </w:cols>
          <w:pgMar w:left="440" w:top="273" w:right="47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color w:val="auto"/>
        </w:rPr>
        <w:t>with a further copy to (which</w:t>
      </w:r>
      <w:r>
        <w:rPr>
          <w:sz w:val="20"/>
          <w:szCs w:val="20"/>
          <w:color w:val="auto"/>
        </w:rPr>
        <w:tab/>
      </w:r>
      <w:r>
        <w:rPr>
          <w:rFonts w:ascii="Arial" w:cs="Arial" w:eastAsia="Arial" w:hAnsi="Arial"/>
          <w:sz w:val="16"/>
          <w:szCs w:val="16"/>
          <w:color w:val="auto"/>
        </w:rPr>
        <w:t>General Motors Company</w:t>
      </w:r>
    </w:p>
    <w:p>
      <w:pPr>
        <w:spacing w:after="0" w:line="23"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shall not constitute notice):</w:t>
      </w:r>
      <w:r>
        <w:rPr>
          <w:sz w:val="20"/>
          <w:szCs w:val="20"/>
          <w:color w:val="auto"/>
        </w:rPr>
        <w:tab/>
      </w:r>
      <w:r>
        <w:rPr>
          <w:rFonts w:ascii="Arial" w:cs="Arial" w:eastAsia="Arial" w:hAnsi="Arial"/>
          <w:sz w:val="16"/>
          <w:szCs w:val="16"/>
          <w:color w:val="auto"/>
        </w:rPr>
        <w:t>Detroit Treasury Office</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Attention: Director, Capital Markets</w:t>
      </w:r>
    </w:p>
    <w:p>
      <w:pPr>
        <w:spacing w:after="0" w:line="115"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with a further copy to (which</w:t>
      </w:r>
      <w:r>
        <w:rPr>
          <w:sz w:val="20"/>
          <w:szCs w:val="20"/>
          <w:color w:val="auto"/>
        </w:rPr>
        <w:tab/>
      </w:r>
      <w:r>
        <w:rPr>
          <w:rFonts w:ascii="Arial" w:cs="Arial" w:eastAsia="Arial" w:hAnsi="Arial"/>
          <w:sz w:val="16"/>
          <w:szCs w:val="16"/>
          <w:color w:val="auto"/>
        </w:rPr>
        <w:t>General Motors Company</w:t>
      </w:r>
    </w:p>
    <w:p>
      <w:pPr>
        <w:spacing w:after="0" w:line="23"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shall not constitute notice):</w:t>
      </w:r>
      <w:r>
        <w:rPr>
          <w:sz w:val="20"/>
          <w:szCs w:val="20"/>
          <w:color w:val="auto"/>
        </w:rPr>
        <w:tab/>
      </w:r>
      <w:r>
        <w:rPr>
          <w:rFonts w:ascii="Arial" w:cs="Arial" w:eastAsia="Arial" w:hAnsi="Arial"/>
          <w:sz w:val="16"/>
          <w:szCs w:val="16"/>
          <w:color w:val="auto"/>
        </w:rPr>
        <w:t>Detroit Treasury Office</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Attention: Director, Treasury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980"/>
          </w:cols>
          <w:pgMar w:left="440" w:top="273" w:right="479" w:bottom="1440" w:gutter="0" w:footer="0" w:header="0"/>
          <w:type w:val="continuous"/>
        </w:sectPr>
      </w:pPr>
    </w:p>
    <w:bookmarkStart w:id="591" w:name="page592"/>
    <w:bookmarkEnd w:id="591"/>
    <w:p>
      <w:pPr>
        <w:spacing w:after="0" w:line="341" w:lineRule="auto"/>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-215265</wp:posOffset>
            </wp:positionV>
            <wp:extent cx="7174865" cy="3810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138" w:lineRule="exact"/>
        <w:rPr>
          <w:sz w:val="20"/>
          <w:szCs w:val="20"/>
          <w:color w:val="auto"/>
        </w:rPr>
      </w:pPr>
    </w:p>
    <w:p>
      <w:pPr>
        <w:sectPr>
          <w:pgSz w:w="11900" w:h="16838" w:orient="portrait"/>
          <w:cols w:equalWidth="0" w:num="2">
            <w:col w:w="2100" w:space="440"/>
            <w:col w:w="7479"/>
          </w:cols>
          <w:pgMar w:left="440" w:top="273" w:right="1440" w:bottom="1440" w:gutter="0" w:footer="0" w:header="0"/>
        </w:sect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with a further copy to (which</w:t>
            </w:r>
          </w:p>
        </w:tc>
        <w:tc>
          <w:tcPr>
            <w:tcW w:w="6500" w:type="dxa"/>
            <w:vAlign w:val="bottom"/>
            <w:gridSpan w:val="34"/>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89"/>
        </w:trPr>
        <w:tc>
          <w:tcPr>
            <w:tcW w:w="2540" w:type="dxa"/>
            <w:vAlign w:val="bottom"/>
          </w:tcPr>
          <w:p>
            <w:pPr>
              <w:spacing w:after="0" w:line="189" w:lineRule="exact"/>
              <w:rPr>
                <w:sz w:val="20"/>
                <w:szCs w:val="20"/>
                <w:color w:val="auto"/>
              </w:rPr>
            </w:pPr>
            <w:r>
              <w:rPr>
                <w:rFonts w:ascii="Arial" w:cs="Arial" w:eastAsia="Arial" w:hAnsi="Arial"/>
                <w:sz w:val="18"/>
                <w:szCs w:val="18"/>
                <w:color w:val="auto"/>
              </w:rPr>
              <w:t>shall not constitute notice):</w:t>
            </w:r>
          </w:p>
        </w:tc>
        <w:tc>
          <w:tcPr>
            <w:tcW w:w="1260" w:type="dxa"/>
            <w:vAlign w:val="bottom"/>
            <w:gridSpan w:val="6"/>
          </w:tcPr>
          <w:p>
            <w:pPr>
              <w:spacing w:after="0" w:line="189" w:lineRule="exact"/>
              <w:rPr>
                <w:sz w:val="20"/>
                <w:szCs w:val="20"/>
                <w:color w:val="auto"/>
              </w:rPr>
            </w:pPr>
            <w:r>
              <w:rPr>
                <w:rFonts w:ascii="Arial" w:cs="Arial" w:eastAsia="Arial" w:hAnsi="Arial"/>
                <w:sz w:val="18"/>
                <w:szCs w:val="18"/>
                <w:color w:val="auto"/>
                <w:w w:val="91"/>
              </w:rPr>
              <w:t>Mail Code 482-C</w:t>
            </w:r>
          </w:p>
        </w:tc>
        <w:tc>
          <w:tcPr>
            <w:tcW w:w="180" w:type="dxa"/>
            <w:vAlign w:val="bottom"/>
            <w:gridSpan w:val="5"/>
          </w:tcPr>
          <w:p>
            <w:pPr>
              <w:jc w:val="right"/>
              <w:spacing w:after="0" w:line="189" w:lineRule="exact"/>
              <w:rPr>
                <w:sz w:val="20"/>
                <w:szCs w:val="20"/>
                <w:color w:val="auto"/>
              </w:rPr>
            </w:pPr>
            <w:r>
              <w:rPr>
                <w:rFonts w:ascii="Arial" w:cs="Arial" w:eastAsia="Arial" w:hAnsi="Arial"/>
                <w:sz w:val="18"/>
                <w:szCs w:val="18"/>
                <w:color w:val="FF0000"/>
                <w:strike w:val="1"/>
                <w:w w:val="79"/>
              </w:rPr>
              <w:t>24</w:t>
            </w:r>
          </w:p>
        </w:tc>
        <w:tc>
          <w:tcPr>
            <w:tcW w:w="5060" w:type="dxa"/>
            <w:vAlign w:val="bottom"/>
            <w:gridSpan w:val="23"/>
          </w:tcPr>
          <w:p>
            <w:pPr>
              <w:spacing w:after="0" w:line="189" w:lineRule="exact"/>
              <w:rPr>
                <w:sz w:val="20"/>
                <w:szCs w:val="20"/>
                <w:color w:val="auto"/>
              </w:rPr>
            </w:pPr>
            <w:r>
              <w:rPr>
                <w:rFonts w:ascii="Arial" w:cs="Arial" w:eastAsia="Arial" w:hAnsi="Arial"/>
                <w:sz w:val="18"/>
                <w:szCs w:val="18"/>
                <w:color w:val="0000FF"/>
              </w:rPr>
              <w:t>23</w:t>
            </w:r>
            <w:r>
              <w:rPr>
                <w:rFonts w:ascii="Arial" w:cs="Arial" w:eastAsia="Arial" w:hAnsi="Arial"/>
                <w:sz w:val="18"/>
                <w:szCs w:val="18"/>
                <w:color w:val="000000"/>
              </w:rPr>
              <w:t>-A68</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620" w:type="dxa"/>
            <w:vAlign w:val="bottom"/>
            <w:gridSpan w:val="13"/>
          </w:tcPr>
          <w:p>
            <w:pPr>
              <w:spacing w:after="0" w:line="168" w:lineRule="exact"/>
              <w:rPr>
                <w:sz w:val="20"/>
                <w:szCs w:val="20"/>
                <w:color w:val="auto"/>
              </w:rPr>
            </w:pPr>
            <w:r>
              <w:rPr>
                <w:rFonts w:ascii="Arial" w:cs="Arial" w:eastAsia="Arial" w:hAnsi="Arial"/>
                <w:sz w:val="18"/>
                <w:szCs w:val="18"/>
                <w:color w:val="auto"/>
                <w:w w:val="80"/>
              </w:rPr>
              <w:t>300 Renaissance Center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P.O. Box 300</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Detroit, MI 48265-3000</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680" w:type="dxa"/>
            <w:vAlign w:val="bottom"/>
            <w:gridSpan w:val="24"/>
          </w:tcPr>
          <w:p>
            <w:pPr>
              <w:spacing w:after="0" w:line="189" w:lineRule="exact"/>
              <w:rPr>
                <w:sz w:val="20"/>
                <w:szCs w:val="20"/>
                <w:color w:val="auto"/>
              </w:rPr>
            </w:pPr>
            <w:r>
              <w:rPr>
                <w:rFonts w:ascii="Arial" w:cs="Arial" w:eastAsia="Arial" w:hAnsi="Arial"/>
                <w:sz w:val="18"/>
                <w:szCs w:val="18"/>
                <w:color w:val="auto"/>
                <w:w w:val="90"/>
              </w:rPr>
              <w:t>Attention: Assistant General Counsel</w:t>
            </w:r>
          </w:p>
        </w:tc>
        <w:tc>
          <w:tcPr>
            <w:tcW w:w="280" w:type="dxa"/>
            <w:vAlign w:val="bottom"/>
            <w:gridSpan w:val="4"/>
          </w:tcPr>
          <w:p>
            <w:pPr>
              <w:jc w:val="right"/>
              <w:ind w:right="24"/>
              <w:spacing w:after="0" w:line="189" w:lineRule="exact"/>
              <w:rPr>
                <w:sz w:val="20"/>
                <w:szCs w:val="20"/>
                <w:color w:val="auto"/>
              </w:rPr>
            </w:pPr>
            <w:r>
              <w:rPr>
                <w:rFonts w:ascii="Arial" w:cs="Arial" w:eastAsia="Arial" w:hAnsi="Arial"/>
                <w:sz w:val="18"/>
                <w:szCs w:val="18"/>
                <w:color w:val="FF0000"/>
              </w:rPr>
              <w:t>&amp;</w:t>
            </w:r>
          </w:p>
        </w:tc>
        <w:tc>
          <w:tcPr>
            <w:tcW w:w="760" w:type="dxa"/>
            <w:vAlign w:val="bottom"/>
            <w:gridSpan w:val="4"/>
          </w:tcPr>
          <w:p>
            <w:pPr>
              <w:spacing w:after="0" w:line="189" w:lineRule="exact"/>
              <w:rPr>
                <w:sz w:val="20"/>
                <w:szCs w:val="20"/>
                <w:color w:val="auto"/>
              </w:rPr>
            </w:pPr>
            <w:r>
              <w:rPr>
                <w:rFonts w:ascii="Arial" w:cs="Arial" w:eastAsia="Arial" w:hAnsi="Arial"/>
                <w:sz w:val="18"/>
                <w:szCs w:val="18"/>
                <w:color w:val="0000FF"/>
                <w:w w:val="82"/>
              </w:rPr>
              <w:t xml:space="preserve">, </w:t>
            </w:r>
            <w:r>
              <w:rPr>
                <w:rFonts w:ascii="Arial" w:cs="Arial" w:eastAsia="Arial" w:hAnsi="Arial"/>
                <w:sz w:val="18"/>
                <w:szCs w:val="18"/>
                <w:color w:val="000000"/>
                <w:w w:val="82"/>
              </w:rPr>
              <w:t>Corporate</w:t>
            </w:r>
          </w:p>
        </w:tc>
        <w:tc>
          <w:tcPr>
            <w:tcW w:w="680" w:type="dxa"/>
            <w:vAlign w:val="bottom"/>
          </w:tcPr>
          <w:p>
            <w:pPr>
              <w:spacing w:after="0" w:line="189" w:lineRule="exact"/>
              <w:rPr>
                <w:sz w:val="20"/>
                <w:szCs w:val="20"/>
                <w:color w:val="auto"/>
              </w:rPr>
            </w:pPr>
            <w:r>
              <w:rPr>
                <w:rFonts w:ascii="Arial" w:cs="Arial" w:eastAsia="Arial" w:hAnsi="Arial"/>
                <w:sz w:val="18"/>
                <w:szCs w:val="18"/>
                <w:color w:val="FF0000"/>
                <w:strike w:val="1"/>
                <w:w w:val="85"/>
              </w:rPr>
              <w:t>Secretary</w:t>
            </w:r>
          </w:p>
        </w:tc>
        <w:tc>
          <w:tcPr>
            <w:tcW w:w="2100" w:type="dxa"/>
            <w:vAlign w:val="bottom"/>
          </w:tcPr>
          <w:p>
            <w:pPr>
              <w:spacing w:after="0" w:line="189" w:lineRule="exact"/>
              <w:rPr>
                <w:sz w:val="20"/>
                <w:szCs w:val="20"/>
                <w:color w:val="auto"/>
              </w:rPr>
            </w:pPr>
            <w:r>
              <w:rPr>
                <w:rFonts w:ascii="Arial" w:cs="Arial" w:eastAsia="Arial" w:hAnsi="Arial"/>
                <w:sz w:val="18"/>
                <w:szCs w:val="18"/>
                <w:color w:val="0000FF"/>
                <w:w w:val="91"/>
              </w:rPr>
              <w:t>Finance &amp; Global Innovation</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540" w:type="dxa"/>
            <w:vAlign w:val="bottom"/>
          </w:tcPr>
          <w:p>
            <w:pPr>
              <w:spacing w:after="0"/>
              <w:rPr>
                <w:sz w:val="2"/>
                <w:szCs w:val="2"/>
                <w:color w:val="auto"/>
              </w:rPr>
            </w:pPr>
          </w:p>
        </w:tc>
        <w:tc>
          <w:tcPr>
            <w:tcW w:w="520" w:type="dxa"/>
            <w:vAlign w:val="bottom"/>
            <w:vMerge w:val="restart"/>
          </w:tcPr>
          <w:p>
            <w:pPr>
              <w:spacing w:after="0" w:line="195" w:lineRule="exact"/>
              <w:rPr>
                <w:sz w:val="20"/>
                <w:szCs w:val="20"/>
                <w:color w:val="auto"/>
              </w:rPr>
            </w:pPr>
            <w:r>
              <w:rPr>
                <w:rFonts w:ascii="Arial" w:cs="Arial" w:eastAsia="Arial" w:hAnsi="Arial"/>
                <w:sz w:val="18"/>
                <w:szCs w:val="18"/>
                <w:color w:val="auto"/>
                <w:w w:val="99"/>
              </w:rPr>
              <w:t>Email:</w:t>
            </w:r>
          </w:p>
        </w:tc>
        <w:tc>
          <w:tcPr>
            <w:tcW w:w="820" w:type="dxa"/>
            <w:vAlign w:val="bottom"/>
            <w:gridSpan w:val="6"/>
            <w:vMerge w:val="restart"/>
          </w:tcPr>
          <w:p>
            <w:pPr>
              <w:spacing w:after="0" w:line="195" w:lineRule="exact"/>
              <w:rPr>
                <w:sz w:val="20"/>
                <w:szCs w:val="20"/>
                <w:color w:val="auto"/>
              </w:rPr>
            </w:pPr>
            <w:r>
              <w:rPr>
                <w:rFonts w:ascii="Arial" w:cs="Arial" w:eastAsia="Arial" w:hAnsi="Arial"/>
                <w:sz w:val="18"/>
                <w:szCs w:val="18"/>
                <w:color w:val="FF0000"/>
                <w:strike w:val="1"/>
                <w:w w:val="86"/>
              </w:rPr>
              <w:t>rick.hansen</w:t>
            </w:r>
          </w:p>
        </w:tc>
        <w:tc>
          <w:tcPr>
            <w:tcW w:w="3060" w:type="dxa"/>
            <w:vAlign w:val="bottom"/>
            <w:gridSpan w:val="26"/>
            <w:vMerge w:val="restart"/>
          </w:tcPr>
          <w:p>
            <w:pPr>
              <w:spacing w:after="0" w:line="195" w:lineRule="exact"/>
              <w:rPr>
                <w:sz w:val="20"/>
                <w:szCs w:val="20"/>
                <w:color w:val="auto"/>
              </w:rPr>
            </w:pPr>
            <w:r>
              <w:rPr>
                <w:rFonts w:ascii="Arial" w:cs="Arial" w:eastAsia="Arial" w:hAnsi="Arial"/>
                <w:sz w:val="18"/>
                <w:szCs w:val="18"/>
                <w:color w:val="0000FF"/>
              </w:rPr>
              <w:t>elena.centeio</w:t>
            </w:r>
            <w:r>
              <w:rPr>
                <w:rFonts w:ascii="Arial" w:cs="Arial" w:eastAsia="Arial" w:hAnsi="Arial"/>
                <w:sz w:val="18"/>
                <w:szCs w:val="18"/>
                <w:color w:val="000000"/>
              </w:rPr>
              <w:t>@gm.com</w:t>
            </w:r>
          </w:p>
        </w:tc>
        <w:tc>
          <w:tcPr>
            <w:tcW w:w="2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gridSpan w:val="6"/>
            <w:vMerge w:val="continue"/>
          </w:tcPr>
          <w:p>
            <w:pPr>
              <w:spacing w:after="0"/>
              <w:rPr>
                <w:sz w:val="12"/>
                <w:szCs w:val="12"/>
                <w:color w:val="auto"/>
              </w:rPr>
            </w:pPr>
          </w:p>
        </w:tc>
        <w:tc>
          <w:tcPr>
            <w:tcW w:w="3060" w:type="dxa"/>
            <w:vAlign w:val="bottom"/>
            <w:gridSpan w:val="26"/>
            <w:vMerge w:val="continue"/>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540" w:type="dxa"/>
            <w:vAlign w:val="bottom"/>
          </w:tcPr>
          <w:p>
            <w:pPr>
              <w:spacing w:after="0"/>
              <w:rPr>
                <w:sz w:val="20"/>
                <w:szCs w:val="20"/>
                <w:color w:val="auto"/>
              </w:rPr>
            </w:pPr>
            <w:r>
              <w:rPr>
                <w:rFonts w:ascii="Arial" w:cs="Arial" w:eastAsia="Arial" w:hAnsi="Arial"/>
                <w:sz w:val="18"/>
                <w:szCs w:val="18"/>
                <w:color w:val="auto"/>
              </w:rPr>
              <w:t>Administrative Agent for all</w:t>
            </w:r>
          </w:p>
        </w:tc>
        <w:tc>
          <w:tcPr>
            <w:tcW w:w="6500" w:type="dxa"/>
            <w:vAlign w:val="bottom"/>
            <w:gridSpan w:val="34"/>
          </w:tcPr>
          <w:p>
            <w:pPr>
              <w:spacing w:after="0"/>
              <w:rPr>
                <w:sz w:val="20"/>
                <w:szCs w:val="20"/>
                <w:color w:val="auto"/>
              </w:rPr>
            </w:pPr>
            <w:r>
              <w:rPr>
                <w:rFonts w:ascii="Arial" w:cs="Arial" w:eastAsia="Arial" w:hAnsi="Arial"/>
                <w:sz w:val="18"/>
                <w:szCs w:val="18"/>
                <w:color w:val="auto"/>
              </w:rPr>
              <w:t>JPMorgan Chase Bank, N.A., as Administrative Agent</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notices:</w:t>
            </w:r>
          </w:p>
        </w:tc>
        <w:tc>
          <w:tcPr>
            <w:tcW w:w="6500" w:type="dxa"/>
            <w:vAlign w:val="bottom"/>
            <w:gridSpan w:val="34"/>
          </w:tcPr>
          <w:p>
            <w:pPr>
              <w:spacing w:after="0"/>
              <w:rPr>
                <w:sz w:val="20"/>
                <w:szCs w:val="20"/>
                <w:color w:val="auto"/>
              </w:rPr>
            </w:pPr>
            <w:r>
              <w:rPr>
                <w:rFonts w:ascii="Arial" w:cs="Arial" w:eastAsia="Arial" w:hAnsi="Arial"/>
                <w:sz w:val="18"/>
                <w:szCs w:val="18"/>
                <w:color w:val="auto"/>
              </w:rPr>
              <w:t>Investment Bank Loan Operations North America</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500 Stanton Christiana Road, NCC5, Floor 01</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Newark, DE, 19713-2107, United States</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Email: Meghan.Roberts@chase.com</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Facsimile: 302-634-4733</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Telephone: 302-634-4670</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Attention: Meghan Roberts</w:t>
            </w:r>
          </w:p>
        </w:tc>
        <w:tc>
          <w:tcPr>
            <w:tcW w:w="0" w:type="dxa"/>
            <w:vAlign w:val="bottom"/>
          </w:tcPr>
          <w:p>
            <w:pPr>
              <w:spacing w:after="0"/>
              <w:rPr>
                <w:sz w:val="1"/>
                <w:szCs w:val="1"/>
                <w:color w:val="auto"/>
              </w:rPr>
            </w:pPr>
          </w:p>
        </w:tc>
      </w:tr>
      <w:tr>
        <w:trPr>
          <w:trHeight w:val="322"/>
        </w:trPr>
        <w:tc>
          <w:tcPr>
            <w:tcW w:w="2540" w:type="dxa"/>
            <w:vAlign w:val="bottom"/>
          </w:tcPr>
          <w:p>
            <w:pPr>
              <w:spacing w:after="0"/>
              <w:rPr>
                <w:sz w:val="20"/>
                <w:szCs w:val="20"/>
                <w:color w:val="auto"/>
              </w:rPr>
            </w:pPr>
            <w:r>
              <w:rPr>
                <w:rFonts w:ascii="Arial" w:cs="Arial" w:eastAsia="Arial" w:hAnsi="Arial"/>
                <w:sz w:val="18"/>
                <w:szCs w:val="18"/>
                <w:color w:val="auto"/>
              </w:rPr>
              <w:t>with a copy to:</w:t>
            </w:r>
          </w:p>
        </w:tc>
        <w:tc>
          <w:tcPr>
            <w:tcW w:w="6500" w:type="dxa"/>
            <w:vAlign w:val="bottom"/>
            <w:gridSpan w:val="34"/>
          </w:tcPr>
          <w:p>
            <w:pPr>
              <w:spacing w:after="0"/>
              <w:rPr>
                <w:sz w:val="20"/>
                <w:szCs w:val="20"/>
                <w:color w:val="auto"/>
              </w:rPr>
            </w:pPr>
            <w:r>
              <w:rPr>
                <w:rFonts w:ascii="Arial" w:cs="Arial" w:eastAsia="Arial" w:hAnsi="Arial"/>
                <w:sz w:val="18"/>
                <w:szCs w:val="18"/>
                <w:color w:val="auto"/>
              </w:rPr>
              <w:t>JPMorgan Chase Bank, N.A.</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280" w:type="dxa"/>
            <w:vAlign w:val="bottom"/>
            <w:gridSpan w:val="20"/>
          </w:tcPr>
          <w:p>
            <w:pPr>
              <w:spacing w:after="0"/>
              <w:rPr>
                <w:sz w:val="20"/>
                <w:szCs w:val="20"/>
                <w:color w:val="auto"/>
              </w:rPr>
            </w:pPr>
            <w:r>
              <w:rPr>
                <w:rFonts w:ascii="Arial" w:cs="Arial" w:eastAsia="Arial" w:hAnsi="Arial"/>
                <w:sz w:val="18"/>
                <w:szCs w:val="18"/>
                <w:color w:val="FF0000"/>
                <w:strike w:val="1"/>
                <w:w w:val="92"/>
              </w:rPr>
              <w:t>383 Madison Avenue, Floor 24</w:t>
            </w: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860" w:type="dxa"/>
            <w:vAlign w:val="bottom"/>
            <w:gridSpan w:val="27"/>
          </w:tcPr>
          <w:p>
            <w:pPr>
              <w:spacing w:after="0" w:line="156" w:lineRule="exact"/>
              <w:rPr>
                <w:sz w:val="20"/>
                <w:szCs w:val="20"/>
                <w:color w:val="auto"/>
              </w:rPr>
            </w:pPr>
            <w:r>
              <w:rPr>
                <w:rFonts w:ascii="Arial" w:cs="Arial" w:eastAsia="Arial" w:hAnsi="Arial"/>
                <w:sz w:val="18"/>
                <w:szCs w:val="18"/>
                <w:color w:val="0000FF"/>
                <w:w w:val="91"/>
              </w:rPr>
              <w:t>8181 Communications Pkwy, Bldg B, 6</w:t>
            </w:r>
          </w:p>
        </w:tc>
        <w:tc>
          <w:tcPr>
            <w:tcW w:w="120" w:type="dxa"/>
            <w:vAlign w:val="bottom"/>
            <w:tcBorders>
              <w:bottom w:val="single" w:sz="8" w:color="0000FF"/>
            </w:tcBorders>
            <w:gridSpan w:val="2"/>
          </w:tcPr>
          <w:p>
            <w:pPr>
              <w:spacing w:after="0" w:line="143" w:lineRule="exact"/>
              <w:rPr>
                <w:sz w:val="20"/>
                <w:szCs w:val="20"/>
                <w:color w:val="auto"/>
              </w:rPr>
            </w:pPr>
            <w:r>
              <w:rPr>
                <w:rFonts w:ascii="Arial" w:cs="Arial" w:eastAsia="Arial" w:hAnsi="Arial"/>
                <w:sz w:val="15"/>
                <w:szCs w:val="15"/>
                <w:color w:val="0000FF"/>
                <w:w w:val="79"/>
              </w:rPr>
              <w:t>th</w:t>
            </w:r>
          </w:p>
        </w:tc>
        <w:tc>
          <w:tcPr>
            <w:tcW w:w="3520" w:type="dxa"/>
            <w:vAlign w:val="bottom"/>
            <w:gridSpan w:val="5"/>
          </w:tcPr>
          <w:p>
            <w:pPr>
              <w:ind w:left="40"/>
              <w:spacing w:after="0" w:line="156" w:lineRule="exact"/>
              <w:rPr>
                <w:sz w:val="20"/>
                <w:szCs w:val="20"/>
                <w:color w:val="auto"/>
              </w:rPr>
            </w:pPr>
            <w:r>
              <w:rPr>
                <w:rFonts w:ascii="Arial" w:cs="Arial" w:eastAsia="Arial" w:hAnsi="Arial"/>
                <w:sz w:val="18"/>
                <w:szCs w:val="18"/>
                <w:color w:val="0000FF"/>
              </w:rPr>
              <w:t>Floor</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3100" w:type="dxa"/>
            <w:vAlign w:val="bottom"/>
            <w:gridSpan w:val="4"/>
            <w:vMerge w:val="restart"/>
          </w:tcPr>
          <w:p>
            <w:pPr>
              <w:ind w:left="100"/>
              <w:spacing w:after="0"/>
              <w:rPr>
                <w:sz w:val="20"/>
                <w:szCs w:val="20"/>
                <w:color w:val="auto"/>
              </w:rPr>
            </w:pPr>
            <w:r>
              <w:rPr>
                <w:rFonts w:ascii="Arial" w:cs="Arial" w:eastAsia="Arial" w:hAnsi="Arial"/>
                <w:sz w:val="18"/>
                <w:szCs w:val="18"/>
                <w:color w:val="auto"/>
              </w:rPr>
              <w:t>States</w:t>
            </w:r>
          </w:p>
        </w:tc>
        <w:tc>
          <w:tcPr>
            <w:tcW w:w="0" w:type="dxa"/>
            <w:vAlign w:val="bottom"/>
          </w:tcPr>
          <w:p>
            <w:pPr>
              <w:spacing w:after="0" w:line="20" w:lineRule="exact"/>
              <w:rPr>
                <w:sz w:val="1"/>
                <w:szCs w:val="1"/>
                <w:color w:val="auto"/>
              </w:rPr>
            </w:pPr>
          </w:p>
        </w:tc>
      </w:tr>
      <w:tr>
        <w:trPr>
          <w:trHeight w:val="21"/>
        </w:trPr>
        <w:tc>
          <w:tcPr>
            <w:tcW w:w="254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31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600" w:type="dxa"/>
            <w:vAlign w:val="bottom"/>
            <w:gridSpan w:val="12"/>
          </w:tcPr>
          <w:p>
            <w:pPr>
              <w:spacing w:after="0" w:line="142" w:lineRule="exact"/>
              <w:rPr>
                <w:sz w:val="20"/>
                <w:szCs w:val="20"/>
                <w:color w:val="auto"/>
              </w:rPr>
            </w:pPr>
            <w:r>
              <w:rPr>
                <w:rFonts w:ascii="Arial" w:cs="Arial" w:eastAsia="Arial" w:hAnsi="Arial"/>
                <w:sz w:val="16"/>
                <w:szCs w:val="16"/>
                <w:color w:val="FF0000"/>
                <w:strike w:val="1"/>
              </w:rPr>
              <w:t>New York, NY, 10179</w:t>
            </w:r>
          </w:p>
        </w:tc>
        <w:tc>
          <w:tcPr>
            <w:tcW w:w="1800" w:type="dxa"/>
            <w:vAlign w:val="bottom"/>
            <w:gridSpan w:val="18"/>
          </w:tcPr>
          <w:p>
            <w:pPr>
              <w:spacing w:after="0" w:line="142" w:lineRule="exact"/>
              <w:rPr>
                <w:sz w:val="20"/>
                <w:szCs w:val="20"/>
                <w:color w:val="auto"/>
              </w:rPr>
            </w:pPr>
            <w:r>
              <w:rPr>
                <w:rFonts w:ascii="Arial" w:cs="Arial" w:eastAsia="Arial" w:hAnsi="Arial"/>
                <w:sz w:val="16"/>
                <w:szCs w:val="16"/>
                <w:color w:val="0000FF"/>
                <w:w w:val="99"/>
              </w:rPr>
              <w:t>Plano, TX, 75024</w:t>
            </w:r>
            <w:r>
              <w:rPr>
                <w:rFonts w:ascii="Arial" w:cs="Arial" w:eastAsia="Arial" w:hAnsi="Arial"/>
                <w:sz w:val="16"/>
                <w:szCs w:val="16"/>
                <w:color w:val="000000"/>
                <w:w w:val="99"/>
              </w:rPr>
              <w:t>, United</w:t>
            </w:r>
          </w:p>
        </w:tc>
        <w:tc>
          <w:tcPr>
            <w:tcW w:w="3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540" w:type="dxa"/>
            <w:vAlign w:val="bottom"/>
            <w:gridSpan w:val="6"/>
            <w:vMerge w:val="restart"/>
          </w:tcPr>
          <w:p>
            <w:pPr>
              <w:spacing w:after="0" w:line="195" w:lineRule="exact"/>
              <w:rPr>
                <w:sz w:val="20"/>
                <w:szCs w:val="20"/>
                <w:color w:val="auto"/>
              </w:rPr>
            </w:pPr>
            <w:r>
              <w:rPr>
                <w:rFonts w:ascii="Arial" w:cs="Arial" w:eastAsia="Arial" w:hAnsi="Arial"/>
                <w:sz w:val="18"/>
                <w:szCs w:val="18"/>
                <w:color w:val="auto"/>
              </w:rPr>
              <w:t>@jpmorgan.com</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6"/>
                <w:szCs w:val="16"/>
                <w:color w:val="auto"/>
              </w:rPr>
              <w:t>Email:</w:t>
            </w:r>
          </w:p>
        </w:tc>
        <w:tc>
          <w:tcPr>
            <w:tcW w:w="1480" w:type="dxa"/>
            <w:vAlign w:val="bottom"/>
            <w:gridSpan w:val="17"/>
          </w:tcPr>
          <w:p>
            <w:pPr>
              <w:spacing w:after="0" w:line="142" w:lineRule="exact"/>
              <w:rPr>
                <w:sz w:val="20"/>
                <w:szCs w:val="20"/>
                <w:color w:val="auto"/>
              </w:rPr>
            </w:pPr>
            <w:r>
              <w:rPr>
                <w:rFonts w:ascii="Arial" w:cs="Arial" w:eastAsia="Arial" w:hAnsi="Arial"/>
                <w:sz w:val="16"/>
                <w:szCs w:val="16"/>
                <w:color w:val="FF0000"/>
                <w:strike w:val="1"/>
              </w:rPr>
              <w:t>RICHARD.DUKER</w:t>
            </w:r>
          </w:p>
        </w:tc>
        <w:tc>
          <w:tcPr>
            <w:tcW w:w="960" w:type="dxa"/>
            <w:vAlign w:val="bottom"/>
            <w:gridSpan w:val="10"/>
          </w:tcPr>
          <w:p>
            <w:pPr>
              <w:jc w:val="right"/>
              <w:ind w:right="24"/>
              <w:spacing w:after="0" w:line="142" w:lineRule="exact"/>
              <w:rPr>
                <w:sz w:val="20"/>
                <w:szCs w:val="20"/>
                <w:color w:val="auto"/>
              </w:rPr>
            </w:pPr>
            <w:r>
              <w:rPr>
                <w:rFonts w:ascii="Arial" w:cs="Arial" w:eastAsia="Arial" w:hAnsi="Arial"/>
                <w:sz w:val="16"/>
                <w:szCs w:val="16"/>
                <w:color w:val="0000FF"/>
                <w:w w:val="97"/>
              </w:rPr>
              <w:t>sean.bodkin</w:t>
            </w:r>
          </w:p>
        </w:tc>
        <w:tc>
          <w:tcPr>
            <w:tcW w:w="35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1820" w:type="dxa"/>
            <w:vAlign w:val="bottom"/>
            <w:gridSpan w:val="16"/>
            <w:vMerge w:val="restart"/>
          </w:tcPr>
          <w:p>
            <w:pPr>
              <w:spacing w:after="0"/>
              <w:rPr>
                <w:sz w:val="20"/>
                <w:szCs w:val="20"/>
                <w:color w:val="auto"/>
              </w:rPr>
            </w:pPr>
            <w:r>
              <w:rPr>
                <w:rFonts w:ascii="Arial" w:cs="Arial" w:eastAsia="Arial" w:hAnsi="Arial"/>
                <w:sz w:val="18"/>
                <w:szCs w:val="18"/>
                <w:color w:val="FF0000"/>
                <w:strike w:val="1"/>
                <w:w w:val="90"/>
              </w:rPr>
              <w:t>Facsimile: 212-270-5100</w:t>
            </w: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gridSpan w:val="3"/>
          </w:tcPr>
          <w:p>
            <w:pPr>
              <w:spacing w:after="0"/>
              <w:rPr>
                <w:sz w:val="2"/>
                <w:szCs w:val="2"/>
                <w:color w:val="auto"/>
              </w:rPr>
            </w:pPr>
          </w:p>
        </w:tc>
        <w:tc>
          <w:tcPr>
            <w:tcW w:w="29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820" w:type="dxa"/>
            <w:vAlign w:val="bottom"/>
            <w:gridSpan w:val="16"/>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Arial" w:cs="Arial" w:eastAsia="Arial" w:hAnsi="Arial"/>
                <w:sz w:val="18"/>
                <w:szCs w:val="18"/>
                <w:color w:val="auto"/>
                <w:w w:val="91"/>
              </w:rPr>
              <w:t>Telephone:</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FF0000"/>
                <w:strike w:val="1"/>
                <w:w w:val="79"/>
              </w:rPr>
              <w:t>212</w:t>
            </w:r>
          </w:p>
        </w:tc>
        <w:tc>
          <w:tcPr>
            <w:tcW w:w="340" w:type="dxa"/>
            <w:vAlign w:val="bottom"/>
            <w:gridSpan w:val="7"/>
          </w:tcPr>
          <w:p>
            <w:pPr>
              <w:jc w:val="right"/>
              <w:spacing w:after="0" w:line="189" w:lineRule="exact"/>
              <w:rPr>
                <w:sz w:val="20"/>
                <w:szCs w:val="20"/>
                <w:color w:val="auto"/>
              </w:rPr>
            </w:pPr>
            <w:r>
              <w:rPr>
                <w:rFonts w:ascii="Arial" w:cs="Arial" w:eastAsia="Arial" w:hAnsi="Arial"/>
                <w:sz w:val="18"/>
                <w:szCs w:val="18"/>
                <w:color w:val="0000FF"/>
                <w:w w:val="88"/>
              </w:rPr>
              <w:t>972</w:t>
            </w:r>
            <w:r>
              <w:rPr>
                <w:rFonts w:ascii="Arial" w:cs="Arial" w:eastAsia="Arial" w:hAnsi="Arial"/>
                <w:sz w:val="18"/>
                <w:szCs w:val="18"/>
                <w:color w:val="000000"/>
                <w:w w:val="88"/>
              </w:rPr>
              <w:t>-</w:t>
            </w:r>
          </w:p>
        </w:tc>
        <w:tc>
          <w:tcPr>
            <w:tcW w:w="260" w:type="dxa"/>
            <w:vAlign w:val="bottom"/>
            <w:gridSpan w:val="3"/>
          </w:tcPr>
          <w:p>
            <w:pPr>
              <w:spacing w:after="0" w:line="189" w:lineRule="exact"/>
              <w:rPr>
                <w:sz w:val="20"/>
                <w:szCs w:val="20"/>
                <w:color w:val="auto"/>
              </w:rPr>
            </w:pPr>
            <w:r>
              <w:rPr>
                <w:rFonts w:ascii="Arial" w:cs="Arial" w:eastAsia="Arial" w:hAnsi="Arial"/>
                <w:sz w:val="18"/>
                <w:szCs w:val="18"/>
                <w:color w:val="FF0000"/>
                <w:strike w:val="1"/>
                <w:w w:val="79"/>
              </w:rPr>
              <w:t>270</w:t>
            </w:r>
          </w:p>
        </w:tc>
        <w:tc>
          <w:tcPr>
            <w:tcW w:w="340" w:type="dxa"/>
            <w:vAlign w:val="bottom"/>
            <w:gridSpan w:val="5"/>
          </w:tcPr>
          <w:p>
            <w:pPr>
              <w:spacing w:after="0" w:line="189" w:lineRule="exact"/>
              <w:rPr>
                <w:sz w:val="20"/>
                <w:szCs w:val="20"/>
                <w:color w:val="auto"/>
              </w:rPr>
            </w:pPr>
            <w:r>
              <w:rPr>
                <w:rFonts w:ascii="Arial" w:cs="Arial" w:eastAsia="Arial" w:hAnsi="Arial"/>
                <w:sz w:val="18"/>
                <w:szCs w:val="18"/>
                <w:color w:val="0000FF"/>
                <w:w w:val="88"/>
              </w:rPr>
              <w:t>324</w:t>
            </w:r>
            <w:r>
              <w:rPr>
                <w:rFonts w:ascii="Arial" w:cs="Arial" w:eastAsia="Arial" w:hAnsi="Arial"/>
                <w:sz w:val="18"/>
                <w:szCs w:val="18"/>
                <w:color w:val="000000"/>
                <w:w w:val="88"/>
              </w:rPr>
              <w:t>-</w:t>
            </w:r>
          </w:p>
        </w:tc>
        <w:tc>
          <w:tcPr>
            <w:tcW w:w="360" w:type="dxa"/>
            <w:vAlign w:val="bottom"/>
            <w:gridSpan w:val="3"/>
          </w:tcPr>
          <w:p>
            <w:pPr>
              <w:jc w:val="right"/>
              <w:spacing w:after="0" w:line="189" w:lineRule="exact"/>
              <w:rPr>
                <w:sz w:val="20"/>
                <w:szCs w:val="20"/>
                <w:color w:val="auto"/>
              </w:rPr>
            </w:pPr>
            <w:r>
              <w:rPr>
                <w:rFonts w:ascii="Arial" w:cs="Arial" w:eastAsia="Arial" w:hAnsi="Arial"/>
                <w:sz w:val="18"/>
                <w:szCs w:val="18"/>
                <w:color w:val="FF0000"/>
                <w:strike w:val="1"/>
                <w:w w:val="84"/>
              </w:rPr>
              <w:t>3057</w:t>
            </w:r>
          </w:p>
        </w:tc>
        <w:tc>
          <w:tcPr>
            <w:tcW w:w="360" w:type="dxa"/>
            <w:vAlign w:val="bottom"/>
            <w:gridSpan w:val="4"/>
          </w:tcPr>
          <w:p>
            <w:pPr>
              <w:jc w:val="right"/>
              <w:spacing w:after="0" w:line="189" w:lineRule="exact"/>
              <w:rPr>
                <w:sz w:val="20"/>
                <w:szCs w:val="20"/>
                <w:color w:val="auto"/>
              </w:rPr>
            </w:pPr>
            <w:r>
              <w:rPr>
                <w:rFonts w:ascii="Arial" w:cs="Arial" w:eastAsia="Arial" w:hAnsi="Arial"/>
                <w:sz w:val="18"/>
                <w:szCs w:val="18"/>
                <w:color w:val="0000FF"/>
                <w:w w:val="84"/>
              </w:rPr>
              <w:t>1749</w:t>
            </w:r>
          </w:p>
        </w:tc>
        <w:tc>
          <w:tcPr>
            <w:tcW w:w="820" w:type="dxa"/>
            <w:vAlign w:val="bottom"/>
            <w:gridSpan w:val="5"/>
          </w:tcPr>
          <w:p>
            <w:pPr>
              <w:spacing w:after="0"/>
              <w:rPr>
                <w:sz w:val="16"/>
                <w:szCs w:val="16"/>
                <w:color w:val="auto"/>
              </w:rPr>
            </w:pPr>
          </w:p>
        </w:tc>
        <w:tc>
          <w:tcPr>
            <w:tcW w:w="29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00" w:type="dxa"/>
            <w:vAlign w:val="bottom"/>
            <w:gridSpan w:val="4"/>
            <w:vMerge w:val="restart"/>
          </w:tcPr>
          <w:p>
            <w:pPr>
              <w:spacing w:after="0"/>
              <w:rPr>
                <w:sz w:val="20"/>
                <w:szCs w:val="20"/>
                <w:color w:val="auto"/>
              </w:rPr>
            </w:pPr>
            <w:r>
              <w:rPr>
                <w:rFonts w:ascii="Arial" w:cs="Arial" w:eastAsia="Arial" w:hAnsi="Arial"/>
                <w:sz w:val="18"/>
                <w:szCs w:val="18"/>
                <w:color w:val="FF0000"/>
                <w:strike w:val="1"/>
              </w:rPr>
              <w:t>W.</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60" w:type="dxa"/>
            <w:vAlign w:val="bottom"/>
            <w:tcBorders>
              <w:top w:val="single" w:sz="8" w:color="0000FF"/>
              <w:bottom w:val="single" w:sz="8" w:color="0000FF"/>
            </w:tcBorders>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20" w:type="dxa"/>
            <w:vAlign w:val="bottom"/>
            <w:gridSpan w:val="5"/>
          </w:tcPr>
          <w:p>
            <w:pPr>
              <w:spacing w:after="0"/>
              <w:rPr>
                <w:sz w:val="2"/>
                <w:szCs w:val="2"/>
                <w:color w:val="auto"/>
              </w:rPr>
            </w:pPr>
          </w:p>
        </w:tc>
        <w:tc>
          <w:tcPr>
            <w:tcW w:w="29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780" w:type="dxa"/>
            <w:vAlign w:val="bottom"/>
            <w:gridSpan w:val="2"/>
          </w:tcPr>
          <w:p>
            <w:pPr>
              <w:spacing w:after="0" w:line="168" w:lineRule="exact"/>
              <w:rPr>
                <w:sz w:val="20"/>
                <w:szCs w:val="20"/>
                <w:color w:val="auto"/>
              </w:rPr>
            </w:pPr>
            <w:r>
              <w:rPr>
                <w:rFonts w:ascii="Arial" w:cs="Arial" w:eastAsia="Arial" w:hAnsi="Arial"/>
                <w:sz w:val="18"/>
                <w:szCs w:val="18"/>
                <w:color w:val="auto"/>
                <w:w w:val="99"/>
              </w:rPr>
              <w:t>Attention:</w:t>
            </w:r>
          </w:p>
        </w:tc>
        <w:tc>
          <w:tcPr>
            <w:tcW w:w="600" w:type="dxa"/>
            <w:vAlign w:val="bottom"/>
            <w:gridSpan w:val="7"/>
          </w:tcPr>
          <w:p>
            <w:pPr>
              <w:spacing w:after="0" w:line="168" w:lineRule="exact"/>
              <w:rPr>
                <w:sz w:val="20"/>
                <w:szCs w:val="20"/>
                <w:color w:val="auto"/>
              </w:rPr>
            </w:pPr>
            <w:r>
              <w:rPr>
                <w:rFonts w:ascii="Arial" w:cs="Arial" w:eastAsia="Arial" w:hAnsi="Arial"/>
                <w:sz w:val="18"/>
                <w:szCs w:val="18"/>
                <w:color w:val="FF0000"/>
                <w:strike w:val="1"/>
                <w:w w:val="93"/>
              </w:rPr>
              <w:t>Richard</w:t>
            </w:r>
          </w:p>
        </w:tc>
        <w:tc>
          <w:tcPr>
            <w:tcW w:w="20" w:type="dxa"/>
            <w:vAlign w:val="bottom"/>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2"/>
                <w:szCs w:val="12"/>
                <w:color w:val="FF0000"/>
                <w:strike w:val="1"/>
                <w:w w:val="74"/>
              </w:rPr>
              <w:t>Duker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6500" w:type="dxa"/>
            <w:vAlign w:val="bottom"/>
            <w:gridSpan w:val="34"/>
          </w:tcPr>
          <w:p>
            <w:pPr>
              <w:spacing w:after="0" w:line="189" w:lineRule="exact"/>
              <w:rPr>
                <w:sz w:val="20"/>
                <w:szCs w:val="20"/>
                <w:color w:val="auto"/>
              </w:rPr>
            </w:pPr>
            <w:r>
              <w:rPr>
                <w:rFonts w:ascii="Arial" w:cs="Arial" w:eastAsia="Arial" w:hAnsi="Arial"/>
                <w:sz w:val="18"/>
                <w:szCs w:val="18"/>
                <w:color w:val="0000FF"/>
              </w:rPr>
              <w:t>Sean D. Bodkin</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540" w:type="dxa"/>
            <w:vAlign w:val="bottom"/>
          </w:tcPr>
          <w:p>
            <w:pPr>
              <w:spacing w:after="0"/>
              <w:rPr>
                <w:sz w:val="20"/>
                <w:szCs w:val="20"/>
                <w:color w:val="auto"/>
              </w:rPr>
            </w:pPr>
            <w:r>
              <w:rPr>
                <w:rFonts w:ascii="Arial" w:cs="Arial" w:eastAsia="Arial" w:hAnsi="Arial"/>
                <w:sz w:val="18"/>
                <w:szCs w:val="18"/>
                <w:color w:val="auto"/>
                <w:w w:val="99"/>
              </w:rPr>
              <w:t>with a further copy (with respect</w:t>
            </w:r>
          </w:p>
        </w:tc>
        <w:tc>
          <w:tcPr>
            <w:tcW w:w="6500" w:type="dxa"/>
            <w:vAlign w:val="bottom"/>
            <w:gridSpan w:val="34"/>
          </w:tcPr>
          <w:p>
            <w:pPr>
              <w:spacing w:after="0"/>
              <w:rPr>
                <w:sz w:val="20"/>
                <w:szCs w:val="20"/>
                <w:color w:val="auto"/>
              </w:rPr>
            </w:pPr>
            <w:r>
              <w:rPr>
                <w:rFonts w:ascii="Arial" w:cs="Arial" w:eastAsia="Arial" w:hAnsi="Arial"/>
                <w:sz w:val="18"/>
                <w:szCs w:val="18"/>
                <w:color w:val="auto"/>
              </w:rPr>
              <w:t>J.P. Morgan Europe Limited</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w w:val="97"/>
              </w:rPr>
              <w:t>to any notices in connection with</w:t>
            </w:r>
          </w:p>
        </w:tc>
        <w:tc>
          <w:tcPr>
            <w:tcW w:w="6500" w:type="dxa"/>
            <w:vAlign w:val="bottom"/>
            <w:gridSpan w:val="34"/>
          </w:tcPr>
          <w:p>
            <w:pPr>
              <w:spacing w:after="0"/>
              <w:rPr>
                <w:sz w:val="20"/>
                <w:szCs w:val="20"/>
                <w:color w:val="auto"/>
              </w:rPr>
            </w:pPr>
            <w:r>
              <w:rPr>
                <w:rFonts w:ascii="Arial" w:cs="Arial" w:eastAsia="Arial" w:hAnsi="Arial"/>
                <w:sz w:val="18"/>
                <w:szCs w:val="18"/>
                <w:color w:val="auto"/>
              </w:rPr>
              <w:t>Loans Agency 6</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the Multicurrency Facility) to:</w:t>
            </w:r>
          </w:p>
        </w:tc>
        <w:tc>
          <w:tcPr>
            <w:tcW w:w="6500" w:type="dxa"/>
            <w:vAlign w:val="bottom"/>
            <w:gridSpan w:val="34"/>
          </w:tcPr>
          <w:p>
            <w:pPr>
              <w:spacing w:after="0"/>
              <w:rPr>
                <w:sz w:val="20"/>
                <w:szCs w:val="20"/>
                <w:color w:val="auto"/>
              </w:rPr>
            </w:pPr>
            <w:r>
              <w:rPr>
                <w:rFonts w:ascii="Arial" w:cs="Arial" w:eastAsia="Arial" w:hAnsi="Arial"/>
                <w:sz w:val="18"/>
                <w:szCs w:val="18"/>
                <w:color w:val="auto"/>
              </w:rPr>
              <w:t>25 Bank Street, Canary Wharf</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London E14 5JP</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Attention: Loans Agency</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Facsimile: +44 20 7777 2360</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6500" w:type="dxa"/>
            <w:vAlign w:val="bottom"/>
            <w:gridSpan w:val="34"/>
          </w:tcPr>
          <w:p>
            <w:pPr>
              <w:spacing w:after="0" w:line="189" w:lineRule="exact"/>
              <w:rPr>
                <w:sz w:val="20"/>
                <w:szCs w:val="20"/>
                <w:color w:val="auto"/>
              </w:rPr>
            </w:pPr>
            <w:r>
              <w:rPr>
                <w:rFonts w:ascii="Arial" w:cs="Arial" w:eastAsia="Arial" w:hAnsi="Arial"/>
                <w:sz w:val="18"/>
                <w:szCs w:val="18"/>
                <w:color w:val="auto"/>
              </w:rPr>
              <w:t>Email: loan_and_agency_london@jpmorgan.com</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20" w:type="dxa"/>
            <w:vAlign w:val="bottom"/>
            <w:gridSpan w:val="14"/>
            <w:shd w:val="clear" w:color="auto" w:fill="000000"/>
          </w:tcPr>
          <w:p>
            <w:pPr>
              <w:spacing w:after="0" w:line="20" w:lineRule="exact"/>
              <w:rPr>
                <w:sz w:val="1"/>
                <w:szCs w:val="1"/>
                <w:color w:val="auto"/>
              </w:rPr>
            </w:pPr>
          </w:p>
        </w:tc>
        <w:tc>
          <w:tcPr>
            <w:tcW w:w="1300" w:type="dxa"/>
            <w:vAlign w:val="bottom"/>
            <w:gridSpan w:val="11"/>
            <w:shd w:val="clear" w:color="auto" w:fill="000000"/>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540" w:type="dxa"/>
            <w:vAlign w:val="bottom"/>
          </w:tcPr>
          <w:p>
            <w:pPr>
              <w:spacing w:after="0"/>
              <w:rPr>
                <w:sz w:val="20"/>
                <w:szCs w:val="20"/>
                <w:color w:val="auto"/>
              </w:rPr>
            </w:pPr>
            <w:r>
              <w:rPr>
                <w:rFonts w:ascii="Arial" w:cs="Arial" w:eastAsia="Arial" w:hAnsi="Arial"/>
                <w:sz w:val="18"/>
                <w:szCs w:val="18"/>
                <w:color w:val="auto"/>
              </w:rPr>
              <w:t>Brazilian Administrative Agent:</w:t>
            </w:r>
          </w:p>
        </w:tc>
        <w:tc>
          <w:tcPr>
            <w:tcW w:w="6500" w:type="dxa"/>
            <w:vAlign w:val="bottom"/>
            <w:gridSpan w:val="34"/>
          </w:tcPr>
          <w:p>
            <w:pPr>
              <w:spacing w:after="0"/>
              <w:rPr>
                <w:sz w:val="20"/>
                <w:szCs w:val="20"/>
                <w:color w:val="auto"/>
              </w:rPr>
            </w:pPr>
            <w:r>
              <w:rPr>
                <w:rFonts w:ascii="Arial" w:cs="Arial" w:eastAsia="Arial" w:hAnsi="Arial"/>
                <w:sz w:val="18"/>
                <w:szCs w:val="18"/>
                <w:color w:val="auto"/>
              </w:rPr>
              <w:t>Banco do Brasil S.A.</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w w:val="97"/>
              </w:rPr>
              <w:t>Avenida Paulista, 2300, 2º Andar, 2659-Large Corporate Automotivo e Transportes</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Bela Vista</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CEP 01310-300</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Sao Paulo—SP</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Attention: Leonardo Tadeu Biondo Silva – Global Officer</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E-mail: leonardo.silva@bb.com.br</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6500" w:type="dxa"/>
            <w:vAlign w:val="bottom"/>
            <w:gridSpan w:val="34"/>
          </w:tcPr>
          <w:p>
            <w:pPr>
              <w:spacing w:after="0"/>
              <w:rPr>
                <w:sz w:val="20"/>
                <w:szCs w:val="20"/>
                <w:color w:val="auto"/>
              </w:rPr>
            </w:pPr>
            <w:r>
              <w:rPr>
                <w:rFonts w:ascii="Arial" w:cs="Arial" w:eastAsia="Arial" w:hAnsi="Arial"/>
                <w:sz w:val="18"/>
                <w:szCs w:val="18"/>
                <w:color w:val="auto"/>
              </w:rPr>
              <w:t>Phone: +55 11 2128-7103</w:t>
            </w:r>
          </w:p>
        </w:tc>
        <w:tc>
          <w:tcPr>
            <w:tcW w:w="0" w:type="dxa"/>
            <w:vAlign w:val="bottom"/>
          </w:tcPr>
          <w:p>
            <w:pPr>
              <w:spacing w:after="0"/>
              <w:rPr>
                <w:sz w:val="1"/>
                <w:szCs w:val="1"/>
                <w:color w:val="auto"/>
              </w:rPr>
            </w:pPr>
          </w:p>
        </w:tc>
      </w:tr>
      <w:tr>
        <w:trPr>
          <w:trHeight w:val="364"/>
        </w:trPr>
        <w:tc>
          <w:tcPr>
            <w:tcW w:w="2540" w:type="dxa"/>
            <w:vAlign w:val="bottom"/>
          </w:tcPr>
          <w:p>
            <w:pPr>
              <w:spacing w:after="0"/>
              <w:rPr>
                <w:sz w:val="24"/>
                <w:szCs w:val="24"/>
                <w:color w:val="auto"/>
              </w:rPr>
            </w:pPr>
          </w:p>
        </w:tc>
        <w:tc>
          <w:tcPr>
            <w:tcW w:w="3400" w:type="dxa"/>
            <w:vAlign w:val="bottom"/>
            <w:gridSpan w:val="30"/>
          </w:tcPr>
          <w:p>
            <w:pPr>
              <w:ind w:left="28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-5259070</wp:posOffset>
            </wp:positionV>
            <wp:extent cx="11684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ectPr>
          <w:pgSz w:w="11900" w:h="16838" w:orient="portrait"/>
          <w:cols w:equalWidth="0" w:num="1">
            <w:col w:w="10019"/>
          </w:cols>
          <w:pgMar w:left="440" w:top="273" w:right="1440" w:bottom="1440" w:gutter="0" w:footer="0" w:header="0"/>
          <w:type w:val="continuous"/>
        </w:sectPr>
      </w:pPr>
    </w:p>
    <w:bookmarkStart w:id="592" w:name="page593"/>
    <w:bookmarkEnd w:id="592"/>
    <w:p>
      <w:pPr>
        <w:ind w:right="840"/>
        <w:spacing w:after="0" w:line="27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that any notice, request or demand to or upon the Administrative Agent, Brazilian Administrative Agent or the Lenders pursuant to Section 2.2, 2.4, 2.5, 2.6, 2.7, 2.9, 2.10, or 2.12 shall not be effective until received.</w:t>
      </w:r>
    </w:p>
    <w:p>
      <w:pPr>
        <w:spacing w:after="0" w:line="63" w:lineRule="exact"/>
        <w:rPr>
          <w:sz w:val="20"/>
          <w:szCs w:val="20"/>
          <w:color w:val="auto"/>
        </w:rPr>
      </w:pPr>
    </w:p>
    <w:p>
      <w:pPr>
        <w:jc w:val="both"/>
        <w:ind w:right="80" w:firstLine="998"/>
        <w:spacing w:after="0" w:line="258" w:lineRule="auto"/>
        <w:tabs>
          <w:tab w:leader="none" w:pos="1243" w:val="left"/>
        </w:tabs>
        <w:numPr>
          <w:ilvl w:val="0"/>
          <w:numId w:val="530"/>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 or a substantially similar electronic platform chosen by the Administrative Agent or the Brazilian Administrative Agent, as applicable,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100" w:firstLine="998"/>
        <w:spacing w:after="0" w:line="289" w:lineRule="auto"/>
        <w:tabs>
          <w:tab w:leader="none" w:pos="1223" w:val="left"/>
        </w:tabs>
        <w:numPr>
          <w:ilvl w:val="0"/>
          <w:numId w:val="530"/>
        </w:numPr>
        <w:rPr>
          <w:rFonts w:ascii="Arial" w:cs="Arial" w:eastAsia="Arial" w:hAnsi="Arial"/>
          <w:sz w:val="16"/>
          <w:szCs w:val="16"/>
          <w:color w:val="auto"/>
        </w:rPr>
      </w:pPr>
      <w:r>
        <w:rPr>
          <w:rFonts w:ascii="Arial" w:cs="Arial" w:eastAsia="Arial" w:hAnsi="Arial"/>
          <w:sz w:val="16"/>
          <w:szCs w:val="16"/>
          <w:color w:val="auto"/>
        </w:rPr>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59" w:lineRule="exact"/>
        <w:rPr>
          <w:rFonts w:ascii="Arial" w:cs="Arial" w:eastAsia="Arial" w:hAnsi="Arial"/>
          <w:sz w:val="16"/>
          <w:szCs w:val="16"/>
          <w:color w:val="auto"/>
        </w:rPr>
      </w:pPr>
    </w:p>
    <w:p>
      <w:pPr>
        <w:ind w:firstLine="998"/>
        <w:spacing w:after="0" w:line="253" w:lineRule="auto"/>
        <w:tabs>
          <w:tab w:leader="none" w:pos="1243"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 ADMINISTRATIVE AGENT IN CONNECTION WITH THE COMMUNICATIONS OR THE APPROVED ELECTRONIC PLATFORM.</w:t>
      </w:r>
    </w:p>
    <w:p>
      <w:pPr>
        <w:spacing w:after="0" w:line="83" w:lineRule="exact"/>
        <w:rPr>
          <w:rFonts w:ascii="Arial" w:cs="Arial" w:eastAsia="Arial" w:hAnsi="Arial"/>
          <w:sz w:val="18"/>
          <w:szCs w:val="18"/>
          <w:color w:val="auto"/>
        </w:rPr>
      </w:pPr>
    </w:p>
    <w:p>
      <w:pPr>
        <w:ind w:right="340" w:firstLine="998"/>
        <w:spacing w:after="0" w:line="311" w:lineRule="auto"/>
        <w:tabs>
          <w:tab w:leader="none" w:pos="1233" w:val="left"/>
        </w:tabs>
        <w:numPr>
          <w:ilvl w:val="0"/>
          <w:numId w:val="530"/>
        </w:numPr>
        <w:rPr>
          <w:rFonts w:ascii="Arial" w:cs="Arial" w:eastAsia="Arial" w:hAnsi="Arial"/>
          <w:sz w:val="16"/>
          <w:szCs w:val="16"/>
          <w:color w:val="auto"/>
        </w:rPr>
      </w:pPr>
      <w:r>
        <w:rPr>
          <w:rFonts w:ascii="Arial" w:cs="Arial" w:eastAsia="Arial" w:hAnsi="Arial"/>
          <w:sz w:val="16"/>
          <w:szCs w:val="16"/>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39" w:lineRule="exact"/>
        <w:rPr>
          <w:sz w:val="20"/>
          <w:szCs w:val="20"/>
          <w:color w:val="auto"/>
        </w:rPr>
      </w:pPr>
    </w:p>
    <w:p>
      <w:pPr>
        <w:ind w:right="220" w:firstLine="989"/>
        <w:spacing w:after="0" w:line="275" w:lineRule="auto"/>
        <w:rPr>
          <w:sz w:val="20"/>
          <w:szCs w:val="20"/>
          <w:color w:val="auto"/>
        </w:rPr>
      </w:pPr>
      <w:r>
        <w:rPr>
          <w:rFonts w:ascii="Arial" w:cs="Arial" w:eastAsia="Arial" w:hAnsi="Arial"/>
          <w:sz w:val="17"/>
          <w:szCs w:val="17"/>
          <w:color w:val="auto"/>
        </w:rPr>
        <w:t>10.3 No Waiver; Cumulative Remedies. No failure to exercise and no delay in exercising, on the part of any Agent or any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3" w:right="479" w:bottom="1440" w:gutter="0" w:footer="0" w:header="0"/>
        </w:sectPr>
      </w:pPr>
    </w:p>
    <w:bookmarkStart w:id="593" w:name="page594"/>
    <w:bookmarkEnd w:id="593"/>
    <w:p>
      <w:pPr>
        <w:ind w:right="100" w:firstLine="98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7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FF"/>
        </w:rPr>
        <w:t>10.5 Payment of Expenses; Limitation of Liability;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22860</wp:posOffset>
            </wp:positionV>
            <wp:extent cx="283083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96" w:lineRule="exact"/>
        <w:rPr>
          <w:sz w:val="20"/>
          <w:szCs w:val="20"/>
          <w:color w:val="auto"/>
        </w:rPr>
      </w:pPr>
    </w:p>
    <w:p>
      <w:pPr>
        <w:ind w:firstLine="989"/>
        <w:spacing w:after="0" w:line="266" w:lineRule="auto"/>
        <w:rPr>
          <w:sz w:val="20"/>
          <w:szCs w:val="20"/>
          <w:color w:val="auto"/>
        </w:rPr>
      </w:pPr>
      <w:r>
        <w:rPr>
          <w:rFonts w:ascii="Arial" w:cs="Arial" w:eastAsia="Arial" w:hAnsi="Arial"/>
          <w:sz w:val="17"/>
          <w:szCs w:val="17"/>
          <w:color w:val="FF0000"/>
          <w:strike w:val="1"/>
        </w:rPr>
        <w:t>10.5</w:t>
      </w:r>
      <w:r>
        <w:rPr>
          <w:rFonts w:ascii="Arial" w:cs="Arial" w:eastAsia="Arial" w:hAnsi="Arial"/>
          <w:sz w:val="17"/>
          <w:szCs w:val="17"/>
          <w:u w:val="single" w:color="auto"/>
          <w:color w:val="0000FF"/>
        </w:rPr>
        <w:t>(a)</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Payment of Expenses</w:t>
      </w:r>
      <w:r>
        <w:rPr>
          <w:rFonts w:ascii="Arial" w:cs="Arial" w:eastAsia="Arial" w:hAnsi="Arial"/>
          <w:sz w:val="17"/>
          <w:szCs w:val="17"/>
          <w:color w:val="000000"/>
        </w:rPr>
        <w:t>. The Company agrees (a) to pay or reimburse the Administrative Agent, the Brazilian Administrative Agent</w:t>
      </w:r>
      <w:r>
        <w:rPr>
          <w:rFonts w:ascii="Arial" w:cs="Arial" w:eastAsia="Arial" w:hAnsi="Arial"/>
          <w:sz w:val="17"/>
          <w:szCs w:val="17"/>
          <w:color w:val="FF0000"/>
        </w:rPr>
        <w:t xml:space="preserve"> </w:t>
      </w:r>
      <w:r>
        <w:rPr>
          <w:rFonts w:ascii="Arial" w:cs="Arial" w:eastAsia="Arial" w:hAnsi="Arial"/>
          <w:sz w:val="17"/>
          <w:szCs w:val="17"/>
          <w:color w:val="000000"/>
        </w:rPr>
        <w:t>and the Arrangers for all their 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color w:val="0000FF"/>
        </w:rPr>
        <w:t>and</w:t>
      </w:r>
      <w:r>
        <w:rPr>
          <w:rFonts w:ascii="Arial" w:cs="Arial" w:eastAsia="Arial" w:hAnsi="Arial"/>
          <w:sz w:val="17"/>
          <w:szCs w:val="17"/>
          <w:color w:val="000000"/>
        </w:rPr>
        <w:t xml:space="preserve">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w:t>
      </w:r>
      <w:r>
        <w:rPr>
          <w:rFonts w:ascii="Arial" w:cs="Arial" w:eastAsia="Arial" w:hAnsi="Arial"/>
          <w:sz w:val="17"/>
          <w:szCs w:val="17"/>
          <w:color w:val="FF0000"/>
          <w:strike w:val="1"/>
        </w:rPr>
        <w:t>, and (d) to</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-2458720</wp:posOffset>
            </wp:positionV>
            <wp:extent cx="12827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-714375</wp:posOffset>
            </wp:positionV>
            <wp:extent cx="19304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93040" cy="8255"/>
                    </a:xfrm>
                    <a:prstGeom prst="rect">
                      <a:avLst/>
                    </a:prstGeom>
                    <a:noFill/>
                  </pic:spPr>
                </pic:pic>
              </a:graphicData>
            </a:graphic>
          </wp:anchor>
        </w:drawing>
      </w:r>
    </w:p>
    <w:p>
      <w:pPr>
        <w:spacing w:after="0" w:line="66" w:lineRule="exact"/>
        <w:rPr>
          <w:sz w:val="20"/>
          <w:szCs w:val="20"/>
          <w:color w:val="auto"/>
        </w:rPr>
      </w:pPr>
    </w:p>
    <w:p>
      <w:pPr>
        <w:ind w:right="40" w:firstLine="998"/>
        <w:spacing w:after="0" w:line="273" w:lineRule="auto"/>
        <w:tabs>
          <w:tab w:leader="none" w:pos="1243" w:val="left"/>
        </w:tabs>
        <w:numPr>
          <w:ilvl w:val="0"/>
          <w:numId w:val="53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Limitation of Liability. To the extent permitted by applicable law, no party hereto shall assert, and each such party hereby waives, any Liability against any other party hereto, on any theory of liability,</w:t>
      </w:r>
      <w:r>
        <w:rPr>
          <w:rFonts w:ascii="Arial" w:cs="Arial" w:eastAsia="Arial" w:hAnsi="Arial"/>
          <w:sz w:val="17"/>
          <w:szCs w:val="17"/>
          <w:color w:val="0000FF"/>
        </w:rPr>
        <w:t xml:space="preserve"> </w:t>
      </w:r>
      <w:r>
        <w:rPr>
          <w:rFonts w:ascii="Arial" w:cs="Arial" w:eastAsia="Arial" w:hAnsi="Arial"/>
          <w:sz w:val="17"/>
          <w:szCs w:val="17"/>
          <w:color w:val="008000"/>
        </w:rPr>
        <w:t>for any special, indirect, consequential or punitive damages (including any loss of</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 xml:space="preserve">profits, business or anticipated savings) </w:t>
      </w:r>
      <w:r>
        <w:rPr>
          <w:rFonts w:ascii="Arial" w:cs="Arial" w:eastAsia="Arial" w:hAnsi="Arial"/>
          <w:sz w:val="17"/>
          <w:szCs w:val="17"/>
          <w:u w:val="single" w:color="auto"/>
          <w:color w:val="0000FF"/>
        </w:rPr>
        <w:t>arising out of, in connection with, or as a result of this Agreement or the use or the proposed use of proceeds</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 xml:space="preserve">thereof, the other Loan Documents and the Brazilian Intercreditor Agreement; provided, that this Section 10.5(b) </w:t>
      </w:r>
      <w:r>
        <w:rPr>
          <w:rFonts w:ascii="Arial" w:cs="Arial" w:eastAsia="Arial" w:hAnsi="Arial"/>
          <w:sz w:val="17"/>
          <w:szCs w:val="17"/>
          <w:u w:val="single" w:color="auto"/>
          <w:color w:val="008000"/>
        </w:rPr>
        <w:t>shall not limit the Loan Parties’</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66" w:lineRule="exact"/>
        <w:rPr>
          <w:rFonts w:ascii="Arial" w:cs="Arial" w:eastAsia="Arial" w:hAnsi="Arial"/>
          <w:sz w:val="17"/>
          <w:szCs w:val="17"/>
          <w:u w:val="single" w:color="auto"/>
          <w:color w:val="0000FF"/>
        </w:rPr>
      </w:pPr>
    </w:p>
    <w:p>
      <w:pPr>
        <w:ind w:right="60" w:firstLine="998"/>
        <w:spacing w:after="0" w:line="296" w:lineRule="auto"/>
        <w:tabs>
          <w:tab w:leader="none" w:pos="1233" w:val="left"/>
        </w:tabs>
        <w:numPr>
          <w:ilvl w:val="0"/>
          <w:numId w:val="53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Indemnity. The Company shall</w:t>
      </w:r>
      <w:r>
        <w:rPr>
          <w:rFonts w:ascii="Arial" w:cs="Arial" w:eastAsia="Arial" w:hAnsi="Arial"/>
          <w:sz w:val="16"/>
          <w:szCs w:val="16"/>
          <w:color w:val="0000FF"/>
        </w:rPr>
        <w:t xml:space="preserve"> </w:t>
      </w:r>
      <w:r>
        <w:rPr>
          <w:rFonts w:ascii="Arial" w:cs="Arial" w:eastAsia="Arial" w:hAnsi="Arial"/>
          <w:sz w:val="16"/>
          <w:szCs w:val="16"/>
          <w:color w:val="000000"/>
        </w:rPr>
        <w:t>pay, indemnify or reimburse each Lender, each Issuing Lender, the Brazilian Administrative Agent, the</w:t>
      </w:r>
      <w:r>
        <w:rPr>
          <w:rFonts w:ascii="Arial" w:cs="Arial" w:eastAsia="Arial" w:hAnsi="Arial"/>
          <w:sz w:val="16"/>
          <w:szCs w:val="16"/>
          <w:color w:val="0000FF"/>
        </w:rPr>
        <w:t xml:space="preserve"> </w:t>
      </w:r>
      <w:r>
        <w:rPr>
          <w:rFonts w:ascii="Arial" w:cs="Arial" w:eastAsia="Arial" w:hAnsi="Arial"/>
          <w:sz w:val="16"/>
          <w:szCs w:val="16"/>
          <w:color w:val="000000"/>
        </w:rPr>
        <w:t>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000000"/>
        </w:rPr>
        <w:t>Indemnitee</w:t>
      </w:r>
      <w:r>
        <w:rPr>
          <w:rFonts w:ascii="Arial" w:cs="Arial" w:eastAsia="Arial" w:hAnsi="Arial"/>
          <w:sz w:val="16"/>
          <w:szCs w:val="16"/>
          <w:color w:val="000000"/>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2.19 or with respect to the costs, losses or expenses which are of the type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-1454785</wp:posOffset>
            </wp:positionV>
            <wp:extent cx="626872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62687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-1317625</wp:posOffset>
            </wp:positionV>
            <wp:extent cx="674751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674751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-1351915</wp:posOffset>
            </wp:positionV>
            <wp:extent cx="376047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37604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-1181100</wp:posOffset>
            </wp:positionV>
            <wp:extent cx="677354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67735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-1043940</wp:posOffset>
            </wp:positionV>
            <wp:extent cx="661924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66192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-907415</wp:posOffset>
            </wp:positionV>
            <wp:extent cx="693610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-770890</wp:posOffset>
            </wp:positionV>
            <wp:extent cx="438721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4387215" cy="82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-565150</wp:posOffset>
            </wp:positionV>
            <wp:extent cx="157353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0"/>
          </w:cols>
          <w:pgMar w:left="440" w:top="274" w:right="479" w:bottom="1440" w:gutter="0" w:footer="0" w:header="0"/>
        </w:sectPr>
      </w:pPr>
    </w:p>
    <w:bookmarkStart w:id="594" w:name="page595"/>
    <w:bookmarkEnd w:id="594"/>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Section 2.18 or Section 2.20) in respect of the financing contemplated by this Agreement or the use or the proposed use of proceeds thereof, the other Loan Documents and the Brazilian Intercreditor Agreement (all the foregoing </w:t>
      </w:r>
      <w:r>
        <w:rPr>
          <w:rFonts w:ascii="Arial" w:cs="Arial" w:eastAsia="Arial" w:hAnsi="Arial"/>
          <w:sz w:val="17"/>
          <w:szCs w:val="17"/>
          <w:color w:val="FF0000"/>
        </w:rPr>
        <w:t>in this clause (d)</w:t>
      </w:r>
      <w:r>
        <w:rPr>
          <w:rFonts w:ascii="Arial" w:cs="Arial" w:eastAsia="Arial" w:hAnsi="Arial"/>
          <w:sz w:val="17"/>
          <w:szCs w:val="17"/>
          <w:color w:val="auto"/>
        </w:rPr>
        <w:t>, collectively,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t>
      </w:r>
      <w:r>
        <w:rPr>
          <w:rFonts w:ascii="Arial" w:cs="Arial" w:eastAsia="Arial" w:hAnsi="Arial"/>
          <w:sz w:val="17"/>
          <w:szCs w:val="17"/>
          <w:color w:val="008000"/>
          <w:strike w:val="1"/>
        </w:rPr>
        <w:t>Without limiting the foregoing,</w:t>
      </w:r>
      <w:r>
        <w:rPr>
          <w:rFonts w:ascii="Arial" w:cs="Arial" w:eastAsia="Arial" w:hAnsi="Arial"/>
          <w:sz w:val="17"/>
          <w:szCs w:val="17"/>
          <w:color w:val="auto"/>
        </w:rPr>
        <w:t xml:space="preserve"> </w:t>
      </w:r>
      <w:r>
        <w:rPr>
          <w:rFonts w:ascii="Arial" w:cs="Arial" w:eastAsia="Arial" w:hAnsi="Arial"/>
          <w:sz w:val="17"/>
          <w:szCs w:val="17"/>
          <w:color w:val="008000"/>
          <w:strike w:val="1"/>
        </w:rPr>
        <w:t>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-1994535</wp:posOffset>
            </wp:positionV>
            <wp:extent cx="78486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56" w:lineRule="exact"/>
        <w:rPr>
          <w:sz w:val="20"/>
          <w:szCs w:val="20"/>
          <w:color w:val="auto"/>
        </w:rPr>
      </w:pPr>
    </w:p>
    <w:p>
      <w:pPr>
        <w:ind w:right="40" w:firstLine="998"/>
        <w:spacing w:after="0" w:line="285" w:lineRule="auto"/>
        <w:tabs>
          <w:tab w:leader="none" w:pos="1243" w:val="left"/>
        </w:tabs>
        <w:numPr>
          <w:ilvl w:val="0"/>
          <w:numId w:val="532"/>
        </w:numPr>
        <w:rPr>
          <w:rFonts w:ascii="Arial" w:cs="Arial" w:eastAsia="Arial" w:hAnsi="Arial"/>
          <w:sz w:val="16"/>
          <w:szCs w:val="16"/>
          <w:u w:val="single" w:color="auto"/>
          <w:color w:val="0000FF"/>
        </w:rPr>
      </w:pPr>
      <w:r>
        <w:rPr>
          <w:rFonts w:ascii="Arial" w:cs="Arial" w:eastAsia="Arial" w:hAnsi="Arial"/>
          <w:sz w:val="16"/>
          <w:szCs w:val="16"/>
          <w:color w:val="auto"/>
        </w:rPr>
        <w:t xml:space="preserve">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w:t>
      </w:r>
      <w:r>
        <w:rPr>
          <w:rFonts w:ascii="Arial" w:cs="Arial" w:eastAsia="Arial" w:hAnsi="Arial"/>
          <w:sz w:val="16"/>
          <w:szCs w:val="16"/>
          <w:color w:val="008000"/>
          <w:strike w:val="1"/>
        </w:rPr>
        <w:t>The agreements in this Section 10.5</w:t>
      </w:r>
      <w:r>
        <w:rPr>
          <w:rFonts w:ascii="Arial" w:cs="Arial" w:eastAsia="Arial" w:hAnsi="Arial"/>
          <w:sz w:val="16"/>
          <w:szCs w:val="16"/>
          <w:color w:val="auto"/>
        </w:rPr>
        <w:t xml:space="preserve"> </w:t>
      </w:r>
      <w:r>
        <w:rPr>
          <w:rFonts w:ascii="Arial" w:cs="Arial" w:eastAsia="Arial" w:hAnsi="Arial"/>
          <w:sz w:val="16"/>
          <w:szCs w:val="16"/>
          <w:color w:val="008000"/>
          <w:strike w:val="1"/>
        </w:rPr>
        <w:t xml:space="preserve">shall survive the repayment of the Loans and all other amounts payable hereunder. </w:t>
      </w:r>
      <w:r>
        <w:rPr>
          <w:rFonts w:ascii="Arial" w:cs="Arial" w:eastAsia="Arial" w:hAnsi="Arial"/>
          <w:sz w:val="16"/>
          <w:szCs w:val="16"/>
          <w:color w:val="FF0000"/>
          <w:strike w:val="1"/>
        </w:rPr>
        <w:t>In no event shall any party hereto or any other Loan Party be liable</w:t>
      </w:r>
      <w:r>
        <w:rPr>
          <w:rFonts w:ascii="Arial" w:cs="Arial" w:eastAsia="Arial" w:hAnsi="Arial"/>
          <w:sz w:val="16"/>
          <w:szCs w:val="16"/>
          <w:color w:val="008000"/>
          <w:strike w:val="1"/>
        </w:rPr>
        <w:t xml:space="preserve"> for any special, indirect, consequential or punitive damages (including any loss of profits, business or anticipated savings)</w:t>
      </w:r>
      <w:r>
        <w:rPr>
          <w:rFonts w:ascii="Arial" w:cs="Arial" w:eastAsia="Arial" w:hAnsi="Arial"/>
          <w:sz w:val="16"/>
          <w:szCs w:val="16"/>
          <w:color w:val="FF0000"/>
          <w:strike w:val="1"/>
        </w:rPr>
        <w:t>; provided, that this sentence</w:t>
      </w:r>
      <w:r>
        <w:rPr>
          <w:rFonts w:ascii="Arial" w:cs="Arial" w:eastAsia="Arial" w:hAnsi="Arial"/>
          <w:sz w:val="16"/>
          <w:szCs w:val="16"/>
          <w:color w:val="008000"/>
          <w:strike w:val="1"/>
        </w:rPr>
        <w:t xml:space="preserv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62" w:lineRule="exact"/>
        <w:rPr>
          <w:rFonts w:ascii="Arial" w:cs="Arial" w:eastAsia="Arial" w:hAnsi="Arial"/>
          <w:sz w:val="16"/>
          <w:szCs w:val="16"/>
          <w:u w:val="single" w:color="auto"/>
          <w:color w:val="0000FF"/>
        </w:rPr>
      </w:pPr>
    </w:p>
    <w:p>
      <w:pPr>
        <w:ind w:right="160" w:firstLine="998"/>
        <w:spacing w:after="0" w:line="258" w:lineRule="auto"/>
        <w:tabs>
          <w:tab w:leader="none" w:pos="1233" w:val="left"/>
        </w:tabs>
        <w:numPr>
          <w:ilvl w:val="0"/>
          <w:numId w:val="532"/>
        </w:numPr>
        <w:rPr>
          <w:rFonts w:ascii="Arial" w:cs="Arial" w:eastAsia="Arial" w:hAnsi="Arial"/>
          <w:sz w:val="18"/>
          <w:szCs w:val="18"/>
          <w:u w:val="single" w:color="auto"/>
          <w:color w:val="0000FF"/>
        </w:rPr>
      </w:pPr>
      <w:r>
        <w:rPr>
          <w:rFonts w:ascii="Arial" w:cs="Arial" w:eastAsia="Arial" w:hAnsi="Arial"/>
          <w:sz w:val="18"/>
          <w:szCs w:val="18"/>
          <w:u w:val="single" w:color="auto"/>
          <w:color w:val="008000"/>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-410210</wp:posOffset>
            </wp:positionV>
            <wp:extent cx="5977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59778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-273050</wp:posOffset>
            </wp:positionV>
            <wp:extent cx="686752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68675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59384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65938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327533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0"/>
          </w:cols>
          <w:pgMar w:left="440" w:top="273" w:right="479" w:bottom="1440" w:gutter="0" w:footer="0" w:header="0"/>
        </w:sectPr>
      </w:pPr>
    </w:p>
    <w:bookmarkStart w:id="595" w:name="page596"/>
    <w:bookmarkEnd w:id="595"/>
    <w:p>
      <w:pPr>
        <w:ind w:right="80"/>
        <w:spacing w:after="0" w:line="301" w:lineRule="auto"/>
        <w:rPr>
          <w:sz w:val="20"/>
          <w:szCs w:val="20"/>
          <w:color w:val="auto"/>
        </w:rPr>
      </w:pPr>
      <w:r>
        <w:rPr>
          <w:rFonts w:ascii="Arial" w:cs="Arial" w:eastAsia="Arial" w:hAnsi="Arial"/>
          <w:sz w:val="16"/>
          <w:szCs w:val="16"/>
          <w:u w:val="single" w:color="auto"/>
          <w:color w:val="008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93610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-294005</wp:posOffset>
            </wp:positionV>
            <wp:extent cx="693610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-157480</wp:posOffset>
            </wp:positionV>
            <wp:extent cx="662813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66281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86752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6867525" cy="8255"/>
                    </a:xfrm>
                    <a:prstGeom prst="rect">
                      <a:avLst/>
                    </a:prstGeom>
                    <a:noFill/>
                  </pic:spPr>
                </pic:pic>
              </a:graphicData>
            </a:graphic>
          </wp:anchor>
        </w:drawing>
      </w:r>
    </w:p>
    <w:p>
      <w:pPr>
        <w:spacing w:after="0" w:line="27" w:lineRule="exact"/>
        <w:rPr>
          <w:sz w:val="20"/>
          <w:szCs w:val="20"/>
          <w:color w:val="auto"/>
        </w:rPr>
      </w:pPr>
    </w:p>
    <w:p>
      <w:pPr>
        <w:ind w:right="60" w:firstLine="989"/>
        <w:spacing w:after="0" w:line="255" w:lineRule="auto"/>
        <w:rPr>
          <w:sz w:val="20"/>
          <w:szCs w:val="20"/>
          <w:color w:val="auto"/>
        </w:rPr>
      </w:pPr>
      <w:r>
        <w:rPr>
          <w:rFonts w:ascii="Arial" w:cs="Arial" w:eastAsia="Arial" w:hAnsi="Arial"/>
          <w:sz w:val="18"/>
          <w:szCs w:val="18"/>
          <w:color w:val="auto"/>
        </w:rPr>
        <w:t>10.6 Successors and Assigns; Participations and Assignments.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81" w:lineRule="exact"/>
        <w:rPr>
          <w:sz w:val="20"/>
          <w:szCs w:val="20"/>
          <w:color w:val="auto"/>
        </w:rPr>
      </w:pPr>
    </w:p>
    <w:p>
      <w:pPr>
        <w:ind w:right="120" w:firstLine="998"/>
        <w:spacing w:after="0" w:line="258" w:lineRule="auto"/>
        <w:tabs>
          <w:tab w:leader="none" w:pos="12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9" w:lineRule="exact"/>
        <w:rPr>
          <w:rFonts w:ascii="Arial" w:cs="Arial" w:eastAsia="Arial" w:hAnsi="Arial"/>
          <w:sz w:val="18"/>
          <w:szCs w:val="18"/>
          <w:color w:val="auto"/>
        </w:rPr>
      </w:pPr>
    </w:p>
    <w:p>
      <w:pPr>
        <w:jc w:val="both"/>
        <w:ind w:left="1440" w:firstLine="380"/>
        <w:spacing w:after="0" w:line="263" w:lineRule="auto"/>
        <w:tabs>
          <w:tab w:leader="none" w:pos="2077"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73" w:lineRule="exact"/>
        <w:rPr>
          <w:rFonts w:ascii="Arial" w:cs="Arial" w:eastAsia="Arial" w:hAnsi="Arial"/>
          <w:sz w:val="18"/>
          <w:szCs w:val="18"/>
          <w:color w:val="auto"/>
        </w:rPr>
      </w:pPr>
    </w:p>
    <w:p>
      <w:pPr>
        <w:ind w:left="2080" w:hanging="260"/>
        <w:spacing w:after="0"/>
        <w:tabs>
          <w:tab w:leader="none" w:pos="20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6" w:lineRule="exact"/>
        <w:rPr>
          <w:rFonts w:ascii="Arial" w:cs="Arial" w:eastAsia="Arial" w:hAnsi="Arial"/>
          <w:sz w:val="18"/>
          <w:szCs w:val="18"/>
          <w:color w:val="auto"/>
        </w:rPr>
      </w:pPr>
    </w:p>
    <w:p>
      <w:pPr>
        <w:ind w:left="1440" w:right="320" w:firstLine="380"/>
        <w:spacing w:after="0" w:line="341" w:lineRule="auto"/>
        <w:tabs>
          <w:tab w:leader="none" w:pos="2077" w:val="left"/>
        </w:tabs>
        <w:numPr>
          <w:ilvl w:val="1"/>
          <w:numId w:val="533"/>
        </w:numPr>
        <w:rPr>
          <w:rFonts w:ascii="Arial" w:cs="Arial" w:eastAsia="Arial" w:hAnsi="Arial"/>
          <w:sz w:val="16"/>
          <w:szCs w:val="16"/>
          <w:color w:val="auto"/>
        </w:rPr>
      </w:pPr>
      <w:r>
        <w:rPr>
          <w:rFonts w:ascii="Arial" w:cs="Arial" w:eastAsia="Arial" w:hAnsi="Arial"/>
          <w:sz w:val="16"/>
          <w:szCs w:val="16"/>
          <w:color w:val="auto"/>
        </w:rPr>
        <w:t>in the case of any assignment of any rights or interest under the Domestic Facility, each Material Issuing Lender at such time (unless such assignment is to a Lender who has an investment grade rating from two of S&amp;P, Moody’s and Fitch); and</w:t>
      </w:r>
    </w:p>
    <w:p>
      <w:pPr>
        <w:spacing w:after="0" w:line="15" w:lineRule="exact"/>
        <w:rPr>
          <w:rFonts w:ascii="Arial" w:cs="Arial" w:eastAsia="Arial" w:hAnsi="Arial"/>
          <w:sz w:val="16"/>
          <w:szCs w:val="16"/>
          <w:color w:val="auto"/>
        </w:rPr>
      </w:pPr>
    </w:p>
    <w:p>
      <w:pPr>
        <w:ind w:left="2080" w:hanging="260"/>
        <w:spacing w:after="0"/>
        <w:tabs>
          <w:tab w:leader="none" w:pos="20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w:t>
      </w:r>
    </w:p>
    <w:p>
      <w:pPr>
        <w:spacing w:after="0" w:line="46" w:lineRule="exact"/>
        <w:rPr>
          <w:sz w:val="20"/>
          <w:szCs w:val="20"/>
          <w:color w:val="auto"/>
        </w:rPr>
      </w:pPr>
    </w:p>
    <w:p>
      <w:pPr>
        <w:ind w:left="1000" w:right="80" w:hanging="2"/>
        <w:spacing w:after="0" w:line="254" w:lineRule="auto"/>
        <w:tabs>
          <w:tab w:leader="none" w:pos="125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no consents provided for in clause (3) above shall be required for an assignment to a Domestic Lender or an affiliate thereof and (z) no consent of the Company provided for in clause (1) above shall be required if an Event of Default under Section 8(a) or (e) has occurred and is continuing.</w:t>
      </w:r>
    </w:p>
    <w:p>
      <w:pPr>
        <w:spacing w:after="0" w:line="190" w:lineRule="exact"/>
        <w:rPr>
          <w:sz w:val="20"/>
          <w:szCs w:val="20"/>
          <w:color w:val="auto"/>
        </w:rPr>
      </w:pPr>
    </w:p>
    <w:p>
      <w:pPr>
        <w:ind w:right="40" w:firstLine="989"/>
        <w:spacing w:after="0" w:line="263"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4" w:lineRule="exact"/>
        <w:rPr>
          <w:sz w:val="20"/>
          <w:szCs w:val="20"/>
          <w:color w:val="auto"/>
        </w:rPr>
      </w:pPr>
    </w:p>
    <w:p>
      <w:pPr>
        <w:ind w:left="5380" w:right="4420" w:hanging="3942"/>
        <w:spacing w:after="0" w:line="488" w:lineRule="auto"/>
        <w:tabs>
          <w:tab w:leader="none" w:pos="1709" w:val="left"/>
        </w:tabs>
        <w:numPr>
          <w:ilvl w:val="0"/>
          <w:numId w:val="535"/>
        </w:numPr>
        <w:rPr>
          <w:rFonts w:ascii="Arial" w:cs="Arial" w:eastAsia="Arial" w:hAnsi="Arial"/>
          <w:sz w:val="17"/>
          <w:szCs w:val="17"/>
          <w:color w:val="auto"/>
        </w:rPr>
      </w:pPr>
      <w:r>
        <w:rPr>
          <w:rFonts w:ascii="Arial" w:cs="Arial" w:eastAsia="Arial" w:hAnsi="Arial"/>
          <w:sz w:val="17"/>
          <w:szCs w:val="17"/>
          <w:color w:val="auto"/>
        </w:rPr>
        <w:t>Assignments shall be subject to the following additional conditions: 110</w:t>
      </w:r>
    </w:p>
    <w:p>
      <w:pPr>
        <w:sectPr>
          <w:pgSz w:w="11900" w:h="16838" w:orient="portrait"/>
          <w:cols w:equalWidth="0" w:num="1">
            <w:col w:w="11000"/>
          </w:cols>
          <w:pgMar w:left="440" w:top="273" w:right="459" w:bottom="1440" w:gutter="0" w:footer="0" w:header="0"/>
        </w:sectPr>
      </w:pPr>
    </w:p>
    <w:bookmarkStart w:id="596" w:name="page597"/>
    <w:bookmarkEnd w:id="596"/>
    <w:p>
      <w:pPr>
        <w:ind w:firstLine="398"/>
        <w:spacing w:after="0" w:line="293" w:lineRule="auto"/>
        <w:tabs>
          <w:tab w:leader="none" w:pos="694" w:val="left"/>
        </w:tabs>
        <w:numPr>
          <w:ilvl w:val="0"/>
          <w:numId w:val="5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53" w:lineRule="exact"/>
        <w:rPr>
          <w:rFonts w:ascii="Arial" w:cs="Arial" w:eastAsia="Arial" w:hAnsi="Arial"/>
          <w:sz w:val="16"/>
          <w:szCs w:val="16"/>
          <w:color w:val="auto"/>
        </w:rPr>
      </w:pPr>
    </w:p>
    <w:p>
      <w:pPr>
        <w:ind w:right="220" w:firstLine="398"/>
        <w:spacing w:after="0" w:line="256" w:lineRule="auto"/>
        <w:tabs>
          <w:tab w:leader="none" w:pos="684"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parties to each assignment (or, in the case of an assignment made pursuant to the exercise of the Company’s rights under Section 2.22,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2.22, by the assigning Lender, the Assignee, or the Company); and</w:t>
      </w:r>
    </w:p>
    <w:p>
      <w:pPr>
        <w:spacing w:after="0" w:line="81" w:lineRule="exact"/>
        <w:rPr>
          <w:rFonts w:ascii="Arial" w:cs="Arial" w:eastAsia="Arial" w:hAnsi="Arial"/>
          <w:sz w:val="18"/>
          <w:szCs w:val="18"/>
          <w:color w:val="auto"/>
        </w:rPr>
      </w:pPr>
    </w:p>
    <w:p>
      <w:pPr>
        <w:ind w:right="860" w:firstLine="398"/>
        <w:spacing w:after="0" w:line="276" w:lineRule="auto"/>
        <w:tabs>
          <w:tab w:leader="none" w:pos="684"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63" w:lineRule="exact"/>
        <w:rPr>
          <w:sz w:val="20"/>
          <w:szCs w:val="20"/>
          <w:color w:val="auto"/>
        </w:rPr>
      </w:pPr>
    </w:p>
    <w:p>
      <w:pPr>
        <w:ind w:right="20" w:firstLine="398"/>
        <w:spacing w:after="0" w:line="288" w:lineRule="auto"/>
        <w:tabs>
          <w:tab w:leader="none" w:pos="714" w:val="left"/>
        </w:tabs>
        <w:numPr>
          <w:ilvl w:val="0"/>
          <w:numId w:val="537"/>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60" w:lineRule="exact"/>
        <w:rPr>
          <w:rFonts w:ascii="Arial" w:cs="Arial" w:eastAsia="Arial" w:hAnsi="Arial"/>
          <w:sz w:val="16"/>
          <w:szCs w:val="16"/>
          <w:color w:val="auto"/>
        </w:rPr>
      </w:pPr>
    </w:p>
    <w:p>
      <w:pPr>
        <w:ind w:right="20" w:firstLine="398"/>
        <w:spacing w:after="0" w:line="269" w:lineRule="auto"/>
        <w:tabs>
          <w:tab w:leader="none" w:pos="704"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11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9980"/>
          </w:cols>
          <w:pgMar w:left="1440" w:top="274" w:right="479" w:bottom="1440" w:gutter="0" w:footer="0" w:header="0"/>
        </w:sectPr>
      </w:pPr>
    </w:p>
    <w:bookmarkStart w:id="597" w:name="page598"/>
    <w:bookmarkEnd w:id="597"/>
    <w:p>
      <w:pPr>
        <w:ind w:left="1000" w:firstLine="398"/>
        <w:spacing w:after="0" w:line="271" w:lineRule="auto"/>
        <w:tabs>
          <w:tab w:leader="none" w:pos="1654" w:val="left"/>
        </w:tabs>
        <w:numPr>
          <w:ilvl w:val="0"/>
          <w:numId w:val="5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2.22,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(c)(i) Any Lender may, without the consent of the Company, any Issuing Lender, the Brazilian Administrative Agent or the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in all or a portion of such Lender’s rights and obligations under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that (A) such Lender’s obligations under this Agreement shall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remain unchanged, (B) such Lender shall remain solely responsible to the other parties hereto for the performance of such obligations, (C) the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Parties, the Administrative Agent, the Brazilian Administrative Agent, the Issuing Lenders and the other Lenders shall continue to deal solely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directly with such Lender in connection with such Lender’s rights and obligations under this Agreement, the other Loan Documents and the Brazilian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Intercreditor Agreement, (D) such Participant shall not be an Ineligible Participant, and (E) no later than January 31 of each year, such Lender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 the Company with a written description of each participation of Loans, and/or Commitments by such Lender during the prior year (it being</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understood that any failure to provide notice shall not render the participation invalid). Any agreement pursuant to which a Lender sells such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participation shall provide that such Lender shall retain the sole right to enforce this Agreement and to approve any amendment, modification or waiver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any amendment, modification or waiver that (1) requires the consent of each Lender directly and adversely affected thereby pursuant to clause (A)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proviso to the second sentence of Section 10.1(a) and (2) directly and adversely affects such Participant. Subject to paragraph (c)(ii) of this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Section 10.6, the Company agrees that each Participant shall be entitled to the benefits of Sections 2.18, 2.19, and 2.20 to the same extent as if it were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and had acquired its interest by assignment pursuant to paragraph (b) of this Section 10.6. Each Lender that sells a participation, acting solely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purpose as a non-fiduciary agent of the Company, shall maintain a register on which it enters the name and address of each Participant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 or any information relating to a Participant’s interest in any Loans, Letters of Credit or its other obligations under this Agreement) except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such disclosure is necessary to establish that such Loan, Letter of Credit or other obligation is in registered form under Section 5f.103-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1(c) of the United States Treasury Regulations. The entries in the Participant Register shall be conclusive in the absence of manifest error, and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Lender, the Company, the Brazilian Administrative Agent and the Administrative Agent shall treat each person whose name is recorded in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Participant Register pursuant to the terms hereof as the owner of such participation for all purposes of this Agreement, notwithstanding notice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contrary.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0"/>
          </w:cols>
          <w:pgMar w:left="440" w:top="274" w:right="479" w:bottom="1440" w:gutter="0" w:footer="0" w:header="0"/>
        </w:sectPr>
      </w:pPr>
    </w:p>
    <w:bookmarkStart w:id="598" w:name="page599"/>
    <w:bookmarkEnd w:id="598"/>
    <w:p>
      <w:pPr>
        <w:ind w:left="1000" w:right="220" w:firstLine="398"/>
        <w:spacing w:after="0" w:line="293" w:lineRule="auto"/>
        <w:tabs>
          <w:tab w:leader="none" w:pos="1664" w:val="left"/>
        </w:tabs>
        <w:numPr>
          <w:ilvl w:val="1"/>
          <w:numId w:val="5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Participant shall not be entitled to receive any greater payment under Section 2.18 or 2.19 than the applicable Lender would have been entitled to receive with respect to the participation sold to such Participant. A Participant shall not be entitled to receive any funds directly from the Company in respect of Sections 2.18, 2.19, 2.20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2.19 unless such Participant complies with Sections 2.19(c), 2.19(d) and 2.19(e) as though it were a Lender.</w:t>
      </w:r>
    </w:p>
    <w:p>
      <w:pPr>
        <w:spacing w:after="0" w:line="53" w:lineRule="exact"/>
        <w:rPr>
          <w:rFonts w:ascii="Arial" w:cs="Arial" w:eastAsia="Arial" w:hAnsi="Arial"/>
          <w:sz w:val="16"/>
          <w:szCs w:val="16"/>
          <w:color w:val="auto"/>
        </w:rPr>
      </w:pPr>
    </w:p>
    <w:p>
      <w:pPr>
        <w:ind w:right="240" w:firstLine="998"/>
        <w:spacing w:after="0" w:line="255" w:lineRule="auto"/>
        <w:tabs>
          <w:tab w:leader="none" w:pos="1243"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81" w:lineRule="exact"/>
        <w:rPr>
          <w:rFonts w:ascii="Arial" w:cs="Arial" w:eastAsia="Arial" w:hAnsi="Arial"/>
          <w:sz w:val="18"/>
          <w:szCs w:val="18"/>
          <w:color w:val="auto"/>
        </w:rPr>
      </w:pPr>
    </w:p>
    <w:p>
      <w:pPr>
        <w:ind w:firstLine="998"/>
        <w:spacing w:after="0" w:line="255" w:lineRule="auto"/>
        <w:tabs>
          <w:tab w:leader="none" w:pos="1233"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81" w:lineRule="exact"/>
        <w:rPr>
          <w:sz w:val="20"/>
          <w:szCs w:val="20"/>
          <w:color w:val="auto"/>
        </w:rPr>
      </w:pPr>
    </w:p>
    <w:p>
      <w:pPr>
        <w:ind w:right="60" w:firstLine="989"/>
        <w:spacing w:after="0" w:line="286" w:lineRule="auto"/>
        <w:rPr>
          <w:sz w:val="20"/>
          <w:szCs w:val="20"/>
          <w:color w:val="auto"/>
        </w:rPr>
      </w:pPr>
      <w:r>
        <w:rPr>
          <w:rFonts w:ascii="Arial" w:cs="Arial" w:eastAsia="Arial" w:hAnsi="Arial"/>
          <w:sz w:val="16"/>
          <w:szCs w:val="16"/>
          <w:color w:val="auto"/>
        </w:rPr>
        <w:t>10.7 Adjustments. If any Lender (a “</w:t>
      </w:r>
      <w:r>
        <w:rPr>
          <w:rFonts w:ascii="Arial" w:cs="Arial" w:eastAsia="Arial" w:hAnsi="Arial"/>
          <w:sz w:val="16"/>
          <w:szCs w:val="16"/>
          <w:u w:val="single" w:color="auto"/>
          <w:color w:val="auto"/>
        </w:rPr>
        <w:t>Benefitted Lender</w:t>
      </w:r>
      <w:r>
        <w:rPr>
          <w:rFonts w:ascii="Arial" w:cs="Arial" w:eastAsia="Arial" w:hAnsi="Arial"/>
          <w:sz w:val="16"/>
          <w:szCs w:val="16"/>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payments in respect of Obligations owing by any Foreign Subsidiary Borrower shall be utilized to satisfy any Obligations owing by the Company or any Domestic Subsidiary Borrower.</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10.8 Counterparts</w:t>
      </w:r>
      <w:r>
        <w:rPr>
          <w:rFonts w:ascii="Arial" w:cs="Arial" w:eastAsia="Arial" w:hAnsi="Arial"/>
          <w:sz w:val="18"/>
          <w:szCs w:val="18"/>
          <w:u w:val="single" w:color="auto"/>
          <w:color w:val="0000FF"/>
        </w:rPr>
        <w:t>; Electronic Execution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22860</wp:posOffset>
            </wp:positionV>
            <wp:extent cx="101790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96" w:lineRule="exact"/>
        <w:rPr>
          <w:sz w:val="20"/>
          <w:szCs w:val="20"/>
          <w:color w:val="auto"/>
        </w:rPr>
      </w:pPr>
    </w:p>
    <w:p>
      <w:pPr>
        <w:ind w:left="440" w:right="20" w:firstLine="958"/>
        <w:spacing w:after="0" w:line="278" w:lineRule="auto"/>
        <w:tabs>
          <w:tab w:leader="none" w:pos="1633" w:val="left"/>
        </w:tabs>
        <w:numPr>
          <w:ilvl w:val="0"/>
          <w:numId w:val="541"/>
        </w:numPr>
        <w:rPr>
          <w:rFonts w:ascii="Arial" w:cs="Arial" w:eastAsia="Arial" w:hAnsi="Arial"/>
          <w:sz w:val="17"/>
          <w:szCs w:val="17"/>
          <w:u w:val="single" w:color="auto"/>
          <w:color w:val="0000FF"/>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3" w:right="479" w:bottom="1440" w:gutter="0" w:footer="0" w:header="0"/>
        </w:sectPr>
      </w:pPr>
    </w:p>
    <w:bookmarkStart w:id="599" w:name="page600"/>
    <w:bookmarkEnd w:id="599"/>
    <w:p>
      <w:pPr>
        <w:ind w:firstLine="9"/>
        <w:spacing w:after="0" w:line="283" w:lineRule="auto"/>
        <w:tabs>
          <w:tab w:leader="none" w:pos="254" w:val="left"/>
        </w:tabs>
        <w:numPr>
          <w:ilvl w:val="0"/>
          <w:numId w:val="54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“Ancillary Document”) that is an Electronic Signature transmitted by telecopy, emailed pdf. or any other electronic means that reproduces an image of the actual executed signature page shall be effective as delivery of a manually executed counterpart of this Agreement, such other Loan Documents or such Ancillary,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“Electronic Signature”,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any Issuing Lender, the Brazilian Administrative Agent,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-4115435</wp:posOffset>
            </wp:positionV>
            <wp:extent cx="692721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6927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-3978910</wp:posOffset>
            </wp:positionV>
            <wp:extent cx="657669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65766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-3841750</wp:posOffset>
            </wp:positionV>
            <wp:extent cx="691896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-3705225</wp:posOffset>
            </wp:positionV>
            <wp:extent cx="684212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-3568065</wp:posOffset>
            </wp:positionV>
            <wp:extent cx="660209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66020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-3431540</wp:posOffset>
            </wp:positionV>
            <wp:extent cx="67646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67646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-3294380</wp:posOffset>
            </wp:positionV>
            <wp:extent cx="659384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65938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-3157855</wp:posOffset>
            </wp:positionV>
            <wp:extent cx="686752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68675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-3020695</wp:posOffset>
            </wp:positionV>
            <wp:extent cx="684212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-2884170</wp:posOffset>
            </wp:positionV>
            <wp:extent cx="691896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-2747010</wp:posOffset>
            </wp:positionV>
            <wp:extent cx="643128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-2610485</wp:posOffset>
            </wp:positionV>
            <wp:extent cx="669671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66967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-2473325</wp:posOffset>
            </wp:positionV>
            <wp:extent cx="682498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68249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-2336800</wp:posOffset>
            </wp:positionV>
            <wp:extent cx="654240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65424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-2199640</wp:posOffset>
            </wp:positionV>
            <wp:extent cx="660209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66020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-2063115</wp:posOffset>
            </wp:positionV>
            <wp:extent cx="6739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739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-1925955</wp:posOffset>
            </wp:positionV>
            <wp:extent cx="684212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-1789430</wp:posOffset>
            </wp:positionV>
            <wp:extent cx="689292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68929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-1652270</wp:posOffset>
            </wp:positionV>
            <wp:extent cx="67906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-1515745</wp:posOffset>
            </wp:positionV>
            <wp:extent cx="697865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-1378585</wp:posOffset>
            </wp:positionV>
            <wp:extent cx="697039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-1242060</wp:posOffset>
            </wp:positionV>
            <wp:extent cx="685038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68503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-1104900</wp:posOffset>
            </wp:positionV>
            <wp:extent cx="690181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-968375</wp:posOffset>
            </wp:positionV>
            <wp:extent cx="688467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68846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-831215</wp:posOffset>
            </wp:positionV>
            <wp:extent cx="669671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6967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-694690</wp:posOffset>
            </wp:positionV>
            <wp:extent cx="695325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69532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-557530</wp:posOffset>
            </wp:positionV>
            <wp:extent cx="682498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68249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-421005</wp:posOffset>
            </wp:positionV>
            <wp:extent cx="683323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6833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-283845</wp:posOffset>
            </wp:positionV>
            <wp:extent cx="657669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65766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-147320</wp:posOffset>
            </wp:positionV>
            <wp:extent cx="670496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67049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651700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6517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125730</wp:posOffset>
            </wp:positionV>
            <wp:extent cx="290766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2907665" cy="8255"/>
                    </a:xfrm>
                    <a:prstGeom prst="rect">
                      <a:avLst/>
                    </a:prstGeom>
                    <a:noFill/>
                  </pic:spPr>
                </pic:pic>
              </a:graphicData>
            </a:graphic>
          </wp:anchor>
        </w:drawing>
      </w:r>
    </w:p>
    <w:p>
      <w:pPr>
        <w:spacing w:after="0" w:line="366" w:lineRule="exact"/>
        <w:rPr>
          <w:sz w:val="20"/>
          <w:szCs w:val="20"/>
          <w:color w:val="auto"/>
        </w:rPr>
      </w:pPr>
    </w:p>
    <w:p>
      <w:pPr>
        <w:ind w:right="160" w:firstLine="989"/>
        <w:spacing w:after="0" w:line="285" w:lineRule="auto"/>
        <w:rPr>
          <w:sz w:val="20"/>
          <w:szCs w:val="20"/>
          <w:color w:val="auto"/>
        </w:rPr>
      </w:pPr>
      <w:r>
        <w:rPr>
          <w:rFonts w:ascii="Arial" w:cs="Arial" w:eastAsia="Arial" w:hAnsi="Arial"/>
          <w:sz w:val="17"/>
          <w:szCs w:val="17"/>
          <w:color w:val="auto"/>
        </w:rPr>
        <w:t>10.9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600" w:name="page601"/>
    <w:bookmarkEnd w:id="600"/>
    <w:p>
      <w:pPr>
        <w:ind w:right="40" w:firstLine="98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10.10 Integration.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81" w:lineRule="exact"/>
        <w:rPr>
          <w:sz w:val="20"/>
          <w:szCs w:val="20"/>
          <w:color w:val="auto"/>
        </w:rPr>
      </w:pPr>
    </w:p>
    <w:p>
      <w:pPr>
        <w:ind w:right="240" w:firstLine="989"/>
        <w:spacing w:after="0" w:line="263" w:lineRule="auto"/>
        <w:rPr>
          <w:sz w:val="20"/>
          <w:szCs w:val="20"/>
          <w:color w:val="auto"/>
        </w:rPr>
      </w:pPr>
      <w:r>
        <w:rPr>
          <w:rFonts w:ascii="Arial" w:cs="Arial" w:eastAsia="Arial" w:hAnsi="Arial"/>
          <w:sz w:val="18"/>
          <w:szCs w:val="18"/>
          <w:color w:val="auto"/>
        </w:rPr>
        <w:t>10.11 GOVERNING LAW. THIS AGREEMENT AND THE RIGHTS AND OBLIGATIONS OF THE PARTIES UNDER THIS AGREEMENT SHALL BE GOVERNED BY, AND CONSTRUED AND INTERPRETED IN ACCORDANCE WITH, THE LAW OF THE STATE OF NEW YORK.</w:t>
      </w:r>
    </w:p>
    <w:p>
      <w:pPr>
        <w:spacing w:after="0" w:line="7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10.12 Submission to Jurisdiction; Waivers.</w:t>
      </w:r>
    </w:p>
    <w:p>
      <w:pPr>
        <w:spacing w:after="0" w:line="116" w:lineRule="exact"/>
        <w:rPr>
          <w:sz w:val="20"/>
          <w:szCs w:val="20"/>
          <w:color w:val="auto"/>
        </w:rPr>
      </w:pPr>
    </w:p>
    <w:p>
      <w:pPr>
        <w:ind w:firstLine="998"/>
        <w:spacing w:after="0" w:line="276" w:lineRule="auto"/>
        <w:tabs>
          <w:tab w:leader="none" w:pos="1233"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Each of the Administrative Agent, the Brazilian Administrative Agent, the Lenders, the Issuing Lenders, the Company, each Subsidiary Borrower and each other Loan Party hereby irrevocably and unconditionally:</w:t>
      </w:r>
    </w:p>
    <w:p>
      <w:pPr>
        <w:spacing w:after="0" w:line="62" w:lineRule="exact"/>
        <w:rPr>
          <w:rFonts w:ascii="Arial" w:cs="Arial" w:eastAsia="Arial" w:hAnsi="Arial"/>
          <w:sz w:val="18"/>
          <w:szCs w:val="18"/>
          <w:color w:val="auto"/>
        </w:rPr>
      </w:pPr>
    </w:p>
    <w:p>
      <w:pPr>
        <w:ind w:left="1000" w:right="80" w:firstLine="398"/>
        <w:spacing w:after="0" w:line="278" w:lineRule="auto"/>
        <w:tabs>
          <w:tab w:leader="none" w:pos="1614" w:val="left"/>
        </w:tabs>
        <w:numPr>
          <w:ilvl w:val="1"/>
          <w:numId w:val="543"/>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Agreement, the other Loan Documents and the Brazilian Intercreditor Agreement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64" w:lineRule="exact"/>
        <w:rPr>
          <w:rFonts w:ascii="Arial" w:cs="Arial" w:eastAsia="Arial" w:hAnsi="Arial"/>
          <w:sz w:val="17"/>
          <w:szCs w:val="17"/>
          <w:color w:val="auto"/>
        </w:rPr>
      </w:pPr>
    </w:p>
    <w:p>
      <w:pPr>
        <w:ind w:left="1000" w:right="60" w:firstLine="398"/>
        <w:spacing w:after="0" w:line="263" w:lineRule="auto"/>
        <w:tabs>
          <w:tab w:leader="none" w:pos="166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1000" w:right="20" w:firstLine="398"/>
        <w:spacing w:after="0" w:line="276" w:lineRule="auto"/>
        <w:tabs>
          <w:tab w:leader="none" w:pos="171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62" w:lineRule="exact"/>
        <w:rPr>
          <w:rFonts w:ascii="Arial" w:cs="Arial" w:eastAsia="Arial" w:hAnsi="Arial"/>
          <w:sz w:val="18"/>
          <w:szCs w:val="18"/>
          <w:color w:val="auto"/>
        </w:rPr>
      </w:pPr>
    </w:p>
    <w:p>
      <w:pPr>
        <w:ind w:right="120" w:firstLine="998"/>
        <w:spacing w:after="0" w:line="287" w:lineRule="auto"/>
        <w:tabs>
          <w:tab w:leader="none" w:pos="1243" w:val="left"/>
        </w:tabs>
        <w:numPr>
          <w:ilvl w:val="0"/>
          <w:numId w:val="543"/>
        </w:numPr>
        <w:rPr>
          <w:rFonts w:ascii="Arial" w:cs="Arial" w:eastAsia="Arial" w:hAnsi="Arial"/>
          <w:sz w:val="16"/>
          <w:szCs w:val="16"/>
          <w:color w:val="auto"/>
        </w:rPr>
      </w:pPr>
      <w:r>
        <w:rPr>
          <w:rFonts w:ascii="Arial" w:cs="Arial" w:eastAsia="Arial" w:hAnsi="Arial"/>
          <w:sz w:val="16"/>
          <w:szCs w:val="16"/>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0"/>
          </w:cols>
          <w:pgMar w:left="440" w:top="273" w:right="479" w:bottom="1440" w:gutter="0" w:footer="0" w:header="0"/>
        </w:sectPr>
      </w:pPr>
    </w:p>
    <w:bookmarkStart w:id="601" w:name="page602"/>
    <w:bookmarkEnd w:id="601"/>
    <w:p>
      <w:pPr>
        <w:ind w:right="80" w:firstLine="998"/>
        <w:spacing w:after="0" w:line="256" w:lineRule="auto"/>
        <w:tabs>
          <w:tab w:leader="none" w:pos="1233" w:val="left"/>
        </w:tabs>
        <w:numPr>
          <w:ilvl w:val="0"/>
          <w:numId w:val="5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81" w:lineRule="exact"/>
        <w:rPr>
          <w:sz w:val="20"/>
          <w:szCs w:val="20"/>
          <w:color w:val="auto"/>
        </w:rPr>
      </w:pPr>
    </w:p>
    <w:p>
      <w:pPr>
        <w:ind w:firstLine="989"/>
        <w:spacing w:after="0" w:line="269" w:lineRule="auto"/>
        <w:rPr>
          <w:sz w:val="20"/>
          <w:szCs w:val="20"/>
          <w:color w:val="auto"/>
        </w:rPr>
      </w:pPr>
      <w:r>
        <w:rPr>
          <w:rFonts w:ascii="Arial" w:cs="Arial" w:eastAsia="Arial" w:hAnsi="Arial"/>
          <w:sz w:val="17"/>
          <w:szCs w:val="17"/>
          <w:color w:val="auto"/>
        </w:rPr>
        <w:t>10.13 Judgment. The obligations of the Company or any Subsidiary Borrower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Facility Fees, Letter of Credit Fees, and Letter of Credit fronting fees payable hereunder or under any other Loan Document.</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10.14 Acknowledgments. Each of the Company and the Subsidiary Borrowers hereby acknowledges that:</w:t>
      </w:r>
    </w:p>
    <w:p>
      <w:pPr>
        <w:spacing w:after="0" w:line="116" w:lineRule="exact"/>
        <w:rPr>
          <w:sz w:val="20"/>
          <w:szCs w:val="20"/>
          <w:color w:val="auto"/>
        </w:rPr>
      </w:pPr>
    </w:p>
    <w:p>
      <w:pPr>
        <w:ind w:left="1240" w:hanging="242"/>
        <w:spacing w:after="0"/>
        <w:tabs>
          <w:tab w:leader="none" w:pos="124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127" w:lineRule="exact"/>
        <w:rPr>
          <w:rFonts w:ascii="Arial" w:cs="Arial" w:eastAsia="Arial" w:hAnsi="Arial"/>
          <w:sz w:val="17"/>
          <w:szCs w:val="17"/>
          <w:color w:val="auto"/>
        </w:rPr>
      </w:pPr>
    </w:p>
    <w:p>
      <w:pPr>
        <w:ind w:right="100" w:firstLine="998"/>
        <w:spacing w:after="0" w:line="278" w:lineRule="auto"/>
        <w:tabs>
          <w:tab w:leader="none" w:pos="1243" w:val="left"/>
        </w:tabs>
        <w:numPr>
          <w:ilvl w:val="0"/>
          <w:numId w:val="545"/>
        </w:numPr>
        <w:rPr>
          <w:rFonts w:ascii="Arial" w:cs="Arial" w:eastAsia="Arial" w:hAnsi="Arial"/>
          <w:sz w:val="17"/>
          <w:szCs w:val="17"/>
          <w:color w:val="auto"/>
        </w:rPr>
      </w:pPr>
      <w:r>
        <w:rPr>
          <w:rFonts w:ascii="Arial" w:cs="Arial" w:eastAsia="Arial" w:hAnsi="Arial"/>
          <w:sz w:val="17"/>
          <w:szCs w:val="17"/>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64" w:lineRule="exact"/>
        <w:rPr>
          <w:rFonts w:ascii="Arial" w:cs="Arial" w:eastAsia="Arial" w:hAnsi="Arial"/>
          <w:sz w:val="17"/>
          <w:szCs w:val="17"/>
          <w:color w:val="auto"/>
        </w:rPr>
      </w:pPr>
    </w:p>
    <w:p>
      <w:pPr>
        <w:ind w:right="400" w:firstLine="998"/>
        <w:spacing w:after="0" w:line="306" w:lineRule="auto"/>
        <w:tabs>
          <w:tab w:leader="none" w:pos="1233" w:val="left"/>
        </w:tabs>
        <w:numPr>
          <w:ilvl w:val="0"/>
          <w:numId w:val="545"/>
        </w:numPr>
        <w:rPr>
          <w:rFonts w:ascii="Arial" w:cs="Arial" w:eastAsia="Arial" w:hAnsi="Arial"/>
          <w:sz w:val="17"/>
          <w:szCs w:val="17"/>
          <w:color w:val="auto"/>
        </w:rPr>
      </w:pPr>
      <w:r>
        <w:rPr>
          <w:rFonts w:ascii="Arial" w:cs="Arial" w:eastAsia="Arial" w:hAnsi="Arial"/>
          <w:sz w:val="17"/>
          <w:szCs w:val="17"/>
          <w:color w:val="auto"/>
        </w:rPr>
        <w:t>no joint venture is created hereby or by the other Loan Documents or the Brazilian Intercreditor Agreement or otherwise exists by virtue of the transactions contemplated hereby among the Lenders or among the Company or any Subsidiary and the Lenders.</w:t>
      </w:r>
    </w:p>
    <w:p>
      <w:pPr>
        <w:spacing w:after="0" w:line="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10.15 Releases of Guarantees.</w:t>
      </w:r>
    </w:p>
    <w:p>
      <w:pPr>
        <w:spacing w:after="0" w:line="116" w:lineRule="exact"/>
        <w:rPr>
          <w:sz w:val="20"/>
          <w:szCs w:val="20"/>
          <w:color w:val="auto"/>
        </w:rPr>
      </w:pPr>
    </w:p>
    <w:p>
      <w:pPr>
        <w:ind w:firstLine="998"/>
        <w:spacing w:after="0" w:line="273" w:lineRule="auto"/>
        <w:tabs>
          <w:tab w:leader="none" w:pos="1233" w:val="left"/>
        </w:tabs>
        <w:numPr>
          <w:ilvl w:val="0"/>
          <w:numId w:val="54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or the Brazilian Intercreditor Agreement,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0"/>
          </w:cols>
          <w:pgMar w:left="440" w:top="273" w:right="479" w:bottom="1440" w:gutter="0" w:footer="0" w:header="0"/>
        </w:sectPr>
      </w:pPr>
    </w:p>
    <w:bookmarkStart w:id="602" w:name="page603"/>
    <w:bookmarkEnd w:id="602"/>
    <w:p>
      <w:pPr>
        <w:ind w:right="40" w:firstLine="998"/>
        <w:spacing w:after="0" w:line="258" w:lineRule="auto"/>
        <w:tabs>
          <w:tab w:leader="none" w:pos="1243" w:val="left"/>
        </w:tabs>
        <w:numPr>
          <w:ilvl w:val="0"/>
          <w:numId w:val="5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such time as the Loans, the Reimbursement Obligations and interest and fees owing hereunder and under any other Loan Document shall have been paid in full, the Commitments have been terminated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w:t>
      </w:r>
    </w:p>
    <w:p>
      <w:pPr>
        <w:spacing w:after="0" w:line="79" w:lineRule="exact"/>
        <w:rPr>
          <w:rFonts w:ascii="Arial" w:cs="Arial" w:eastAsia="Arial" w:hAnsi="Arial"/>
          <w:sz w:val="18"/>
          <w:szCs w:val="18"/>
          <w:color w:val="auto"/>
        </w:rPr>
      </w:pPr>
    </w:p>
    <w:p>
      <w:pPr>
        <w:ind w:firstLine="998"/>
        <w:spacing w:after="0" w:line="293" w:lineRule="auto"/>
        <w:tabs>
          <w:tab w:leader="none" w:pos="1233" w:val="left"/>
        </w:tabs>
        <w:numPr>
          <w:ilvl w:val="0"/>
          <w:numId w:val="547"/>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53" w:lineRule="exact"/>
        <w:rPr>
          <w:rFonts w:ascii="Arial" w:cs="Arial" w:eastAsia="Arial" w:hAnsi="Arial"/>
          <w:sz w:val="16"/>
          <w:szCs w:val="16"/>
          <w:color w:val="auto"/>
        </w:rPr>
      </w:pPr>
    </w:p>
    <w:p>
      <w:pPr>
        <w:ind w:right="360" w:firstLine="998"/>
        <w:spacing w:after="0" w:line="263" w:lineRule="auto"/>
        <w:tabs>
          <w:tab w:leader="none" w:pos="1243"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74" w:lineRule="exact"/>
        <w:rPr>
          <w:sz w:val="20"/>
          <w:szCs w:val="20"/>
          <w:color w:val="auto"/>
        </w:rPr>
      </w:pPr>
    </w:p>
    <w:p>
      <w:pPr>
        <w:ind w:right="60" w:firstLine="989"/>
        <w:spacing w:after="0" w:line="283" w:lineRule="auto"/>
        <w:rPr>
          <w:sz w:val="20"/>
          <w:szCs w:val="20"/>
          <w:color w:val="auto"/>
        </w:rPr>
      </w:pPr>
      <w:r>
        <w:rPr>
          <w:rFonts w:ascii="Arial" w:cs="Arial" w:eastAsia="Arial" w:hAnsi="Arial"/>
          <w:sz w:val="16"/>
          <w:szCs w:val="16"/>
          <w:color w:val="auto"/>
        </w:rPr>
        <w:t>10.16 Confidentiality. Each of the Administrative Agent, the Brazilian Administrative Agent, each Issuing Lender, each Lender and each Transferee (each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w:t>
      </w:r>
      <w:r>
        <w:rPr>
          <w:rFonts w:ascii="Arial" w:cs="Arial" w:eastAsia="Arial" w:hAnsi="Arial"/>
          <w:sz w:val="16"/>
          <w:szCs w:val="16"/>
          <w:u w:val="single" w:color="auto"/>
          <w:color w:val="0000FF"/>
        </w:rPr>
        <w:t>or reinsurance</w:t>
      </w:r>
      <w:r>
        <w:rPr>
          <w:rFonts w:ascii="Arial" w:cs="Arial" w:eastAsia="Arial" w:hAnsi="Arial"/>
          <w:sz w:val="16"/>
          <w:szCs w:val="16"/>
          <w:color w:val="auto"/>
        </w:rPr>
        <w:t xml:space="preserve"> provider </w:t>
      </w:r>
      <w:r>
        <w:rPr>
          <w:rFonts w:ascii="Arial" w:cs="Arial" w:eastAsia="Arial" w:hAnsi="Arial"/>
          <w:sz w:val="16"/>
          <w:szCs w:val="16"/>
          <w:u w:val="single" w:color="auto"/>
          <w:color w:val="0000FF"/>
        </w:rPr>
        <w:t>or broker</w:t>
      </w:r>
      <w:r>
        <w:rPr>
          <w:rFonts w:ascii="Arial" w:cs="Arial" w:eastAsia="Arial" w:hAnsi="Arial"/>
          <w:sz w:val="16"/>
          <w:szCs w:val="16"/>
          <w:color w:val="auto"/>
        </w:rPr>
        <w:t xml:space="preserve"> relating to the Company and its obligations,</w:t>
      </w:r>
    </w:p>
    <w:p>
      <w:pPr>
        <w:spacing w:after="0" w:line="1" w:lineRule="exact"/>
        <w:rPr>
          <w:sz w:val="20"/>
          <w:szCs w:val="20"/>
          <w:color w:val="auto"/>
        </w:rPr>
      </w:pPr>
    </w:p>
    <w:p>
      <w:pPr>
        <w:ind w:right="80" w:firstLine="9"/>
        <w:spacing w:after="0" w:line="285" w:lineRule="auto"/>
        <w:tabs>
          <w:tab w:leader="none" w:pos="244" w:val="left"/>
        </w:tabs>
        <w:numPr>
          <w:ilvl w:val="0"/>
          <w:numId w:val="548"/>
        </w:numPr>
        <w:rPr>
          <w:rFonts w:ascii="Arial" w:cs="Arial" w:eastAsia="Arial" w:hAnsi="Arial"/>
          <w:sz w:val="16"/>
          <w:szCs w:val="16"/>
          <w:color w:val="auto"/>
        </w:rPr>
      </w:pPr>
      <w:r>
        <w:rPr>
          <w:rFonts w:ascii="Arial" w:cs="Arial" w:eastAsia="Arial" w:hAnsi="Arial"/>
          <w:sz w:val="16"/>
          <w:szCs w:val="16"/>
          <w:color w:val="auto"/>
        </w:rPr>
        <w:t>to its employees</w:t>
      </w:r>
      <w:r>
        <w:rPr>
          <w:rFonts w:ascii="Arial" w:cs="Arial" w:eastAsia="Arial" w:hAnsi="Arial"/>
          <w:sz w:val="16"/>
          <w:szCs w:val="16"/>
          <w:u w:val="single" w:color="auto"/>
          <w:color w:val="0000FF"/>
        </w:rPr>
        <w:t>, officers</w:t>
      </w:r>
      <w:r>
        <w:rPr>
          <w:rFonts w:ascii="Arial" w:cs="Arial" w:eastAsia="Arial" w:hAnsi="Arial"/>
          <w:sz w:val="16"/>
          <w:szCs w:val="16"/>
          <w:color w:val="auto"/>
        </w:rPr>
        <w:t>,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-1377950</wp:posOffset>
            </wp:positionV>
            <wp:extent cx="65024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650240"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-1377950</wp:posOffset>
            </wp:positionV>
            <wp:extent cx="41910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419100"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-1241425</wp:posOffset>
            </wp:positionV>
            <wp:extent cx="4019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401955" cy="8255"/>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0"/>
          </w:cols>
          <w:pgMar w:left="440" w:top="273" w:right="479" w:bottom="1440" w:gutter="0" w:footer="0" w:header="0"/>
        </w:sectPr>
      </w:pPr>
    </w:p>
    <w:bookmarkStart w:id="603" w:name="page604"/>
    <w:bookmarkEnd w:id="603"/>
    <w:p>
      <w:pPr>
        <w:ind w:right="260" w:firstLine="989"/>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10.17 WAIVERS OF JURY TRIAL. THE COMPANY, EACH SUBSIDIARY BORROWER, THE ADMINISTRATIVE 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64" w:lineRule="exact"/>
        <w:rPr>
          <w:sz w:val="20"/>
          <w:szCs w:val="20"/>
          <w:color w:val="auto"/>
        </w:rPr>
      </w:pPr>
    </w:p>
    <w:p>
      <w:pPr>
        <w:ind w:firstLine="989"/>
        <w:spacing w:after="0" w:line="296" w:lineRule="auto"/>
        <w:rPr>
          <w:sz w:val="20"/>
          <w:szCs w:val="20"/>
          <w:color w:val="auto"/>
        </w:rPr>
      </w:pPr>
      <w:r>
        <w:rPr>
          <w:rFonts w:ascii="Arial" w:cs="Arial" w:eastAsia="Arial" w:hAnsi="Arial"/>
          <w:sz w:val="16"/>
          <w:szCs w:val="16"/>
          <w:color w:val="auto"/>
        </w:rPr>
        <w:t xml:space="preserve">10.18 USA Patriot Act </w:t>
      </w:r>
      <w:r>
        <w:rPr>
          <w:rFonts w:ascii="Arial" w:cs="Arial" w:eastAsia="Arial" w:hAnsi="Arial"/>
          <w:sz w:val="16"/>
          <w:szCs w:val="16"/>
          <w:u w:val="single" w:color="auto"/>
          <w:color w:val="0000FF"/>
        </w:rPr>
        <w:t>and the Beneficial Ownership Regulation</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xml:space="preserve">”) </w:t>
      </w:r>
      <w:r>
        <w:rPr>
          <w:rFonts w:ascii="Arial" w:cs="Arial" w:eastAsia="Arial" w:hAnsi="Arial"/>
          <w:sz w:val="16"/>
          <w:szCs w:val="16"/>
          <w:color w:val="0000FF"/>
        </w:rPr>
        <w:t>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Beneficial Ownership Regulation</w:t>
      </w:r>
      <w:r>
        <w:rPr>
          <w:rFonts w:ascii="Arial" w:cs="Arial" w:eastAsia="Arial" w:hAnsi="Arial"/>
          <w:sz w:val="16"/>
          <w:szCs w:val="16"/>
          <w:color w:val="000000"/>
        </w:rPr>
        <w:t>, it is required to obtain, verify and record information that identifies the Company and each Subsidiary Borrower,</w:t>
      </w:r>
      <w:r>
        <w:rPr>
          <w:rFonts w:ascii="Arial" w:cs="Arial" w:eastAsia="Arial" w:hAnsi="Arial"/>
          <w:sz w:val="16"/>
          <w:szCs w:val="16"/>
          <w:color w:val="0000FF"/>
        </w:rPr>
        <w:t xml:space="preserve"> </w:t>
      </w:r>
      <w:r>
        <w:rPr>
          <w:rFonts w:ascii="Arial" w:cs="Arial" w:eastAsia="Arial" w:hAnsi="Arial"/>
          <w:sz w:val="16"/>
          <w:szCs w:val="16"/>
          <w:color w:val="000000"/>
        </w:rPr>
        <w:t xml:space="preserve">which information includes the name and address of the Company and each Subsidiary Borrower and other information that will allow such Lender to identify the Company and each Subsidiary Borrower in accordance with the USA Patriot Act </w:t>
      </w:r>
      <w:r>
        <w:rPr>
          <w:rFonts w:ascii="Arial" w:cs="Arial" w:eastAsia="Arial" w:hAnsi="Arial"/>
          <w:sz w:val="16"/>
          <w:szCs w:val="16"/>
          <w:color w:val="0000FF"/>
        </w:rPr>
        <w:t>and the Beneficial Ownership Regulation</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-565150</wp:posOffset>
            </wp:positionV>
            <wp:extent cx="188976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889760" cy="8255"/>
                    </a:xfrm>
                    <a:prstGeom prst="rect">
                      <a:avLst/>
                    </a:prstGeom>
                    <a:noFill/>
                  </pic:spPr>
                </pic:pic>
              </a:graphicData>
            </a:graphic>
          </wp:anchor>
        </w:drawing>
        <w:drawing>
          <wp:anchor simplePos="0" relativeHeight="251657728" behindDoc="1" locked="0" layoutInCell="0" allowOverlap="1">
            <wp:simplePos x="0" y="0"/>
            <wp:positionH relativeFrom="column">
              <wp:posOffset>6624955</wp:posOffset>
            </wp:positionH>
            <wp:positionV relativeFrom="paragraph">
              <wp:posOffset>-428625</wp:posOffset>
            </wp:positionV>
            <wp:extent cx="18796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-462915</wp:posOffset>
            </wp:positionV>
            <wp:extent cx="19304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930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-291465</wp:posOffset>
            </wp:positionV>
            <wp:extent cx="169354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693545" cy="825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-17780</wp:posOffset>
            </wp:positionV>
            <wp:extent cx="191579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915795" cy="825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-52070</wp:posOffset>
            </wp:positionV>
            <wp:extent cx="191516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915160" cy="8255"/>
                    </a:xfrm>
                    <a:prstGeom prst="rect">
                      <a:avLst/>
                    </a:prstGeom>
                    <a:noFill/>
                  </pic:spPr>
                </pic:pic>
              </a:graphicData>
            </a:graphic>
          </wp:anchor>
        </w:drawing>
      </w:r>
    </w:p>
    <w:p>
      <w:pPr>
        <w:spacing w:after="0" w:line="31" w:lineRule="exact"/>
        <w:rPr>
          <w:sz w:val="20"/>
          <w:szCs w:val="20"/>
          <w:color w:val="auto"/>
        </w:rPr>
      </w:pPr>
    </w:p>
    <w:p>
      <w:pPr>
        <w:ind w:right="60" w:firstLine="989"/>
        <w:spacing w:after="0" w:line="253" w:lineRule="auto"/>
        <w:rPr>
          <w:sz w:val="20"/>
          <w:szCs w:val="20"/>
          <w:color w:val="auto"/>
        </w:rPr>
      </w:pPr>
      <w:r>
        <w:rPr>
          <w:rFonts w:ascii="Arial" w:cs="Arial" w:eastAsia="Arial" w:hAnsi="Arial"/>
          <w:sz w:val="18"/>
          <w:szCs w:val="18"/>
          <w:color w:val="auto"/>
        </w:rPr>
        <w:t>10.19 No Novation. The terms and conditions of the Existing Five Year Credit Agreement are amended as set forth in, and restated in their entirety and superseded by, this Agreement. Nothing in this Agreement shall be deemed to be a novation of any of the Obligations as defined in the Existing Five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Five Year Credit Agreement. From and after the Closing Date, each reference to the “Agreement”, “Credit Agreement” or other reference originally applicable to the Existing Five Year Credit Agreement contained in any Loan Document or the Brazilian Intercreditor Agreement shall be a reference to this Agreement, as amended, supplemented, restated or otherwise modified from time to time.</w:t>
      </w:r>
    </w:p>
    <w:p>
      <w:pPr>
        <w:spacing w:after="0" w:line="86" w:lineRule="exact"/>
        <w:rPr>
          <w:sz w:val="20"/>
          <w:szCs w:val="20"/>
          <w:color w:val="auto"/>
        </w:rPr>
      </w:pPr>
    </w:p>
    <w:p>
      <w:pPr>
        <w:ind w:right="160" w:firstLine="989"/>
        <w:spacing w:after="0" w:line="278" w:lineRule="auto"/>
        <w:rPr>
          <w:sz w:val="20"/>
          <w:szCs w:val="20"/>
          <w:color w:val="auto"/>
        </w:rPr>
      </w:pPr>
      <w:r>
        <w:rPr>
          <w:rFonts w:ascii="Arial" w:cs="Arial" w:eastAsia="Arial" w:hAnsi="Arial"/>
          <w:sz w:val="17"/>
          <w:szCs w:val="17"/>
          <w:color w:val="auto"/>
        </w:rPr>
        <w:t xml:space="preserve">10.20 Acknowledgement and Consent to Bail-In of </w:t>
      </w:r>
      <w:r>
        <w:rPr>
          <w:rFonts w:ascii="Arial" w:cs="Arial" w:eastAsia="Arial" w:hAnsi="Arial"/>
          <w:sz w:val="17"/>
          <w:szCs w:val="17"/>
          <w:color w:val="FF0000"/>
          <w:strike w:val="1"/>
        </w:rPr>
        <w:t>EEA</w:t>
      </w:r>
      <w:r>
        <w:rPr>
          <w:rFonts w:ascii="Arial" w:cs="Arial" w:eastAsia="Arial" w:hAnsi="Arial"/>
          <w:sz w:val="17"/>
          <w:szCs w:val="17"/>
          <w:u w:val="single" w:color="auto"/>
          <w:color w:val="0000FF"/>
        </w:rPr>
        <w:t>Affected</w:t>
      </w:r>
      <w:r>
        <w:rPr>
          <w:rFonts w:ascii="Arial" w:cs="Arial" w:eastAsia="Arial" w:hAnsi="Arial"/>
          <w:sz w:val="17"/>
          <w:szCs w:val="17"/>
          <w:color w:val="auto"/>
        </w:rPr>
        <w:t xml:space="preserve"> Financial Institutions. Notwithstanding anything to the contrary in any Loan Document or in any other agreement, arrangement or understanding among any such parties, each party hereto acknowledges that any liability of any </w:t>
      </w:r>
      <w:r>
        <w:rPr>
          <w:rFonts w:ascii="Arial" w:cs="Arial" w:eastAsia="Arial" w:hAnsi="Arial"/>
          <w:sz w:val="17"/>
          <w:szCs w:val="17"/>
          <w:color w:val="FF0000"/>
          <w:strike w:val="1"/>
        </w:rPr>
        <w:t>EEA</w:t>
      </w:r>
      <w:r>
        <w:rPr>
          <w:rFonts w:ascii="Arial" w:cs="Arial" w:eastAsia="Arial" w:hAnsi="Arial"/>
          <w:sz w:val="17"/>
          <w:szCs w:val="17"/>
          <w:u w:val="single" w:color="auto"/>
          <w:color w:val="0000FF"/>
        </w:rPr>
        <w:t>Affected</w:t>
      </w:r>
      <w:r>
        <w:rPr>
          <w:rFonts w:ascii="Arial" w:cs="Arial" w:eastAsia="Arial" w:hAnsi="Arial"/>
          <w:sz w:val="17"/>
          <w:szCs w:val="17"/>
          <w:color w:val="auto"/>
        </w:rPr>
        <w:t xml:space="preserve"> Financial Institution arising under any Loan Document may be subject to the write-down and conversion powers of </w:t>
      </w:r>
      <w:r>
        <w:rPr>
          <w:rFonts w:ascii="Arial" w:cs="Arial" w:eastAsia="Arial" w:hAnsi="Arial"/>
          <w:sz w:val="17"/>
          <w:szCs w:val="17"/>
          <w:color w:val="FF0000"/>
          <w:strike w:val="1"/>
        </w:rPr>
        <w:t>an EEA</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applicable</w:t>
      </w:r>
      <w:r>
        <w:rPr>
          <w:rFonts w:ascii="Arial" w:cs="Arial" w:eastAsia="Arial" w:hAnsi="Arial"/>
          <w:sz w:val="17"/>
          <w:szCs w:val="17"/>
          <w:color w:val="0000FF"/>
        </w:rPr>
        <w:t xml:space="preserve"> </w:t>
      </w:r>
      <w:r>
        <w:rPr>
          <w:rFonts w:ascii="Arial" w:cs="Arial" w:eastAsia="Arial" w:hAnsi="Arial"/>
          <w:sz w:val="17"/>
          <w:szCs w:val="17"/>
          <w:color w:val="000000"/>
        </w:rPr>
        <w:t>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-419735</wp:posOffset>
            </wp:positionV>
            <wp:extent cx="4019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4019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-146050</wp:posOffset>
            </wp:positionV>
            <wp:extent cx="4019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401955"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-146050</wp:posOffset>
            </wp:positionV>
            <wp:extent cx="14541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wp:posOffset>
            </wp:positionV>
            <wp:extent cx="47053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right="520" w:firstLine="998"/>
        <w:spacing w:after="0" w:line="276" w:lineRule="auto"/>
        <w:tabs>
          <w:tab w:leader="none" w:pos="1233"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FF"/>
        </w:rPr>
        <w:t>the applicable</w:t>
      </w:r>
      <w:r>
        <w:rPr>
          <w:rFonts w:ascii="Arial" w:cs="Arial" w:eastAsia="Arial" w:hAnsi="Arial"/>
          <w:sz w:val="18"/>
          <w:szCs w:val="18"/>
          <w:color w:val="auto"/>
        </w:rPr>
        <w:t xml:space="preserve"> Resolution Authority to any such liabilities arising hereunder which may be payable to it by any party hereto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and</w:t>
      </w:r>
    </w:p>
    <w:p>
      <w:pPr>
        <w:spacing w:after="0" w:line="62" w:lineRule="exact"/>
        <w:rPr>
          <w:rFonts w:ascii="Arial" w:cs="Arial" w:eastAsia="Arial" w:hAnsi="Arial"/>
          <w:sz w:val="18"/>
          <w:szCs w:val="18"/>
          <w:color w:val="auto"/>
        </w:rPr>
      </w:pPr>
    </w:p>
    <w:p>
      <w:pPr>
        <w:ind w:left="1260" w:hanging="262"/>
        <w:spacing w:after="0"/>
        <w:tabs>
          <w:tab w:leader="none" w:pos="12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-318135</wp:posOffset>
            </wp:positionV>
            <wp:extent cx="64135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64135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-181610</wp:posOffset>
            </wp:positionV>
            <wp:extent cx="4019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401955" cy="8255"/>
                    </a:xfrm>
                    <a:prstGeom prst="rect">
                      <a:avLst/>
                    </a:prstGeom>
                    <a:noFill/>
                  </pic:spPr>
                </pic:pic>
              </a:graphicData>
            </a:graphic>
          </wp:anchor>
        </w:drawing>
      </w:r>
    </w:p>
    <w:p>
      <w:pPr>
        <w:spacing w:after="0" w:line="96" w:lineRule="exact"/>
        <w:rPr>
          <w:sz w:val="20"/>
          <w:szCs w:val="20"/>
          <w:color w:val="auto"/>
        </w:rPr>
      </w:pPr>
    </w:p>
    <w:p>
      <w:pPr>
        <w:ind w:left="1220" w:hanging="222"/>
        <w:spacing w:after="0"/>
        <w:tabs>
          <w:tab w:leader="none" w:pos="122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6" w:lineRule="exact"/>
        <w:rPr>
          <w:rFonts w:ascii="Arial" w:cs="Arial" w:eastAsia="Arial" w:hAnsi="Arial"/>
          <w:sz w:val="18"/>
          <w:szCs w:val="18"/>
          <w:color w:val="auto"/>
        </w:rPr>
      </w:pPr>
    </w:p>
    <w:p>
      <w:pPr>
        <w:ind w:right="460" w:firstLine="998"/>
        <w:spacing w:after="0" w:line="311" w:lineRule="auto"/>
        <w:tabs>
          <w:tab w:leader="none" w:pos="1253" w:val="left"/>
        </w:tabs>
        <w:numPr>
          <w:ilvl w:val="0"/>
          <w:numId w:val="550"/>
        </w:numPr>
        <w:rPr>
          <w:rFonts w:ascii="Arial" w:cs="Arial" w:eastAsia="Arial" w:hAnsi="Arial"/>
          <w:sz w:val="16"/>
          <w:szCs w:val="16"/>
          <w:color w:val="auto"/>
        </w:rPr>
      </w:pPr>
      <w:r>
        <w:rPr>
          <w:rFonts w:ascii="Arial" w:cs="Arial" w:eastAsia="Arial" w:hAnsi="Arial"/>
          <w:sz w:val="16"/>
          <w:szCs w:val="16"/>
          <w:color w:val="auto"/>
        </w:rPr>
        <w:t xml:space="preserve">a conversion of all, or a portion of, such liability into shares or other instruments of ownership in such </w:t>
      </w:r>
      <w:r>
        <w:rPr>
          <w:rFonts w:ascii="Arial" w:cs="Arial" w:eastAsia="Arial" w:hAnsi="Arial"/>
          <w:sz w:val="16"/>
          <w:szCs w:val="16"/>
          <w:color w:val="FF0000"/>
          <w:strike w:val="1"/>
        </w:rPr>
        <w:t>EEA</w:t>
      </w:r>
      <w:r>
        <w:rPr>
          <w:rFonts w:ascii="Arial" w:cs="Arial" w:eastAsia="Arial" w:hAnsi="Arial"/>
          <w:sz w:val="16"/>
          <w:szCs w:val="16"/>
          <w:u w:val="single" w:color="auto"/>
          <w:color w:val="0000FF"/>
        </w:rPr>
        <w:t>Affected</w:t>
      </w:r>
      <w:r>
        <w:rPr>
          <w:rFonts w:ascii="Arial" w:cs="Arial" w:eastAsia="Arial" w:hAnsi="Arial"/>
          <w:sz w:val="16"/>
          <w:szCs w:val="16"/>
          <w:color w:val="auto"/>
        </w:rPr>
        <w:t xml:space="preserve">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right="300" w:firstLine="998"/>
        <w:spacing w:after="0" w:line="276" w:lineRule="auto"/>
        <w:tabs>
          <w:tab w:leader="none" w:pos="1303"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xml:space="preserve">the variation of the terms of such liability in connection with the exercise of the write-down and conversion powers of </w:t>
      </w:r>
      <w:r>
        <w:rPr>
          <w:rFonts w:ascii="Arial" w:cs="Arial" w:eastAsia="Arial" w:hAnsi="Arial"/>
          <w:sz w:val="18"/>
          <w:szCs w:val="18"/>
          <w:color w:val="FF0000"/>
          <w:strike w:val="1"/>
        </w:rPr>
        <w:t>any EEA</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5701665</wp:posOffset>
            </wp:positionH>
            <wp:positionV relativeFrom="paragraph">
              <wp:posOffset>-626110</wp:posOffset>
            </wp:positionV>
            <wp:extent cx="4019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401955" cy="8255"/>
                    </a:xfrm>
                    <a:prstGeom prst="rect">
                      <a:avLst/>
                    </a:prstGeom>
                    <a:noFill/>
                  </pic:spPr>
                </pic:pic>
              </a:graphicData>
            </a:graphic>
          </wp:anchor>
        </w:drawing>
        <w:drawing>
          <wp:anchor simplePos="0" relativeHeight="251657728" behindDoc="1" locked="0" layoutInCell="0" allowOverlap="1">
            <wp:simplePos x="0" y="0"/>
            <wp:positionH relativeFrom="column">
              <wp:posOffset>6659245</wp:posOffset>
            </wp:positionH>
            <wp:positionV relativeFrom="paragraph">
              <wp:posOffset>-147320</wp:posOffset>
            </wp:positionV>
            <wp:extent cx="13652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47053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3" w:right="459" w:bottom="1440" w:gutter="0" w:footer="0" w:header="0"/>
        </w:sectPr>
      </w:pPr>
    </w:p>
    <w:bookmarkStart w:id="604" w:name="page605"/>
    <w:bookmarkEnd w:id="604"/>
    <w:p>
      <w:pPr>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FF0000"/>
          <w:strike w:val="1"/>
        </w:rPr>
        <w:t>Remainder of page intentionally left blank. Signature pages follow.</w:t>
      </w:r>
      <w:r>
        <w:rPr>
          <w:rFonts w:ascii="Arial" w:cs="Arial" w:eastAsia="Arial" w:hAnsi="Arial"/>
          <w:sz w:val="18"/>
          <w:szCs w:val="18"/>
          <w:color w:val="FF0000"/>
          <w:strike w:val="1"/>
        </w:rPr>
        <w:t>]</w:t>
      </w:r>
    </w:p>
    <w:p>
      <w:pPr>
        <w:spacing w:after="0" w:line="116" w:lineRule="exact"/>
        <w:rPr>
          <w:sz w:val="20"/>
          <w:szCs w:val="20"/>
          <w:color w:val="auto"/>
        </w:rPr>
      </w:pPr>
    </w:p>
    <w:p>
      <w:pPr>
        <w:ind w:right="20" w:firstLine="989"/>
        <w:spacing w:after="0" w:line="271" w:lineRule="auto"/>
        <w:rPr>
          <w:sz w:val="20"/>
          <w:szCs w:val="20"/>
          <w:color w:val="auto"/>
        </w:rPr>
      </w:pPr>
      <w:r>
        <w:rPr>
          <w:rFonts w:ascii="Arial" w:cs="Arial" w:eastAsia="Arial" w:hAnsi="Arial"/>
          <w:sz w:val="17"/>
          <w:szCs w:val="17"/>
          <w:u w:val="single" w:color="auto"/>
          <w:color w:val="0000FF"/>
        </w:rPr>
        <w:t>10.21 Acknowledgement Regarding Any Supported QFCs.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-826135</wp:posOffset>
            </wp:positionV>
            <wp:extent cx="63201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63201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-688975</wp:posOffset>
            </wp:positionV>
            <wp:extent cx="654240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65424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-552450</wp:posOffset>
            </wp:positionV>
            <wp:extent cx="6739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6739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-415290</wp:posOffset>
            </wp:positionV>
            <wp:extent cx="692721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6927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-278765</wp:posOffset>
            </wp:positionV>
            <wp:extent cx="693610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-141605</wp:posOffset>
            </wp:positionV>
            <wp:extent cx="693610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303593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51" w:lineRule="exact"/>
        <w:rPr>
          <w:sz w:val="20"/>
          <w:szCs w:val="20"/>
          <w:color w:val="auto"/>
        </w:rPr>
      </w:pPr>
    </w:p>
    <w:p>
      <w:pPr>
        <w:ind w:firstLine="989"/>
        <w:spacing w:after="0" w:line="287" w:lineRule="auto"/>
        <w:rPr>
          <w:sz w:val="20"/>
          <w:szCs w:val="20"/>
          <w:color w:val="auto"/>
        </w:rPr>
      </w:pPr>
      <w:r>
        <w:rPr>
          <w:rFonts w:ascii="Arial" w:cs="Arial" w:eastAsia="Arial" w:hAnsi="Arial"/>
          <w:sz w:val="16"/>
          <w:szCs w:val="16"/>
          <w:u w:val="single" w:color="auto"/>
          <w:color w:val="0000FF"/>
        </w:rPr>
        <w:t xml:space="preserve">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w:t>
      </w:r>
      <w:r>
        <w:rPr>
          <w:rFonts w:ascii="Arial" w:cs="Arial" w:eastAsia="Arial" w:hAnsi="Arial"/>
          <w:sz w:val="16"/>
          <w:szCs w:val="16"/>
          <w:u w:val="single" w:color="auto"/>
          <w:color w:val="008000"/>
        </w:rPr>
        <w:t>by the laws of the United</w:t>
      </w:r>
      <w:r>
        <w:rPr>
          <w:rFonts w:ascii="Arial" w:cs="Arial" w:eastAsia="Arial" w:hAnsi="Arial"/>
          <w:sz w:val="16"/>
          <w:szCs w:val="16"/>
          <w:u w:val="single" w:color="auto"/>
          <w:color w:val="0000FF"/>
        </w:rPr>
        <w:t xml:space="preserve">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-1381760</wp:posOffset>
            </wp:positionV>
            <wp:extent cx="616648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61664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-1244600</wp:posOffset>
            </wp:positionV>
            <wp:extent cx="694436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69443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-1108075</wp:posOffset>
            </wp:positionV>
            <wp:extent cx="68160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6816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-970915</wp:posOffset>
            </wp:positionV>
            <wp:extent cx="67906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67906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-834390</wp:posOffset>
            </wp:positionV>
            <wp:extent cx="685927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68592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-697230</wp:posOffset>
            </wp:positionV>
            <wp:extent cx="691896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69189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-560705</wp:posOffset>
            </wp:positionV>
            <wp:extent cx="652526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65252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-423545</wp:posOffset>
            </wp:positionV>
            <wp:extent cx="667956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-287020</wp:posOffset>
            </wp:positionV>
            <wp:extent cx="667956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-149860</wp:posOffset>
            </wp:positionV>
            <wp:extent cx="697039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495173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4951730" cy="8255"/>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80"/>
          </w:cols>
          <w:pgMar w:left="440" w:top="273" w:right="479" w:bottom="1440" w:gutter="0" w:footer="0" w:header="0"/>
        </w:sectPr>
      </w:pPr>
    </w:p>
    <w:bookmarkStart w:id="605" w:name="page606"/>
    <w:bookmarkEnd w:id="605"/>
    <w:p>
      <w:pPr>
        <w:ind w:right="60" w:firstLine="989"/>
        <w:spacing w:after="0" w:line="276"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GENERAL MOTORS COMPANY</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7"/>
          <w:szCs w:val="17"/>
          <w:color w:val="FF0000"/>
          <w:strike w:val="1"/>
        </w:rPr>
        <w:t>GENERAL MOTORS FINANCIAL COMPANY, INC.</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GM GLOBAL TREASURY CENTRE LIMITED</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GENERAL MOTORS DO BRASIL LTDA.</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14605</wp:posOffset>
            </wp:positionV>
            <wp:extent cx="259143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Name:</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Title:</w:t>
      </w:r>
    </w:p>
    <w:p>
      <w:pPr>
        <w:spacing w:after="0" w:line="142" w:lineRule="exact"/>
        <w:rPr>
          <w:sz w:val="20"/>
          <w:szCs w:val="20"/>
          <w:color w:val="auto"/>
        </w:rPr>
      </w:pPr>
    </w:p>
    <w:p>
      <w:pPr>
        <w:ind w:left="3540"/>
        <w:spacing w:after="0"/>
        <w:rPr>
          <w:sz w:val="20"/>
          <w:szCs w:val="20"/>
          <w:color w:val="auto"/>
        </w:rPr>
      </w:pPr>
      <w:r>
        <w:rPr>
          <w:rFonts w:ascii="Arial" w:cs="Arial" w:eastAsia="Arial" w:hAnsi="Arial"/>
          <w:sz w:val="18"/>
          <w:szCs w:val="18"/>
          <w:color w:val="FF0000"/>
          <w:strike w:val="1"/>
        </w:rPr>
        <w:t>Signature Page to 5-Year Revolving Credit Agreement</w:t>
      </w:r>
    </w:p>
    <w:p>
      <w:pPr>
        <w:sectPr>
          <w:pgSz w:w="11900" w:h="16838" w:orient="portrait"/>
          <w:cols w:equalWidth="0" w:num="1">
            <w:col w:w="10600"/>
          </w:cols>
          <w:pgMar w:left="440" w:top="273" w:right="859" w:bottom="1440" w:gutter="0" w:footer="0" w:header="0"/>
        </w:sectPr>
      </w:pPr>
    </w:p>
    <w:bookmarkStart w:id="606" w:name="page607"/>
    <w:bookmarkEnd w:id="606"/>
    <w:p>
      <w:pPr>
        <w:ind w:left="5600"/>
        <w:spacing w:after="0"/>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Administrative</w:t>
      </w:r>
    </w:p>
    <w:p>
      <w:pPr>
        <w:spacing w:after="0" w:line="34"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Agent and as Lender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FF0000"/>
          <w:strike w:val="1"/>
        </w:rPr>
        <w:t>Name:</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FF0000"/>
          <w:strike w:val="1"/>
        </w:rPr>
        <w:t>Title:</w:t>
      </w:r>
    </w:p>
    <w:p>
      <w:pPr>
        <w:spacing w:after="0" w:line="142" w:lineRule="exact"/>
        <w:rPr>
          <w:sz w:val="20"/>
          <w:szCs w:val="20"/>
          <w:color w:val="auto"/>
        </w:rPr>
      </w:pPr>
    </w:p>
    <w:p>
      <w:pPr>
        <w:ind w:left="2540"/>
        <w:spacing w:after="0"/>
        <w:rPr>
          <w:sz w:val="20"/>
          <w:szCs w:val="20"/>
          <w:color w:val="auto"/>
        </w:rPr>
      </w:pPr>
      <w:r>
        <w:rPr>
          <w:rFonts w:ascii="Arial" w:cs="Arial" w:eastAsia="Arial" w:hAnsi="Arial"/>
          <w:sz w:val="18"/>
          <w:szCs w:val="18"/>
          <w:color w:val="FF0000"/>
          <w:strike w:val="1"/>
        </w:rPr>
        <w:t>Signature Page to 5-Year Revolving Credit Agreement</w:t>
      </w:r>
    </w:p>
    <w:p>
      <w:pPr>
        <w:sectPr>
          <w:pgSz w:w="11900" w:h="16838" w:orient="portrait"/>
          <w:cols w:equalWidth="0" w:num="1">
            <w:col w:w="9560"/>
          </w:cols>
          <w:pgMar w:left="1440" w:top="273" w:right="899" w:bottom="1440" w:gutter="0" w:footer="0" w:header="0"/>
        </w:sectPr>
      </w:pPr>
    </w:p>
    <w:bookmarkStart w:id="607" w:name="page608"/>
    <w:bookmarkEnd w:id="607"/>
    <w:p>
      <w:pPr>
        <w:ind w:left="5600"/>
        <w:spacing w:after="0"/>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do Brasil S.A., as Brazilian Administrative Agent and</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as Lender</w:t>
      </w: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14605</wp:posOffset>
            </wp:positionV>
            <wp:extent cx="259143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FF0000"/>
          <w:strike w:val="1"/>
        </w:rPr>
        <w:t>Name:</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FF0000"/>
          <w:strike w:val="1"/>
        </w:rPr>
        <w:t>Title:</w:t>
      </w:r>
    </w:p>
    <w:p>
      <w:pPr>
        <w:spacing w:after="0" w:line="142" w:lineRule="exact"/>
        <w:rPr>
          <w:sz w:val="20"/>
          <w:szCs w:val="20"/>
          <w:color w:val="auto"/>
        </w:rPr>
      </w:pPr>
    </w:p>
    <w:p>
      <w:pPr>
        <w:ind w:left="2540"/>
        <w:spacing w:after="0"/>
        <w:rPr>
          <w:sz w:val="20"/>
          <w:szCs w:val="20"/>
          <w:color w:val="auto"/>
        </w:rPr>
      </w:pPr>
      <w:r>
        <w:rPr>
          <w:rFonts w:ascii="Arial" w:cs="Arial" w:eastAsia="Arial" w:hAnsi="Arial"/>
          <w:sz w:val="18"/>
          <w:szCs w:val="18"/>
          <w:color w:val="FF0000"/>
          <w:strike w:val="1"/>
        </w:rPr>
        <w:t>Signature Page to 5-Year Revolving Credit Agreement</w:t>
      </w:r>
    </w:p>
    <w:sectPr>
      <w:pgSz w:w="11900" w:h="16838" w:orient="portrait"/>
      <w:cols w:equalWidth="0" w:num="1">
        <w:col w:w="9980"/>
      </w:cols>
      <w:pgMar w:left="1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6B3F6A"/>
    <w:multiLevelType w:val="hybridMultilevel"/>
    <w:lvl w:ilvl="0">
      <w:lvlJc w:val="left"/>
      <w:lvlText w:val="☐"/>
      <w:numFmt w:val="bullet"/>
      <w:start w:val="1"/>
    </w:lvl>
  </w:abstractNum>
  <w:abstractNum w:abstractNumId="1">
    <w:nsid w:val="3EB21819"/>
    <w:multiLevelType w:val="hybridMultilevel"/>
    <w:lvl w:ilvl="0">
      <w:lvlJc w:val="left"/>
      <w:lvlText w:val="†"/>
      <w:numFmt w:val="bullet"/>
      <w:start w:val="1"/>
    </w:lvl>
  </w:abstractNum>
  <w:abstractNum w:abstractNumId="2">
    <w:nsid w:val="41531DED"/>
    <w:multiLevelType w:val="hybridMultilevel"/>
    <w:lvl w:ilvl="0">
      <w:lvlJc w:val="left"/>
      <w:lvlText w:val="A"/>
      <w:numFmt w:val="bullet"/>
      <w:start w:val="1"/>
    </w:lvl>
  </w:abstractNum>
  <w:abstractNum w:abstractNumId="3">
    <w:nsid w:val="6353CD2"/>
    <w:multiLevelType w:val="hybridMultilevel"/>
    <w:lvl w:ilvl="0">
      <w:lvlJc w:val="left"/>
      <w:lvlText w:val="B"/>
      <w:numFmt w:val="bullet"/>
      <w:start w:val="1"/>
    </w:lvl>
  </w:abstractNum>
  <w:abstractNum w:abstractNumId="4">
    <w:nsid w:val="683CAAD3"/>
    <w:multiLevelType w:val="hybridMultilevel"/>
    <w:lvl w:ilvl="0">
      <w:lvlJc w:val="left"/>
      <w:lvlText w:val="C"/>
      <w:numFmt w:val="bullet"/>
      <w:start w:val="1"/>
    </w:lvl>
  </w:abstractNum>
  <w:abstractNum w:abstractNumId="5">
    <w:nsid w:val="313C7C99"/>
    <w:multiLevelType w:val="hybridMultilevel"/>
    <w:lvl w:ilvl="0">
      <w:lvlJc w:val="left"/>
      <w:lvlText w:val="D"/>
      <w:numFmt w:val="bullet"/>
      <w:start w:val="1"/>
    </w:lvl>
  </w:abstractNum>
  <w:abstractNum w:abstractNumId="6">
    <w:nsid w:val="519EB94C"/>
    <w:multiLevelType w:val="hybridMultilevel"/>
    <w:lvl w:ilvl="0">
      <w:lvlJc w:val="left"/>
      <w:lvlText w:val="E"/>
      <w:numFmt w:val="bullet"/>
      <w:start w:val="1"/>
    </w:lvl>
  </w:abstractNum>
  <w:abstractNum w:abstractNumId="7">
    <w:nsid w:val="39DF2579"/>
    <w:multiLevelType w:val="hybridMultilevel"/>
    <w:lvl w:ilvl="0">
      <w:lvlJc w:val="left"/>
      <w:lvlText w:val="F"/>
      <w:numFmt w:val="bullet"/>
      <w:start w:val="1"/>
    </w:lvl>
  </w:abstractNum>
  <w:abstractNum w:abstractNumId="8">
    <w:nsid w:val="126E008B"/>
    <w:multiLevelType w:val="hybridMultilevel"/>
    <w:lvl w:ilvl="0">
      <w:lvlJc w:val="left"/>
      <w:lvlText w:val="G"/>
      <w:numFmt w:val="bullet"/>
      <w:start w:val="1"/>
    </w:lvl>
  </w:abstractNum>
  <w:abstractNum w:abstractNumId="9">
    <w:nsid w:val="34DFBC00"/>
    <w:multiLevelType w:val="hybridMultilevel"/>
    <w:lvl w:ilvl="0">
      <w:lvlJc w:val="left"/>
      <w:lvlText w:val="H"/>
      <w:numFmt w:val="bullet"/>
      <w:start w:val="1"/>
    </w:lvl>
  </w:abstractNum>
  <w:abstractNum w:abstractNumId="10">
    <w:nsid w:val="1F9EC322"/>
    <w:multiLevelType w:val="hybridMultilevel"/>
    <w:lvl w:ilvl="0">
      <w:lvlJc w:val="left"/>
      <w:lvlText w:val="J"/>
      <w:numFmt w:val="bullet"/>
      <w:start w:val="1"/>
    </w:lvl>
  </w:abstractNum>
  <w:abstractNum w:abstractNumId="11">
    <w:nsid w:val="3410ED56"/>
    <w:multiLevelType w:val="hybridMultilevel"/>
    <w:lvl w:ilvl="0">
      <w:lvlJc w:val="left"/>
      <w:lvlText w:val="K"/>
      <w:numFmt w:val="bullet"/>
      <w:start w:val="1"/>
    </w:lvl>
  </w:abstractNum>
  <w:abstractNum w:abstractNumId="12">
    <w:nsid w:val="23C049A"/>
    <w:multiLevelType w:val="hybridMultilevel"/>
    <w:lvl w:ilvl="0">
      <w:lvlJc w:val="left"/>
      <w:lvlText w:val="L"/>
      <w:numFmt w:val="bullet"/>
      <w:start w:val="1"/>
    </w:lvl>
  </w:abstractNum>
  <w:abstractNum w:abstractNumId="13">
    <w:nsid w:val="5BDA35D4"/>
    <w:multiLevelType w:val="hybridMultilevel"/>
    <w:lvl w:ilvl="0">
      <w:lvlJc w:val="left"/>
      <w:lvlText w:val="M"/>
      <w:numFmt w:val="bullet"/>
      <w:start w:val="1"/>
    </w:lvl>
  </w:abstractNum>
  <w:abstractNum w:abstractNumId="14">
    <w:nsid w:val="496FB218"/>
    <w:multiLevelType w:val="hybridMultilevel"/>
    <w:lvl w:ilvl="0">
      <w:lvlJc w:val="left"/>
      <w:lvlText w:val="N"/>
      <w:numFmt w:val="bullet"/>
      <w:start w:val="1"/>
    </w:lvl>
  </w:abstractNum>
  <w:abstractNum w:abstractNumId="15">
    <w:nsid w:val="680EA5D1"/>
    <w:multiLevelType w:val="hybridMultilevel"/>
    <w:lvl w:ilvl="0">
      <w:lvlJc w:val="left"/>
      <w:lvlText w:val="(%1)"/>
      <w:numFmt w:val="decimal"/>
      <w:start w:val="1"/>
    </w:lvl>
  </w:abstractNum>
  <w:abstractNum w:abstractNumId="16">
    <w:nsid w:val="4A9554FE"/>
    <w:multiLevelType w:val="hybridMultilevel"/>
    <w:lvl w:ilvl="0">
      <w:lvlJc w:val="left"/>
      <w:lvlText w:val="(%1)"/>
      <w:numFmt w:val="decimal"/>
      <w:start w:val="3"/>
    </w:lvl>
  </w:abstractNum>
  <w:abstractNum w:abstractNumId="17">
    <w:nsid w:val="392EDBE4"/>
    <w:multiLevelType w:val="hybridMultilevel"/>
    <w:lvl w:ilvl="0">
      <w:lvlJc w:val="left"/>
      <w:lvlText w:val="(%1)"/>
      <w:numFmt w:val="decimal"/>
      <w:start w:val="1"/>
    </w:lvl>
  </w:abstractNum>
  <w:abstractNum w:abstractNumId="18">
    <w:nsid w:val="3D1A2DD9"/>
    <w:multiLevelType w:val="hybridMultilevel"/>
    <w:lvl w:ilvl="0">
      <w:lvlJc w:val="left"/>
      <w:lvlText w:val="(%1)"/>
      <w:numFmt w:val="lowerLetter"/>
      <w:start w:val="1"/>
    </w:lvl>
  </w:abstractNum>
  <w:abstractNum w:abstractNumId="19">
    <w:nsid w:val="7F618FCD"/>
    <w:multiLevelType w:val="hybridMultilevel"/>
    <w:lvl w:ilvl="0">
      <w:lvlJc w:val="left"/>
      <w:lvlText w:val="(%1)"/>
      <w:numFmt w:val="decimal"/>
      <w:start w:val="2"/>
    </w:lvl>
  </w:abstractNum>
  <w:abstractNum w:abstractNumId="20">
    <w:nsid w:val="7843E45"/>
    <w:multiLevelType w:val="hybridMultilevel"/>
    <w:lvl w:ilvl="0">
      <w:lvlJc w:val="left"/>
      <w:lvlText w:val="(%1)"/>
      <w:numFmt w:val="decimal"/>
      <w:start w:val="1"/>
    </w:lvl>
  </w:abstractNum>
  <w:abstractNum w:abstractNumId="21">
    <w:nsid w:val="9815DA3"/>
    <w:multiLevelType w:val="hybridMultilevel"/>
    <w:lvl w:ilvl="0">
      <w:lvlJc w:val="left"/>
      <w:lvlText w:val="(%1)"/>
      <w:numFmt w:val="decimal"/>
      <w:start w:val="1"/>
    </w:lvl>
  </w:abstractNum>
  <w:abstractNum w:abstractNumId="22">
    <w:nsid w:val="5204A191"/>
    <w:multiLevelType w:val="hybridMultilevel"/>
    <w:lvl w:ilvl="0">
      <w:lvlJc w:val="left"/>
      <w:lvlText w:val="(%1)"/>
      <w:numFmt w:val="decimal"/>
      <w:start w:val="2"/>
    </w:lvl>
  </w:abstractNum>
  <w:abstractNum w:abstractNumId="23">
    <w:nsid w:val="4C73A9C6"/>
    <w:multiLevelType w:val="hybridMultilevel"/>
    <w:lvl w:ilvl="0">
      <w:lvlJc w:val="left"/>
      <w:lvlText w:val="(%1)"/>
      <w:numFmt w:val="lowerRoman"/>
      <w:start w:val="1"/>
    </w:lvl>
  </w:abstractNum>
  <w:abstractNum w:abstractNumId="24">
    <w:nsid w:val="1C7E3C01"/>
    <w:multiLevelType w:val="hybridMultilevel"/>
    <w:lvl w:ilvl="0">
      <w:lvlJc w:val="left"/>
      <w:lvlText w:val="(%1)"/>
      <w:numFmt w:val="lowerLetter"/>
      <w:start w:val="2"/>
    </w:lvl>
  </w:abstractNum>
  <w:abstractNum w:abstractNumId="25">
    <w:nsid w:val="1C2201FF"/>
    <w:multiLevelType w:val="hybridMultilevel"/>
    <w:lvl w:ilvl="0">
      <w:lvlJc w:val="left"/>
      <w:lvlText w:val="(%1)"/>
      <w:numFmt w:val="decimal"/>
      <w:start w:val="1"/>
    </w:lvl>
  </w:abstractNum>
  <w:abstractNum w:abstractNumId="26">
    <w:nsid w:val="50ABCEC9"/>
    <w:multiLevelType w:val="hybridMultilevel"/>
    <w:lvl w:ilvl="0">
      <w:lvlJc w:val="left"/>
      <w:lvlText w:val="(%1)"/>
      <w:numFmt w:val="lowerRoman"/>
      <w:start w:val="6"/>
    </w:lvl>
  </w:abstractNum>
  <w:abstractNum w:abstractNumId="27">
    <w:nsid w:val="7635AA2A"/>
    <w:multiLevelType w:val="hybridMultilevel"/>
    <w:lvl w:ilvl="0">
      <w:lvlJc w:val="left"/>
      <w:lvlText w:val="(%1)"/>
      <w:numFmt w:val="lowerLetter"/>
      <w:start w:val="9"/>
    </w:lvl>
  </w:abstractNum>
  <w:abstractNum w:abstractNumId="28">
    <w:nsid w:val="5E74C4D9"/>
    <w:multiLevelType w:val="hybridMultilevel"/>
    <w:lvl w:ilvl="0">
      <w:lvlJc w:val="left"/>
      <w:lvlText w:val="(%1)"/>
      <w:numFmt w:val="lowerLetter"/>
      <w:start w:val="4"/>
    </w:lvl>
  </w:abstractNum>
  <w:abstractNum w:abstractNumId="29">
    <w:nsid w:val="3B3EBE15"/>
    <w:multiLevelType w:val="hybridMultilevel"/>
    <w:lvl w:ilvl="0">
      <w:lvlJc w:val="left"/>
      <w:lvlText w:val="(%1)"/>
      <w:numFmt w:val="upperLetter"/>
      <w:start w:val="1"/>
    </w:lvl>
  </w:abstractNum>
  <w:abstractNum w:abstractNumId="30">
    <w:nsid w:val="3822CB01"/>
    <w:multiLevelType w:val="hybridMultilevel"/>
    <w:lvl w:ilvl="0">
      <w:lvlJc w:val="left"/>
      <w:lvlText w:val="(%1)"/>
      <w:numFmt w:val="lowerLetter"/>
      <w:start w:val="2"/>
    </w:lvl>
  </w:abstractNum>
  <w:abstractNum w:abstractNumId="31">
    <w:nsid w:val="6CE00443"/>
    <w:multiLevelType w:val="hybridMultilevel"/>
    <w:lvl w:ilvl="0">
      <w:lvlJc w:val="left"/>
      <w:lvlText w:val="(%1)"/>
      <w:numFmt w:val="lowerLetter"/>
      <w:start w:val="1"/>
    </w:lvl>
  </w:abstractNum>
  <w:abstractNum w:abstractNumId="32">
    <w:nsid w:val="79F0D62F"/>
    <w:multiLevelType w:val="hybridMultilevel"/>
    <w:lvl w:ilvl="0">
      <w:lvlJc w:val="left"/>
      <w:lvlText w:val="(%1)"/>
      <w:numFmt w:val="lowerLetter"/>
      <w:start w:val="3"/>
    </w:lvl>
  </w:abstractNum>
  <w:abstractNum w:abstractNumId="33">
    <w:nsid w:val="7975E8EE"/>
    <w:multiLevelType w:val="hybridMultilevel"/>
    <w:lvl w:ilvl="0">
      <w:lvlJc w:val="left"/>
      <w:lvlText w:val="%1"/>
      <w:numFmt w:val="lowerRoman"/>
      <w:start w:val="1"/>
    </w:lvl>
    <w:lvl w:ilvl="1">
      <w:lvlJc w:val="left"/>
      <w:lvlText w:val="(%2)"/>
      <w:numFmt w:val="lowerLetter"/>
      <w:start w:val="10"/>
    </w:lvl>
  </w:abstractNum>
  <w:abstractNum w:abstractNumId="34">
    <w:nsid w:val="73154115"/>
    <w:multiLevelType w:val="hybridMultilevel"/>
    <w:lvl w:ilvl="0">
      <w:lvlJc w:val="left"/>
      <w:lvlText w:val="(%1)"/>
      <w:numFmt w:val="lowerRoman"/>
      <w:start w:val="8"/>
    </w:lvl>
    <w:lvl w:ilvl="1">
      <w:lvlJc w:val="left"/>
      <w:lvlText w:val="(%2)"/>
      <w:numFmt w:val="lowerLetter"/>
      <w:start w:val="18"/>
    </w:lvl>
  </w:abstractNum>
  <w:abstractNum w:abstractNumId="35">
    <w:nsid w:val="622D8102"/>
    <w:multiLevelType w:val="hybridMultilevel"/>
    <w:lvl w:ilvl="0">
      <w:lvlJc w:val="left"/>
      <w:lvlText w:val="(%1)"/>
      <w:numFmt w:val="lowerLetter"/>
      <w:start w:val="20"/>
    </w:lvl>
  </w:abstractNum>
  <w:abstractNum w:abstractNumId="36">
    <w:nsid w:val="2AB26587"/>
    <w:multiLevelType w:val="hybridMultilevel"/>
    <w:lvl w:ilvl="0">
      <w:lvlJc w:val="left"/>
      <w:lvlText w:val="(%1)"/>
      <w:numFmt w:val="lowerRoman"/>
      <w:start w:val="2"/>
    </w:lvl>
  </w:abstractNum>
  <w:abstractNum w:abstractNumId="37">
    <w:nsid w:val="44B3FA61"/>
    <w:multiLevelType w:val="hybridMultilevel"/>
    <w:lvl w:ilvl="0">
      <w:lvlJc w:val="left"/>
      <w:lvlText w:val="%1"/>
      <w:numFmt w:val="lowerLetter"/>
      <w:start w:val="1"/>
    </w:lvl>
    <w:lvl w:ilvl="1">
      <w:lvlJc w:val="left"/>
      <w:lvlText w:val="(%2)"/>
      <w:numFmt w:val="lowerLetter"/>
      <w:start w:val="1"/>
    </w:lvl>
  </w:abstractNum>
  <w:abstractNum w:abstractNumId="38">
    <w:nsid w:val="1C0CA67C"/>
    <w:multiLevelType w:val="hybridMultilevel"/>
    <w:lvl w:ilvl="0">
      <w:lvlJc w:val="left"/>
      <w:lvlText w:val="(%1)"/>
      <w:numFmt w:val="lowerLetter"/>
      <w:start w:val="9"/>
    </w:lvl>
    <w:lvl w:ilvl="1">
      <w:lvlJc w:val="left"/>
      <w:lvlText w:val="(%2)"/>
      <w:numFmt w:val="lowerLetter"/>
      <w:start w:val="2"/>
    </w:lvl>
  </w:abstractNum>
  <w:abstractNum w:abstractNumId="39">
    <w:nsid w:val="3D206613"/>
    <w:multiLevelType w:val="hybridMultilevel"/>
    <w:lvl w:ilvl="0">
      <w:lvlJc w:val="left"/>
      <w:lvlText w:val="(%1)"/>
      <w:numFmt w:val="lowerLetter"/>
      <w:start w:val="1"/>
    </w:lvl>
  </w:abstractNum>
  <w:abstractNum w:abstractNumId="40">
    <w:nsid w:val="7993B662"/>
    <w:multiLevelType w:val="hybridMultilevel"/>
    <w:lvl w:ilvl="0">
      <w:lvlJc w:val="left"/>
      <w:lvlText w:val="(%1)"/>
      <w:numFmt w:val="lowerLetter"/>
      <w:start w:val="9"/>
    </w:lvl>
    <w:lvl w:ilvl="1">
      <w:lvlJc w:val="left"/>
      <w:lvlText w:val="(%2)"/>
      <w:numFmt w:val="lowerLetter"/>
      <w:start w:val="2"/>
    </w:lvl>
  </w:abstractNum>
  <w:abstractNum w:abstractNumId="41">
    <w:nsid w:val="3BAB699E"/>
    <w:multiLevelType w:val="hybridMultilevel"/>
    <w:lvl w:ilvl="0">
      <w:lvlJc w:val="left"/>
      <w:lvlText w:val="(%1)"/>
      <w:numFmt w:val="lowerLetter"/>
      <w:start w:val="61"/>
    </w:lvl>
    <w:lvl w:ilvl="1">
      <w:lvlJc w:val="left"/>
      <w:lvlText w:val="(%2)"/>
      <w:numFmt w:val="lowerLetter"/>
      <w:start w:val="2"/>
    </w:lvl>
  </w:abstractNum>
  <w:abstractNum w:abstractNumId="42">
    <w:nsid w:val="71315369"/>
    <w:multiLevelType w:val="hybridMultilevel"/>
    <w:lvl w:ilvl="0">
      <w:lvlJc w:val="left"/>
      <w:lvlText w:val="(%1)"/>
      <w:numFmt w:val="lowerLetter"/>
      <w:start w:val="2"/>
    </w:lvl>
  </w:abstractNum>
  <w:abstractNum w:abstractNumId="43">
    <w:nsid w:val="7BCFBAFC"/>
    <w:multiLevelType w:val="hybridMultilevel"/>
    <w:lvl w:ilvl="0">
      <w:lvlJc w:val="left"/>
      <w:lvlText w:val="(%1)"/>
      <w:numFmt w:val="lowerRoman"/>
      <w:start w:val="1"/>
    </w:lvl>
  </w:abstractNum>
  <w:abstractNum w:abstractNumId="44">
    <w:nsid w:val="17859F72"/>
    <w:multiLevelType w:val="hybridMultilevel"/>
    <w:lvl w:ilvl="0">
      <w:lvlJc w:val="left"/>
      <w:lvlText w:val="(%1)"/>
      <w:numFmt w:val="decimal"/>
      <w:start w:val="2"/>
    </w:lvl>
    <w:lvl w:ilvl="1">
      <w:lvlJc w:val="left"/>
      <w:lvlText w:val="(%2)"/>
      <w:numFmt w:val="lowerRoman"/>
      <w:start w:val="2"/>
    </w:lvl>
  </w:abstractNum>
  <w:abstractNum w:abstractNumId="45">
    <w:nsid w:val="3AA10581"/>
    <w:multiLevelType w:val="hybridMultilevel"/>
    <w:lvl w:ilvl="0">
      <w:lvlJc w:val="left"/>
      <w:lvlText w:val="(%1)"/>
      <w:numFmt w:val="lowerLetter"/>
      <w:start w:val="2"/>
    </w:lvl>
  </w:abstractNum>
  <w:abstractNum w:abstractNumId="46">
    <w:nsid w:val="63DE60CD"/>
    <w:multiLevelType w:val="hybridMultilevel"/>
    <w:lvl w:ilvl="0">
      <w:lvlJc w:val="left"/>
      <w:lvlText w:val="(%1)"/>
      <w:numFmt w:val="lowerLetter"/>
      <w:start w:val="5"/>
    </w:lvl>
  </w:abstractNum>
  <w:abstractNum w:abstractNumId="47">
    <w:nsid w:val="621AF471"/>
    <w:multiLevelType w:val="hybridMultilevel"/>
    <w:lvl w:ilvl="0">
      <w:lvlJc w:val="left"/>
      <w:lvlText w:val="(%1)"/>
      <w:numFmt w:val="lowerLetter"/>
      <w:start w:val="2"/>
    </w:lvl>
  </w:abstractNum>
  <w:abstractNum w:abstractNumId="48">
    <w:nsid w:val="73CFE165"/>
    <w:multiLevelType w:val="hybridMultilevel"/>
    <w:lvl w:ilvl="0">
      <w:lvlJc w:val="left"/>
      <w:lvlText w:val="(%1)"/>
      <w:numFmt w:val="lowerLetter"/>
      <w:start w:val="1"/>
    </w:lvl>
  </w:abstractNum>
  <w:abstractNum w:abstractNumId="49">
    <w:nsid w:val="20F88EA6"/>
    <w:multiLevelType w:val="hybridMultilevel"/>
    <w:lvl w:ilvl="0">
      <w:lvlJc w:val="left"/>
      <w:lvlText w:val="%1"/>
      <w:numFmt w:val="upperLetter"/>
      <w:start w:val="1"/>
    </w:lvl>
    <w:lvl w:ilvl="1">
      <w:lvlJc w:val="left"/>
      <w:lvlText w:val="(%2)"/>
      <w:numFmt w:val="lowerLetter"/>
      <w:start w:val="2"/>
    </w:lvl>
  </w:abstractNum>
  <w:abstractNum w:abstractNumId="50">
    <w:nsid w:val="617C843E"/>
    <w:multiLevelType w:val="hybridMultilevel"/>
    <w:lvl w:ilvl="0">
      <w:lvlJc w:val="left"/>
      <w:lvlText w:val="(%1)"/>
      <w:numFmt w:val="upperLetter"/>
      <w:start w:val="1"/>
    </w:lvl>
    <w:lvl w:ilvl="1">
      <w:lvlJc w:val="left"/>
      <w:lvlText w:val="%2"/>
      <w:numFmt w:val="lowerLetter"/>
      <w:start w:val="1"/>
    </w:lvl>
  </w:abstractNum>
  <w:abstractNum w:abstractNumId="51">
    <w:nsid w:val="7B541FAB"/>
    <w:multiLevelType w:val="hybridMultilevel"/>
    <w:lvl w:ilvl="0">
      <w:lvlJc w:val="left"/>
      <w:lvlText w:val="(%1)"/>
      <w:numFmt w:val="lowerLetter"/>
      <w:start w:val="4"/>
    </w:lvl>
  </w:abstractNum>
  <w:abstractNum w:abstractNumId="52">
    <w:nsid w:val="2A79EC49"/>
    <w:multiLevelType w:val="hybridMultilevel"/>
    <w:lvl w:ilvl="0">
      <w:lvlJc w:val="left"/>
      <w:lvlText w:val="(%1)"/>
      <w:numFmt w:val="lowerLetter"/>
      <w:start w:val="2"/>
    </w:lvl>
  </w:abstractNum>
  <w:abstractNum w:abstractNumId="53">
    <w:nsid w:val="338125CF"/>
    <w:multiLevelType w:val="hybridMultilevel"/>
    <w:lvl w:ilvl="0">
      <w:lvlJc w:val="left"/>
      <w:lvlText w:val="(%1)"/>
      <w:numFmt w:val="lowerLetter"/>
      <w:start w:val="2"/>
    </w:lvl>
  </w:abstractNum>
  <w:abstractNum w:abstractNumId="54">
    <w:nsid w:val="47C7C971"/>
    <w:multiLevelType w:val="hybridMultilevel"/>
    <w:lvl w:ilvl="0">
      <w:lvlJc w:val="left"/>
      <w:lvlText w:val="(%1)"/>
      <w:numFmt w:val="lowerLetter"/>
      <w:start w:val="2"/>
    </w:lvl>
  </w:abstractNum>
  <w:abstractNum w:abstractNumId="55">
    <w:nsid w:val="46F8284B"/>
    <w:multiLevelType w:val="hybridMultilevel"/>
    <w:lvl w:ilvl="0">
      <w:lvlJc w:val="left"/>
      <w:lvlText w:val="(%1)"/>
      <w:numFmt w:val="lowerLetter"/>
      <w:start w:val="6"/>
    </w:lvl>
  </w:abstractNum>
  <w:abstractNum w:abstractNumId="56">
    <w:nsid w:val="4FA327CE"/>
    <w:multiLevelType w:val="hybridMultilevel"/>
    <w:lvl w:ilvl="0">
      <w:lvlJc w:val="left"/>
      <w:lvlText w:val="(%1)"/>
      <w:numFmt w:val="lowerLetter"/>
      <w:start w:val="2"/>
    </w:lvl>
  </w:abstractNum>
  <w:abstractNum w:abstractNumId="57">
    <w:nsid w:val="1873983A"/>
    <w:multiLevelType w:val="hybridMultilevel"/>
    <w:lvl w:ilvl="0">
      <w:lvlJc w:val="left"/>
      <w:lvlText w:val="(%1)"/>
      <w:numFmt w:val="upperLetter"/>
      <w:start w:val="9"/>
    </w:lvl>
  </w:abstractNum>
  <w:abstractNum w:abstractNumId="58">
    <w:nsid w:val="3D2DD275"/>
    <w:multiLevelType w:val="hybridMultilevel"/>
    <w:lvl w:ilvl="0">
      <w:lvlJc w:val="left"/>
      <w:lvlText w:val="(%1)"/>
      <w:numFmt w:val="upperLetter"/>
      <w:start w:val="35"/>
    </w:lvl>
  </w:abstractNum>
  <w:abstractNum w:abstractNumId="59">
    <w:nsid w:val="2E17ECA7"/>
    <w:multiLevelType w:val="hybridMultilevel"/>
    <w:lvl w:ilvl="0">
      <w:lvlJc w:val="left"/>
      <w:lvlText w:val="%1"/>
      <w:numFmt w:val="lowerRoman"/>
      <w:start w:val="1"/>
    </w:lvl>
    <w:lvl w:ilvl="1">
      <w:lvlJc w:val="left"/>
      <w:lvlText w:val="(%2)"/>
      <w:numFmt w:val="upperLetter"/>
      <w:start w:val="61"/>
    </w:lvl>
  </w:abstractNum>
  <w:abstractNum w:abstractNumId="60">
    <w:nsid w:val="53B2564F"/>
    <w:multiLevelType w:val="hybridMultilevel"/>
    <w:lvl w:ilvl="0">
      <w:lvlJc w:val="left"/>
      <w:lvlText w:val="(%1)"/>
      <w:numFmt w:val="lowerRoman"/>
      <w:start w:val="2"/>
    </w:lvl>
    <w:lvl w:ilvl="1">
      <w:lvlJc w:val="left"/>
      <w:lvlText w:val="%2"/>
      <w:numFmt w:val="upperLetter"/>
      <w:start w:val="1"/>
    </w:lvl>
  </w:abstractNum>
  <w:abstractNum w:abstractNumId="61">
    <w:nsid w:val="75509D76"/>
    <w:multiLevelType w:val="hybridMultilevel"/>
    <w:lvl w:ilvl="0">
      <w:lvlJc w:val="left"/>
      <w:lvlText w:val="(%1)"/>
      <w:numFmt w:val="lowerLetter"/>
      <w:start w:val="2"/>
    </w:lvl>
  </w:abstractNum>
  <w:abstractNum w:abstractNumId="62">
    <w:nsid w:val="1AF7F0EA"/>
    <w:multiLevelType w:val="hybridMultilevel"/>
    <w:lvl w:ilvl="0">
      <w:lvlJc w:val="left"/>
      <w:lvlText w:val="(%1)"/>
      <w:numFmt w:val="lowerLetter"/>
      <w:start w:val="4"/>
    </w:lvl>
  </w:abstractNum>
  <w:abstractNum w:abstractNumId="63">
    <w:nsid w:val="4DA32C7E"/>
    <w:multiLevelType w:val="hybridMultilevel"/>
    <w:lvl w:ilvl="0">
      <w:lvlJc w:val="left"/>
      <w:lvlText w:val="(%1)"/>
      <w:numFmt w:val="lowerLetter"/>
      <w:start w:val="2"/>
    </w:lvl>
  </w:abstractNum>
  <w:abstractNum w:abstractNumId="64">
    <w:nsid w:val="6EC68664"/>
    <w:multiLevelType w:val="hybridMultilevel"/>
    <w:lvl w:ilvl="0">
      <w:lvlJc w:val="left"/>
      <w:lvlText w:val="(%1)"/>
      <w:numFmt w:val="lowerLetter"/>
      <w:start w:val="5"/>
    </w:lvl>
  </w:abstractNum>
  <w:abstractNum w:abstractNumId="65">
    <w:nsid w:val="E0D31FF"/>
    <w:multiLevelType w:val="hybridMultilevel"/>
    <w:lvl w:ilvl="0">
      <w:lvlJc w:val="left"/>
      <w:lvlText w:val="(%1)"/>
      <w:numFmt w:val="upperLetter"/>
      <w:start w:val="9"/>
    </w:lvl>
  </w:abstractNum>
  <w:abstractNum w:abstractNumId="66">
    <w:nsid w:val="2FD0AD81"/>
    <w:multiLevelType w:val="hybridMultilevel"/>
    <w:lvl w:ilvl="0">
      <w:lvlJc w:val="left"/>
      <w:lvlText w:val="(%1)"/>
      <w:numFmt w:val="upperLetter"/>
      <w:start w:val="35"/>
    </w:lvl>
  </w:abstractNum>
  <w:abstractNum w:abstractNumId="67">
    <w:nsid w:val="1978EBEB"/>
    <w:multiLevelType w:val="hybridMultilevel"/>
    <w:lvl w:ilvl="0">
      <w:lvlJc w:val="left"/>
      <w:lvlText w:val="(%1)"/>
      <w:numFmt w:val="lowerLetter"/>
      <w:start w:val="2"/>
    </w:lvl>
  </w:abstractNum>
  <w:abstractNum w:abstractNumId="68">
    <w:nsid w:val="52C12C61"/>
    <w:multiLevelType w:val="hybridMultilevel"/>
    <w:lvl w:ilvl="0">
      <w:lvlJc w:val="left"/>
      <w:lvlText w:val="(%1)"/>
      <w:numFmt w:val="lowerLetter"/>
      <w:start w:val="9"/>
    </w:lvl>
    <w:lvl w:ilvl="1">
      <w:lvlJc w:val="left"/>
      <w:lvlText w:val="(%2)"/>
      <w:numFmt w:val="lowerLetter"/>
      <w:start w:val="2"/>
    </w:lvl>
  </w:abstractNum>
  <w:abstractNum w:abstractNumId="69">
    <w:nsid w:val="4BDD53FD"/>
    <w:multiLevelType w:val="hybridMultilevel"/>
    <w:lvl w:ilvl="0">
      <w:lvlJc w:val="left"/>
      <w:lvlText w:val="(%1)"/>
      <w:numFmt w:val="lowerLetter"/>
      <w:start w:val="35"/>
    </w:lvl>
    <w:lvl w:ilvl="1">
      <w:lvlJc w:val="left"/>
      <w:lvlText w:val="%2"/>
      <w:numFmt w:val="lowerLetter"/>
      <w:start w:val="1"/>
    </w:lvl>
  </w:abstractNum>
  <w:abstractNum w:abstractNumId="70">
    <w:nsid w:val="569951FE"/>
    <w:multiLevelType w:val="hybridMultilevel"/>
    <w:lvl w:ilvl="0">
      <w:lvlJc w:val="left"/>
      <w:lvlText w:val="(%1)"/>
      <w:numFmt w:val="lowerLetter"/>
      <w:start w:val="4"/>
    </w:lvl>
  </w:abstractNum>
  <w:abstractNum w:abstractNumId="71">
    <w:nsid w:val="4C54E2C3"/>
    <w:multiLevelType w:val="hybridMultilevel"/>
    <w:lvl w:ilvl="0">
      <w:lvlJc w:val="left"/>
      <w:lvlText w:val="(%1)"/>
      <w:numFmt w:val="lowerLetter"/>
      <w:start w:val="5"/>
    </w:lvl>
  </w:abstractNum>
  <w:abstractNum w:abstractNumId="72">
    <w:nsid w:val="788BD9B"/>
    <w:multiLevelType w:val="hybridMultilevel"/>
    <w:lvl w:ilvl="0">
      <w:lvlJc w:val="left"/>
      <w:lvlText w:val="(%1)"/>
      <w:numFmt w:val="lowerRoman"/>
      <w:start w:val="3"/>
    </w:lvl>
  </w:abstractNum>
  <w:abstractNum w:abstractNumId="73">
    <w:nsid w:val="47CAA567"/>
    <w:multiLevelType w:val="hybridMultilevel"/>
    <w:lvl w:ilvl="0">
      <w:lvlJc w:val="left"/>
      <w:lvlText w:val="(%1)"/>
      <w:numFmt w:val="lowerLetter"/>
      <w:start w:val="1"/>
    </w:lvl>
  </w:abstractNum>
  <w:abstractNum w:abstractNumId="74">
    <w:nsid w:val="48249DBF"/>
    <w:multiLevelType w:val="hybridMultilevel"/>
    <w:lvl w:ilvl="0">
      <w:lvlJc w:val="left"/>
      <w:lvlText w:val="(%1)"/>
      <w:numFmt w:val="upperLetter"/>
      <w:start w:val="9"/>
    </w:lvl>
  </w:abstractNum>
  <w:abstractNum w:abstractNumId="75">
    <w:nsid w:val="1F0E5D0D"/>
    <w:multiLevelType w:val="hybridMultilevel"/>
    <w:lvl w:ilvl="0">
      <w:lvlJc w:val="left"/>
      <w:lvlText w:val="(%1)"/>
      <w:numFmt w:val="upperLetter"/>
      <w:start w:val="35"/>
    </w:lvl>
  </w:abstractNum>
  <w:abstractNum w:abstractNumId="76">
    <w:nsid w:val="26BAAE9"/>
    <w:multiLevelType w:val="hybridMultilevel"/>
    <w:lvl w:ilvl="0">
      <w:lvlJc w:val="left"/>
      <w:lvlText w:val="(%1)"/>
      <w:numFmt w:val="upperLetter"/>
      <w:start w:val="61"/>
    </w:lvl>
  </w:abstractNum>
  <w:abstractNum w:abstractNumId="77">
    <w:nsid w:val="2C02FE8C"/>
    <w:multiLevelType w:val="hybridMultilevel"/>
    <w:lvl w:ilvl="0">
      <w:lvlJc w:val="left"/>
      <w:lvlText w:val="(%1)"/>
      <w:numFmt w:val="upperLetter"/>
      <w:start w:val="22"/>
    </w:lvl>
  </w:abstractNum>
  <w:abstractNum w:abstractNumId="78">
    <w:nsid w:val="129517E"/>
    <w:multiLevelType w:val="hybridMultilevel"/>
    <w:lvl w:ilvl="0">
      <w:lvlJc w:val="left"/>
      <w:lvlText w:val="(%1)"/>
      <w:numFmt w:val="lowerLetter"/>
      <w:start w:val="4"/>
    </w:lvl>
  </w:abstractNum>
  <w:abstractNum w:abstractNumId="79">
    <w:nsid w:val="763B8C4E"/>
    <w:multiLevelType w:val="hybridMultilevel"/>
    <w:lvl w:ilvl="0">
      <w:lvlJc w:val="left"/>
      <w:lvlText w:val="(%1)"/>
      <w:numFmt w:val="lowerLetter"/>
      <w:start w:val="2"/>
    </w:lvl>
  </w:abstractNum>
  <w:abstractNum w:abstractNumId="80">
    <w:nsid w:val="4CFB8D32"/>
    <w:multiLevelType w:val="hybridMultilevel"/>
    <w:lvl w:ilvl="0">
      <w:lvlJc w:val="left"/>
      <w:lvlText w:val="(%1)"/>
      <w:numFmt w:val="upperLetter"/>
      <w:start w:val="4"/>
    </w:lvl>
  </w:abstractNum>
  <w:abstractNum w:abstractNumId="81">
    <w:nsid w:val="62A5D5BD"/>
    <w:multiLevelType w:val="hybridMultilevel"/>
    <w:lvl w:ilvl="0">
      <w:lvlJc w:val="left"/>
      <w:lvlText w:val="%1"/>
      <w:numFmt w:val="lowerLetter"/>
      <w:start w:val="1"/>
    </w:lvl>
    <w:lvl w:ilvl="1">
      <w:lvlJc w:val="left"/>
      <w:lvlText w:val="(%2)"/>
      <w:numFmt w:val="lowerLetter"/>
      <w:start w:val="2"/>
    </w:lvl>
  </w:abstractNum>
  <w:abstractNum w:abstractNumId="82">
    <w:nsid w:val="718FABF9"/>
    <w:multiLevelType w:val="hybridMultilevel"/>
    <w:lvl w:ilvl="0">
      <w:lvlJc w:val="left"/>
      <w:lvlText w:val="(%1)"/>
      <w:numFmt w:val="lowerLetter"/>
      <w:start w:val="9"/>
    </w:lvl>
    <w:lvl w:ilvl="1">
      <w:lvlJc w:val="left"/>
      <w:lvlText w:val="%2"/>
      <w:numFmt w:val="lowerLetter"/>
      <w:start w:val="1"/>
    </w:lvl>
  </w:abstractNum>
  <w:abstractNum w:abstractNumId="83">
    <w:nsid w:val="7775797C"/>
    <w:multiLevelType w:val="hybridMultilevel"/>
    <w:lvl w:ilvl="0">
      <w:lvlJc w:val="left"/>
      <w:lvlText w:val="(%1)"/>
      <w:numFmt w:val="lowerLetter"/>
      <w:start w:val="2"/>
    </w:lvl>
  </w:abstractNum>
  <w:abstractNum w:abstractNumId="84">
    <w:nsid w:val="1626FB8C"/>
    <w:multiLevelType w:val="hybridMultilevel"/>
    <w:lvl w:ilvl="0">
      <w:lvlJc w:val="left"/>
      <w:lvlText w:val="(%1)"/>
      <w:numFmt w:val="lowerLetter"/>
      <w:start w:val="2"/>
    </w:lvl>
  </w:abstractNum>
  <w:abstractNum w:abstractNumId="85">
    <w:nsid w:val="3957756A"/>
    <w:multiLevelType w:val="hybridMultilevel"/>
    <w:lvl w:ilvl="0">
      <w:lvlJc w:val="left"/>
      <w:lvlText w:val="(%1)"/>
      <w:numFmt w:val="lowerRoman"/>
      <w:start w:val="1"/>
    </w:lvl>
    <w:lvl w:ilvl="1">
      <w:lvlJc w:val="left"/>
      <w:lvlText w:val="(%2)"/>
      <w:numFmt w:val="upperLetter"/>
      <w:start w:val="1"/>
    </w:lvl>
  </w:abstractNum>
  <w:abstractNum w:abstractNumId="86">
    <w:nsid w:val="3E6DA1C7"/>
    <w:multiLevelType w:val="hybridMultilevel"/>
    <w:lvl w:ilvl="0">
      <w:lvlJc w:val="left"/>
      <w:lvlText w:val="(%1)"/>
      <w:numFmt w:val="lowerLetter"/>
      <w:start w:val="3"/>
    </w:lvl>
  </w:abstractNum>
  <w:abstractNum w:abstractNumId="87">
    <w:nsid w:val="65CA235B"/>
    <w:multiLevelType w:val="hybridMultilevel"/>
    <w:lvl w:ilvl="0">
      <w:lvlJc w:val="left"/>
      <w:lvlText w:val="(%1)"/>
      <w:numFmt w:val="lowerRoman"/>
      <w:start w:val="2"/>
    </w:lvl>
  </w:abstractNum>
  <w:abstractNum w:abstractNumId="88">
    <w:nsid w:val="51CB0DA4"/>
    <w:multiLevelType w:val="hybridMultilevel"/>
    <w:lvl w:ilvl="0">
      <w:lvlJc w:val="left"/>
      <w:lvlText w:val="%1"/>
      <w:numFmt w:val="upperLetter"/>
      <w:start w:val="1"/>
    </w:lvl>
    <w:lvl w:ilvl="1">
      <w:lvlJc w:val="left"/>
      <w:lvlText w:val="(%2)"/>
      <w:numFmt w:val="lowerLetter"/>
      <w:start w:val="4"/>
    </w:lvl>
  </w:abstractNum>
  <w:abstractNum w:abstractNumId="89">
    <w:nsid w:val="7B9B743C"/>
    <w:multiLevelType w:val="hybridMultilevel"/>
    <w:lvl w:ilvl="0">
      <w:lvlJc w:val="left"/>
      <w:lvlText w:val="(%1)"/>
      <w:numFmt w:val="upperLetter"/>
      <w:start w:val="1"/>
    </w:lvl>
    <w:lvl w:ilvl="1">
      <w:lvlJc w:val="left"/>
      <w:lvlText w:val="(%2)"/>
      <w:numFmt w:val="lowerLetter"/>
      <w:start w:val="35"/>
    </w:lvl>
  </w:abstractNum>
  <w:abstractNum w:abstractNumId="90">
    <w:nsid w:val="13E21002"/>
    <w:multiLevelType w:val="hybridMultilevel"/>
    <w:lvl w:ilvl="0">
      <w:lvlJc w:val="left"/>
      <w:lvlText w:val="(%1)"/>
      <w:numFmt w:val="lowerLetter"/>
      <w:start w:val="5"/>
    </w:lvl>
  </w:abstractNum>
  <w:abstractNum w:abstractNumId="91">
    <w:nsid w:val="257D63F4"/>
    <w:multiLevelType w:val="hybridMultilevel"/>
    <w:lvl w:ilvl="0">
      <w:lvlJc w:val="left"/>
      <w:lvlText w:val="(%1)"/>
      <w:numFmt w:val="lowerRoman"/>
      <w:start w:val="2"/>
    </w:lvl>
    <w:lvl w:ilvl="1">
      <w:lvlJc w:val="left"/>
      <w:lvlText w:val="(%2)"/>
      <w:numFmt w:val="upperLetter"/>
      <w:start w:val="1"/>
    </w:lvl>
  </w:abstractNum>
  <w:abstractNum w:abstractNumId="92">
    <w:nsid w:val="70EC11B2"/>
    <w:multiLevelType w:val="hybridMultilevel"/>
    <w:lvl w:ilvl="0">
      <w:lvlJc w:val="left"/>
      <w:lvlText w:val="(%1)"/>
      <w:numFmt w:val="lowerLetter"/>
      <w:start w:val="6"/>
    </w:lvl>
    <w:lvl w:ilvl="1">
      <w:lvlJc w:val="left"/>
      <w:lvlText w:val="(%2)"/>
      <w:numFmt w:val="upperLetter"/>
      <w:start w:val="1"/>
    </w:lvl>
  </w:abstractNum>
  <w:abstractNum w:abstractNumId="93">
    <w:nsid w:val="2EDA00ED"/>
    <w:multiLevelType w:val="hybridMultilevel"/>
    <w:lvl w:ilvl="0">
      <w:lvlJc w:val="left"/>
      <w:lvlText w:val="%1"/>
      <w:numFmt w:val="lowerLetter"/>
      <w:start w:val="1"/>
    </w:lvl>
    <w:lvl w:ilvl="1">
      <w:lvlJc w:val="left"/>
      <w:lvlText w:val="(%2)"/>
      <w:numFmt w:val="upperLetter"/>
      <w:start w:val="2"/>
    </w:lvl>
  </w:abstractNum>
  <w:abstractNum w:abstractNumId="94">
    <w:nsid w:val="73209072"/>
    <w:multiLevelType w:val="hybridMultilevel"/>
    <w:lvl w:ilvl="0">
      <w:lvlJc w:val="left"/>
      <w:lvlText w:val="(%1)"/>
      <w:numFmt w:val="lowerLetter"/>
      <w:start w:val="8"/>
    </w:lvl>
    <w:lvl w:ilvl="1">
      <w:lvlJc w:val="left"/>
      <w:lvlText w:val="%2"/>
      <w:numFmt w:val="upperLetter"/>
      <w:start w:val="1"/>
    </w:lvl>
  </w:abstractNum>
  <w:abstractNum w:abstractNumId="95">
    <w:nsid w:val="5FB29816"/>
    <w:multiLevelType w:val="hybridMultilevel"/>
    <w:lvl w:ilvl="0">
      <w:lvlJc w:val="left"/>
      <w:lvlText w:val="%1"/>
      <w:numFmt w:val="lowerLetter"/>
      <w:start w:val="1"/>
    </w:lvl>
    <w:lvl w:ilvl="1">
      <w:lvlJc w:val="left"/>
      <w:lvlText w:val="(%2)"/>
      <w:numFmt w:val="lowerLetter"/>
      <w:start w:val="2"/>
    </w:lvl>
  </w:abstractNum>
  <w:abstractNum w:abstractNumId="96">
    <w:nsid w:val="3CE732EC"/>
    <w:multiLevelType w:val="hybridMultilevel"/>
    <w:lvl w:ilvl="0">
      <w:lvlJc w:val="left"/>
      <w:lvlText w:val="(%1)"/>
      <w:numFmt w:val="lowerLetter"/>
      <w:start w:val="9"/>
    </w:lvl>
    <w:lvl w:ilvl="1">
      <w:lvlJc w:val="left"/>
      <w:lvlText w:val="%2"/>
      <w:numFmt w:val="lowerLetter"/>
      <w:start w:val="1"/>
    </w:lvl>
  </w:abstractNum>
  <w:abstractNum w:abstractNumId="97">
    <w:nsid w:val="22F13DF3"/>
    <w:multiLevelType w:val="hybridMultilevel"/>
    <w:lvl w:ilvl="0">
      <w:lvlJc w:val="left"/>
      <w:lvlText w:val="(%1)"/>
      <w:numFmt w:val="lowerLetter"/>
      <w:start w:val="24"/>
    </w:lvl>
    <w:lvl w:ilvl="1">
      <w:lvlJc w:val="left"/>
      <w:lvlText w:val="%2"/>
      <w:numFmt w:val="lowerLetter"/>
      <w:start w:val="1"/>
    </w:lvl>
  </w:abstractNum>
  <w:abstractNum w:abstractNumId="98">
    <w:nsid w:val="792B8401"/>
    <w:multiLevelType w:val="hybridMultilevel"/>
    <w:lvl w:ilvl="0">
      <w:lvlJc w:val="left"/>
      <w:lvlText w:val="%1"/>
      <w:numFmt w:val="lowerLetter"/>
      <w:start w:val="1"/>
    </w:lvl>
    <w:lvl w:ilvl="1">
      <w:lvlJc w:val="left"/>
      <w:lvlText w:val="(%2)"/>
      <w:numFmt w:val="lowerLetter"/>
      <w:start w:val="2"/>
    </w:lvl>
  </w:abstractNum>
  <w:abstractNum w:abstractNumId="99">
    <w:nsid w:val="FA85F4D"/>
    <w:multiLevelType w:val="hybridMultilevel"/>
    <w:lvl w:ilvl="0">
      <w:lvlJc w:val="left"/>
      <w:lvlText w:val="(%1)"/>
      <w:numFmt w:val="lowerLetter"/>
      <w:start w:val="61"/>
    </w:lvl>
    <w:lvl w:ilvl="1">
      <w:lvlJc w:val="left"/>
      <w:lvlText w:val="%2"/>
      <w:numFmt w:val="lowerLetter"/>
      <w:start w:val="1"/>
    </w:lvl>
  </w:abstractNum>
  <w:abstractNum w:abstractNumId="100">
    <w:nsid w:val="6ECE91F0"/>
    <w:multiLevelType w:val="hybridMultilevel"/>
    <w:lvl w:ilvl="0">
      <w:lvlJc w:val="left"/>
      <w:lvlText w:val="(%1)"/>
      <w:numFmt w:val="lowerLetter"/>
      <w:start w:val="2"/>
    </w:lvl>
  </w:abstractNum>
  <w:abstractNum w:abstractNumId="101">
    <w:nsid w:val="4FC4D600"/>
    <w:multiLevelType w:val="hybridMultilevel"/>
    <w:lvl w:ilvl="0">
      <w:lvlJc w:val="left"/>
      <w:lvlText w:val="(%1)"/>
      <w:numFmt w:val="lowerLetter"/>
      <w:start w:val="2"/>
    </w:lvl>
  </w:abstractNum>
  <w:abstractNum w:abstractNumId="102">
    <w:nsid w:val="5BFD4210"/>
    <w:multiLevelType w:val="hybridMultilevel"/>
    <w:lvl w:ilvl="0">
      <w:lvlJc w:val="left"/>
      <w:lvlText w:val="(%1)"/>
      <w:numFmt w:val="lowerLetter"/>
      <w:start w:val="2"/>
    </w:lvl>
  </w:abstractNum>
  <w:abstractNum w:abstractNumId="103">
    <w:nsid w:val="76574F8B"/>
    <w:multiLevelType w:val="hybridMultilevel"/>
    <w:lvl w:ilvl="0">
      <w:lvlJc w:val="left"/>
      <w:lvlText w:val="(%1)"/>
      <w:numFmt w:val="lowerLetter"/>
      <w:start w:val="4"/>
    </w:lvl>
  </w:abstractNum>
  <w:abstractNum w:abstractNumId="104">
    <w:nsid w:val="178F7B67"/>
    <w:multiLevelType w:val="hybridMultilevel"/>
    <w:lvl w:ilvl="0">
      <w:lvlJc w:val="left"/>
      <w:lvlText w:val="(%1)"/>
      <w:numFmt w:val="upperLetter"/>
      <w:start w:val="1"/>
    </w:lvl>
    <w:lvl w:ilvl="1">
      <w:lvlJc w:val="left"/>
      <w:lvlText w:val="(%2)"/>
      <w:numFmt w:val="lowerLetter"/>
      <w:start w:val="1"/>
    </w:lvl>
  </w:abstractNum>
  <w:abstractNum w:abstractNumId="105">
    <w:nsid w:val="2421DFCF"/>
    <w:multiLevelType w:val="hybridMultilevel"/>
    <w:lvl w:ilvl="0">
      <w:lvlJc w:val="left"/>
      <w:lvlText w:val="(%1)"/>
      <w:numFmt w:val="lowerLetter"/>
      <w:start w:val="4"/>
    </w:lvl>
  </w:abstractNum>
  <w:abstractNum w:abstractNumId="106">
    <w:nsid w:val="1565AC99"/>
    <w:multiLevelType w:val="hybridMultilevel"/>
    <w:lvl w:ilvl="0">
      <w:lvlJc w:val="left"/>
      <w:lvlText w:val="(%1)"/>
      <w:numFmt w:val="lowerLetter"/>
      <w:start w:val="1"/>
    </w:lvl>
  </w:abstractNum>
  <w:abstractNum w:abstractNumId="107">
    <w:nsid w:val="19FB2650"/>
    <w:multiLevelType w:val="hybridMultilevel"/>
    <w:lvl w:ilvl="0">
      <w:lvlJc w:val="left"/>
      <w:lvlText w:val="%1"/>
      <w:numFmt w:val="lowerLetter"/>
      <w:start w:val="1"/>
    </w:lvl>
    <w:lvl w:ilvl="1">
      <w:lvlJc w:val="left"/>
      <w:lvlText w:val="(%2)"/>
      <w:numFmt w:val="lowerLetter"/>
      <w:start w:val="1"/>
    </w:lvl>
  </w:abstractNum>
  <w:abstractNum w:abstractNumId="108">
    <w:nsid w:val="5024DE5B"/>
    <w:multiLevelType w:val="hybridMultilevel"/>
    <w:lvl w:ilvl="0">
      <w:lvlJc w:val="left"/>
      <w:lvlText w:val="(%1)"/>
      <w:numFmt w:val="lowerLetter"/>
      <w:start w:val="9"/>
    </w:lvl>
    <w:lvl w:ilvl="1">
      <w:lvlJc w:val="left"/>
      <w:lvlText w:val="(%2)"/>
      <w:numFmt w:val="lowerLetter"/>
      <w:start w:val="4"/>
    </w:lvl>
  </w:abstractNum>
  <w:abstractNum w:abstractNumId="109">
    <w:nsid w:val="168EFE17"/>
    <w:multiLevelType w:val="hybridMultilevel"/>
    <w:lvl w:ilvl="0">
      <w:lvlJc w:val="left"/>
      <w:lvlText w:val="(%1)"/>
      <w:numFmt w:val="lowerLetter"/>
      <w:start w:val="1"/>
    </w:lvl>
  </w:abstractNum>
  <w:abstractNum w:abstractNumId="110">
    <w:nsid w:val="1036B29F"/>
    <w:multiLevelType w:val="hybridMultilevel"/>
    <w:lvl w:ilvl="0">
      <w:lvlJc w:val="left"/>
      <w:lvlText w:val="%1"/>
      <w:numFmt w:val="lowerLetter"/>
      <w:start w:val="1"/>
    </w:lvl>
    <w:lvl w:ilvl="1">
      <w:lvlJc w:val="left"/>
      <w:lvlText w:val="(%2)"/>
      <w:numFmt w:val="lowerLetter"/>
      <w:start w:val="1"/>
    </w:lvl>
  </w:abstractNum>
  <w:abstractNum w:abstractNumId="111">
    <w:nsid w:val="1D206B8E"/>
    <w:multiLevelType w:val="hybridMultilevel"/>
    <w:lvl w:ilvl="0">
      <w:lvlJc w:val="left"/>
      <w:lvlText w:val="(%1)"/>
      <w:numFmt w:val="lowerLetter"/>
      <w:start w:val="23"/>
    </w:lvl>
    <w:lvl w:ilvl="1">
      <w:lvlJc w:val="left"/>
      <w:lvlText w:val="%2"/>
      <w:numFmt w:val="lowerLetter"/>
      <w:start w:val="1"/>
    </w:lvl>
  </w:abstractNum>
  <w:abstractNum w:abstractNumId="112">
    <w:nsid w:val="7934D3D4"/>
    <w:multiLevelType w:val="hybridMultilevel"/>
    <w:lvl w:ilvl="0">
      <w:lvlJc w:val="left"/>
      <w:lvlText w:val="(%1)"/>
      <w:numFmt w:val="lowerLetter"/>
      <w:start w:val="2"/>
    </w:lvl>
  </w:abstractNum>
  <w:abstractNum w:abstractNumId="113">
    <w:nsid w:val="1C65E98"/>
    <w:multiLevelType w:val="hybridMultilevel"/>
    <w:lvl w:ilvl="0">
      <w:lvlJc w:val="left"/>
      <w:lvlText w:val="(%1)"/>
      <w:numFmt w:val="upperLetter"/>
      <w:start w:val="2"/>
    </w:lvl>
  </w:abstractNum>
  <w:abstractNum w:abstractNumId="114">
    <w:nsid w:val="1495E50A"/>
    <w:multiLevelType w:val="hybridMultilevel"/>
    <w:lvl w:ilvl="0">
      <w:lvlJc w:val="left"/>
      <w:lvlText w:val="(%1)"/>
      <w:numFmt w:val="lowerLetter"/>
      <w:start w:val="1"/>
    </w:lvl>
  </w:abstractNum>
  <w:abstractNum w:abstractNumId="115">
    <w:nsid w:val="F5BCF61"/>
    <w:multiLevelType w:val="hybridMultilevel"/>
    <w:lvl w:ilvl="0">
      <w:lvlJc w:val="left"/>
      <w:lvlText w:val="(%1)"/>
      <w:numFmt w:val="lowerLetter"/>
      <w:start w:val="1"/>
    </w:lvl>
  </w:abstractNum>
  <w:abstractNum w:abstractNumId="116">
    <w:nsid w:val="3B1DD403"/>
    <w:multiLevelType w:val="hybridMultilevel"/>
    <w:lvl w:ilvl="0">
      <w:lvlJc w:val="left"/>
      <w:lvlText w:val="(%1)"/>
      <w:numFmt w:val="lowerRoman"/>
      <w:start w:val="10"/>
    </w:lvl>
  </w:abstractNum>
  <w:abstractNum w:abstractNumId="117">
    <w:nsid w:val="530386D1"/>
    <w:multiLevelType w:val="hybridMultilevel"/>
    <w:lvl w:ilvl="0">
      <w:lvlJc w:val="left"/>
      <w:lvlText w:val="(%1)"/>
      <w:numFmt w:val="lowerLetter"/>
      <w:start w:val="1"/>
    </w:lvl>
  </w:abstractNum>
  <w:abstractNum w:abstractNumId="118">
    <w:nsid w:val="7525F2BC"/>
    <w:multiLevelType w:val="hybridMultilevel"/>
    <w:lvl w:ilvl="0">
      <w:lvlJc w:val="left"/>
      <w:lvlText w:val="(%1)"/>
      <w:numFmt w:val="lowerLetter"/>
      <w:start w:val="8"/>
    </w:lvl>
  </w:abstractNum>
  <w:abstractNum w:abstractNumId="119">
    <w:nsid w:val="CE8E1A7"/>
    <w:multiLevelType w:val="hybridMultilevel"/>
    <w:lvl w:ilvl="0">
      <w:lvlJc w:val="left"/>
      <w:lvlText w:val="(%1)"/>
      <w:numFmt w:val="lowerRoman"/>
      <w:start w:val="2"/>
    </w:lvl>
  </w:abstractNum>
  <w:abstractNum w:abstractNumId="120">
    <w:nsid w:val="4E9EFB0D"/>
    <w:multiLevelType w:val="hybridMultilevel"/>
    <w:lvl w:ilvl="0">
      <w:lvlJc w:val="left"/>
      <w:lvlText w:val="(%1)"/>
      <w:numFmt w:val="lowerLetter"/>
      <w:start w:val="25"/>
    </w:lvl>
    <w:lvl w:ilvl="1">
      <w:lvlJc w:val="left"/>
      <w:lvlText w:val="(%2)"/>
      <w:numFmt w:val="lowerLetter"/>
      <w:start w:val="9"/>
    </w:lvl>
  </w:abstractNum>
  <w:abstractNum w:abstractNumId="121">
    <w:nsid w:val="90802B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22">
    <w:nsid w:val="3266459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23">
    <w:nsid w:val="3F8B0CBF"/>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24">
    <w:nsid w:val="37E203AB"/>
    <w:multiLevelType w:val="hybridMultilevel"/>
    <w:lvl w:ilvl="0">
      <w:lvlJc w:val="left"/>
      <w:lvlText w:val="%1"/>
      <w:numFmt w:val="lowerLetter"/>
      <w:start w:val="1"/>
    </w:lvl>
    <w:lvl w:ilvl="1">
      <w:lvlJc w:val="left"/>
      <w:lvlText w:val="(%2)"/>
      <w:numFmt w:val="lowerLetter"/>
      <w:start w:val="1"/>
    </w:lvl>
  </w:abstractNum>
  <w:abstractNum w:abstractNumId="125">
    <w:nsid w:val="2586D60E"/>
    <w:multiLevelType w:val="hybridMultilevel"/>
    <w:lvl w:ilvl="0">
      <w:lvlJc w:val="left"/>
      <w:lvlText w:val="(%1)"/>
      <w:numFmt w:val="lowerLetter"/>
      <w:start w:val="61"/>
    </w:lvl>
    <w:lvl w:ilvl="1">
      <w:lvlJc w:val="left"/>
      <w:lvlText w:val="%2"/>
      <w:numFmt w:val="lowerLetter"/>
      <w:start w:val="1"/>
    </w:lvl>
  </w:abstractNum>
  <w:abstractNum w:abstractNumId="126">
    <w:nsid w:val="1F3DA4D5"/>
    <w:multiLevelType w:val="hybridMultilevel"/>
    <w:lvl w:ilvl="0">
      <w:lvlJc w:val="left"/>
      <w:lvlText w:val="(%1)"/>
      <w:numFmt w:val="lowerLetter"/>
      <w:start w:val="2"/>
    </w:lvl>
  </w:abstractNum>
  <w:abstractNum w:abstractNumId="127">
    <w:nsid w:val="74C93698"/>
    <w:multiLevelType w:val="hybridMultilevel"/>
    <w:lvl w:ilvl="0">
      <w:lvlJc w:val="left"/>
      <w:lvlText w:val="(%1)"/>
      <w:numFmt w:val="upperLetter"/>
      <w:start w:val="9"/>
    </w:lvl>
  </w:abstractNum>
  <w:abstractNum w:abstractNumId="128">
    <w:nsid w:val="48781401"/>
    <w:multiLevelType w:val="hybridMultilevel"/>
    <w:lvl w:ilvl="0">
      <w:lvlJc w:val="left"/>
      <w:lvlText w:val="(%1)"/>
      <w:numFmt w:val="upperLetter"/>
      <w:start w:val="35"/>
    </w:lvl>
  </w:abstractNum>
  <w:abstractNum w:abstractNumId="129">
    <w:nsid w:val="186928D6"/>
    <w:multiLevelType w:val="hybridMultilevel"/>
    <w:lvl w:ilvl="0">
      <w:lvlJc w:val="left"/>
      <w:lvlText w:val="(%1)"/>
      <w:numFmt w:val="upperLetter"/>
      <w:start w:val="61"/>
    </w:lvl>
  </w:abstractNum>
  <w:abstractNum w:abstractNumId="130">
    <w:nsid w:val="47195E5"/>
    <w:multiLevelType w:val="hybridMultilevel"/>
    <w:lvl w:ilvl="0">
      <w:lvlJc w:val="left"/>
      <w:lvlText w:val="(%1)"/>
      <w:numFmt w:val="upperLetter"/>
      <w:start w:val="1"/>
    </w:lvl>
  </w:abstractNum>
  <w:abstractNum w:abstractNumId="131">
    <w:nsid w:val="3746A5F2"/>
    <w:multiLevelType w:val="hybridMultilevel"/>
    <w:lvl w:ilvl="0">
      <w:lvlJc w:val="left"/>
      <w:lvlText w:val="(%1)"/>
      <w:numFmt w:val="upperLetter"/>
      <w:start w:val="2"/>
    </w:lvl>
  </w:abstractNum>
  <w:abstractNum w:abstractNumId="132">
    <w:nsid w:val="682DFED6"/>
    <w:multiLevelType w:val="hybridMultilevel"/>
    <w:lvl w:ilvl="0">
      <w:lvlJc w:val="left"/>
      <w:lvlText w:val="(%1)"/>
      <w:numFmt w:val="lowerLetter"/>
      <w:start w:val="2"/>
    </w:lvl>
  </w:abstractNum>
  <w:abstractNum w:abstractNumId="133">
    <w:nsid w:val="606ED7F6"/>
    <w:multiLevelType w:val="hybridMultilevel"/>
    <w:lvl w:ilvl="0">
      <w:lvlJc w:val="left"/>
      <w:lvlText w:val="(%1)"/>
      <w:numFmt w:val="lowerLetter"/>
      <w:start w:val="3"/>
    </w:lvl>
  </w:abstractNum>
  <w:abstractNum w:abstractNumId="134">
    <w:nsid w:val="2D9DF57D"/>
    <w:multiLevelType w:val="hybridMultilevel"/>
    <w:lvl w:ilvl="0">
      <w:lvlJc w:val="left"/>
      <w:lvlText w:val="(%1)"/>
      <w:numFmt w:val="upperLetter"/>
      <w:start w:val="9"/>
    </w:lvl>
  </w:abstractNum>
  <w:abstractNum w:abstractNumId="135">
    <w:nsid w:val="7FBD7A3E"/>
    <w:multiLevelType w:val="hybridMultilevel"/>
    <w:lvl w:ilvl="0">
      <w:lvlJc w:val="left"/>
      <w:lvlText w:val="(%1)"/>
      <w:numFmt w:val="upperLetter"/>
      <w:start w:val="35"/>
    </w:lvl>
  </w:abstractNum>
  <w:abstractNum w:abstractNumId="136">
    <w:nsid w:val="490B7C5"/>
    <w:multiLevelType w:val="hybridMultilevel"/>
    <w:lvl w:ilvl="0">
      <w:lvlJc w:val="left"/>
      <w:lvlText w:val="(%1)"/>
      <w:numFmt w:val="lowerLetter"/>
      <w:start w:val="1"/>
    </w:lvl>
  </w:abstractNum>
  <w:abstractNum w:abstractNumId="137">
    <w:nsid w:val="4303A216"/>
    <w:multiLevelType w:val="hybridMultilevel"/>
    <w:lvl w:ilvl="0">
      <w:lvlJc w:val="left"/>
      <w:lvlText w:val="(%1)"/>
      <w:numFmt w:val="lowerLetter"/>
      <w:start w:val="1"/>
    </w:lvl>
  </w:abstractNum>
  <w:abstractNum w:abstractNumId="138">
    <w:nsid w:val="19B8A08E"/>
    <w:multiLevelType w:val="hybridMultilevel"/>
    <w:lvl w:ilvl="0">
      <w:lvlJc w:val="left"/>
      <w:lvlText w:val="(%1)"/>
      <w:numFmt w:val="lowerLetter"/>
      <w:start w:val="4"/>
    </w:lvl>
  </w:abstractNum>
  <w:abstractNum w:abstractNumId="139">
    <w:nsid w:val="54B59621"/>
    <w:multiLevelType w:val="hybridMultilevel"/>
    <w:lvl w:ilvl="0">
      <w:lvlJc w:val="left"/>
      <w:lvlText w:val="(%1)"/>
      <w:numFmt w:val="lowerLetter"/>
      <w:start w:val="1"/>
    </w:lvl>
    <w:lvl w:ilvl="1">
      <w:lvlJc w:val="left"/>
      <w:lvlText w:val="(%2)"/>
      <w:numFmt w:val="decimal"/>
      <w:start w:val="1"/>
    </w:lvl>
  </w:abstractNum>
  <w:abstractNum w:abstractNumId="140">
    <w:nsid w:val="5992A02E"/>
    <w:multiLevelType w:val="hybridMultilevel"/>
    <w:lvl w:ilvl="0">
      <w:lvlJc w:val="left"/>
      <w:lvlText w:val="(%1)"/>
      <w:numFmt w:val="decimal"/>
      <w:start w:val="2"/>
    </w:lvl>
  </w:abstractNum>
  <w:abstractNum w:abstractNumId="141">
    <w:nsid w:val="29EF532D"/>
    <w:multiLevelType w:val="hybridMultilevel"/>
    <w:lvl w:ilvl="0">
      <w:lvlJc w:val="left"/>
      <w:lvlText w:val="(%1)"/>
      <w:numFmt w:val="upperLetter"/>
      <w:start w:val="9"/>
    </w:lvl>
    <w:lvl w:ilvl="1">
      <w:lvlJc w:val="left"/>
      <w:lvlText w:val="(%2)"/>
      <w:numFmt w:val="upperLetter"/>
      <w:start w:val="1"/>
    </w:lvl>
  </w:abstractNum>
  <w:abstractNum w:abstractNumId="142">
    <w:nsid w:val="71D601AF"/>
    <w:multiLevelType w:val="hybridMultilevel"/>
    <w:lvl w:ilvl="0">
      <w:lvlJc w:val="left"/>
      <w:lvlText w:val="(%1)"/>
      <w:numFmt w:val="upperLetter"/>
      <w:start w:val="35"/>
    </w:lvl>
  </w:abstractNum>
  <w:abstractNum w:abstractNumId="143">
    <w:nsid w:val="52C77402"/>
    <w:multiLevelType w:val="hybridMultilevel"/>
    <w:lvl w:ilvl="0">
      <w:lvlJc w:val="left"/>
      <w:lvlText w:val="(%1)"/>
      <w:numFmt w:val="upperLetter"/>
      <w:start w:val="61"/>
    </w:lvl>
  </w:abstractNum>
  <w:abstractNum w:abstractNumId="144">
    <w:nsid w:val="2BB5B1C6"/>
    <w:multiLevelType w:val="hybridMultilevel"/>
    <w:lvl w:ilvl="0">
      <w:lvlJc w:val="left"/>
      <w:lvlText w:val="(%1)"/>
      <w:numFmt w:val="lowerLetter"/>
      <w:start w:val="2"/>
    </w:lvl>
  </w:abstractNum>
  <w:abstractNum w:abstractNumId="145">
    <w:nsid w:val="66BE6B9"/>
    <w:multiLevelType w:val="hybridMultilevel"/>
    <w:lvl w:ilvl="0">
      <w:lvlJc w:val="left"/>
      <w:lvlText w:val="(%1)"/>
      <w:numFmt w:val="upperLetter"/>
      <w:start w:val="9"/>
    </w:lvl>
    <w:lvl w:ilvl="1">
      <w:lvlJc w:val="left"/>
      <w:lvlText w:val="(%2)"/>
      <w:numFmt w:val="lowerLetter"/>
      <w:start w:val="3"/>
    </w:lvl>
  </w:abstractNum>
  <w:abstractNum w:abstractNumId="146">
    <w:nsid w:val="62234363"/>
    <w:multiLevelType w:val="hybridMultilevel"/>
    <w:lvl w:ilvl="0">
      <w:lvlJc w:val="left"/>
      <w:lvlText w:val="(%1)"/>
      <w:numFmt w:val="lowerLetter"/>
      <w:start w:val="1"/>
    </w:lvl>
  </w:abstractNum>
  <w:abstractNum w:abstractNumId="147">
    <w:nsid w:val="66D385C9"/>
    <w:multiLevelType w:val="hybridMultilevel"/>
    <w:lvl w:ilvl="0">
      <w:lvlJc w:val="left"/>
      <w:lvlText w:val="(%1)"/>
      <w:numFmt w:val="upperLetter"/>
      <w:start w:val="9"/>
    </w:lvl>
  </w:abstractNum>
  <w:abstractNum w:abstractNumId="148">
    <w:nsid w:val="596F6D8A"/>
    <w:multiLevelType w:val="hybridMultilevel"/>
    <w:lvl w:ilvl="0">
      <w:lvlJc w:val="left"/>
      <w:lvlText w:val="(%1)"/>
      <w:numFmt w:val="upperLetter"/>
      <w:start w:val="35"/>
    </w:lvl>
  </w:abstractNum>
  <w:abstractNum w:abstractNumId="149">
    <w:nsid w:val="5749361F"/>
    <w:multiLevelType w:val="hybridMultilevel"/>
    <w:lvl w:ilvl="0">
      <w:lvlJc w:val="left"/>
      <w:lvlText w:val="(%1)"/>
      <w:numFmt w:val="upperLetter"/>
      <w:start w:val="61"/>
    </w:lvl>
  </w:abstractNum>
  <w:abstractNum w:abstractNumId="150">
    <w:nsid w:val="73BC6770"/>
    <w:multiLevelType w:val="hybridMultilevel"/>
    <w:lvl w:ilvl="0">
      <w:lvlJc w:val="left"/>
      <w:lvlText w:val="(%1)"/>
      <w:numFmt w:val="lowerLetter"/>
      <w:start w:val="2"/>
    </w:lvl>
  </w:abstractNum>
  <w:abstractNum w:abstractNumId="151">
    <w:nsid w:val="280E6897"/>
    <w:multiLevelType w:val="hybridMultilevel"/>
    <w:lvl w:ilvl="0">
      <w:lvlJc w:val="left"/>
      <w:lvlText w:val="(%1)"/>
      <w:numFmt w:val="lowerLetter"/>
      <w:start w:val="1"/>
    </w:lvl>
  </w:abstractNum>
  <w:abstractNum w:abstractNumId="152">
    <w:nsid w:val="605138DE"/>
    <w:multiLevelType w:val="hybridMultilevel"/>
    <w:lvl w:ilvl="0">
      <w:lvlJc w:val="left"/>
      <w:lvlText w:val="(%1)"/>
      <w:numFmt w:val="lowerLetter"/>
      <w:start w:val="1"/>
    </w:lvl>
  </w:abstractNum>
  <w:abstractNum w:abstractNumId="153">
    <w:nsid w:val="2622AD0C"/>
    <w:multiLevelType w:val="hybridMultilevel"/>
    <w:lvl w:ilvl="0">
      <w:lvlJc w:val="left"/>
      <w:lvlText w:val="(%1)"/>
      <w:numFmt w:val="lowerLetter"/>
      <w:start w:val="4"/>
    </w:lvl>
  </w:abstractNum>
  <w:abstractNum w:abstractNumId="154">
    <w:nsid w:val="67997556"/>
    <w:multiLevelType w:val="hybridMultilevel"/>
    <w:lvl w:ilvl="0">
      <w:lvlJc w:val="left"/>
      <w:lvlText w:val="(%1)"/>
      <w:numFmt w:val="lowerLetter"/>
      <w:start w:val="1"/>
    </w:lvl>
  </w:abstractNum>
  <w:abstractNum w:abstractNumId="155">
    <w:nsid w:val="18333C89"/>
    <w:multiLevelType w:val="hybridMultilevel"/>
    <w:lvl w:ilvl="0">
      <w:lvlJc w:val="left"/>
      <w:lvlText w:val="%1"/>
      <w:numFmt w:val="upperLetter"/>
      <w:start w:val="1"/>
    </w:lvl>
    <w:lvl w:ilvl="1">
      <w:lvlJc w:val="left"/>
      <w:lvlText w:val="(%2)"/>
      <w:numFmt w:val="lowerLetter"/>
      <w:start w:val="2"/>
    </w:lvl>
  </w:abstractNum>
  <w:abstractNum w:abstractNumId="156">
    <w:nsid w:val="4BA9831A"/>
    <w:multiLevelType w:val="hybridMultilevel"/>
    <w:lvl w:ilvl="0">
      <w:lvlJc w:val="left"/>
      <w:lvlText w:val="(%1)"/>
      <w:numFmt w:val="upperLetter"/>
      <w:start w:val="9"/>
    </w:lvl>
    <w:lvl w:ilvl="1">
      <w:lvlJc w:val="left"/>
      <w:lvlText w:val="%2"/>
      <w:numFmt w:val="lowerLetter"/>
      <w:start w:val="1"/>
    </w:lvl>
  </w:abstractNum>
  <w:abstractNum w:abstractNumId="157">
    <w:nsid w:val="6D71A2B"/>
    <w:multiLevelType w:val="hybridMultilevel"/>
    <w:lvl w:ilvl="0">
      <w:lvlJc w:val="left"/>
      <w:lvlText w:val="(%1)"/>
      <w:numFmt w:val="upperLetter"/>
      <w:start w:val="35"/>
    </w:lvl>
  </w:abstractNum>
  <w:abstractNum w:abstractNumId="158">
    <w:nsid w:val="CFC7321"/>
    <w:multiLevelType w:val="hybridMultilevel"/>
    <w:lvl w:ilvl="0">
      <w:lvlJc w:val="left"/>
      <w:lvlText w:val="(%1)"/>
      <w:numFmt w:val="upperLetter"/>
      <w:start w:val="61"/>
    </w:lvl>
  </w:abstractNum>
  <w:abstractNum w:abstractNumId="159">
    <w:nsid w:val="1421971B"/>
    <w:multiLevelType w:val="hybridMultilevel"/>
    <w:lvl w:ilvl="0">
      <w:lvlJc w:val="left"/>
      <w:lvlText w:val="(%1)"/>
      <w:numFmt w:val="lowerRoman"/>
      <w:start w:val="2"/>
    </w:lvl>
  </w:abstractNum>
  <w:abstractNum w:abstractNumId="160">
    <w:nsid w:val="1F404301"/>
    <w:multiLevelType w:val="hybridMultilevel"/>
    <w:lvl w:ilvl="0">
      <w:lvlJc w:val="left"/>
      <w:lvlText w:val="(%1)"/>
      <w:numFmt w:val="lowerLetter"/>
      <w:start w:val="1"/>
    </w:lvl>
  </w:abstractNum>
  <w:abstractNum w:abstractNumId="161">
    <w:nsid w:val="116E0907"/>
    <w:multiLevelType w:val="hybridMultilevel"/>
    <w:lvl w:ilvl="0">
      <w:lvlJc w:val="left"/>
      <w:lvlText w:val="%1."/>
      <w:numFmt w:val="decimal"/>
      <w:start w:val="1"/>
    </w:lvl>
  </w:abstractNum>
  <w:abstractNum w:abstractNumId="162">
    <w:nsid w:val="4B683D0D"/>
    <w:multiLevelType w:val="hybridMultilevel"/>
    <w:lvl w:ilvl="0">
      <w:lvlJc w:val="left"/>
      <w:lvlText w:val="(%1)"/>
      <w:numFmt w:val="upperLetter"/>
      <w:start w:val="2"/>
    </w:lvl>
  </w:abstractNum>
  <w:abstractNum w:abstractNumId="163">
    <w:nsid w:val="76E41D8"/>
    <w:multiLevelType w:val="hybridMultilevel"/>
    <w:lvl w:ilvl="0">
      <w:lvlJc w:val="left"/>
      <w:lvlText w:val="1"/>
      <w:numFmt w:val="bullet"/>
      <w:start w:val="1"/>
    </w:lvl>
  </w:abstractNum>
  <w:abstractNum w:abstractNumId="164">
    <w:nsid w:val="71DCE0FD"/>
    <w:multiLevelType w:val="hybridMultilevel"/>
    <w:lvl w:ilvl="0">
      <w:lvlJc w:val="left"/>
      <w:lvlText w:val="2"/>
      <w:numFmt w:val="bullet"/>
      <w:start w:val="1"/>
    </w:lvl>
  </w:abstractNum>
  <w:abstractNum w:abstractNumId="165">
    <w:nsid w:val="7906328B"/>
    <w:multiLevelType w:val="hybridMultilevel"/>
    <w:lvl w:ilvl="0">
      <w:lvlJc w:val="left"/>
      <w:lvlText w:val="3"/>
      <w:numFmt w:val="bullet"/>
      <w:start w:val="1"/>
    </w:lvl>
  </w:abstractNum>
  <w:abstractNum w:abstractNumId="166">
    <w:nsid w:val="72BBC16"/>
    <w:multiLevelType w:val="hybridMultilevel"/>
    <w:lvl w:ilvl="0">
      <w:lvlJc w:val="left"/>
      <w:lvlText w:val="4"/>
      <w:numFmt w:val="bullet"/>
      <w:start w:val="1"/>
    </w:lvl>
  </w:abstractNum>
  <w:abstractNum w:abstractNumId="167">
    <w:nsid w:val="766D98C2"/>
    <w:multiLevelType w:val="hybridMultilevel"/>
    <w:lvl w:ilvl="0">
      <w:lvlJc w:val="left"/>
      <w:lvlText w:val="(%1)"/>
      <w:numFmt w:val="upperLetter"/>
      <w:start w:val="4"/>
    </w:lvl>
  </w:abstractNum>
  <w:abstractNum w:abstractNumId="168">
    <w:nsid w:val="3C09D4A1"/>
    <w:multiLevelType w:val="hybridMultilevel"/>
    <w:lvl w:ilvl="0">
      <w:lvlJc w:val="left"/>
      <w:lvlText w:val="5"/>
      <w:numFmt w:val="bullet"/>
      <w:start w:val="1"/>
    </w:lvl>
  </w:abstractNum>
  <w:abstractNum w:abstractNumId="169">
    <w:nsid w:val="20E45CA4"/>
    <w:multiLevelType w:val="hybridMultilevel"/>
    <w:lvl w:ilvl="0">
      <w:lvlJc w:val="left"/>
      <w:lvlText w:val="6"/>
      <w:numFmt w:val="bullet"/>
      <w:start w:val="1"/>
    </w:lvl>
  </w:abstractNum>
  <w:abstractNum w:abstractNumId="170">
    <w:nsid w:val="4B232EE3"/>
    <w:multiLevelType w:val="hybridMultilevel"/>
    <w:lvl w:ilvl="0">
      <w:lvlJc w:val="left"/>
      <w:lvlText w:val="(%1)"/>
      <w:numFmt w:val="upperLetter"/>
      <w:start w:val="2"/>
    </w:lvl>
  </w:abstractNum>
  <w:abstractNum w:abstractNumId="171">
    <w:nsid w:val="159C74CF"/>
    <w:multiLevelType w:val="hybridMultilevel"/>
    <w:lvl w:ilvl="0">
      <w:lvlJc w:val="left"/>
      <w:lvlText w:val="1"/>
      <w:numFmt w:val="bullet"/>
      <w:start w:val="1"/>
    </w:lvl>
  </w:abstractNum>
  <w:abstractNum w:abstractNumId="172">
    <w:nsid w:val="4AD3AFD2"/>
    <w:multiLevelType w:val="hybridMultilevel"/>
    <w:lvl w:ilvl="0">
      <w:lvlJc w:val="left"/>
      <w:lvlText w:val="2"/>
      <w:numFmt w:val="bullet"/>
      <w:start w:val="1"/>
    </w:lvl>
  </w:abstractNum>
  <w:abstractNum w:abstractNumId="173">
    <w:nsid w:val="3CF93092"/>
    <w:multiLevelType w:val="hybridMultilevel"/>
    <w:lvl w:ilvl="0">
      <w:lvlJc w:val="left"/>
      <w:lvlText w:val="3"/>
      <w:numFmt w:val="bullet"/>
      <w:start w:val="1"/>
    </w:lvl>
  </w:abstractNum>
  <w:abstractNum w:abstractNumId="174">
    <w:nsid w:val="6863E8D2"/>
    <w:multiLevelType w:val="hybridMultilevel"/>
    <w:lvl w:ilvl="0">
      <w:lvlJc w:val="left"/>
      <w:lvlText w:val="(%1)"/>
      <w:numFmt w:val="upperLetter"/>
      <w:start w:val="5"/>
    </w:lvl>
  </w:abstractNum>
  <w:abstractNum w:abstractNumId="175">
    <w:nsid w:val="76896198"/>
    <w:multiLevelType w:val="hybridMultilevel"/>
    <w:lvl w:ilvl="0">
      <w:lvlJc w:val="left"/>
      <w:lvlText w:val="1"/>
      <w:numFmt w:val="bullet"/>
      <w:start w:val="1"/>
    </w:lvl>
  </w:abstractNum>
  <w:abstractNum w:abstractNumId="176">
    <w:nsid w:val="4365174B"/>
    <w:multiLevelType w:val="hybridMultilevel"/>
    <w:lvl w:ilvl="0">
      <w:lvlJc w:val="left"/>
      <w:lvlText w:val="2"/>
      <w:numFmt w:val="bullet"/>
      <w:start w:val="1"/>
    </w:lvl>
  </w:abstractNum>
  <w:abstractNum w:abstractNumId="177">
    <w:nsid w:val="4A872C35"/>
    <w:multiLevelType w:val="hybridMultilevel"/>
    <w:lvl w:ilvl="0">
      <w:lvlJc w:val="left"/>
      <w:lvlText w:val="%1."/>
      <w:numFmt w:val="decimal"/>
      <w:start w:val="1"/>
    </w:lvl>
  </w:abstractNum>
  <w:abstractNum w:abstractNumId="178">
    <w:nsid w:val="5D5CE761"/>
    <w:multiLevelType w:val="hybridMultilevel"/>
    <w:lvl w:ilvl="0">
      <w:lvlJc w:val="left"/>
      <w:lvlText w:val="%1."/>
      <w:numFmt w:val="decimal"/>
      <w:start w:val="8"/>
    </w:lvl>
    <w:lvl w:ilvl="1">
      <w:lvlJc w:val="left"/>
      <w:lvlText w:val="(%2)"/>
      <w:numFmt w:val="lowerLetter"/>
      <w:start w:val="1"/>
    </w:lvl>
  </w:abstractNum>
  <w:abstractNum w:abstractNumId="179">
    <w:nsid w:val="1CD484D5"/>
    <w:multiLevelType w:val="hybridMultilevel"/>
    <w:lvl w:ilvl="0">
      <w:lvlJc w:val="left"/>
      <w:lvlText w:val="1"/>
      <w:numFmt w:val="bullet"/>
      <w:start w:val="1"/>
    </w:lvl>
  </w:abstractNum>
  <w:abstractNum w:abstractNumId="180">
    <w:nsid w:val="21D06255"/>
    <w:multiLevelType w:val="hybridMultilevel"/>
    <w:lvl w:ilvl="0">
      <w:lvlJc w:val="left"/>
      <w:lvlText w:val="(%1)"/>
      <w:numFmt w:val="lowerRoman"/>
      <w:start w:val="3"/>
    </w:lvl>
  </w:abstractNum>
  <w:abstractNum w:abstractNumId="181">
    <w:nsid w:val="51194ED1"/>
    <w:multiLevelType w:val="hybridMultilevel"/>
    <w:lvl w:ilvl="0">
      <w:lvlJc w:val="left"/>
      <w:lvlText w:val="%1."/>
      <w:numFmt w:val="decimal"/>
      <w:start w:val="1"/>
    </w:lvl>
  </w:abstractNum>
  <w:abstractNum w:abstractNumId="182">
    <w:nsid w:val="44E2ED6C"/>
    <w:multiLevelType w:val="hybridMultilevel"/>
    <w:lvl w:ilvl="0">
      <w:lvlJc w:val="left"/>
      <w:lvlText w:val="%1."/>
      <w:numFmt w:val="decimal"/>
      <w:start w:val="1"/>
    </w:lvl>
  </w:abstractNum>
  <w:abstractNum w:abstractNumId="183">
    <w:nsid w:val="2219B33"/>
    <w:multiLevelType w:val="hybridMultilevel"/>
    <w:lvl w:ilvl="0">
      <w:lvlJc w:val="left"/>
      <w:lvlText w:val="1"/>
      <w:numFmt w:val="bullet"/>
      <w:start w:val="1"/>
    </w:lvl>
  </w:abstractNum>
  <w:abstractNum w:abstractNumId="184">
    <w:nsid w:val="773BFBDD"/>
    <w:multiLevelType w:val="hybridMultilevel"/>
    <w:lvl w:ilvl="0">
      <w:lvlJc w:val="left"/>
      <w:lvlText w:val="%1."/>
      <w:numFmt w:val="decimal"/>
      <w:start w:val="1"/>
    </w:lvl>
  </w:abstractNum>
  <w:abstractNum w:abstractNumId="185">
    <w:nsid w:val="2C7C62C2"/>
    <w:multiLevelType w:val="hybridMultilevel"/>
    <w:lvl w:ilvl="0">
      <w:lvlJc w:val="left"/>
      <w:lvlText w:val="1"/>
      <w:numFmt w:val="bullet"/>
      <w:start w:val="1"/>
    </w:lvl>
  </w:abstractNum>
  <w:abstractNum w:abstractNumId="186">
    <w:nsid w:val="1A54D7BC"/>
    <w:multiLevelType w:val="hybridMultilevel"/>
    <w:lvl w:ilvl="0">
      <w:lvlJc w:val="left"/>
      <w:lvlText w:val="%1"/>
      <w:numFmt w:val="lowerLetter"/>
      <w:start w:val="1"/>
    </w:lvl>
    <w:lvl w:ilvl="1">
      <w:lvlJc w:val="left"/>
      <w:lvlText w:val="%2."/>
      <w:numFmt w:val="decimal"/>
      <w:start w:val="2"/>
    </w:lvl>
  </w:abstractNum>
  <w:abstractNum w:abstractNumId="187">
    <w:nsid w:val="42E57EF7"/>
    <w:multiLevelType w:val="hybridMultilevel"/>
    <w:lvl w:ilvl="0">
      <w:lvlJc w:val="left"/>
      <w:lvlText w:val="(%1)"/>
      <w:numFmt w:val="lowerLetter"/>
      <w:start w:val="2"/>
    </w:lvl>
    <w:lvl w:ilvl="1">
      <w:lvlJc w:val="left"/>
      <w:lvlText w:val="%2"/>
      <w:numFmt w:val="decimal"/>
      <w:start w:val="1"/>
    </w:lvl>
  </w:abstractNum>
  <w:abstractNum w:abstractNumId="188">
    <w:nsid w:val="33537CED"/>
    <w:multiLevelType w:val="hybridMultilevel"/>
    <w:lvl w:ilvl="0">
      <w:lvlJc w:val="left"/>
      <w:lvlText w:val="2"/>
      <w:numFmt w:val="bullet"/>
      <w:start w:val="1"/>
    </w:lvl>
  </w:abstractNum>
  <w:abstractNum w:abstractNumId="189">
    <w:nsid w:val="27514ADE"/>
    <w:multiLevelType w:val="hybridMultilevel"/>
    <w:lvl w:ilvl="0">
      <w:lvlJc w:val="left"/>
      <w:lvlText w:val="%1."/>
      <w:numFmt w:val="decimal"/>
      <w:start w:val="4"/>
    </w:lvl>
  </w:abstractNum>
  <w:abstractNum w:abstractNumId="190">
    <w:nsid w:val="57071613"/>
    <w:multiLevelType w:val="hybridMultilevel"/>
    <w:lvl w:ilvl="0">
      <w:lvlJc w:val="left"/>
      <w:lvlText w:val="3"/>
      <w:numFmt w:val="bullet"/>
      <w:start w:val="1"/>
    </w:lvl>
  </w:abstractNum>
  <w:abstractNum w:abstractNumId="191">
    <w:nsid w:val="5293BFEF"/>
    <w:multiLevelType w:val="hybridMultilevel"/>
    <w:lvl w:ilvl="0">
      <w:lvlJc w:val="left"/>
      <w:lvlText w:val="%1."/>
      <w:numFmt w:val="decimal"/>
      <w:start w:val="7"/>
    </w:lvl>
  </w:abstractNum>
  <w:abstractNum w:abstractNumId="192">
    <w:nsid w:val="38BF53E5"/>
    <w:multiLevelType w:val="hybridMultilevel"/>
    <w:lvl w:ilvl="0">
      <w:lvlJc w:val="left"/>
      <w:lvlText w:val="5"/>
      <w:numFmt w:val="bullet"/>
      <w:start w:val="1"/>
    </w:lvl>
  </w:abstractNum>
  <w:abstractNum w:abstractNumId="193">
    <w:nsid w:val="226F5320"/>
    <w:multiLevelType w:val="hybridMultilevel"/>
    <w:lvl w:ilvl="0">
      <w:lvlJc w:val="left"/>
      <w:lvlText w:val="(%1)"/>
      <w:numFmt w:val="lowerLetter"/>
      <w:start w:val="1"/>
    </w:lvl>
  </w:abstractNum>
  <w:abstractNum w:abstractNumId="194">
    <w:nsid w:val="5A0201C7"/>
    <w:multiLevelType w:val="hybridMultilevel"/>
    <w:lvl w:ilvl="0">
      <w:lvlJc w:val="left"/>
      <w:lvlText w:val="(%1)"/>
      <w:numFmt w:val="lowerLetter"/>
      <w:start w:val="4"/>
    </w:lvl>
  </w:abstractNum>
  <w:abstractNum w:abstractNumId="195">
    <w:nsid w:val="2A9C34E2"/>
    <w:multiLevelType w:val="hybridMultilevel"/>
    <w:lvl w:ilvl="0">
      <w:lvlJc w:val="left"/>
      <w:lvlText w:val="1"/>
      <w:numFmt w:val="bullet"/>
      <w:start w:val="1"/>
    </w:lvl>
  </w:abstractNum>
  <w:abstractNum w:abstractNumId="196">
    <w:nsid w:val="1B7585AB"/>
    <w:multiLevelType w:val="hybridMultilevel"/>
    <w:lvl w:ilvl="0">
      <w:lvlJc w:val="left"/>
      <w:lvlText w:val="%1."/>
      <w:numFmt w:val="decimal"/>
      <w:start w:val="1"/>
    </w:lvl>
  </w:abstractNum>
  <w:abstractNum w:abstractNumId="197">
    <w:nsid w:val="612DBDDD"/>
    <w:multiLevelType w:val="hybridMultilevel"/>
    <w:lvl w:ilvl="0">
      <w:lvlJc w:val="left"/>
      <w:lvlText w:val="(%1)"/>
      <w:numFmt w:val="lowerRoman"/>
      <w:start w:val="2"/>
    </w:lvl>
  </w:abstractNum>
  <w:abstractNum w:abstractNumId="198">
    <w:nsid w:val="2109CDA4"/>
    <w:multiLevelType w:val="hybridMultilevel"/>
    <w:lvl w:ilvl="0">
      <w:lvlJc w:val="left"/>
      <w:lvlText w:val="%1"/>
      <w:numFmt w:val="decimal"/>
      <w:start w:val="1"/>
    </w:lvl>
    <w:lvl w:ilvl="1">
      <w:lvlJc w:val="left"/>
      <w:lvlText w:val="%2."/>
      <w:numFmt w:val="decimal"/>
      <w:start w:val="1"/>
    </w:lvl>
  </w:abstractNum>
  <w:abstractNum w:abstractNumId="199">
    <w:nsid w:val="577F5A4D"/>
    <w:multiLevelType w:val="hybridMultilevel"/>
    <w:lvl w:ilvl="0">
      <w:lvlJc w:val="left"/>
      <w:lvlText w:val="(%1)"/>
      <w:numFmt w:val="upperLetter"/>
      <w:start w:val="1"/>
    </w:lvl>
  </w:abstractNum>
  <w:abstractNum w:abstractNumId="200">
    <w:nsid w:val="2121A81"/>
    <w:multiLevelType w:val="hybridMultilevel"/>
    <w:lvl w:ilvl="0">
      <w:lvlJc w:val="left"/>
      <w:lvlText w:val="(%1)"/>
      <w:numFmt w:val="upperLetter"/>
      <w:start w:val="2"/>
    </w:lvl>
  </w:abstractNum>
  <w:abstractNum w:abstractNumId="201">
    <w:nsid w:val="6C2CFC88"/>
    <w:multiLevelType w:val="hybridMultilevel"/>
    <w:lvl w:ilvl="0">
      <w:lvlJc w:val="left"/>
      <w:lvlText w:val="(%1)"/>
      <w:numFmt w:val="upperLetter"/>
      <w:start w:val="3"/>
    </w:lvl>
  </w:abstractNum>
  <w:abstractNum w:abstractNumId="202">
    <w:nsid w:val="6D1BCF1C"/>
    <w:multiLevelType w:val="hybridMultilevel"/>
    <w:lvl w:ilvl="0">
      <w:lvlJc w:val="left"/>
      <w:lvlText w:val="(%1)"/>
      <w:numFmt w:val="upperLetter"/>
      <w:start w:val="4"/>
    </w:lvl>
  </w:abstractNum>
  <w:abstractNum w:abstractNumId="203">
    <w:nsid w:val="4CE5CA53"/>
    <w:multiLevelType w:val="hybridMultilevel"/>
    <w:lvl w:ilvl="0">
      <w:lvlJc w:val="left"/>
      <w:lvlText w:val="(%1)"/>
      <w:numFmt w:val="upperLetter"/>
      <w:start w:val="5"/>
    </w:lvl>
  </w:abstractNum>
  <w:abstractNum w:abstractNumId="204">
    <w:nsid w:val="29262D1A"/>
    <w:multiLevelType w:val="hybridMultilevel"/>
    <w:lvl w:ilvl="0">
      <w:lvlJc w:val="left"/>
      <w:lvlText w:val="1"/>
      <w:numFmt w:val="bullet"/>
      <w:start w:val="1"/>
    </w:lvl>
  </w:abstractNum>
  <w:abstractNum w:abstractNumId="205">
    <w:nsid w:val="557FB7EE"/>
    <w:multiLevelType w:val="hybridMultilevel"/>
    <w:lvl w:ilvl="0">
      <w:lvlJc w:val="left"/>
      <w:lvlText w:val="(%1)"/>
      <w:numFmt w:val="upperLetter"/>
      <w:start w:val="1"/>
    </w:lvl>
  </w:abstractNum>
  <w:abstractNum w:abstractNumId="206">
    <w:nsid w:val="436F2BEB"/>
    <w:multiLevelType w:val="hybridMultilevel"/>
    <w:lvl w:ilvl="0">
      <w:lvlJc w:val="left"/>
      <w:lvlText w:val="(%1)"/>
      <w:numFmt w:val="upperLetter"/>
      <w:start w:val="2"/>
    </w:lvl>
  </w:abstractNum>
  <w:abstractNum w:abstractNumId="207">
    <w:nsid w:val="6C8B4466"/>
    <w:multiLevelType w:val="hybridMultilevel"/>
    <w:lvl w:ilvl="0">
      <w:lvlJc w:val="left"/>
      <w:lvlText w:val="(%1)"/>
      <w:numFmt w:val="upperLetter"/>
      <w:start w:val="3"/>
    </w:lvl>
  </w:abstractNum>
  <w:abstractNum w:abstractNumId="208">
    <w:nsid w:val="2006E424"/>
    <w:multiLevelType w:val="hybridMultilevel"/>
    <w:lvl w:ilvl="0">
      <w:lvlJc w:val="left"/>
      <w:lvlText w:val="(%1)"/>
      <w:numFmt w:val="upperLetter"/>
      <w:start w:val="4"/>
    </w:lvl>
  </w:abstractNum>
  <w:abstractNum w:abstractNumId="209">
    <w:nsid w:val="20CC134C"/>
    <w:multiLevelType w:val="hybridMultilevel"/>
    <w:lvl w:ilvl="0">
      <w:lvlJc w:val="left"/>
      <w:lvlText w:val="(%1)"/>
      <w:numFmt w:val="upperLetter"/>
      <w:start w:val="5"/>
    </w:lvl>
  </w:abstractNum>
  <w:abstractNum w:abstractNumId="210">
    <w:nsid w:val="95FC93B"/>
    <w:multiLevelType w:val="hybridMultilevel"/>
    <w:lvl w:ilvl="0">
      <w:lvlJc w:val="left"/>
      <w:lvlText w:val="1"/>
      <w:numFmt w:val="bullet"/>
      <w:start w:val="1"/>
    </w:lvl>
  </w:abstractNum>
  <w:abstractNum w:abstractNumId="211">
    <w:nsid w:val="41D74679"/>
    <w:multiLevelType w:val="hybridMultilevel"/>
    <w:lvl w:ilvl="0">
      <w:lvlJc w:val="left"/>
      <w:lvlText w:val="1"/>
      <w:numFmt w:val="bullet"/>
      <w:start w:val="1"/>
    </w:lvl>
  </w:abstractNum>
  <w:abstractNum w:abstractNumId="212">
    <w:nsid w:val="71E5621E"/>
    <w:multiLevelType w:val="hybridMultilevel"/>
    <w:lvl w:ilvl="0">
      <w:lvlJc w:val="left"/>
      <w:lvlText w:val="2"/>
      <w:numFmt w:val="bullet"/>
      <w:start w:val="1"/>
    </w:lvl>
  </w:abstractNum>
  <w:abstractNum w:abstractNumId="213">
    <w:nsid w:val="4E42B6A8"/>
    <w:multiLevelType w:val="hybridMultilevel"/>
    <w:lvl w:ilvl="0">
      <w:lvlJc w:val="left"/>
      <w:lvlText w:val="3"/>
      <w:numFmt w:val="bullet"/>
      <w:start w:val="1"/>
    </w:lvl>
  </w:abstractNum>
  <w:abstractNum w:abstractNumId="214">
    <w:nsid w:val="43F8E1AC"/>
    <w:multiLevelType w:val="hybridMultilevel"/>
    <w:lvl w:ilvl="0">
      <w:lvlJc w:val="left"/>
      <w:lvlText w:val="(%1)"/>
      <w:numFmt w:val="upperLetter"/>
      <w:start w:val="1"/>
    </w:lvl>
  </w:abstractNum>
  <w:abstractNum w:abstractNumId="215">
    <w:nsid w:val="69215DFB"/>
    <w:multiLevelType w:val="hybridMultilevel"/>
    <w:lvl w:ilvl="0">
      <w:lvlJc w:val="left"/>
      <w:lvlText w:val="4"/>
      <w:numFmt w:val="bullet"/>
      <w:start w:val="1"/>
    </w:lvl>
  </w:abstractNum>
  <w:abstractNum w:abstractNumId="216">
    <w:nsid w:val="7ABF196A"/>
    <w:multiLevelType w:val="hybridMultilevel"/>
    <w:lvl w:ilvl="0">
      <w:lvlJc w:val="left"/>
      <w:lvlText w:val="5"/>
      <w:numFmt w:val="bullet"/>
      <w:start w:val="1"/>
    </w:lvl>
  </w:abstractNum>
  <w:abstractNum w:abstractNumId="217">
    <w:nsid w:val="5E4DB968"/>
    <w:multiLevelType w:val="hybridMultilevel"/>
    <w:lvl w:ilvl="0">
      <w:lvlJc w:val="left"/>
      <w:lvlText w:val="6"/>
      <w:numFmt w:val="bullet"/>
      <w:start w:val="1"/>
    </w:lvl>
  </w:abstractNum>
  <w:abstractNum w:abstractNumId="218">
    <w:nsid w:val="2C06DCF3"/>
    <w:multiLevelType w:val="hybridMultilevel"/>
    <w:lvl w:ilvl="0">
      <w:lvlJc w:val="left"/>
      <w:lvlText w:val="(%1)"/>
      <w:numFmt w:val="upperLetter"/>
      <w:start w:val="5"/>
    </w:lvl>
  </w:abstractNum>
  <w:abstractNum w:abstractNumId="219">
    <w:nsid w:val="2E129658"/>
    <w:multiLevelType w:val="hybridMultilevel"/>
    <w:lvl w:ilvl="0">
      <w:lvlJc w:val="left"/>
      <w:lvlText w:val="7"/>
      <w:numFmt w:val="bullet"/>
      <w:start w:val="1"/>
    </w:lvl>
  </w:abstractNum>
  <w:abstractNum w:abstractNumId="220">
    <w:nsid w:val="59F0446"/>
    <w:multiLevelType w:val="hybridMultilevel"/>
    <w:lvl w:ilvl="0">
      <w:lvlJc w:val="left"/>
      <w:lvlText w:val="8"/>
      <w:numFmt w:val="bullet"/>
      <w:start w:val="1"/>
    </w:lvl>
  </w:abstractNum>
  <w:abstractNum w:abstractNumId="221">
    <w:nsid w:val="30DF306"/>
    <w:multiLevelType w:val="hybridMultilevel"/>
    <w:lvl w:ilvl="0">
      <w:lvlJc w:val="left"/>
      <w:lvlText w:val="9"/>
      <w:numFmt w:val="bullet"/>
      <w:start w:val="1"/>
    </w:lvl>
  </w:abstractNum>
  <w:abstractNum w:abstractNumId="222">
    <w:nsid w:val="A65647"/>
    <w:multiLevelType w:val="hybridMultilevel"/>
    <w:lvl w:ilvl="0">
      <w:lvlJc w:val="left"/>
      <w:lvlText w:val="%1"/>
      <w:numFmt w:val="decimal"/>
      <w:start w:val="10"/>
    </w:lvl>
  </w:abstractNum>
  <w:abstractNum w:abstractNumId="223">
    <w:nsid w:val="3E5E582B"/>
    <w:multiLevelType w:val="hybridMultilevel"/>
    <w:lvl w:ilvl="0">
      <w:lvlJc w:val="left"/>
      <w:lvlText w:val="%1."/>
      <w:numFmt w:val="decimal"/>
      <w:start w:val="1"/>
    </w:lvl>
  </w:abstractNum>
  <w:abstractNum w:abstractNumId="224">
    <w:nsid w:val="257D4626"/>
    <w:multiLevelType w:val="hybridMultilevel"/>
    <w:lvl w:ilvl="0">
      <w:lvlJc w:val="left"/>
      <w:lvlText w:val="%1."/>
      <w:numFmt w:val="decimal"/>
      <w:start w:val="2"/>
    </w:lvl>
  </w:abstractNum>
  <w:abstractNum w:abstractNumId="225">
    <w:nsid w:val="5AA8580E"/>
    <w:multiLevelType w:val="hybridMultilevel"/>
    <w:lvl w:ilvl="0">
      <w:lvlJc w:val="left"/>
      <w:lvlText w:val="%1"/>
      <w:numFmt w:val="decimal"/>
      <w:start w:val="1"/>
    </w:lvl>
    <w:lvl w:ilvl="1">
      <w:lvlJc w:val="left"/>
      <w:lvlText w:val="%2."/>
      <w:numFmt w:val="decimal"/>
      <w:start w:val="3"/>
    </w:lvl>
  </w:abstractNum>
  <w:abstractNum w:abstractNumId="226">
    <w:nsid w:val="68FA8D0D"/>
    <w:multiLevelType w:val="hybridMultilevel"/>
    <w:lvl w:ilvl="0">
      <w:lvlJc w:val="left"/>
      <w:lvlText w:val="%1."/>
      <w:numFmt w:val="decimal"/>
      <w:start w:val="4"/>
    </w:lvl>
    <w:lvl w:ilvl="1">
      <w:lvlJc w:val="left"/>
      <w:lvlText w:val="%2"/>
      <w:numFmt w:val="decimal"/>
      <w:start w:val="1"/>
    </w:lvl>
  </w:abstractNum>
  <w:abstractNum w:abstractNumId="227">
    <w:nsid w:val="40F2CBD2"/>
    <w:multiLevelType w:val="hybridMultilevel"/>
    <w:lvl w:ilvl="0">
      <w:lvlJc w:val="left"/>
      <w:lvlText w:val="(%1)"/>
      <w:numFmt w:val="decimal"/>
      <w:start w:val="1"/>
    </w:lvl>
  </w:abstractNum>
  <w:abstractNum w:abstractNumId="228">
    <w:nsid w:val="3BD615EB"/>
    <w:multiLevelType w:val="hybridMultilevel"/>
    <w:lvl w:ilvl="0">
      <w:lvlJc w:val="left"/>
      <w:lvlText w:val="(%1)"/>
      <w:numFmt w:val="decimal"/>
      <w:start w:val="1"/>
    </w:lvl>
  </w:abstractNum>
  <w:abstractNum w:abstractNumId="229">
    <w:nsid w:val="A045AB2"/>
    <w:multiLevelType w:val="hybridMultilevel"/>
    <w:lvl w:ilvl="0">
      <w:lvlJc w:val="left"/>
      <w:lvlText w:val="(%1)"/>
      <w:numFmt w:val="lowerLetter"/>
      <w:start w:val="1"/>
    </w:lvl>
  </w:abstractNum>
  <w:abstractNum w:abstractNumId="230">
    <w:nsid w:val="1872261F"/>
    <w:multiLevelType w:val="hybridMultilevel"/>
    <w:lvl w:ilvl="0">
      <w:lvlJc w:val="left"/>
      <w:lvlText w:val="(%1)"/>
      <w:numFmt w:val="lowerLetter"/>
      <w:start w:val="2"/>
    </w:lvl>
  </w:abstractNum>
  <w:abstractNum w:abstractNumId="231">
    <w:nsid w:val="3DE8306C"/>
    <w:multiLevelType w:val="hybridMultilevel"/>
    <w:lvl w:ilvl="0">
      <w:lvlJc w:val="left"/>
      <w:lvlText w:val="(%1)"/>
      <w:numFmt w:val="decimal"/>
      <w:start w:val="2"/>
    </w:lvl>
  </w:abstractNum>
  <w:abstractNum w:abstractNumId="232">
    <w:nsid w:val="7631573A"/>
    <w:multiLevelType w:val="hybridMultilevel"/>
    <w:lvl w:ilvl="0">
      <w:lvlJc w:val="left"/>
      <w:lvlText w:val="(%1)"/>
      <w:numFmt w:val="decimal"/>
      <w:start w:val="1"/>
    </w:lvl>
  </w:abstractNum>
  <w:abstractNum w:abstractNumId="233">
    <w:nsid w:val="58DF53B"/>
    <w:multiLevelType w:val="hybridMultilevel"/>
    <w:lvl w:ilvl="0">
      <w:lvlJc w:val="left"/>
      <w:lvlText w:val="(%1)"/>
      <w:numFmt w:val="decimal"/>
      <w:start w:val="4"/>
    </w:lvl>
  </w:abstractNum>
  <w:abstractNum w:abstractNumId="234">
    <w:nsid w:val="ACDFAC0"/>
    <w:multiLevelType w:val="hybridMultilevel"/>
    <w:lvl w:ilvl="0">
      <w:lvlJc w:val="left"/>
      <w:lvlText w:val="(%1)"/>
      <w:numFmt w:val="decimal"/>
      <w:start w:val="1"/>
    </w:lvl>
  </w:abstractNum>
  <w:abstractNum w:abstractNumId="235">
    <w:nsid w:val="1F578454"/>
    <w:multiLevelType w:val="hybridMultilevel"/>
    <w:lvl w:ilvl="0">
      <w:lvlJc w:val="left"/>
      <w:lvlText w:val="(%1)"/>
      <w:numFmt w:val="lowerLetter"/>
      <w:start w:val="6"/>
    </w:lvl>
  </w:abstractNum>
  <w:abstractNum w:abstractNumId="236">
    <w:nsid w:val="5B0DAD2A"/>
    <w:multiLevelType w:val="hybridMultilevel"/>
    <w:lvl w:ilvl="0">
      <w:lvlJc w:val="left"/>
      <w:lvlText w:val="(%1)"/>
      <w:numFmt w:val="lowerLetter"/>
      <w:start w:val="6"/>
    </w:lvl>
  </w:abstractNum>
  <w:abstractNum w:abstractNumId="237">
    <w:nsid w:val="4E3D26AB"/>
    <w:multiLevelType w:val="hybridMultilevel"/>
    <w:lvl w:ilvl="0">
      <w:lvlJc w:val="left"/>
      <w:lvlText w:val="(%1)"/>
      <w:numFmt w:val="lowerRoman"/>
      <w:start w:val="1"/>
    </w:lvl>
  </w:abstractNum>
  <w:abstractNum w:abstractNumId="238">
    <w:nsid w:val="BE2C8BA"/>
    <w:multiLevelType w:val="hybridMultilevel"/>
    <w:lvl w:ilvl="0">
      <w:lvlJc w:val="left"/>
      <w:lvlText w:val="(%1)"/>
      <w:numFmt w:val="lowerLetter"/>
      <w:start w:val="2"/>
    </w:lvl>
  </w:abstractNum>
  <w:abstractNum w:abstractNumId="239">
    <w:nsid w:val="7B14914E"/>
    <w:multiLevelType w:val="hybridMultilevel"/>
    <w:lvl w:ilvl="0">
      <w:lvlJc w:val="left"/>
      <w:lvlText w:val="(%1)"/>
      <w:numFmt w:val="decimal"/>
      <w:start w:val="1"/>
    </w:lvl>
  </w:abstractNum>
  <w:abstractNum w:abstractNumId="240">
    <w:nsid w:val="6F0939F8"/>
    <w:multiLevelType w:val="hybridMultilevel"/>
    <w:lvl w:ilvl="0">
      <w:lvlJc w:val="left"/>
      <w:lvlText w:val="(%1)"/>
      <w:numFmt w:val="lowerLetter"/>
      <w:start w:val="9"/>
    </w:lvl>
  </w:abstractNum>
  <w:abstractNum w:abstractNumId="241">
    <w:nsid w:val="154291F6"/>
    <w:multiLevelType w:val="hybridMultilevel"/>
    <w:lvl w:ilvl="0">
      <w:lvlJc w:val="left"/>
      <w:lvlText w:val="(%1)"/>
      <w:numFmt w:val="lowerLetter"/>
      <w:start w:val="4"/>
    </w:lvl>
  </w:abstractNum>
  <w:abstractNum w:abstractNumId="242">
    <w:nsid w:val="3CEBD7C7"/>
    <w:multiLevelType w:val="hybridMultilevel"/>
    <w:lvl w:ilvl="0">
      <w:lvlJc w:val="left"/>
      <w:lvlText w:val="(%1)"/>
      <w:numFmt w:val="lowerLetter"/>
      <w:start w:val="5"/>
    </w:lvl>
  </w:abstractNum>
  <w:abstractNum w:abstractNumId="243">
    <w:nsid w:val="60EE9C16"/>
    <w:multiLevelType w:val="hybridMultilevel"/>
    <w:lvl w:ilvl="0">
      <w:lvlJc w:val="left"/>
      <w:lvlText w:val="(%1)"/>
      <w:numFmt w:val="lowerRoman"/>
      <w:start w:val="10"/>
    </w:lvl>
    <w:lvl w:ilvl="1">
      <w:lvlJc w:val="left"/>
      <w:lvlText w:val="(%2)"/>
      <w:numFmt w:val="upperLetter"/>
      <w:start w:val="1"/>
    </w:lvl>
  </w:abstractNum>
  <w:abstractNum w:abstractNumId="244">
    <w:nsid w:val="6385489E"/>
    <w:multiLevelType w:val="hybridMultilevel"/>
    <w:lvl w:ilvl="0">
      <w:lvlJc w:val="left"/>
      <w:lvlText w:val="(%1)"/>
      <w:numFmt w:val="lowerLetter"/>
      <w:start w:val="2"/>
    </w:lvl>
  </w:abstractNum>
  <w:abstractNum w:abstractNumId="245">
    <w:nsid w:val="E4B973"/>
    <w:multiLevelType w:val="hybridMultilevel"/>
    <w:lvl w:ilvl="0">
      <w:lvlJc w:val="left"/>
      <w:lvlText w:val="(%1)"/>
      <w:numFmt w:val="lowerLetter"/>
      <w:start w:val="1"/>
    </w:lvl>
  </w:abstractNum>
  <w:abstractNum w:abstractNumId="246">
    <w:nsid w:val="4A0FFA11"/>
    <w:multiLevelType w:val="hybridMultilevel"/>
    <w:lvl w:ilvl="0">
      <w:lvlJc w:val="left"/>
      <w:lvlText w:val="(%1)"/>
      <w:numFmt w:val="lowerLetter"/>
      <w:start w:val="6"/>
    </w:lvl>
  </w:abstractNum>
  <w:abstractNum w:abstractNumId="247">
    <w:nsid w:val="5E446208"/>
    <w:multiLevelType w:val="hybridMultilevel"/>
    <w:lvl w:ilvl="0">
      <w:lvlJc w:val="left"/>
      <w:lvlText w:val="%1"/>
      <w:numFmt w:val="lowerRoman"/>
      <w:start w:val="1"/>
    </w:lvl>
    <w:lvl w:ilvl="1">
      <w:lvlJc w:val="left"/>
      <w:lvlText w:val="(%2)"/>
      <w:numFmt w:val="lowerLetter"/>
      <w:start w:val="14"/>
    </w:lvl>
  </w:abstractNum>
  <w:abstractNum w:abstractNumId="248">
    <w:nsid w:val="5F3272DB"/>
    <w:multiLevelType w:val="hybridMultilevel"/>
    <w:lvl w:ilvl="0">
      <w:lvlJc w:val="left"/>
      <w:lvlText w:val="(%1)"/>
      <w:numFmt w:val="lowerRoman"/>
      <w:start w:val="8"/>
    </w:lvl>
    <w:lvl w:ilvl="1">
      <w:lvlJc w:val="left"/>
      <w:lvlText w:val="(%2)"/>
      <w:numFmt w:val="lowerLetter"/>
      <w:start w:val="18"/>
    </w:lvl>
  </w:abstractNum>
  <w:abstractNum w:abstractNumId="249">
    <w:nsid w:val="7616D704"/>
    <w:multiLevelType w:val="hybridMultilevel"/>
    <w:lvl w:ilvl="0">
      <w:lvlJc w:val="left"/>
      <w:lvlText w:val="(%1)"/>
      <w:numFmt w:val="lowerLetter"/>
      <w:start w:val="24"/>
    </w:lvl>
  </w:abstractNum>
  <w:abstractNum w:abstractNumId="250">
    <w:nsid w:val="C56F860"/>
    <w:multiLevelType w:val="hybridMultilevel"/>
    <w:lvl w:ilvl="0">
      <w:lvlJc w:val="left"/>
      <w:lvlText w:val="%1"/>
      <w:numFmt w:val="lowerLetter"/>
      <w:start w:val="1"/>
    </w:lvl>
    <w:lvl w:ilvl="1">
      <w:lvlJc w:val="left"/>
      <w:lvlText w:val="(%2)"/>
      <w:numFmt w:val="lowerLetter"/>
      <w:start w:val="1"/>
    </w:lvl>
  </w:abstractNum>
  <w:abstractNum w:abstractNumId="251">
    <w:nsid w:val="64D17722"/>
    <w:multiLevelType w:val="hybridMultilevel"/>
    <w:lvl w:ilvl="0">
      <w:lvlJc w:val="left"/>
      <w:lvlText w:val="(%1)"/>
      <w:numFmt w:val="lowerLetter"/>
      <w:start w:val="9"/>
    </w:lvl>
    <w:lvl w:ilvl="1">
      <w:lvlJc w:val="left"/>
      <w:lvlText w:val="(%2)"/>
      <w:numFmt w:val="lowerLetter"/>
      <w:start w:val="2"/>
    </w:lvl>
  </w:abstractNum>
  <w:abstractNum w:abstractNumId="252">
    <w:nsid w:val="7924CA0A"/>
    <w:multiLevelType w:val="hybridMultilevel"/>
    <w:lvl w:ilvl="0">
      <w:lvlJc w:val="left"/>
      <w:lvlText w:val="(%1)"/>
      <w:numFmt w:val="lowerLetter"/>
      <w:start w:val="1"/>
    </w:lvl>
  </w:abstractNum>
  <w:abstractNum w:abstractNumId="253">
    <w:nsid w:val="CFD4EA7"/>
    <w:multiLevelType w:val="hybridMultilevel"/>
    <w:lvl w:ilvl="0">
      <w:lvlJc w:val="left"/>
      <w:lvlText w:val="(%1)"/>
      <w:numFmt w:val="lowerLetter"/>
      <w:start w:val="3"/>
    </w:lvl>
  </w:abstractNum>
  <w:abstractNum w:abstractNumId="254">
    <w:nsid w:val="232FCF4D"/>
    <w:multiLevelType w:val="hybridMultilevel"/>
    <w:lvl w:ilvl="0">
      <w:lvlJc w:val="left"/>
      <w:lvlText w:val="(%1)"/>
      <w:numFmt w:val="lowerLetter"/>
      <w:start w:val="1"/>
    </w:lvl>
  </w:abstractNum>
  <w:abstractNum w:abstractNumId="255">
    <w:nsid w:val="1EA21031"/>
    <w:multiLevelType w:val="hybridMultilevel"/>
    <w:lvl w:ilvl="0">
      <w:lvlJc w:val="left"/>
      <w:lvlText w:val="(%1)"/>
      <w:numFmt w:val="lowerLetter"/>
      <w:start w:val="1"/>
    </w:lvl>
  </w:abstractNum>
  <w:abstractNum w:abstractNumId="256">
    <w:nsid w:val="67A5A6B5"/>
    <w:multiLevelType w:val="hybridMultilevel"/>
    <w:lvl w:ilvl="0">
      <w:lvlJc w:val="left"/>
      <w:lvlText w:val="(%1)"/>
      <w:numFmt w:val="lowerLetter"/>
      <w:start w:val="3"/>
    </w:lvl>
  </w:abstractNum>
  <w:abstractNum w:abstractNumId="257">
    <w:nsid w:val="C2A5C5B"/>
    <w:multiLevelType w:val="hybridMultilevel"/>
    <w:lvl w:ilvl="0">
      <w:lvlJc w:val="left"/>
      <w:lvlText w:val="(%1)"/>
      <w:numFmt w:val="lowerLetter"/>
      <w:start w:val="1"/>
    </w:lvl>
  </w:abstractNum>
  <w:abstractNum w:abstractNumId="258">
    <w:nsid w:val="5F94DC03"/>
    <w:multiLevelType w:val="hybridMultilevel"/>
    <w:lvl w:ilvl="0">
      <w:lvlJc w:val="left"/>
      <w:lvlText w:val="(%1)"/>
      <w:numFmt w:val="lowerLetter"/>
      <w:start w:val="1"/>
    </w:lvl>
  </w:abstractNum>
  <w:abstractNum w:abstractNumId="259">
    <w:nsid w:val="237BBCA0"/>
    <w:multiLevelType w:val="hybridMultilevel"/>
    <w:lvl w:ilvl="0">
      <w:lvlJc w:val="left"/>
      <w:lvlText w:val="(%1)"/>
      <w:numFmt w:val="lowerLetter"/>
      <w:start w:val="1"/>
    </w:lvl>
  </w:abstractNum>
  <w:abstractNum w:abstractNumId="260">
    <w:nsid w:val="162EB70D"/>
    <w:multiLevelType w:val="hybridMultilevel"/>
    <w:lvl w:ilvl="0">
      <w:lvlJc w:val="left"/>
      <w:lvlText w:val="(%1)"/>
      <w:numFmt w:val="lowerLetter"/>
      <w:start w:val="2"/>
    </w:lvl>
  </w:abstractNum>
  <w:abstractNum w:abstractNumId="261">
    <w:nsid w:val="78070222"/>
    <w:multiLevelType w:val="hybridMultilevel"/>
    <w:lvl w:ilvl="0">
      <w:lvlJc w:val="left"/>
      <w:lvlText w:val="(%1)"/>
      <w:numFmt w:val="lowerLetter"/>
      <w:start w:val="1"/>
    </w:lvl>
  </w:abstractNum>
  <w:abstractNum w:abstractNumId="262">
    <w:nsid w:val="6163ED0D"/>
    <w:multiLevelType w:val="hybridMultilevel"/>
    <w:lvl w:ilvl="0">
      <w:lvlJc w:val="left"/>
      <w:lvlText w:val="(%1)"/>
      <w:numFmt w:val="lowerRoman"/>
      <w:start w:val="1"/>
    </w:lvl>
  </w:abstractNum>
  <w:abstractNum w:abstractNumId="263">
    <w:nsid w:val="C600E47"/>
    <w:multiLevelType w:val="hybridMultilevel"/>
    <w:lvl w:ilvl="0">
      <w:lvlJc w:val="left"/>
      <w:lvlText w:val="%1"/>
      <w:numFmt w:val="lowerLetter"/>
      <w:start w:val="1"/>
    </w:lvl>
    <w:lvl w:ilvl="1">
      <w:lvlJc w:val="left"/>
      <w:lvlText w:val="(%2)"/>
      <w:numFmt w:val="lowerLetter"/>
      <w:start w:val="2"/>
    </w:lvl>
  </w:abstractNum>
  <w:abstractNum w:abstractNumId="264">
    <w:nsid w:val="7D94F75D"/>
    <w:multiLevelType w:val="hybridMultilevel"/>
    <w:lvl w:ilvl="0">
      <w:lvlJc w:val="left"/>
      <w:lvlText w:val="(%1)"/>
      <w:numFmt w:val="lowerLetter"/>
      <w:start w:val="22"/>
    </w:lvl>
    <w:lvl w:ilvl="1">
      <w:lvlJc w:val="left"/>
      <w:lvlText w:val="%2"/>
      <w:numFmt w:val="lowerLetter"/>
      <w:start w:val="1"/>
    </w:lvl>
  </w:abstractNum>
  <w:abstractNum w:abstractNumId="265">
    <w:nsid w:val="6C31E7CD"/>
    <w:multiLevelType w:val="hybridMultilevel"/>
    <w:lvl w:ilvl="0">
      <w:lvlJc w:val="left"/>
      <w:lvlText w:val="(%1)"/>
      <w:numFmt w:val="lowerLetter"/>
      <w:start w:val="6"/>
    </w:lvl>
  </w:abstractNum>
  <w:abstractNum w:abstractNumId="266">
    <w:nsid w:val="2BB7929B"/>
    <w:multiLevelType w:val="hybridMultilevel"/>
    <w:lvl w:ilvl="0">
      <w:lvlJc w:val="left"/>
      <w:lvlText w:val="(%1)"/>
      <w:numFmt w:val="lowerLetter"/>
      <w:start w:val="1"/>
    </w:lvl>
  </w:abstractNum>
  <w:abstractNum w:abstractNumId="267">
    <w:nsid w:val="58A2A487"/>
    <w:multiLevelType w:val="hybridMultilevel"/>
    <w:lvl w:ilvl="0">
      <w:lvlJc w:val="left"/>
      <w:lvlText w:val="(%1)"/>
      <w:numFmt w:val="lowerLetter"/>
      <w:start w:val="3"/>
    </w:lvl>
  </w:abstractNum>
  <w:abstractNum w:abstractNumId="268">
    <w:nsid w:val="3A6F0E78"/>
    <w:multiLevelType w:val="hybridMultilevel"/>
    <w:lvl w:ilvl="0">
      <w:lvlJc w:val="left"/>
      <w:lvlText w:val="(%1)"/>
      <w:numFmt w:val="lowerRoman"/>
      <w:start w:val="1"/>
    </w:lvl>
  </w:abstractNum>
  <w:abstractNum w:abstractNumId="269">
    <w:nsid w:val="379A5B56"/>
    <w:multiLevelType w:val="hybridMultilevel"/>
    <w:lvl w:ilvl="0">
      <w:lvlJc w:val="left"/>
      <w:lvlText w:val="(%1)"/>
      <w:numFmt w:val="lowerLetter"/>
      <w:start w:val="2"/>
    </w:lvl>
  </w:abstractNum>
  <w:abstractNum w:abstractNumId="270">
    <w:nsid w:val="53B735D5"/>
    <w:multiLevelType w:val="hybridMultilevel"/>
    <w:lvl w:ilvl="0">
      <w:lvlJc w:val="left"/>
      <w:lvlText w:val="(%1)"/>
      <w:numFmt w:val="lowerLetter"/>
      <w:start w:val="9"/>
    </w:lvl>
    <w:lvl w:ilvl="1">
      <w:lvlJc w:val="left"/>
      <w:lvlText w:val="(%2)"/>
      <w:numFmt w:val="lowerLetter"/>
      <w:start w:val="1"/>
    </w:lvl>
  </w:abstractNum>
  <w:abstractNum w:abstractNumId="271">
    <w:nsid w:val="29784870"/>
    <w:multiLevelType w:val="hybridMultilevel"/>
    <w:lvl w:ilvl="0">
      <w:lvlJc w:val="left"/>
      <w:lvlText w:val="%1"/>
      <w:numFmt w:val="lowerLetter"/>
      <w:start w:val="1"/>
    </w:lvl>
    <w:lvl w:ilvl="1">
      <w:lvlJc w:val="left"/>
      <w:lvlText w:val="(%2)"/>
      <w:numFmt w:val="lowerLetter"/>
      <w:start w:val="2"/>
    </w:lvl>
  </w:abstractNum>
  <w:abstractNum w:abstractNumId="272">
    <w:nsid w:val="4CDCED4C"/>
    <w:multiLevelType w:val="hybridMultilevel"/>
    <w:lvl w:ilvl="0">
      <w:lvlJc w:val="left"/>
      <w:lvlText w:val="(%1)"/>
      <w:numFmt w:val="lowerLetter"/>
      <w:start w:val="35"/>
    </w:lvl>
    <w:lvl w:ilvl="1">
      <w:lvlJc w:val="left"/>
      <w:lvlText w:val="(%2)"/>
      <w:numFmt w:val="lowerLetter"/>
      <w:start w:val="3"/>
    </w:lvl>
  </w:abstractNum>
  <w:abstractNum w:abstractNumId="273">
    <w:nsid w:val="10A30D9C"/>
    <w:multiLevelType w:val="hybridMultilevel"/>
    <w:lvl w:ilvl="0">
      <w:lvlJc w:val="left"/>
      <w:lvlText w:val="(%1)"/>
      <w:numFmt w:val="lowerLetter"/>
      <w:start w:val="4"/>
    </w:lvl>
  </w:abstractNum>
  <w:abstractNum w:abstractNumId="274">
    <w:nsid w:val="A66E486"/>
    <w:multiLevelType w:val="hybridMultilevel"/>
    <w:lvl w:ilvl="0">
      <w:lvlJc w:val="left"/>
      <w:lvlText w:val="(%1)"/>
      <w:numFmt w:val="lowerLetter"/>
      <w:start w:val="1"/>
    </w:lvl>
  </w:abstractNum>
  <w:abstractNum w:abstractNumId="275">
    <w:nsid w:val="306235EA"/>
    <w:multiLevelType w:val="hybridMultilevel"/>
    <w:lvl w:ilvl="0">
      <w:lvlJc w:val="left"/>
      <w:lvlText w:val="(%1)"/>
      <w:numFmt w:val="lowerLetter"/>
      <w:start w:val="2"/>
    </w:lvl>
  </w:abstractNum>
  <w:abstractNum w:abstractNumId="276">
    <w:nsid w:val="1187C70F"/>
    <w:multiLevelType w:val="hybridMultilevel"/>
    <w:lvl w:ilvl="0">
      <w:lvlJc w:val="left"/>
      <w:lvlText w:val="(%1)"/>
      <w:numFmt w:val="lowerLetter"/>
      <w:start w:val="1"/>
    </w:lvl>
  </w:abstractNum>
  <w:abstractNum w:abstractNumId="277">
    <w:nsid w:val="5476DE98"/>
    <w:multiLevelType w:val="hybridMultilevel"/>
    <w:lvl w:ilvl="0">
      <w:lvlJc w:val="left"/>
      <w:lvlText w:val="(%1)"/>
      <w:numFmt w:val="lowerLetter"/>
      <w:start w:val="2"/>
    </w:lvl>
  </w:abstractNum>
  <w:abstractNum w:abstractNumId="278">
    <w:nsid w:val="EA697F2"/>
    <w:multiLevelType w:val="hybridMultilevel"/>
    <w:lvl w:ilvl="0">
      <w:lvlJc w:val="left"/>
      <w:lvlText w:val="(%1)"/>
      <w:numFmt w:val="lowerLetter"/>
      <w:start w:val="4"/>
    </w:lvl>
  </w:abstractNum>
  <w:abstractNum w:abstractNumId="279">
    <w:nsid w:val="70BA39EB"/>
    <w:multiLevelType w:val="hybridMultilevel"/>
    <w:lvl w:ilvl="0">
      <w:lvlJc w:val="left"/>
      <w:lvlText w:val="(%1)"/>
      <w:numFmt w:val="lowerLetter"/>
      <w:start w:val="1"/>
    </w:lvl>
  </w:abstractNum>
  <w:abstractNum w:abstractNumId="280">
    <w:nsid w:val="4A8DB59C"/>
    <w:multiLevelType w:val="hybridMultilevel"/>
    <w:lvl w:ilvl="0">
      <w:lvlJc w:val="left"/>
      <w:lvlText w:val="%1"/>
      <w:numFmt w:val="lowerLetter"/>
      <w:start w:val="1"/>
    </w:lvl>
    <w:lvl w:ilvl="1">
      <w:lvlJc w:val="left"/>
      <w:lvlText w:val="(%2)"/>
      <w:numFmt w:val="lowerLetter"/>
      <w:start w:val="1"/>
    </w:lvl>
  </w:abstractNum>
  <w:abstractNum w:abstractNumId="281">
    <w:nsid w:val="1AFD9053"/>
    <w:multiLevelType w:val="hybridMultilevel"/>
    <w:lvl w:ilvl="0">
      <w:lvlJc w:val="left"/>
      <w:lvlText w:val="(%1)"/>
      <w:numFmt w:val="lowerLetter"/>
      <w:start w:val="9"/>
    </w:lvl>
    <w:lvl w:ilvl="1">
      <w:lvlJc w:val="left"/>
      <w:lvlText w:val="(%2)"/>
      <w:numFmt w:val="lowerLetter"/>
      <w:start w:val="4"/>
    </w:lvl>
  </w:abstractNum>
  <w:abstractNum w:abstractNumId="282">
    <w:nsid w:val="558BB10D"/>
    <w:multiLevelType w:val="hybridMultilevel"/>
    <w:lvl w:ilvl="0">
      <w:lvlJc w:val="left"/>
      <w:lvlText w:val="(%1)"/>
      <w:numFmt w:val="lowerLetter"/>
      <w:start w:val="5"/>
    </w:lvl>
  </w:abstractNum>
  <w:abstractNum w:abstractNumId="283">
    <w:nsid w:val="43B27FA7"/>
    <w:multiLevelType w:val="hybridMultilevel"/>
    <w:lvl w:ilvl="0">
      <w:lvlJc w:val="left"/>
      <w:lvlText w:val="(%1)"/>
      <w:numFmt w:val="lowerLetter"/>
      <w:start w:val="1"/>
    </w:lvl>
  </w:abstractNum>
  <w:abstractNum w:abstractNumId="284">
    <w:nsid w:val="27FADEFA"/>
    <w:multiLevelType w:val="hybridMultilevel"/>
    <w:lvl w:ilvl="0">
      <w:lvlJc w:val="left"/>
      <w:lvlText w:val="%1"/>
      <w:numFmt w:val="lowerLetter"/>
      <w:start w:val="1"/>
    </w:lvl>
    <w:lvl w:ilvl="1">
      <w:lvlJc w:val="left"/>
      <w:lvlText w:val="(%2)"/>
      <w:numFmt w:val="lowerLetter"/>
      <w:start w:val="2"/>
    </w:lvl>
  </w:abstractNum>
  <w:abstractNum w:abstractNumId="285">
    <w:nsid w:val="78BB805A"/>
    <w:multiLevelType w:val="hybridMultilevel"/>
    <w:lvl w:ilvl="0">
      <w:lvlJc w:val="left"/>
      <w:lvlText w:val="(%1)"/>
      <w:numFmt w:val="lowerLetter"/>
      <w:start w:val="23"/>
    </w:lvl>
    <w:lvl w:ilvl="1">
      <w:lvlJc w:val="left"/>
      <w:lvlText w:val="(%2)"/>
      <w:numFmt w:val="lowerLetter"/>
      <w:start w:val="3"/>
    </w:lvl>
  </w:abstractNum>
  <w:abstractNum w:abstractNumId="286">
    <w:nsid w:val="62548FD8"/>
    <w:multiLevelType w:val="hybridMultilevel"/>
    <w:lvl w:ilvl="0">
      <w:lvlJc w:val="left"/>
      <w:lvlText w:val="(%1)"/>
      <w:numFmt w:val="upperLetter"/>
      <w:start w:val="2"/>
    </w:lvl>
  </w:abstractNum>
  <w:abstractNum w:abstractNumId="287">
    <w:nsid w:val="FA085B0"/>
    <w:multiLevelType w:val="hybridMultilevel"/>
    <w:lvl w:ilvl="0">
      <w:lvlJc w:val="left"/>
      <w:lvlText w:val="(%1)"/>
      <w:numFmt w:val="lowerLetter"/>
      <w:start w:val="1"/>
    </w:lvl>
  </w:abstractNum>
  <w:abstractNum w:abstractNumId="288">
    <w:nsid w:val="4E5DCB5"/>
    <w:multiLevelType w:val="hybridMultilevel"/>
    <w:lvl w:ilvl="0">
      <w:lvlJc w:val="left"/>
      <w:lvlText w:val="(%1)"/>
      <w:numFmt w:val="lowerLetter"/>
      <w:start w:val="1"/>
    </w:lvl>
  </w:abstractNum>
  <w:abstractNum w:abstractNumId="289">
    <w:nsid w:val="41E96BDB"/>
    <w:multiLevelType w:val="hybridMultilevel"/>
    <w:lvl w:ilvl="0">
      <w:lvlJc w:val="left"/>
      <w:lvlText w:val="(%1)"/>
      <w:numFmt w:val="lowerLetter"/>
      <w:start w:val="1"/>
    </w:lvl>
  </w:abstractNum>
  <w:abstractNum w:abstractNumId="290">
    <w:nsid w:val="331C4250"/>
    <w:multiLevelType w:val="hybridMultilevel"/>
    <w:lvl w:ilvl="0">
      <w:lvlJc w:val="left"/>
      <w:lvlText w:val="(%1)"/>
      <w:numFmt w:val="lowerLetter"/>
      <w:start w:val="9"/>
    </w:lvl>
    <w:lvl w:ilvl="1">
      <w:lvlJc w:val="left"/>
      <w:lvlText w:val="(%2)"/>
      <w:numFmt w:val="lowerLetter"/>
      <w:start w:val="6"/>
    </w:lvl>
  </w:abstractNum>
  <w:abstractNum w:abstractNumId="291">
    <w:nsid w:val="1B1493C2"/>
    <w:multiLevelType w:val="hybridMultilevel"/>
    <w:lvl w:ilvl="0">
      <w:lvlJc w:val="left"/>
      <w:lvlText w:val="(%1)"/>
      <w:numFmt w:val="lowerRoman"/>
      <w:start w:val="2"/>
    </w:lvl>
  </w:abstractNum>
  <w:abstractNum w:abstractNumId="292">
    <w:nsid w:val="39F06DFD"/>
    <w:multiLevelType w:val="hybridMultilevel"/>
    <w:lvl w:ilvl="0">
      <w:lvlJc w:val="left"/>
      <w:lvlText w:val="(%1)"/>
      <w:numFmt w:val="lowerLetter"/>
      <w:start w:val="25"/>
    </w:lvl>
    <w:lvl w:ilvl="1">
      <w:lvlJc w:val="left"/>
      <w:lvlText w:val="(%2)"/>
      <w:numFmt w:val="lowerRoman"/>
      <w:start w:val="1"/>
    </w:lvl>
  </w:abstractNum>
  <w:abstractNum w:abstractNumId="293">
    <w:nsid w:val="14802F5D"/>
    <w:multiLevelType w:val="hybridMultilevel"/>
    <w:lvl w:ilvl="0">
      <w:lvlJc w:val="left"/>
      <w:lvlText w:val="%1"/>
      <w:numFmt w:val="lowerLetter"/>
      <w:start w:val="1"/>
    </w:lvl>
    <w:lvl w:ilvl="1">
      <w:lvlJc w:val="left"/>
      <w:lvlText w:val="(%2)"/>
      <w:numFmt w:val="lowerLetter"/>
      <w:start w:val="61"/>
    </w:lvl>
  </w:abstractNum>
  <w:abstractNum w:abstractNumId="294">
    <w:nsid w:val="2774A209"/>
    <w:multiLevelType w:val="hybridMultilevel"/>
    <w:lvl w:ilvl="0">
      <w:lvlJc w:val="left"/>
      <w:lvlText w:val="(%1)"/>
      <w:numFmt w:val="lowerLetter"/>
      <w:start w:val="2"/>
    </w:lvl>
    <w:lvl w:ilvl="1">
      <w:lvlJc w:val="left"/>
      <w:lvlText w:val="%2"/>
      <w:numFmt w:val="lowerLetter"/>
      <w:start w:val="1"/>
    </w:lvl>
  </w:abstractNum>
  <w:abstractNum w:abstractNumId="295">
    <w:nsid w:val="3785655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96">
    <w:nsid w:val="B2172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7">
    <w:nsid w:val="532C34A5"/>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298">
    <w:nsid w:val="102809E2"/>
    <w:multiLevelType w:val="hybridMultilevel"/>
    <w:lvl w:ilvl="0">
      <w:lvlJc w:val="left"/>
      <w:lvlText w:val="%1"/>
      <w:numFmt w:val="lowerLetter"/>
      <w:start w:val="1"/>
    </w:lvl>
    <w:lvl w:ilvl="1">
      <w:lvlJc w:val="left"/>
      <w:lvlText w:val="(%2)"/>
      <w:numFmt w:val="lowerLetter"/>
      <w:start w:val="1"/>
    </w:lvl>
  </w:abstractNum>
  <w:abstractNum w:abstractNumId="299">
    <w:nsid w:val="3B2125A3"/>
    <w:multiLevelType w:val="hybridMultilevel"/>
    <w:lvl w:ilvl="0">
      <w:lvlJc w:val="left"/>
      <w:lvlText w:val="(%1)"/>
      <w:numFmt w:val="lowerLetter"/>
      <w:start w:val="61"/>
    </w:lvl>
    <w:lvl w:ilvl="1">
      <w:lvlJc w:val="left"/>
      <w:lvlText w:val="%2"/>
      <w:numFmt w:val="lowerLetter"/>
      <w:start w:val="1"/>
    </w:lvl>
  </w:abstractNum>
  <w:abstractNum w:abstractNumId="300">
    <w:nsid w:val="AC68FFB"/>
    <w:multiLevelType w:val="hybridMultilevel"/>
    <w:lvl w:ilvl="0">
      <w:lvlJc w:val="left"/>
      <w:lvlText w:val="(%1)"/>
      <w:numFmt w:val="lowerLetter"/>
      <w:start w:val="2"/>
    </w:lvl>
  </w:abstractNum>
  <w:abstractNum w:abstractNumId="301">
    <w:nsid w:val="63DF3FB7"/>
    <w:multiLevelType w:val="hybridMultilevel"/>
    <w:lvl w:ilvl="0">
      <w:lvlJc w:val="left"/>
      <w:lvlText w:val="(%1)"/>
      <w:numFmt w:val="lowerRoman"/>
      <w:start w:val="1"/>
    </w:lvl>
  </w:abstractNum>
  <w:abstractNum w:abstractNumId="302">
    <w:nsid w:val="64996E13"/>
    <w:multiLevelType w:val="hybridMultilevel"/>
    <w:lvl w:ilvl="0">
      <w:lvlJc w:val="left"/>
      <w:lvlText w:val="(%1)"/>
      <w:numFmt w:val="lowerRoman"/>
      <w:start w:val="3"/>
    </w:lvl>
  </w:abstractNum>
  <w:abstractNum w:abstractNumId="303">
    <w:nsid w:val="57A37D47"/>
    <w:multiLevelType w:val="hybridMultilevel"/>
    <w:lvl w:ilvl="0">
      <w:lvlJc w:val="left"/>
      <w:lvlText w:val="(%1)"/>
      <w:numFmt w:val="upperLetter"/>
      <w:start w:val="1"/>
    </w:lvl>
  </w:abstractNum>
  <w:abstractNum w:abstractNumId="304">
    <w:nsid w:val="74824D54"/>
    <w:multiLevelType w:val="hybridMultilevel"/>
    <w:lvl w:ilvl="0">
      <w:lvlJc w:val="left"/>
      <w:lvlText w:val="(%1)"/>
      <w:numFmt w:val="upperLetter"/>
      <w:start w:val="5"/>
    </w:lvl>
  </w:abstractNum>
  <w:abstractNum w:abstractNumId="305">
    <w:nsid w:val="6F00529A"/>
    <w:multiLevelType w:val="hybridMultilevel"/>
    <w:lvl w:ilvl="0">
      <w:lvlJc w:val="left"/>
      <w:lvlText w:val="(%1)"/>
      <w:numFmt w:val="lowerLetter"/>
      <w:start w:val="2"/>
    </w:lvl>
  </w:abstractNum>
  <w:abstractNum w:abstractNumId="306">
    <w:nsid w:val="805B331"/>
    <w:multiLevelType w:val="hybridMultilevel"/>
    <w:lvl w:ilvl="0">
      <w:lvlJc w:val="left"/>
      <w:lvlText w:val="(%1)"/>
      <w:numFmt w:val="lowerLetter"/>
      <w:start w:val="4"/>
    </w:lvl>
  </w:abstractNum>
  <w:abstractNum w:abstractNumId="307">
    <w:nsid w:val="60A1463"/>
    <w:multiLevelType w:val="hybridMultilevel"/>
    <w:lvl w:ilvl="0">
      <w:lvlJc w:val="left"/>
      <w:lvlText w:val="(%1)"/>
      <w:numFmt w:val="lowerRoman"/>
      <w:start w:val="1"/>
    </w:lvl>
  </w:abstractNum>
  <w:abstractNum w:abstractNumId="308">
    <w:nsid w:val="43773132"/>
    <w:multiLevelType w:val="hybridMultilevel"/>
    <w:lvl w:ilvl="0">
      <w:lvlJc w:val="left"/>
      <w:lvlText w:val="(%1)"/>
      <w:numFmt w:val="lowerLetter"/>
      <w:start w:val="5"/>
    </w:lvl>
  </w:abstractNum>
  <w:abstractNum w:abstractNumId="309">
    <w:nsid w:val="16AC4B23"/>
    <w:multiLevelType w:val="hybridMultilevel"/>
    <w:lvl w:ilvl="0">
      <w:lvlJc w:val="left"/>
      <w:lvlText w:val="(%1)"/>
      <w:numFmt w:val="lowerLetter"/>
      <w:start w:val="1"/>
    </w:lvl>
  </w:abstractNum>
  <w:abstractNum w:abstractNumId="310">
    <w:nsid w:val="76C44E4E"/>
    <w:multiLevelType w:val="hybridMultilevel"/>
    <w:lvl w:ilvl="0">
      <w:lvlJc w:val="left"/>
      <w:lvlText w:val="%1"/>
      <w:numFmt w:val="lowerLetter"/>
      <w:start w:val="1"/>
    </w:lvl>
    <w:lvl w:ilvl="1">
      <w:lvlJc w:val="left"/>
      <w:lvlText w:val="(%2)"/>
      <w:numFmt w:val="lowerLetter"/>
      <w:start w:val="1"/>
    </w:lvl>
  </w:abstractNum>
  <w:abstractNum w:abstractNumId="311">
    <w:nsid w:val="E04E6CE"/>
    <w:multiLevelType w:val="hybridMultilevel"/>
    <w:lvl w:ilvl="0">
      <w:lvlJc w:val="left"/>
      <w:lvlText w:val="(%1)"/>
      <w:numFmt w:val="lowerLetter"/>
      <w:start w:val="9"/>
    </w:lvl>
    <w:lvl w:ilvl="1">
      <w:lvlJc w:val="left"/>
      <w:lvlText w:val="(%2)"/>
      <w:numFmt w:val="lowerLetter"/>
      <w:start w:val="2"/>
    </w:lvl>
  </w:abstractNum>
  <w:abstractNum w:abstractNumId="312">
    <w:nsid w:val="31A9DB76"/>
    <w:multiLevelType w:val="hybridMultilevel"/>
    <w:lvl w:ilvl="0">
      <w:lvlJc w:val="left"/>
      <w:lvlText w:val="(%1)"/>
      <w:numFmt w:val="lowerLetter"/>
      <w:start w:val="4"/>
    </w:lvl>
  </w:abstractNum>
  <w:abstractNum w:abstractNumId="313">
    <w:nsid w:val="4C4FFF5B"/>
    <w:multiLevelType w:val="hybridMultilevel"/>
    <w:lvl w:ilvl="0">
      <w:lvlJc w:val="left"/>
      <w:lvlText w:val="(%1)"/>
      <w:numFmt w:val="lowerRoman"/>
      <w:start w:val="2"/>
    </w:lvl>
  </w:abstractNum>
  <w:abstractNum w:abstractNumId="314">
    <w:nsid w:val="51B76675"/>
    <w:multiLevelType w:val="hybridMultilevel"/>
    <w:lvl w:ilvl="0">
      <w:lvlJc w:val="left"/>
      <w:lvlText w:val="(%1)"/>
      <w:numFmt w:val="lowerLetter"/>
      <w:start w:val="1"/>
    </w:lvl>
    <w:lvl w:ilvl="1">
      <w:lvlJc w:val="left"/>
      <w:lvlText w:val="(%2)"/>
      <w:numFmt w:val="decimal"/>
      <w:start w:val="1"/>
    </w:lvl>
  </w:abstractNum>
  <w:abstractNum w:abstractNumId="315">
    <w:nsid w:val="59A4BA71"/>
    <w:multiLevelType w:val="hybridMultilevel"/>
    <w:lvl w:ilvl="0">
      <w:lvlJc w:val="left"/>
      <w:lvlText w:val="(%1)"/>
      <w:numFmt w:val="lowerLetter"/>
      <w:start w:val="25"/>
    </w:lvl>
  </w:abstractNum>
  <w:abstractNum w:abstractNumId="316">
    <w:nsid w:val="450B7FB6"/>
    <w:multiLevelType w:val="hybridMultilevel"/>
    <w:lvl w:ilvl="0">
      <w:lvlJc w:val="left"/>
      <w:lvlText w:val="(%1)"/>
      <w:numFmt w:val="lowerRoman"/>
      <w:start w:val="1"/>
    </w:lvl>
    <w:lvl w:ilvl="1">
      <w:lvlJc w:val="left"/>
      <w:lvlText w:val="(%2)"/>
      <w:numFmt w:val="upperLetter"/>
      <w:start w:val="1"/>
    </w:lvl>
  </w:abstractNum>
  <w:abstractNum w:abstractNumId="317">
    <w:nsid w:val="340BF64D"/>
    <w:multiLevelType w:val="hybridMultilevel"/>
    <w:lvl w:ilvl="0">
      <w:lvlJc w:val="left"/>
      <w:lvlText w:val="(%1)"/>
      <w:numFmt w:val="lowerRoman"/>
      <w:start w:val="2"/>
    </w:lvl>
    <w:lvl w:ilvl="1">
      <w:lvlJc w:val="left"/>
      <w:lvlText w:val="(%2)"/>
      <w:numFmt w:val="lowerLetter"/>
      <w:start w:val="2"/>
    </w:lvl>
  </w:abstractNum>
  <w:abstractNum w:abstractNumId="318">
    <w:nsid w:val="69454021"/>
    <w:multiLevelType w:val="hybridMultilevel"/>
    <w:lvl w:ilvl="0">
      <w:lvlJc w:val="left"/>
      <w:lvlText w:val="(%1)"/>
      <w:numFmt w:val="lowerLetter"/>
      <w:start w:val="9"/>
    </w:lvl>
    <w:lvl w:ilvl="1">
      <w:lvlJc w:val="left"/>
      <w:lvlText w:val="(%2)"/>
      <w:numFmt w:val="lowerLetter"/>
      <w:start w:val="3"/>
    </w:lvl>
  </w:abstractNum>
  <w:abstractNum w:abstractNumId="319">
    <w:nsid w:val="49F15C6B"/>
    <w:multiLevelType w:val="hybridMultilevel"/>
    <w:lvl w:ilvl="0">
      <w:lvlJc w:val="left"/>
      <w:lvlText w:val="(%1)"/>
      <w:numFmt w:val="lowerLetter"/>
      <w:start w:val="1"/>
    </w:lvl>
  </w:abstractNum>
  <w:abstractNum w:abstractNumId="320">
    <w:nsid w:val="75F56228"/>
    <w:multiLevelType w:val="hybridMultilevel"/>
    <w:lvl w:ilvl="0">
      <w:lvlJc w:val="left"/>
      <w:lvlText w:val="(%1)"/>
      <w:numFmt w:val="lowerRoman"/>
      <w:start w:val="1"/>
    </w:lvl>
  </w:abstractNum>
  <w:abstractNum w:abstractNumId="321">
    <w:nsid w:val="1C618271"/>
    <w:multiLevelType w:val="hybridMultilevel"/>
    <w:lvl w:ilvl="0">
      <w:lvlJc w:val="left"/>
      <w:lvlText w:val="(%1)"/>
      <w:numFmt w:val="lowerLetter"/>
      <w:start w:val="2"/>
    </w:lvl>
  </w:abstractNum>
  <w:abstractNum w:abstractNumId="322">
    <w:nsid w:val="6505F02E"/>
    <w:multiLevelType w:val="hybridMultilevel"/>
    <w:lvl w:ilvl="0">
      <w:lvlJc w:val="left"/>
      <w:lvlText w:val="(%1)"/>
      <w:numFmt w:val="lowerLetter"/>
      <w:start w:val="1"/>
    </w:lvl>
  </w:abstractNum>
  <w:abstractNum w:abstractNumId="323">
    <w:nsid w:val="2FE5D025"/>
    <w:multiLevelType w:val="hybridMultilevel"/>
    <w:lvl w:ilvl="0">
      <w:lvlJc w:val="left"/>
      <w:lvlText w:val="(%1)"/>
      <w:numFmt w:val="lowerLetter"/>
      <w:start w:val="1"/>
    </w:lvl>
  </w:abstractNum>
  <w:abstractNum w:abstractNumId="324">
    <w:nsid w:val="30E1B1CF"/>
    <w:multiLevelType w:val="hybridMultilevel"/>
    <w:lvl w:ilvl="0">
      <w:lvlJc w:val="left"/>
      <w:lvlText w:val="(%1)"/>
      <w:numFmt w:val="lowerLetter"/>
      <w:start w:val="3"/>
    </w:lvl>
  </w:abstractNum>
  <w:abstractNum w:abstractNumId="325">
    <w:nsid w:val="C7A9237"/>
    <w:multiLevelType w:val="hybridMultilevel"/>
    <w:lvl w:ilvl="0">
      <w:lvlJc w:val="left"/>
      <w:lvlText w:val="%1"/>
      <w:numFmt w:val="lowerRoman"/>
      <w:start w:val="1"/>
    </w:lvl>
    <w:lvl w:ilvl="1">
      <w:lvlJc w:val="left"/>
      <w:lvlText w:val="(%2)"/>
      <w:numFmt w:val="lowerLetter"/>
      <w:start w:val="1"/>
    </w:lvl>
  </w:abstractNum>
  <w:abstractNum w:abstractNumId="326">
    <w:nsid w:val="676B3580"/>
    <w:multiLevelType w:val="hybridMultilevel"/>
    <w:lvl w:ilvl="0">
      <w:lvlJc w:val="left"/>
      <w:lvlText w:val="(%1)"/>
      <w:numFmt w:val="lowerRoman"/>
      <w:start w:val="1"/>
    </w:lvl>
    <w:lvl w:ilvl="1">
      <w:lvlJc w:val="left"/>
      <w:lvlText w:val="%2"/>
      <w:numFmt w:val="lowerLetter"/>
      <w:start w:val="1"/>
    </w:lvl>
  </w:abstractNum>
  <w:abstractNum w:abstractNumId="327">
    <w:nsid w:val="3193C8F9"/>
    <w:multiLevelType w:val="hybridMultilevel"/>
    <w:lvl w:ilvl="0">
      <w:lvlJc w:val="left"/>
      <w:lvlText w:val="(%1)"/>
      <w:numFmt w:val="lowerLetter"/>
      <w:start w:val="1"/>
    </w:lvl>
  </w:abstractNum>
  <w:abstractNum w:abstractNumId="328">
    <w:nsid w:val="5FA6C6DC"/>
    <w:multiLevelType w:val="hybridMultilevel"/>
    <w:lvl w:ilvl="0">
      <w:lvlJc w:val="left"/>
      <w:lvlText w:val="(%1)"/>
      <w:numFmt w:val="lowerRoman"/>
      <w:start w:val="2"/>
    </w:lvl>
  </w:abstractNum>
  <w:abstractNum w:abstractNumId="329">
    <w:nsid w:val="77933F62"/>
    <w:multiLevelType w:val="hybridMultilevel"/>
    <w:lvl w:ilvl="0">
      <w:lvlJc w:val="left"/>
      <w:lvlText w:val="(%1)"/>
      <w:numFmt w:val="lowerLetter"/>
      <w:start w:val="1"/>
    </w:lvl>
  </w:abstractNum>
  <w:abstractNum w:abstractNumId="330">
    <w:nsid w:val="6CB4EE9C"/>
    <w:multiLevelType w:val="hybridMultilevel"/>
    <w:lvl w:ilvl="0">
      <w:lvlJc w:val="left"/>
      <w:lvlText w:val="(%1)"/>
      <w:numFmt w:val="lowerLetter"/>
      <w:start w:val="1"/>
    </w:lvl>
  </w:abstractNum>
  <w:abstractNum w:abstractNumId="331">
    <w:nsid w:val="6A6D56D7"/>
    <w:multiLevelType w:val="hybridMultilevel"/>
    <w:lvl w:ilvl="0">
      <w:lvlJc w:val="left"/>
      <w:lvlText w:val="(%1)"/>
      <w:numFmt w:val="lowerLetter"/>
      <w:start w:val="4"/>
    </w:lvl>
  </w:abstractNum>
  <w:abstractNum w:abstractNumId="332">
    <w:nsid w:val="5B727F19"/>
    <w:multiLevelType w:val="hybridMultilevel"/>
    <w:lvl w:ilvl="0">
      <w:lvlJc w:val="left"/>
      <w:lvlText w:val="(%1)"/>
      <w:numFmt w:val="lowerLetter"/>
      <w:start w:val="3"/>
    </w:lvl>
  </w:abstractNum>
  <w:abstractNum w:abstractNumId="333">
    <w:nsid w:val="514E5CB0"/>
    <w:multiLevelType w:val="hybridMultilevel"/>
    <w:lvl w:ilvl="0">
      <w:lvlJc w:val="left"/>
      <w:lvlText w:val="(%1)"/>
      <w:numFmt w:val="lowerLetter"/>
      <w:start w:val="1"/>
    </w:lvl>
  </w:abstractNum>
  <w:abstractNum w:abstractNumId="334">
    <w:nsid w:val="4210D41E"/>
    <w:multiLevelType w:val="hybridMultilevel"/>
    <w:lvl w:ilvl="0">
      <w:lvlJc w:val="left"/>
      <w:lvlText w:val="(%1)"/>
      <w:numFmt w:val="lowerLetter"/>
      <w:start w:val="2"/>
    </w:lvl>
  </w:abstractNum>
  <w:abstractNum w:abstractNumId="335">
    <w:nsid w:val="4FF4CC6D"/>
    <w:multiLevelType w:val="hybridMultilevel"/>
    <w:lvl w:ilvl="0">
      <w:lvlJc w:val="left"/>
      <w:lvlText w:val="(%1)"/>
      <w:numFmt w:val="lowerLetter"/>
      <w:start w:val="1"/>
    </w:lvl>
  </w:abstractNum>
  <w:abstractNum w:abstractNumId="336">
    <w:nsid w:val="404EAF4A"/>
    <w:multiLevelType w:val="hybridMultilevel"/>
    <w:lvl w:ilvl="0">
      <w:lvlJc w:val="left"/>
      <w:lvlText w:val="(%1)"/>
      <w:numFmt w:val="lowerLetter"/>
      <w:start w:val="1"/>
    </w:lvl>
  </w:abstractNum>
  <w:abstractNum w:abstractNumId="337">
    <w:nsid w:val="4A16874F"/>
    <w:multiLevelType w:val="hybridMultilevel"/>
    <w:lvl w:ilvl="0">
      <w:lvlJc w:val="left"/>
      <w:lvlText w:val="%1."/>
      <w:numFmt w:val="decimal"/>
      <w:start w:val="1"/>
    </w:lvl>
  </w:abstractNum>
  <w:abstractNum w:abstractNumId="338">
    <w:nsid w:val="55FEE0D1"/>
    <w:multiLevelType w:val="hybridMultilevel"/>
    <w:lvl w:ilvl="0">
      <w:lvlJc w:val="left"/>
      <w:lvlText w:val="(%1)"/>
      <w:numFmt w:val="upperLetter"/>
      <w:start w:val="1"/>
    </w:lvl>
  </w:abstractNum>
  <w:abstractNum w:abstractNumId="339">
    <w:nsid w:val="3C5E07C"/>
    <w:multiLevelType w:val="hybridMultilevel"/>
    <w:lvl w:ilvl="0">
      <w:lvlJc w:val="left"/>
      <w:lvlText w:val="1"/>
      <w:numFmt w:val="bullet"/>
      <w:start w:val="1"/>
    </w:lvl>
  </w:abstractNum>
  <w:abstractNum w:abstractNumId="340">
    <w:nsid w:val="60C2D273"/>
    <w:multiLevelType w:val="hybridMultilevel"/>
    <w:lvl w:ilvl="0">
      <w:lvlJc w:val="left"/>
      <w:lvlText w:val="2"/>
      <w:numFmt w:val="bullet"/>
      <w:start w:val="1"/>
    </w:lvl>
  </w:abstractNum>
  <w:abstractNum w:abstractNumId="341">
    <w:nsid w:val="4CC32F1F"/>
    <w:multiLevelType w:val="hybridMultilevel"/>
    <w:lvl w:ilvl="0">
      <w:lvlJc w:val="left"/>
      <w:lvlText w:val="3"/>
      <w:numFmt w:val="bullet"/>
      <w:start w:val="1"/>
    </w:lvl>
  </w:abstractNum>
  <w:abstractNum w:abstractNumId="342">
    <w:nsid w:val="11CAC74A"/>
    <w:multiLevelType w:val="hybridMultilevel"/>
    <w:lvl w:ilvl="0">
      <w:lvlJc w:val="left"/>
      <w:lvlText w:val="(%1)"/>
      <w:numFmt w:val="upperLetter"/>
      <w:start w:val="3"/>
    </w:lvl>
  </w:abstractNum>
  <w:abstractNum w:abstractNumId="343">
    <w:nsid w:val="126CADE9"/>
    <w:multiLevelType w:val="hybridMultilevel"/>
    <w:lvl w:ilvl="0">
      <w:lvlJc w:val="left"/>
      <w:lvlText w:val="4"/>
      <w:numFmt w:val="bullet"/>
      <w:start w:val="1"/>
    </w:lvl>
  </w:abstractNum>
  <w:abstractNum w:abstractNumId="344">
    <w:nsid w:val="19132E7B"/>
    <w:multiLevelType w:val="hybridMultilevel"/>
    <w:lvl w:ilvl="0">
      <w:lvlJc w:val="left"/>
      <w:lvlText w:val="5"/>
      <w:numFmt w:val="bullet"/>
      <w:start w:val="1"/>
    </w:lvl>
  </w:abstractNum>
  <w:abstractNum w:abstractNumId="345">
    <w:nsid w:val="63822DC0"/>
    <w:multiLevelType w:val="hybridMultilevel"/>
    <w:lvl w:ilvl="0">
      <w:lvlJc w:val="left"/>
      <w:lvlText w:val="%1"/>
      <w:numFmt w:val="decimal"/>
      <w:start w:val="1"/>
    </w:lvl>
    <w:lvl w:ilvl="1">
      <w:lvlJc w:val="left"/>
      <w:lvlText w:val="(%2)"/>
      <w:numFmt w:val="upperLetter"/>
      <w:start w:val="1"/>
    </w:lvl>
  </w:abstractNum>
  <w:abstractNum w:abstractNumId="346">
    <w:nsid w:val="6C11685A"/>
    <w:multiLevelType w:val="hybridMultilevel"/>
    <w:lvl w:ilvl="0">
      <w:lvlJc w:val="left"/>
      <w:lvlText w:val="2"/>
      <w:numFmt w:val="bullet"/>
      <w:start w:val="1"/>
    </w:lvl>
  </w:abstractNum>
  <w:abstractNum w:abstractNumId="347">
    <w:nsid w:val="5E1EAE31"/>
    <w:multiLevelType w:val="hybridMultilevel"/>
    <w:lvl w:ilvl="0">
      <w:lvlJc w:val="left"/>
      <w:lvlText w:val="1"/>
      <w:numFmt w:val="bullet"/>
      <w:start w:val="1"/>
    </w:lvl>
  </w:abstractNum>
  <w:abstractNum w:abstractNumId="348">
    <w:nsid w:val="178E240D"/>
    <w:multiLevelType w:val="hybridMultilevel"/>
    <w:lvl w:ilvl="0">
      <w:lvlJc w:val="left"/>
      <w:lvlText w:val="2"/>
      <w:numFmt w:val="bullet"/>
      <w:start w:val="1"/>
    </w:lvl>
  </w:abstractNum>
  <w:abstractNum w:abstractNumId="349">
    <w:nsid w:val="5556A87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50">
    <w:nsid w:val="28100A9C"/>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351">
    <w:nsid w:val="D838636"/>
    <w:multiLevelType w:val="hybridMultilevel"/>
    <w:lvl w:ilvl="0">
      <w:lvlJc w:val="left"/>
      <w:lvlText w:val="%1."/>
      <w:numFmt w:val="decimal"/>
      <w:start w:val="1"/>
    </w:lvl>
  </w:abstractNum>
  <w:abstractNum w:abstractNumId="352">
    <w:nsid w:val="71B82AED"/>
    <w:multiLevelType w:val="hybridMultilevel"/>
    <w:lvl w:ilvl="0">
      <w:lvlJc w:val="left"/>
      <w:lvlText w:val="%1."/>
      <w:numFmt w:val="decimal"/>
      <w:start w:val="3"/>
    </w:lvl>
  </w:abstractNum>
  <w:abstractNum w:abstractNumId="353">
    <w:nsid w:val="D15FACA"/>
    <w:multiLevelType w:val="hybridMultilevel"/>
    <w:lvl w:ilvl="0">
      <w:lvlJc w:val="left"/>
      <w:lvlText w:val="%1"/>
      <w:numFmt w:val="decimal"/>
      <w:start w:val="1"/>
    </w:lvl>
    <w:lvl w:ilvl="1">
      <w:lvlJc w:val="left"/>
      <w:lvlText w:val="%2."/>
      <w:numFmt w:val="decimal"/>
      <w:start w:val="1"/>
    </w:lvl>
  </w:abstractNum>
  <w:abstractNum w:abstractNumId="354">
    <w:nsid w:val="3D69565B"/>
    <w:multiLevelType w:val="hybridMultilevel"/>
    <w:lvl w:ilvl="0">
      <w:lvlJc w:val="left"/>
      <w:lvlText w:val="%1."/>
      <w:numFmt w:val="decimal"/>
      <w:start w:val="2"/>
    </w:lvl>
    <w:lvl w:ilvl="1">
      <w:lvlJc w:val="left"/>
      <w:lvlText w:val="%2"/>
      <w:numFmt w:val="decimal"/>
      <w:start w:val="1"/>
    </w:lvl>
  </w:abstractNum>
  <w:abstractNum w:abstractNumId="355">
    <w:nsid w:val="2299DCBC"/>
    <w:multiLevelType w:val="hybridMultilevel"/>
    <w:lvl w:ilvl="0">
      <w:lvlJc w:val="left"/>
      <w:lvlText w:val="1"/>
      <w:numFmt w:val="bullet"/>
      <w:start w:val="1"/>
    </w:lvl>
  </w:abstractNum>
  <w:abstractNum w:abstractNumId="356">
    <w:nsid w:val="19908D02"/>
    <w:multiLevelType w:val="hybridMultilevel"/>
    <w:lvl w:ilvl="0">
      <w:lvlJc w:val="left"/>
      <w:lvlText w:val="2"/>
      <w:numFmt w:val="bullet"/>
      <w:start w:val="1"/>
    </w:lvl>
  </w:abstractNum>
  <w:abstractNum w:abstractNumId="357">
    <w:nsid w:val="24D48BDB"/>
    <w:multiLevelType w:val="hybridMultilevel"/>
    <w:lvl w:ilvl="0">
      <w:lvlJc w:val="left"/>
      <w:lvlText w:val="%1."/>
      <w:numFmt w:val="decimal"/>
      <w:start w:val="1"/>
    </w:lvl>
  </w:abstractNum>
  <w:abstractNum w:abstractNumId="358">
    <w:nsid w:val="542DA5B5"/>
    <w:multiLevelType w:val="hybridMultilevel"/>
    <w:lvl w:ilvl="0">
      <w:lvlJc w:val="left"/>
      <w:lvlText w:val="%1"/>
      <w:numFmt w:val="lowerLetter"/>
      <w:start w:val="1"/>
    </w:lvl>
    <w:lvl w:ilvl="1">
      <w:lvlJc w:val="left"/>
      <w:lvlText w:val="%2."/>
      <w:numFmt w:val="decimal"/>
      <w:start w:val="2"/>
    </w:lvl>
  </w:abstractNum>
  <w:abstractNum w:abstractNumId="359">
    <w:nsid w:val="793753DE"/>
    <w:multiLevelType w:val="hybridMultilevel"/>
    <w:lvl w:ilvl="0">
      <w:lvlJc w:val="left"/>
      <w:lvlText w:val="(%1)"/>
      <w:numFmt w:val="lowerLetter"/>
      <w:start w:val="2"/>
    </w:lvl>
    <w:lvl w:ilvl="1">
      <w:lvlJc w:val="left"/>
      <w:lvlText w:val="%2"/>
      <w:numFmt w:val="decimal"/>
      <w:start w:val="1"/>
    </w:lvl>
  </w:abstractNum>
  <w:abstractNum w:abstractNumId="360">
    <w:nsid w:val="1C67CB3D"/>
    <w:multiLevelType w:val="hybridMultilevel"/>
    <w:lvl w:ilvl="0">
      <w:lvlJc w:val="left"/>
      <w:lvlText w:val="%1."/>
      <w:numFmt w:val="decimal"/>
      <w:start w:val="4"/>
    </w:lvl>
  </w:abstractNum>
  <w:abstractNum w:abstractNumId="361">
    <w:nsid w:val="40E29452"/>
    <w:multiLevelType w:val="hybridMultilevel"/>
    <w:lvl w:ilvl="0">
      <w:lvlJc w:val="left"/>
      <w:lvlText w:val="1"/>
      <w:numFmt w:val="bullet"/>
      <w:start w:val="1"/>
    </w:lvl>
  </w:abstractNum>
  <w:abstractNum w:abstractNumId="362">
    <w:nsid w:val="63A4AAB6"/>
    <w:multiLevelType w:val="hybridMultilevel"/>
    <w:lvl w:ilvl="0">
      <w:lvlJc w:val="left"/>
      <w:lvlText w:val="(%1)"/>
      <w:numFmt w:val="lowerLetter"/>
      <w:start w:val="1"/>
    </w:lvl>
  </w:abstractNum>
  <w:abstractNum w:abstractNumId="363">
    <w:nsid w:val="77DA4A57"/>
    <w:multiLevelType w:val="hybridMultilevel"/>
    <w:lvl w:ilvl="0">
      <w:lvlJc w:val="left"/>
      <w:lvlText w:val="(%1)"/>
      <w:numFmt w:val="lowerLetter"/>
      <w:start w:val="4"/>
    </w:lvl>
  </w:abstractNum>
  <w:abstractNum w:abstractNumId="364">
    <w:nsid w:val="1230F102"/>
    <w:multiLevelType w:val="hybridMultilevel"/>
    <w:lvl w:ilvl="0">
      <w:lvlJc w:val="left"/>
      <w:lvlText w:val="1"/>
      <w:numFmt w:val="bullet"/>
      <w:start w:val="1"/>
    </w:lvl>
  </w:abstractNum>
  <w:abstractNum w:abstractNumId="365">
    <w:nsid w:val="25B57ED4"/>
    <w:multiLevelType w:val="hybridMultilevel"/>
    <w:lvl w:ilvl="0">
      <w:lvlJc w:val="left"/>
      <w:lvlText w:val="%1."/>
      <w:numFmt w:val="decimal"/>
      <w:start w:val="1"/>
    </w:lvl>
  </w:abstractNum>
  <w:abstractNum w:abstractNumId="366">
    <w:nsid w:val="47CF16C4"/>
    <w:multiLevelType w:val="hybridMultilevel"/>
    <w:lvl w:ilvl="0">
      <w:lvlJc w:val="left"/>
      <w:lvlText w:val="(%1)"/>
      <w:numFmt w:val="lowerRoman"/>
      <w:start w:val="2"/>
    </w:lvl>
  </w:abstractNum>
  <w:abstractNum w:abstractNumId="367">
    <w:nsid w:val="527FA04C"/>
    <w:multiLevelType w:val="hybridMultilevel"/>
    <w:lvl w:ilvl="0">
      <w:lvlJc w:val="left"/>
      <w:lvlText w:val="1"/>
      <w:numFmt w:val="bullet"/>
      <w:start w:val="1"/>
    </w:lvl>
  </w:abstractNum>
  <w:abstractNum w:abstractNumId="368">
    <w:nsid w:val="6FCC0624"/>
    <w:multiLevelType w:val="hybridMultilevel"/>
    <w:lvl w:ilvl="0">
      <w:lvlJc w:val="left"/>
      <w:lvlText w:val="%1"/>
      <w:numFmt w:val="decimal"/>
      <w:start w:val="1"/>
    </w:lvl>
    <w:lvl w:ilvl="1">
      <w:lvlJc w:val="left"/>
      <w:lvlText w:val="%2."/>
      <w:numFmt w:val="decimal"/>
      <w:start w:val="1"/>
    </w:lvl>
  </w:abstractNum>
  <w:abstractNum w:abstractNumId="369">
    <w:nsid w:val="1DCDF795"/>
    <w:multiLevelType w:val="hybridMultilevel"/>
    <w:lvl w:ilvl="0">
      <w:lvlJc w:val="left"/>
      <w:lvlText w:val="(%1)"/>
      <w:numFmt w:val="upperLetter"/>
      <w:start w:val="1"/>
    </w:lvl>
  </w:abstractNum>
  <w:abstractNum w:abstractNumId="370">
    <w:nsid w:val="564580C8"/>
    <w:multiLevelType w:val="hybridMultilevel"/>
    <w:lvl w:ilvl="0">
      <w:lvlJc w:val="left"/>
      <w:lvlText w:val="(%1)"/>
      <w:numFmt w:val="upperLetter"/>
      <w:start w:val="2"/>
    </w:lvl>
  </w:abstractNum>
  <w:abstractNum w:abstractNumId="371">
    <w:nsid w:val="508ED897"/>
    <w:multiLevelType w:val="hybridMultilevel"/>
    <w:lvl w:ilvl="0">
      <w:lvlJc w:val="left"/>
      <w:lvlText w:val="(%1)"/>
      <w:numFmt w:val="upperLetter"/>
      <w:start w:val="3"/>
    </w:lvl>
  </w:abstractNum>
  <w:abstractNum w:abstractNumId="372">
    <w:nsid w:val="6A9126B5"/>
    <w:multiLevelType w:val="hybridMultilevel"/>
    <w:lvl w:ilvl="0">
      <w:lvlJc w:val="left"/>
      <w:lvlText w:val="(%1)"/>
      <w:numFmt w:val="upperLetter"/>
      <w:start w:val="4"/>
    </w:lvl>
  </w:abstractNum>
  <w:abstractNum w:abstractNumId="373">
    <w:nsid w:val="68104812"/>
    <w:multiLevelType w:val="hybridMultilevel"/>
    <w:lvl w:ilvl="0">
      <w:lvlJc w:val="left"/>
      <w:lvlText w:val="(%1)"/>
      <w:numFmt w:val="upperLetter"/>
      <w:start w:val="5"/>
    </w:lvl>
  </w:abstractNum>
  <w:abstractNum w:abstractNumId="374">
    <w:nsid w:val="62FB8680"/>
    <w:multiLevelType w:val="hybridMultilevel"/>
    <w:lvl w:ilvl="0">
      <w:lvlJc w:val="left"/>
      <w:lvlText w:val="(%1)"/>
      <w:numFmt w:val="upperLetter"/>
      <w:start w:val="6"/>
    </w:lvl>
  </w:abstractNum>
  <w:abstractNum w:abstractNumId="375">
    <w:nsid w:val="3A45530"/>
    <w:multiLevelType w:val="hybridMultilevel"/>
    <w:lvl w:ilvl="0">
      <w:lvlJc w:val="left"/>
      <w:lvlText w:val="1"/>
      <w:numFmt w:val="bullet"/>
      <w:start w:val="1"/>
    </w:lvl>
  </w:abstractNum>
  <w:abstractNum w:abstractNumId="376">
    <w:nsid w:val="4B9275D2"/>
    <w:multiLevelType w:val="hybridMultilevel"/>
    <w:lvl w:ilvl="0">
      <w:lvlJc w:val="left"/>
      <w:lvlText w:val="(%1)"/>
      <w:numFmt w:val="upperLetter"/>
      <w:start w:val="1"/>
    </w:lvl>
  </w:abstractNum>
  <w:abstractNum w:abstractNumId="377">
    <w:nsid w:val="4F0CEEDB"/>
    <w:multiLevelType w:val="hybridMultilevel"/>
    <w:lvl w:ilvl="0">
      <w:lvlJc w:val="left"/>
      <w:lvlText w:val="(%1)"/>
      <w:numFmt w:val="upperLetter"/>
      <w:start w:val="2"/>
    </w:lvl>
  </w:abstractNum>
  <w:abstractNum w:abstractNumId="378">
    <w:nsid w:val="61C30361"/>
    <w:multiLevelType w:val="hybridMultilevel"/>
    <w:lvl w:ilvl="0">
      <w:lvlJc w:val="left"/>
      <w:lvlText w:val="(%1)"/>
      <w:numFmt w:val="upperLetter"/>
      <w:start w:val="3"/>
    </w:lvl>
  </w:abstractNum>
  <w:abstractNum w:abstractNumId="379">
    <w:nsid w:val="632099E0"/>
    <w:multiLevelType w:val="hybridMultilevel"/>
    <w:lvl w:ilvl="0">
      <w:lvlJc w:val="left"/>
      <w:lvlText w:val="(%1)"/>
      <w:numFmt w:val="upperLetter"/>
      <w:start w:val="4"/>
    </w:lvl>
  </w:abstractNum>
  <w:abstractNum w:abstractNumId="380">
    <w:nsid w:val="24639756"/>
    <w:multiLevelType w:val="hybridMultilevel"/>
    <w:lvl w:ilvl="0">
      <w:lvlJc w:val="left"/>
      <w:lvlText w:val="(%1)"/>
      <w:numFmt w:val="upperLetter"/>
      <w:start w:val="5"/>
    </w:lvl>
  </w:abstractNum>
  <w:abstractNum w:abstractNumId="381">
    <w:nsid w:val="9D30DFD"/>
    <w:multiLevelType w:val="hybridMultilevel"/>
    <w:lvl w:ilvl="0">
      <w:lvlJc w:val="left"/>
      <w:lvlText w:val="(%1)"/>
      <w:numFmt w:val="upperLetter"/>
      <w:start w:val="6"/>
    </w:lvl>
  </w:abstractNum>
  <w:abstractNum w:abstractNumId="382">
    <w:nsid w:val="70A42016"/>
    <w:multiLevelType w:val="hybridMultilevel"/>
    <w:lvl w:ilvl="0">
      <w:lvlJc w:val="left"/>
      <w:lvlText w:val="1"/>
      <w:numFmt w:val="bullet"/>
      <w:start w:val="1"/>
    </w:lvl>
  </w:abstractNum>
  <w:abstractNum w:abstractNumId="383">
    <w:nsid w:val="161BC243"/>
    <w:multiLevelType w:val="hybridMultilevel"/>
    <w:lvl w:ilvl="0">
      <w:lvlJc w:val="left"/>
      <w:lvlText w:val="1"/>
      <w:numFmt w:val="bullet"/>
      <w:start w:val="1"/>
    </w:lvl>
  </w:abstractNum>
  <w:abstractNum w:abstractNumId="384">
    <w:nsid w:val="16E908C8"/>
    <w:multiLevelType w:val="hybridMultilevel"/>
    <w:lvl w:ilvl="0">
      <w:lvlJc w:val="left"/>
      <w:lvlText w:val="2"/>
      <w:numFmt w:val="bullet"/>
      <w:start w:val="1"/>
    </w:lvl>
  </w:abstractNum>
  <w:abstractNum w:abstractNumId="385">
    <w:nsid w:val="2E0D7671"/>
    <w:multiLevelType w:val="hybridMultilevel"/>
    <w:lvl w:ilvl="0">
      <w:lvlJc w:val="left"/>
      <w:lvlText w:val="3"/>
      <w:numFmt w:val="bullet"/>
      <w:start w:val="1"/>
    </w:lvl>
  </w:abstractNum>
  <w:abstractNum w:abstractNumId="386">
    <w:nsid w:val="38B59EFF"/>
    <w:multiLevelType w:val="hybridMultilevel"/>
    <w:lvl w:ilvl="0">
      <w:lvlJc w:val="left"/>
      <w:lvlText w:val="(%1)"/>
      <w:numFmt w:val="upperLetter"/>
      <w:start w:val="1"/>
    </w:lvl>
  </w:abstractNum>
  <w:abstractNum w:abstractNumId="387">
    <w:nsid w:val="307995CA"/>
    <w:multiLevelType w:val="hybridMultilevel"/>
    <w:lvl w:ilvl="0">
      <w:lvlJc w:val="left"/>
      <w:lvlText w:val="(%1)"/>
      <w:numFmt w:val="upperLetter"/>
      <w:start w:val="4"/>
    </w:lvl>
  </w:abstractNum>
  <w:abstractNum w:abstractNumId="388">
    <w:nsid w:val="52E2024D"/>
    <w:multiLevelType w:val="hybridMultilevel"/>
    <w:lvl w:ilvl="0">
      <w:lvlJc w:val="left"/>
      <w:lvlText w:val="4"/>
      <w:numFmt w:val="bullet"/>
      <w:start w:val="1"/>
    </w:lvl>
  </w:abstractNum>
  <w:abstractNum w:abstractNumId="389">
    <w:nsid w:val="CE344B5"/>
    <w:multiLevelType w:val="hybridMultilevel"/>
    <w:lvl w:ilvl="0">
      <w:lvlJc w:val="left"/>
      <w:lvlText w:val="5"/>
      <w:numFmt w:val="bullet"/>
      <w:start w:val="1"/>
    </w:lvl>
  </w:abstractNum>
  <w:abstractNum w:abstractNumId="390">
    <w:nsid w:val="29B0E9A8"/>
    <w:multiLevelType w:val="hybridMultilevel"/>
    <w:lvl w:ilvl="0">
      <w:lvlJc w:val="left"/>
      <w:lvlText w:val="6"/>
      <w:numFmt w:val="bullet"/>
      <w:start w:val="1"/>
    </w:lvl>
  </w:abstractNum>
  <w:abstractNum w:abstractNumId="391">
    <w:nsid w:val="6F49CD8A"/>
    <w:multiLevelType w:val="hybridMultilevel"/>
    <w:lvl w:ilvl="0">
      <w:lvlJc w:val="left"/>
      <w:lvlText w:val="7"/>
      <w:numFmt w:val="bullet"/>
      <w:start w:val="1"/>
    </w:lvl>
  </w:abstractNum>
  <w:abstractNum w:abstractNumId="392">
    <w:nsid w:val="4DC5D907"/>
    <w:multiLevelType w:val="hybridMultilevel"/>
    <w:lvl w:ilvl="0">
      <w:lvlJc w:val="left"/>
      <w:lvlText w:val="8"/>
      <w:numFmt w:val="bullet"/>
      <w:start w:val="1"/>
    </w:lvl>
  </w:abstractNum>
  <w:abstractNum w:abstractNumId="393">
    <w:nsid w:val="D55945E"/>
    <w:multiLevelType w:val="hybridMultilevel"/>
    <w:lvl w:ilvl="0">
      <w:lvlJc w:val="left"/>
      <w:lvlText w:val="9"/>
      <w:numFmt w:val="bullet"/>
      <w:start w:val="1"/>
    </w:lvl>
  </w:abstractNum>
  <w:abstractNum w:abstractNumId="394">
    <w:nsid w:val="672417E1"/>
    <w:multiLevelType w:val="hybridMultilevel"/>
    <w:lvl w:ilvl="0">
      <w:lvlJc w:val="left"/>
      <w:lvlText w:val="%1"/>
      <w:numFmt w:val="lowerLetter"/>
      <w:start w:val="1"/>
    </w:lvl>
    <w:lvl w:ilvl="1">
      <w:lvlJc w:val="left"/>
      <w:lvlText w:val="(%2)"/>
      <w:numFmt w:val="lowerLetter"/>
      <w:start w:val="1"/>
    </w:lvl>
  </w:abstractNum>
  <w:abstractNum w:abstractNumId="395">
    <w:nsid w:val="5FF6CA09"/>
    <w:multiLevelType w:val="hybridMultilevel"/>
    <w:lvl w:ilvl="0">
      <w:lvlJc w:val="left"/>
      <w:lvlText w:val="(%1)"/>
      <w:numFmt w:val="lowerLetter"/>
      <w:start w:val="61"/>
    </w:lvl>
    <w:lvl w:ilvl="1">
      <w:lvlJc w:val="left"/>
      <w:lvlText w:val="(%2)"/>
      <w:numFmt w:val="lowerLetter"/>
      <w:start w:val="3"/>
    </w:lvl>
  </w:abstractNum>
  <w:abstractNum w:abstractNumId="396">
    <w:nsid w:val="330B1333"/>
    <w:multiLevelType w:val="hybridMultilevel"/>
    <w:lvl w:ilvl="0">
      <w:lvlJc w:val="left"/>
      <w:lvlText w:val="%1"/>
      <w:numFmt w:val="lowerLetter"/>
      <w:start w:val="1"/>
    </w:lvl>
    <w:lvl w:ilvl="1">
      <w:lvlJc w:val="left"/>
      <w:lvlText w:val="(%2)"/>
      <w:numFmt w:val="lowerLetter"/>
      <w:start w:val="1"/>
    </w:lvl>
  </w:abstractNum>
  <w:abstractNum w:abstractNumId="397">
    <w:nsid w:val="2EF32EA6"/>
    <w:multiLevelType w:val="hybridMultilevel"/>
    <w:lvl w:ilvl="0">
      <w:lvlJc w:val="left"/>
      <w:lvlText w:val="(%1)"/>
      <w:numFmt w:val="lowerLetter"/>
      <w:start w:val="35"/>
    </w:lvl>
    <w:lvl w:ilvl="1">
      <w:lvlJc w:val="left"/>
      <w:lvlText w:val="(%2)"/>
      <w:numFmt w:val="lowerLetter"/>
      <w:start w:val="6"/>
    </w:lvl>
  </w:abstractNum>
  <w:abstractNum w:abstractNumId="398">
    <w:nsid w:val="32766A55"/>
    <w:multiLevelType w:val="hybridMultilevel"/>
    <w:lvl w:ilvl="0">
      <w:lvlJc w:val="left"/>
      <w:lvlText w:val="A"/>
      <w:numFmt w:val="bullet"/>
      <w:start w:val="1"/>
    </w:lvl>
  </w:abstractNum>
  <w:abstractNum w:abstractNumId="399">
    <w:nsid w:val="22D71957"/>
    <w:multiLevelType w:val="hybridMultilevel"/>
    <w:lvl w:ilvl="0">
      <w:lvlJc w:val="left"/>
      <w:lvlText w:val="B"/>
      <w:numFmt w:val="bullet"/>
      <w:start w:val="1"/>
    </w:lvl>
  </w:abstractNum>
  <w:abstractNum w:abstractNumId="400">
    <w:nsid w:val="4CC1263B"/>
    <w:multiLevelType w:val="hybridMultilevel"/>
    <w:lvl w:ilvl="0">
      <w:lvlJc w:val="left"/>
      <w:lvlText w:val="C"/>
      <w:numFmt w:val="bullet"/>
      <w:start w:val="1"/>
    </w:lvl>
  </w:abstractNum>
  <w:abstractNum w:abstractNumId="401">
    <w:nsid w:val="8BBEB1D"/>
    <w:multiLevelType w:val="hybridMultilevel"/>
    <w:lvl w:ilvl="0">
      <w:lvlJc w:val="left"/>
      <w:lvlText w:val="D"/>
      <w:numFmt w:val="bullet"/>
      <w:start w:val="1"/>
    </w:lvl>
  </w:abstractNum>
  <w:abstractNum w:abstractNumId="402">
    <w:nsid w:val="7365F1EE"/>
    <w:multiLevelType w:val="hybridMultilevel"/>
    <w:lvl w:ilvl="0">
      <w:lvlJc w:val="left"/>
      <w:lvlText w:val="E"/>
      <w:numFmt w:val="bullet"/>
      <w:start w:val="1"/>
    </w:lvl>
  </w:abstractNum>
  <w:abstractNum w:abstractNumId="403">
    <w:nsid w:val="37524CF0"/>
    <w:multiLevelType w:val="hybridMultilevel"/>
    <w:lvl w:ilvl="0">
      <w:lvlJc w:val="left"/>
      <w:lvlText w:val="F"/>
      <w:numFmt w:val="bullet"/>
      <w:start w:val="1"/>
    </w:lvl>
  </w:abstractNum>
  <w:abstractNum w:abstractNumId="404">
    <w:nsid w:val="70CC332F"/>
    <w:multiLevelType w:val="hybridMultilevel"/>
    <w:lvl w:ilvl="0">
      <w:lvlJc w:val="left"/>
      <w:lvlText w:val="G"/>
      <w:numFmt w:val="bullet"/>
      <w:start w:val="1"/>
    </w:lvl>
  </w:abstractNum>
  <w:abstractNum w:abstractNumId="405">
    <w:nsid w:val="5661786E"/>
    <w:multiLevelType w:val="hybridMultilevel"/>
    <w:lvl w:ilvl="0">
      <w:lvlJc w:val="left"/>
      <w:lvlText w:val="H"/>
      <w:numFmt w:val="bullet"/>
      <w:start w:val="1"/>
    </w:lvl>
  </w:abstractNum>
  <w:abstractNum w:abstractNumId="406">
    <w:nsid w:val="3AF6A220"/>
    <w:multiLevelType w:val="hybridMultilevel"/>
    <w:lvl w:ilvl="0">
      <w:lvlJc w:val="left"/>
      <w:lvlText w:val="J"/>
      <w:numFmt w:val="bullet"/>
      <w:start w:val="1"/>
    </w:lvl>
  </w:abstractNum>
  <w:abstractNum w:abstractNumId="407">
    <w:nsid w:val="3C5EA902"/>
    <w:multiLevelType w:val="hybridMultilevel"/>
    <w:lvl w:ilvl="0">
      <w:lvlJc w:val="left"/>
      <w:lvlText w:val="K"/>
      <w:numFmt w:val="bullet"/>
      <w:start w:val="1"/>
    </w:lvl>
  </w:abstractNum>
  <w:abstractNum w:abstractNumId="408">
    <w:nsid w:val="256E6749"/>
    <w:multiLevelType w:val="hybridMultilevel"/>
    <w:lvl w:ilvl="0">
      <w:lvlJc w:val="left"/>
      <w:lvlText w:val="L"/>
      <w:numFmt w:val="bullet"/>
      <w:start w:val="1"/>
    </w:lvl>
  </w:abstractNum>
  <w:abstractNum w:abstractNumId="409">
    <w:nsid w:val="1CB9A581"/>
    <w:multiLevelType w:val="hybridMultilevel"/>
    <w:lvl w:ilvl="0">
      <w:lvlJc w:val="left"/>
      <w:lvlText w:val="(%1)"/>
      <w:numFmt w:val="lowerLetter"/>
      <w:start w:val="2"/>
    </w:lvl>
  </w:abstractNum>
  <w:abstractNum w:abstractNumId="410">
    <w:nsid w:val="1F7F42E2"/>
    <w:multiLevelType w:val="hybridMultilevel"/>
    <w:lvl w:ilvl="0">
      <w:lvlJc w:val="left"/>
      <w:lvlText w:val="(%1)"/>
      <w:numFmt w:val="decimal"/>
      <w:start w:val="1"/>
    </w:lvl>
  </w:abstractNum>
  <w:abstractNum w:abstractNumId="411">
    <w:nsid w:val="49D1FEA0"/>
    <w:multiLevelType w:val="hybridMultilevel"/>
    <w:lvl w:ilvl="0">
      <w:lvlJc w:val="left"/>
      <w:lvlText w:val="(%1)"/>
      <w:numFmt w:val="decimal"/>
      <w:start w:val="1"/>
    </w:lvl>
  </w:abstractNum>
  <w:abstractNum w:abstractNumId="412">
    <w:nsid w:val="268CB37F"/>
    <w:multiLevelType w:val="hybridMultilevel"/>
    <w:lvl w:ilvl="0">
      <w:lvlJc w:val="left"/>
      <w:lvlText w:val="(%1)"/>
      <w:numFmt w:val="lowerLetter"/>
      <w:start w:val="1"/>
    </w:lvl>
  </w:abstractNum>
  <w:abstractNum w:abstractNumId="413">
    <w:nsid w:val="102362F8"/>
    <w:multiLevelType w:val="hybridMultilevel"/>
    <w:lvl w:ilvl="0">
      <w:lvlJc w:val="left"/>
      <w:lvlText w:val="(%1)"/>
      <w:numFmt w:val="lowerLetter"/>
      <w:start w:val="2"/>
    </w:lvl>
  </w:abstractNum>
  <w:abstractNum w:abstractNumId="414">
    <w:nsid w:val="5FEDC0E3"/>
    <w:multiLevelType w:val="hybridMultilevel"/>
    <w:lvl w:ilvl="0">
      <w:lvlJc w:val="left"/>
      <w:lvlText w:val="(%1)"/>
      <w:numFmt w:val="decimal"/>
      <w:start w:val="2"/>
    </w:lvl>
  </w:abstractNum>
  <w:abstractNum w:abstractNumId="415">
    <w:nsid w:val="3D75BC47"/>
    <w:multiLevelType w:val="hybridMultilevel"/>
    <w:lvl w:ilvl="0">
      <w:lvlJc w:val="left"/>
      <w:lvlText w:val="(%1)"/>
      <w:numFmt w:val="decimal"/>
      <w:start w:val="1"/>
    </w:lvl>
  </w:abstractNum>
  <w:abstractNum w:abstractNumId="416">
    <w:nsid w:val="3E30D969"/>
    <w:multiLevelType w:val="hybridMultilevel"/>
    <w:lvl w:ilvl="0">
      <w:lvlJc w:val="left"/>
      <w:lvlText w:val="(%1)"/>
      <w:numFmt w:val="decimal"/>
      <w:start w:val="4"/>
    </w:lvl>
  </w:abstractNum>
  <w:abstractNum w:abstractNumId="417">
    <w:nsid w:val="18A35FE3"/>
    <w:multiLevelType w:val="hybridMultilevel"/>
    <w:lvl w:ilvl="0">
      <w:lvlJc w:val="left"/>
      <w:lvlText w:val="(%1)"/>
      <w:numFmt w:val="decimal"/>
      <w:start w:val="1"/>
    </w:lvl>
  </w:abstractNum>
  <w:abstractNum w:abstractNumId="418">
    <w:nsid w:val="6DEF5211"/>
    <w:multiLevelType w:val="hybridMultilevel"/>
    <w:lvl w:ilvl="0">
      <w:lvlJc w:val="left"/>
      <w:lvlText w:val="(%1)"/>
      <w:numFmt w:val="lowerRoman"/>
      <w:start w:val="1"/>
    </w:lvl>
  </w:abstractNum>
  <w:abstractNum w:abstractNumId="419">
    <w:nsid w:val="1112DBB6"/>
    <w:multiLevelType w:val="hybridMultilevel"/>
    <w:lvl w:ilvl="0">
      <w:lvlJc w:val="left"/>
      <w:lvlText w:val="(%1)"/>
      <w:numFmt w:val="lowerRoman"/>
      <w:start w:val="1"/>
    </w:lvl>
  </w:abstractNum>
  <w:abstractNum w:abstractNumId="420">
    <w:nsid w:val="2586A498"/>
    <w:multiLevelType w:val="hybridMultilevel"/>
    <w:lvl w:ilvl="0">
      <w:lvlJc w:val="left"/>
      <w:lvlText w:val="\ldblquote"/>
      <w:numFmt w:val="bullet"/>
      <w:start w:val="1"/>
    </w:lvl>
  </w:abstractNum>
  <w:abstractNum w:abstractNumId="421">
    <w:nsid w:val="17A03BB9"/>
    <w:multiLevelType w:val="hybridMultilevel"/>
    <w:lvl w:ilvl="0">
      <w:lvlJc w:val="left"/>
      <w:lvlText w:val="(%1)"/>
      <w:numFmt w:val="lowerLetter"/>
      <w:start w:val="2"/>
    </w:lvl>
  </w:abstractNum>
  <w:abstractNum w:abstractNumId="422">
    <w:nsid w:val="5CA941"/>
    <w:multiLevelType w:val="hybridMultilevel"/>
    <w:lvl w:ilvl="0">
      <w:lvlJc w:val="left"/>
      <w:lvlText w:val="(%1)"/>
      <w:numFmt w:val="decimal"/>
      <w:start w:val="1"/>
    </w:lvl>
  </w:abstractNum>
  <w:abstractNum w:abstractNumId="423">
    <w:nsid w:val="734C7D9F"/>
    <w:multiLevelType w:val="hybridMultilevel"/>
    <w:lvl w:ilvl="0">
      <w:lvlJc w:val="left"/>
      <w:lvlText w:val="(%1)"/>
      <w:numFmt w:val="lowerLetter"/>
      <w:start w:val="1"/>
    </w:lvl>
  </w:abstractNum>
  <w:abstractNum w:abstractNumId="424">
    <w:nsid w:val="24F5D018"/>
    <w:multiLevelType w:val="hybridMultilevel"/>
    <w:lvl w:ilvl="0">
      <w:lvlJc w:val="left"/>
      <w:lvlText w:val="(%1)"/>
      <w:numFmt w:val="lowerRoman"/>
      <w:start w:val="6"/>
    </w:lvl>
  </w:abstractNum>
  <w:abstractNum w:abstractNumId="425">
    <w:nsid w:val="6780C122"/>
    <w:multiLevelType w:val="hybridMultilevel"/>
    <w:lvl w:ilvl="0">
      <w:lvlJc w:val="left"/>
      <w:lvlText w:val="(%1)"/>
      <w:numFmt w:val="lowerRoman"/>
      <w:start w:val="1"/>
    </w:lvl>
  </w:abstractNum>
  <w:abstractNum w:abstractNumId="426">
    <w:nsid w:val="534347A8"/>
    <w:multiLevelType w:val="hybridMultilevel"/>
    <w:lvl w:ilvl="0">
      <w:lvlJc w:val="left"/>
      <w:lvlText w:val="(%1)"/>
      <w:numFmt w:val="lowerLetter"/>
      <w:start w:val="2"/>
    </w:lvl>
  </w:abstractNum>
  <w:abstractNum w:abstractNumId="427">
    <w:nsid w:val="5800E34B"/>
    <w:multiLevelType w:val="hybridMultilevel"/>
    <w:lvl w:ilvl="0">
      <w:lvlJc w:val="left"/>
      <w:lvlText w:val="(%1)"/>
      <w:numFmt w:val="upperLetter"/>
      <w:start w:val="1"/>
    </w:lvl>
  </w:abstractNum>
  <w:abstractNum w:abstractNumId="428">
    <w:nsid w:val="1673EFC8"/>
    <w:multiLevelType w:val="hybridMultilevel"/>
    <w:lvl w:ilvl="0">
      <w:lvlJc w:val="left"/>
      <w:lvlText w:val="(%1)"/>
      <w:numFmt w:val="lowerLetter"/>
      <w:start w:val="2"/>
    </w:lvl>
  </w:abstractNum>
  <w:abstractNum w:abstractNumId="429">
    <w:nsid w:val="5B9B1FD"/>
    <w:multiLevelType w:val="hybridMultilevel"/>
    <w:lvl w:ilvl="0">
      <w:lvlJc w:val="left"/>
      <w:lvlText w:val="(%1)"/>
      <w:numFmt w:val="lowerLetter"/>
      <w:start w:val="1"/>
    </w:lvl>
  </w:abstractNum>
  <w:abstractNum w:abstractNumId="430">
    <w:nsid w:val="7AD7FCA2"/>
    <w:multiLevelType w:val="hybridMultilevel"/>
    <w:lvl w:ilvl="0">
      <w:lvlJc w:val="left"/>
      <w:lvlText w:val="(%1)"/>
      <w:numFmt w:val="lowerLetter"/>
      <w:start w:val="2"/>
    </w:lvl>
  </w:abstractNum>
  <w:abstractNum w:abstractNumId="431">
    <w:nsid w:val="63351604"/>
    <w:multiLevelType w:val="hybridMultilevel"/>
    <w:lvl w:ilvl="0">
      <w:lvlJc w:val="left"/>
      <w:lvlText w:val="%1"/>
      <w:numFmt w:val="lowerRoman"/>
      <w:start w:val="1"/>
    </w:lvl>
    <w:lvl w:ilvl="1">
      <w:lvlJc w:val="left"/>
      <w:lvlText w:val="(%2)"/>
      <w:numFmt w:val="lowerLetter"/>
      <w:start w:val="10"/>
    </w:lvl>
  </w:abstractNum>
  <w:abstractNum w:abstractNumId="432">
    <w:nsid w:val="E759D1A"/>
    <w:multiLevelType w:val="hybridMultilevel"/>
    <w:lvl w:ilvl="0">
      <w:lvlJc w:val="left"/>
      <w:lvlText w:val="(%1)"/>
      <w:numFmt w:val="lowerRoman"/>
      <w:start w:val="8"/>
    </w:lvl>
    <w:lvl w:ilvl="1">
      <w:lvlJc w:val="left"/>
      <w:lvlText w:val="(%2)"/>
      <w:numFmt w:val="lowerLetter"/>
      <w:start w:val="18"/>
    </w:lvl>
  </w:abstractNum>
  <w:abstractNum w:abstractNumId="433">
    <w:nsid w:val="6E3DEE90"/>
    <w:multiLevelType w:val="hybridMultilevel"/>
    <w:lvl w:ilvl="0">
      <w:lvlJc w:val="left"/>
      <w:lvlText w:val="(%1)"/>
      <w:numFmt w:val="lowerLetter"/>
      <w:start w:val="19"/>
    </w:lvl>
  </w:abstractNum>
  <w:abstractNum w:abstractNumId="434">
    <w:nsid w:val="1A8762F4"/>
    <w:multiLevelType w:val="hybridMultilevel"/>
    <w:lvl w:ilvl="0">
      <w:lvlJc w:val="left"/>
      <w:lvlText w:val="(%1)"/>
      <w:numFmt w:val="lowerRoman"/>
      <w:start w:val="2"/>
    </w:lvl>
  </w:abstractNum>
  <w:abstractNum w:abstractNumId="435">
    <w:nsid w:val="7F41D049"/>
    <w:multiLevelType w:val="hybridMultilevel"/>
    <w:lvl w:ilvl="0">
      <w:lvlJc w:val="left"/>
      <w:lvlText w:val="(%1)"/>
      <w:numFmt w:val="upperLetter"/>
      <w:start w:val="3"/>
    </w:lvl>
  </w:abstractNum>
  <w:abstractNum w:abstractNumId="436">
    <w:nsid w:val="449F66FE"/>
    <w:multiLevelType w:val="hybridMultilevel"/>
    <w:lvl w:ilvl="0">
      <w:lvlJc w:val="left"/>
      <w:lvlText w:val="(%1)"/>
      <w:numFmt w:val="lowerLetter"/>
      <w:start w:val="3"/>
    </w:lvl>
  </w:abstractNum>
  <w:abstractNum w:abstractNumId="437">
    <w:nsid w:val="557E0515"/>
    <w:multiLevelType w:val="hybridMultilevel"/>
    <w:lvl w:ilvl="0">
      <w:lvlJc w:val="left"/>
      <w:lvlText w:val="(%1)"/>
      <w:numFmt w:val="lowerLetter"/>
      <w:start w:val="2"/>
    </w:lvl>
  </w:abstractNum>
  <w:abstractNum w:abstractNumId="438">
    <w:nsid w:val="3BA0794B"/>
    <w:multiLevelType w:val="hybridMultilevel"/>
    <w:lvl w:ilvl="0">
      <w:lvlJc w:val="left"/>
      <w:lvlText w:val="%1"/>
      <w:numFmt w:val="lowerLetter"/>
      <w:start w:val="1"/>
    </w:lvl>
    <w:lvl w:ilvl="1">
      <w:lvlJc w:val="left"/>
      <w:lvlText w:val="(%2)"/>
      <w:numFmt w:val="lowerLetter"/>
      <w:start w:val="1"/>
    </w:lvl>
  </w:abstractNum>
  <w:abstractNum w:abstractNumId="439">
    <w:nsid w:val="6A0DCE48"/>
    <w:multiLevelType w:val="hybridMultilevel"/>
    <w:lvl w:ilvl="0">
      <w:lvlJc w:val="left"/>
      <w:lvlText w:val="(%1)"/>
      <w:numFmt w:val="lowerLetter"/>
      <w:start w:val="9"/>
    </w:lvl>
    <w:lvl w:ilvl="1">
      <w:lvlJc w:val="left"/>
      <w:lvlText w:val="(%2)"/>
      <w:numFmt w:val="lowerLetter"/>
      <w:start w:val="3"/>
    </w:lvl>
  </w:abstractNum>
  <w:abstractNum w:abstractNumId="440">
    <w:nsid w:val="7237AA96"/>
    <w:multiLevelType w:val="hybridMultilevel"/>
    <w:lvl w:ilvl="0">
      <w:lvlJc w:val="left"/>
      <w:lvlText w:val="(%1)"/>
      <w:numFmt w:val="lowerLetter"/>
      <w:start w:val="1"/>
    </w:lvl>
  </w:abstractNum>
  <w:abstractNum w:abstractNumId="441">
    <w:nsid w:val="5B1FBC2D"/>
    <w:multiLevelType w:val="hybridMultilevel"/>
    <w:lvl w:ilvl="0">
      <w:lvlJc w:val="left"/>
      <w:lvlText w:val="(%1)"/>
      <w:numFmt w:val="lowerLetter"/>
      <w:start w:val="1"/>
    </w:lvl>
  </w:abstractNum>
  <w:abstractNum w:abstractNumId="442">
    <w:nsid w:val="33DFCCE8"/>
    <w:multiLevelType w:val="hybridMultilevel"/>
    <w:lvl w:ilvl="0">
      <w:lvlJc w:val="left"/>
      <w:lvlText w:val="%1"/>
      <w:numFmt w:val="lowerLetter"/>
      <w:start w:val="1"/>
    </w:lvl>
    <w:lvl w:ilvl="1">
      <w:lvlJc w:val="left"/>
      <w:lvlText w:val="(%2)"/>
      <w:numFmt w:val="lowerLetter"/>
      <w:start w:val="1"/>
    </w:lvl>
  </w:abstractNum>
  <w:abstractNum w:abstractNumId="443">
    <w:nsid w:val="18C45E15"/>
    <w:multiLevelType w:val="hybridMultilevel"/>
    <w:lvl w:ilvl="0">
      <w:lvlJc w:val="left"/>
      <w:lvlText w:val="(%1)"/>
      <w:numFmt w:val="lowerLetter"/>
      <w:start w:val="35"/>
    </w:lvl>
    <w:lvl w:ilvl="1">
      <w:lvlJc w:val="left"/>
      <w:lvlText w:val="%2"/>
      <w:numFmt w:val="lowerLetter"/>
      <w:start w:val="1"/>
    </w:lvl>
  </w:abstractNum>
  <w:abstractNum w:abstractNumId="444">
    <w:nsid w:val="6B431F25"/>
    <w:multiLevelType w:val="hybridMultilevel"/>
    <w:lvl w:ilvl="0">
      <w:lvlJc w:val="left"/>
      <w:lvlText w:val="(%1)"/>
      <w:numFmt w:val="lowerLetter"/>
      <w:start w:val="2"/>
    </w:lvl>
  </w:abstractNum>
  <w:abstractNum w:abstractNumId="445">
    <w:nsid w:val="13CD8DCB"/>
    <w:multiLevelType w:val="hybridMultilevel"/>
    <w:lvl w:ilvl="0">
      <w:lvlJc w:val="left"/>
      <w:lvlText w:val="(%1)"/>
      <w:numFmt w:val="lowerLetter"/>
      <w:start w:val="2"/>
    </w:lvl>
  </w:abstractNum>
  <w:abstractNum w:abstractNumId="446">
    <w:nsid w:val="563A1A5C"/>
    <w:multiLevelType w:val="hybridMultilevel"/>
    <w:lvl w:ilvl="0">
      <w:lvlJc w:val="left"/>
      <w:lvlText w:val="(%1)"/>
      <w:numFmt w:val="decimal"/>
      <w:start w:val="2"/>
    </w:lvl>
    <w:lvl w:ilvl="1">
      <w:lvlJc w:val="left"/>
      <w:lvlText w:val="(%2)"/>
      <w:numFmt w:val="lowerRoman"/>
      <w:start w:val="2"/>
    </w:lvl>
  </w:abstractNum>
  <w:abstractNum w:abstractNumId="447">
    <w:nsid w:val="2973F88F"/>
    <w:multiLevelType w:val="hybridMultilevel"/>
    <w:lvl w:ilvl="0">
      <w:lvlJc w:val="left"/>
      <w:lvlText w:val="(%1)"/>
      <w:numFmt w:val="lowerLetter"/>
      <w:start w:val="24"/>
    </w:lvl>
    <w:lvl w:ilvl="1">
      <w:lvlJc w:val="left"/>
      <w:lvlText w:val="(%2)"/>
      <w:numFmt w:val="lowerLetter"/>
      <w:start w:val="2"/>
    </w:lvl>
  </w:abstractNum>
  <w:abstractNum w:abstractNumId="448">
    <w:nsid w:val="2C70EDAE"/>
    <w:multiLevelType w:val="hybridMultilevel"/>
    <w:lvl w:ilvl="0">
      <w:lvlJc w:val="left"/>
      <w:lvlText w:val="(%1)"/>
      <w:numFmt w:val="lowerLetter"/>
      <w:start w:val="5"/>
    </w:lvl>
  </w:abstractNum>
  <w:abstractNum w:abstractNumId="449">
    <w:nsid w:val="44296C6D"/>
    <w:multiLevelType w:val="hybridMultilevel"/>
    <w:lvl w:ilvl="0">
      <w:lvlJc w:val="left"/>
      <w:lvlText w:val="(%1)"/>
      <w:numFmt w:val="lowerLetter"/>
      <w:start w:val="8"/>
    </w:lvl>
  </w:abstractNum>
  <w:abstractNum w:abstractNumId="450">
    <w:nsid w:val="3A86D445"/>
    <w:multiLevelType w:val="hybridMultilevel"/>
    <w:lvl w:ilvl="0">
      <w:lvlJc w:val="left"/>
      <w:lvlText w:val="(%1)"/>
      <w:numFmt w:val="lowerLetter"/>
      <w:start w:val="2"/>
    </w:lvl>
  </w:abstractNum>
  <w:abstractNum w:abstractNumId="451">
    <w:nsid w:val="51F79246"/>
    <w:multiLevelType w:val="hybridMultilevel"/>
    <w:lvl w:ilvl="0">
      <w:lvlJc w:val="left"/>
      <w:lvlText w:val="(%1)"/>
      <w:numFmt w:val="lowerLetter"/>
      <w:start w:val="1"/>
    </w:lvl>
  </w:abstractNum>
  <w:abstractNum w:abstractNumId="452">
    <w:nsid w:val="5BC9A827"/>
    <w:multiLevelType w:val="hybridMultilevel"/>
    <w:lvl w:ilvl="0">
      <w:lvlJc w:val="left"/>
      <w:lvlText w:val="(%1)"/>
      <w:numFmt w:val="lowerLetter"/>
      <w:start w:val="2"/>
    </w:lvl>
  </w:abstractNum>
  <w:abstractNum w:abstractNumId="453">
    <w:nsid w:val="3AE37D86"/>
    <w:multiLevelType w:val="hybridMultilevel"/>
    <w:lvl w:ilvl="0">
      <w:lvlJc w:val="left"/>
      <w:lvlText w:val="(%1)"/>
      <w:numFmt w:val="lowerLetter"/>
      <w:start w:val="4"/>
    </w:lvl>
  </w:abstractNum>
  <w:abstractNum w:abstractNumId="454">
    <w:nsid w:val="45440FE5"/>
    <w:multiLevelType w:val="hybridMultilevel"/>
    <w:lvl w:ilvl="0">
      <w:lvlJc w:val="left"/>
      <w:lvlText w:val="(%1)"/>
      <w:numFmt w:val="lowerLetter"/>
      <w:start w:val="25"/>
    </w:lvl>
  </w:abstractNum>
  <w:abstractNum w:abstractNumId="455">
    <w:nsid w:val="BF783F"/>
    <w:multiLevelType w:val="hybridMultilevel"/>
    <w:lvl w:ilvl="0">
      <w:lvlJc w:val="left"/>
      <w:lvlText w:val="(%1)"/>
      <w:numFmt w:val="lowerLetter"/>
      <w:start w:val="2"/>
    </w:lvl>
  </w:abstractNum>
  <w:abstractNum w:abstractNumId="456">
    <w:nsid w:val="22643EA9"/>
    <w:multiLevelType w:val="hybridMultilevel"/>
    <w:lvl w:ilvl="0">
      <w:lvlJc w:val="left"/>
      <w:lvlText w:val="(%1)"/>
      <w:numFmt w:val="lowerLetter"/>
      <w:start w:val="1"/>
    </w:lvl>
  </w:abstractNum>
  <w:abstractNum w:abstractNumId="457">
    <w:nsid w:val="1887578D"/>
    <w:multiLevelType w:val="hybridMultilevel"/>
    <w:lvl w:ilvl="0">
      <w:lvlJc w:val="left"/>
      <w:lvlText w:val="%1"/>
      <w:numFmt w:val="lowerLetter"/>
      <w:start w:val="1"/>
    </w:lvl>
    <w:lvl w:ilvl="1">
      <w:lvlJc w:val="left"/>
      <w:lvlText w:val="(%2)"/>
      <w:numFmt w:val="lowerLetter"/>
      <w:start w:val="1"/>
    </w:lvl>
  </w:abstractNum>
  <w:abstractNum w:abstractNumId="458">
    <w:nsid w:val="58C05B8A"/>
    <w:multiLevelType w:val="hybridMultilevel"/>
    <w:lvl w:ilvl="0">
      <w:lvlJc w:val="left"/>
      <w:lvlText w:val="(%1)"/>
      <w:numFmt w:val="lowerLetter"/>
      <w:start w:val="25"/>
    </w:lvl>
    <w:lvl w:ilvl="1">
      <w:lvlJc w:val="left"/>
      <w:lvlText w:val="%2"/>
      <w:numFmt w:val="lowerLetter"/>
      <w:start w:val="1"/>
    </w:lvl>
  </w:abstractNum>
  <w:abstractNum w:abstractNumId="459">
    <w:nsid w:val="38D82E71"/>
    <w:multiLevelType w:val="hybridMultilevel"/>
    <w:lvl w:ilvl="0">
      <w:lvlJc w:val="left"/>
      <w:lvlText w:val="(%1)"/>
      <w:numFmt w:val="lowerLetter"/>
      <w:start w:val="6"/>
    </w:lvl>
  </w:abstractNum>
  <w:abstractNum w:abstractNumId="460">
    <w:nsid w:val="1E41098A"/>
    <w:multiLevelType w:val="hybridMultilevel"/>
    <w:lvl w:ilvl="0">
      <w:lvlJc w:val="left"/>
      <w:lvlText w:val="(%1)"/>
      <w:numFmt w:val="lowerLetter"/>
      <w:start w:val="35"/>
    </w:lvl>
    <w:lvl w:ilvl="1">
      <w:lvlJc w:val="left"/>
      <w:lvlText w:val="(%2)"/>
      <w:numFmt w:val="lowerLetter"/>
      <w:start w:val="2"/>
    </w:lvl>
  </w:abstractNum>
  <w:abstractNum w:abstractNumId="461">
    <w:nsid w:val="5398582C"/>
    <w:multiLevelType w:val="hybridMultilevel"/>
    <w:lvl w:ilvl="0">
      <w:lvlJc w:val="left"/>
      <w:lvlText w:val="(%1)"/>
      <w:numFmt w:val="lowerRoman"/>
      <w:start w:val="1"/>
    </w:lvl>
  </w:abstractNum>
  <w:abstractNum w:abstractNumId="462">
    <w:nsid w:val="1C0D4475"/>
    <w:multiLevelType w:val="hybridMultilevel"/>
    <w:lvl w:ilvl="0">
      <w:lvlJc w:val="left"/>
      <w:lvlText w:val="(%1)"/>
      <w:numFmt w:val="lowerRoman"/>
      <w:start w:val="3"/>
    </w:lvl>
  </w:abstractNum>
  <w:abstractNum w:abstractNumId="463">
    <w:nsid w:val="2CB6A6A4"/>
    <w:multiLevelType w:val="hybridMultilevel"/>
    <w:lvl w:ilvl="0">
      <w:lvlJc w:val="left"/>
      <w:lvlText w:val="%1"/>
      <w:numFmt w:val="lowerLetter"/>
      <w:start w:val="1"/>
    </w:lvl>
    <w:lvl w:ilvl="1">
      <w:lvlJc w:val="left"/>
      <w:lvlText w:val="(%2)"/>
      <w:numFmt w:val="lowerLetter"/>
      <w:start w:val="2"/>
    </w:lvl>
  </w:abstractNum>
  <w:abstractNum w:abstractNumId="464">
    <w:nsid w:val="41D646BC"/>
    <w:multiLevelType w:val="hybridMultilevel"/>
    <w:lvl w:ilvl="0">
      <w:lvlJc w:val="left"/>
      <w:lvlText w:val="(%1)"/>
      <w:numFmt w:val="lowerLetter"/>
      <w:start w:val="61"/>
    </w:lvl>
    <w:lvl w:ilvl="1">
      <w:lvlJc w:val="left"/>
      <w:lvlText w:val="(%2)"/>
      <w:numFmt w:val="lowerLetter"/>
      <w:start w:val="3"/>
    </w:lvl>
  </w:abstractNum>
  <w:abstractNum w:abstractNumId="465">
    <w:nsid w:val="3694A76A"/>
    <w:multiLevelType w:val="hybridMultilevel"/>
    <w:lvl w:ilvl="0">
      <w:lvlJc w:val="left"/>
      <w:lvlText w:val="(%1)"/>
      <w:numFmt w:val="lowerLetter"/>
      <w:start w:val="35"/>
    </w:lvl>
    <w:lvl w:ilvl="1">
      <w:lvlJc w:val="left"/>
      <w:lvlText w:val="%2"/>
      <w:numFmt w:val="lowerLetter"/>
      <w:start w:val="1"/>
    </w:lvl>
  </w:abstractNum>
  <w:abstractNum w:abstractNumId="466">
    <w:nsid w:val="2BF876EE"/>
    <w:multiLevelType w:val="hybridMultilevel"/>
    <w:lvl w:ilvl="0">
      <w:lvlJc w:val="left"/>
      <w:lvlText w:val="(%1)"/>
      <w:numFmt w:val="lowerLetter"/>
      <w:start w:val="2"/>
    </w:lvl>
  </w:abstractNum>
  <w:abstractNum w:abstractNumId="467">
    <w:nsid w:val="675ADBA"/>
    <w:multiLevelType w:val="hybridMultilevel"/>
    <w:lvl w:ilvl="0">
      <w:lvlJc w:val="left"/>
      <w:lvlText w:val="(%1)"/>
      <w:numFmt w:val="lowerLetter"/>
      <w:start w:val="3"/>
    </w:lvl>
  </w:abstractNum>
  <w:abstractNum w:abstractNumId="468">
    <w:nsid w:val="C12AC7F"/>
    <w:multiLevelType w:val="hybridMultilevel"/>
    <w:lvl w:ilvl="0">
      <w:lvlJc w:val="left"/>
      <w:lvlText w:val="(%1)"/>
      <w:numFmt w:val="lowerLetter"/>
      <w:start w:val="7"/>
    </w:lvl>
  </w:abstractNum>
  <w:abstractNum w:abstractNumId="469">
    <w:nsid w:val="6798F039"/>
    <w:multiLevelType w:val="hybridMultilevel"/>
    <w:lvl w:ilvl="0">
      <w:lvlJc w:val="left"/>
      <w:lvlText w:val="(%1)"/>
      <w:numFmt w:val="lowerLetter"/>
      <w:start w:val="2"/>
    </w:lvl>
  </w:abstractNum>
  <w:abstractNum w:abstractNumId="470">
    <w:nsid w:val="70837C02"/>
    <w:multiLevelType w:val="hybridMultilevel"/>
    <w:lvl w:ilvl="0">
      <w:lvlJc w:val="left"/>
      <w:lvlText w:val="(%1)"/>
      <w:numFmt w:val="lowerLetter"/>
      <w:start w:val="4"/>
    </w:lvl>
  </w:abstractNum>
  <w:abstractNum w:abstractNumId="471">
    <w:nsid w:val="7E4A5715"/>
    <w:multiLevelType w:val="hybridMultilevel"/>
    <w:lvl w:ilvl="0">
      <w:lvlJc w:val="left"/>
      <w:lvlText w:val="(%1)"/>
      <w:numFmt w:val="lowerLetter"/>
      <w:start w:val="6"/>
    </w:lvl>
  </w:abstractNum>
  <w:abstractNum w:abstractNumId="472">
    <w:nsid w:val="42B8AC67"/>
    <w:multiLevelType w:val="hybridMultilevel"/>
    <w:lvl w:ilvl="0">
      <w:lvlJc w:val="left"/>
      <w:lvlText w:val="(%1)"/>
      <w:numFmt w:val="lowerLetter"/>
      <w:start w:val="1"/>
    </w:lvl>
    <w:lvl w:ilvl="1">
      <w:lvlJc w:val="left"/>
      <w:lvlText w:val="(%2)"/>
      <w:numFmt w:val="lowerRoman"/>
      <w:start w:val="1"/>
    </w:lvl>
  </w:abstractNum>
  <w:abstractNum w:abstractNumId="473">
    <w:nsid w:val="246348EA"/>
    <w:multiLevelType w:val="hybridMultilevel"/>
    <w:lvl w:ilvl="0">
      <w:lvlJc w:val="left"/>
      <w:lvlText w:val="(%1)"/>
      <w:numFmt w:val="lowerLetter"/>
      <w:start w:val="2"/>
    </w:lvl>
  </w:abstractNum>
  <w:abstractNum w:abstractNumId="474">
    <w:nsid w:val="170EB52B"/>
    <w:multiLevelType w:val="hybridMultilevel"/>
    <w:lvl w:ilvl="0">
      <w:lvlJc w:val="left"/>
      <w:lvlText w:val="%1"/>
      <w:numFmt w:val="lowerLetter"/>
      <w:start w:val="1"/>
    </w:lvl>
    <w:lvl w:ilvl="1">
      <w:lvlJc w:val="left"/>
      <w:lvlText w:val="(%2)"/>
      <w:numFmt w:val="lowerLetter"/>
      <w:start w:val="3"/>
    </w:lvl>
  </w:abstractNum>
  <w:abstractNum w:abstractNumId="475">
    <w:nsid w:val="2DFBCB8C"/>
    <w:multiLevelType w:val="hybridMultilevel"/>
    <w:lvl w:ilvl="0">
      <w:lvlJc w:val="left"/>
      <w:lvlText w:val="(%1)"/>
      <w:numFmt w:val="lowerLetter"/>
      <w:start w:val="35"/>
    </w:lvl>
    <w:lvl w:ilvl="1">
      <w:lvlJc w:val="left"/>
      <w:lvlText w:val="%2"/>
      <w:numFmt w:val="lowerLetter"/>
      <w:start w:val="1"/>
    </w:lvl>
  </w:abstractNum>
  <w:abstractNum w:abstractNumId="476">
    <w:nsid w:val="3830D6B6"/>
    <w:multiLevelType w:val="hybridMultilevel"/>
    <w:lvl w:ilvl="0">
      <w:lvlJc w:val="left"/>
      <w:lvlText w:val="%1"/>
      <w:numFmt w:val="lowerLetter"/>
      <w:start w:val="1"/>
    </w:lvl>
    <w:lvl w:ilvl="1">
      <w:lvlJc w:val="left"/>
      <w:lvlText w:val="(%2)"/>
      <w:numFmt w:val="lowerLetter"/>
      <w:start w:val="3"/>
    </w:lvl>
  </w:abstractNum>
  <w:abstractNum w:abstractNumId="477">
    <w:nsid w:val="6D48CF87"/>
    <w:multiLevelType w:val="hybridMultilevel"/>
    <w:lvl w:ilvl="0">
      <w:lvlJc w:val="left"/>
      <w:lvlText w:val="(%1)"/>
      <w:numFmt w:val="lowerLetter"/>
      <w:start w:val="35"/>
    </w:lvl>
    <w:lvl w:ilvl="1">
      <w:lvlJc w:val="left"/>
      <w:lvlText w:val="(%2)"/>
      <w:numFmt w:val="lowerLetter"/>
      <w:start w:val="4"/>
    </w:lvl>
  </w:abstractNum>
  <w:abstractNum w:abstractNumId="478">
    <w:nsid w:val="576FC41B"/>
    <w:multiLevelType w:val="hybridMultilevel"/>
    <w:lvl w:ilvl="0">
      <w:lvlJc w:val="left"/>
      <w:lvlText w:val="(%1)"/>
      <w:numFmt w:val="lowerLetter"/>
      <w:start w:val="5"/>
    </w:lvl>
  </w:abstractNum>
  <w:abstractNum w:abstractNumId="479">
    <w:nsid w:val="64A1C464"/>
    <w:multiLevelType w:val="hybridMultilevel"/>
    <w:lvl w:ilvl="0">
      <w:lvlJc w:val="left"/>
      <w:lvlText w:val="%1"/>
      <w:numFmt w:val="upperLetter"/>
      <w:start w:val="1"/>
    </w:lvl>
    <w:lvl w:ilvl="1">
      <w:lvlJc w:val="left"/>
      <w:lvlText w:val="(%2)"/>
      <w:numFmt w:val="lowerRoman"/>
      <w:start w:val="1"/>
    </w:lvl>
  </w:abstractNum>
  <w:abstractNum w:abstractNumId="480">
    <w:nsid w:val="31723BF5"/>
    <w:multiLevelType w:val="hybridMultilevel"/>
    <w:lvl w:ilvl="0">
      <w:lvlJc w:val="left"/>
      <w:lvlText w:val="(%1)"/>
      <w:numFmt w:val="upperLetter"/>
      <w:start w:val="1"/>
    </w:lvl>
    <w:lvl w:ilvl="1">
      <w:lvlJc w:val="left"/>
      <w:lvlText w:val="%2"/>
      <w:numFmt w:val="lowerRoman"/>
      <w:start w:val="1"/>
    </w:lvl>
  </w:abstractNum>
  <w:abstractNum w:abstractNumId="481">
    <w:nsid w:val="11F69861"/>
    <w:multiLevelType w:val="hybridMultilevel"/>
    <w:lvl w:ilvl="0">
      <w:lvlJc w:val="left"/>
      <w:lvlText w:val="(%1)"/>
      <w:numFmt w:val="lowerRoman"/>
      <w:start w:val="3"/>
    </w:lvl>
    <w:lvl w:ilvl="1">
      <w:lvlJc w:val="left"/>
      <w:lvlText w:val="(%2)"/>
      <w:numFmt w:val="upperLetter"/>
      <w:start w:val="2"/>
    </w:lvl>
    <w:lvl w:ilvl="2">
      <w:lvlJc w:val="left"/>
      <w:lvlText w:val="%3"/>
      <w:numFmt w:val="decimal"/>
      <w:start w:val="1"/>
    </w:lvl>
  </w:abstractNum>
  <w:abstractNum w:abstractNumId="482">
    <w:nsid w:val="369956A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83">
    <w:nsid w:val="D3BE41C"/>
    <w:multiLevelType w:val="hybridMultilevel"/>
    <w:lvl w:ilvl="0">
      <w:lvlJc w:val="left"/>
      <w:lvlText w:val="(%1)"/>
      <w:numFmt w:val="lowerRoman"/>
      <w:start w:val="6"/>
    </w:lvl>
  </w:abstractNum>
  <w:abstractNum w:abstractNumId="484">
    <w:nsid w:val="4CDA15E7"/>
    <w:multiLevelType w:val="hybridMultilevel"/>
    <w:lvl w:ilvl="0">
      <w:lvlJc w:val="left"/>
      <w:lvlText w:val="(%1)"/>
      <w:numFmt w:val="lowerRoman"/>
      <w:start w:val="3"/>
    </w:lvl>
  </w:abstractNum>
  <w:abstractNum w:abstractNumId="485">
    <w:nsid w:val="7BDD6690"/>
    <w:multiLevelType w:val="hybridMultilevel"/>
    <w:lvl w:ilvl="0">
      <w:lvlJc w:val="left"/>
      <w:lvlText w:val="(%1)"/>
      <w:numFmt w:val="lowerLetter"/>
      <w:start w:val="1"/>
    </w:lvl>
    <w:lvl w:ilvl="1">
      <w:lvlJc w:val="left"/>
      <w:lvlText w:val="(%2)"/>
      <w:numFmt w:val="lowerLetter"/>
      <w:start w:val="3"/>
    </w:lvl>
  </w:abstractNum>
  <w:abstractNum w:abstractNumId="486">
    <w:nsid w:val="DFB5C5B"/>
    <w:multiLevelType w:val="hybridMultilevel"/>
    <w:lvl w:ilvl="0">
      <w:lvlJc w:val="left"/>
      <w:lvlText w:val="(%1)"/>
      <w:numFmt w:val="lowerRoman"/>
      <w:start w:val="1"/>
    </w:lvl>
  </w:abstractNum>
  <w:abstractNum w:abstractNumId="487">
    <w:nsid w:val="6F3E5490"/>
    <w:multiLevelType w:val="hybridMultilevel"/>
    <w:lvl w:ilvl="0">
      <w:lvlJc w:val="left"/>
      <w:lvlText w:val="(%1)"/>
      <w:numFmt w:val="lowerRoman"/>
      <w:start w:val="3"/>
    </w:lvl>
  </w:abstractNum>
  <w:abstractNum w:abstractNumId="488">
    <w:nsid w:val="1464BE1E"/>
    <w:multiLevelType w:val="hybridMultilevel"/>
    <w:lvl w:ilvl="0">
      <w:lvlJc w:val="left"/>
      <w:lvlText w:val="%1"/>
      <w:numFmt w:val="lowerRoman"/>
      <w:start w:val="1"/>
    </w:lvl>
    <w:lvl w:ilvl="1">
      <w:lvlJc w:val="left"/>
      <w:lvlText w:val="(%2)"/>
      <w:numFmt w:val="lowerRoman"/>
      <w:start w:val="5"/>
    </w:lvl>
  </w:abstractNum>
  <w:abstractNum w:abstractNumId="489">
    <w:nsid w:val="66BBB7E5"/>
    <w:multiLevelType w:val="hybridMultilevel"/>
    <w:lvl w:ilvl="0">
      <w:lvlJc w:val="left"/>
      <w:lvlText w:val="(%1)"/>
      <w:numFmt w:val="lowerRoman"/>
      <w:start w:val="2"/>
    </w:lvl>
    <w:lvl w:ilvl="1">
      <w:lvlJc w:val="left"/>
      <w:lvlText w:val="%2"/>
      <w:numFmt w:val="lowerRoman"/>
      <w:start w:val="1"/>
    </w:lvl>
  </w:abstractNum>
  <w:abstractNum w:abstractNumId="490">
    <w:nsid w:val="28168302"/>
    <w:multiLevelType w:val="hybridMultilevel"/>
    <w:lvl w:ilvl="0">
      <w:lvlJc w:val="left"/>
      <w:lvlText w:val="(%1)"/>
      <w:numFmt w:val="lowerLetter"/>
      <w:start w:val="4"/>
    </w:lvl>
  </w:abstractNum>
  <w:abstractNum w:abstractNumId="491">
    <w:nsid w:val="32A5C7A8"/>
    <w:multiLevelType w:val="hybridMultilevel"/>
    <w:lvl w:ilvl="0">
      <w:lvlJc w:val="left"/>
      <w:lvlText w:val="(%1)"/>
      <w:numFmt w:val="lowerLetter"/>
      <w:start w:val="2"/>
    </w:lvl>
  </w:abstractNum>
  <w:abstractNum w:abstractNumId="492">
    <w:nsid w:val="3A541011"/>
    <w:multiLevelType w:val="hybridMultilevel"/>
    <w:lvl w:ilvl="0">
      <w:lvlJc w:val="left"/>
      <w:lvlText w:val="(%1)"/>
      <w:numFmt w:val="upperLetter"/>
      <w:start w:val="4"/>
    </w:lvl>
  </w:abstractNum>
  <w:abstractNum w:abstractNumId="493">
    <w:nsid w:val="4423C777"/>
    <w:multiLevelType w:val="hybridMultilevel"/>
    <w:lvl w:ilvl="0">
      <w:lvlJc w:val="left"/>
      <w:lvlText w:val="%1"/>
      <w:numFmt w:val="lowerLetter"/>
      <w:start w:val="1"/>
    </w:lvl>
    <w:lvl w:ilvl="1">
      <w:lvlJc w:val="left"/>
      <w:lvlText w:val="(%2)"/>
      <w:numFmt w:val="lowerLetter"/>
      <w:start w:val="2"/>
    </w:lvl>
  </w:abstractNum>
  <w:abstractNum w:abstractNumId="494">
    <w:nsid w:val="5F5C6E4D"/>
    <w:multiLevelType w:val="hybridMultilevel"/>
    <w:lvl w:ilvl="0">
      <w:lvlJc w:val="left"/>
      <w:lvlText w:val="(%1)"/>
      <w:numFmt w:val="lowerLetter"/>
      <w:start w:val="9"/>
    </w:lvl>
    <w:lvl w:ilvl="1">
      <w:lvlJc w:val="left"/>
      <w:lvlText w:val="%2"/>
      <w:numFmt w:val="lowerLetter"/>
      <w:start w:val="1"/>
    </w:lvl>
  </w:abstractNum>
  <w:abstractNum w:abstractNumId="495">
    <w:nsid w:val="7C2A56CD"/>
    <w:multiLevelType w:val="hybridMultilevel"/>
    <w:lvl w:ilvl="0">
      <w:lvlJc w:val="left"/>
      <w:lvlText w:val="(%1)"/>
      <w:numFmt w:val="lowerLetter"/>
      <w:start w:val="2"/>
    </w:lvl>
  </w:abstractNum>
  <w:abstractNum w:abstractNumId="496">
    <w:nsid w:val="7AB86EE1"/>
    <w:multiLevelType w:val="hybridMultilevel"/>
    <w:lvl w:ilvl="0">
      <w:lvlJc w:val="left"/>
      <w:lvlText w:val="(%1)"/>
      <w:numFmt w:val="lowerLetter"/>
      <w:start w:val="3"/>
    </w:lvl>
  </w:abstractNum>
  <w:abstractNum w:abstractNumId="497">
    <w:nsid w:val="B54E53B"/>
    <w:multiLevelType w:val="hybridMultilevel"/>
    <w:lvl w:ilvl="0">
      <w:lvlJc w:val="left"/>
      <w:lvlText w:val="(%1)"/>
      <w:numFmt w:val="lowerRoman"/>
      <w:start w:val="10"/>
    </w:lvl>
  </w:abstractNum>
  <w:abstractNum w:abstractNumId="498">
    <w:nsid w:val="2A00487"/>
    <w:multiLevelType w:val="hybridMultilevel"/>
    <w:lvl w:ilvl="0">
      <w:lvlJc w:val="left"/>
      <w:lvlText w:val="%1"/>
      <w:numFmt w:val="lowerLetter"/>
      <w:start w:val="1"/>
    </w:lvl>
    <w:lvl w:ilvl="1">
      <w:lvlJc w:val="left"/>
      <w:lvlText w:val="(%2)"/>
      <w:numFmt w:val="lowerLetter"/>
      <w:start w:val="2"/>
    </w:lvl>
  </w:abstractNum>
  <w:abstractNum w:abstractNumId="499">
    <w:nsid w:val="6CB1B60"/>
    <w:multiLevelType w:val="hybridMultilevel"/>
    <w:lvl w:ilvl="0">
      <w:lvlJc w:val="left"/>
      <w:lvlText w:val="(%1)"/>
      <w:numFmt w:val="lowerLetter"/>
      <w:start w:val="9"/>
    </w:lvl>
    <w:lvl w:ilvl="1">
      <w:lvlJc w:val="left"/>
      <w:lvlText w:val="%2"/>
      <w:numFmt w:val="lowerLetter"/>
      <w:start w:val="1"/>
    </w:lvl>
  </w:abstractNum>
  <w:abstractNum w:abstractNumId="500">
    <w:nsid w:val="72EDD574"/>
    <w:multiLevelType w:val="hybridMultilevel"/>
    <w:lvl w:ilvl="0">
      <w:lvlJc w:val="left"/>
      <w:lvlText w:val="(%1)"/>
      <w:numFmt w:val="lowerLetter"/>
      <w:start w:val="2"/>
    </w:lvl>
  </w:abstractNum>
  <w:abstractNum w:abstractNumId="501">
    <w:nsid w:val="7323808A"/>
    <w:multiLevelType w:val="hybridMultilevel"/>
    <w:lvl w:ilvl="0">
      <w:lvlJc w:val="left"/>
      <w:lvlText w:val="(%1)"/>
      <w:numFmt w:val="lowerLetter"/>
      <w:start w:val="2"/>
    </w:lvl>
  </w:abstractNum>
  <w:abstractNum w:abstractNumId="502">
    <w:nsid w:val="5157276"/>
    <w:multiLevelType w:val="hybridMultilevel"/>
    <w:lvl w:ilvl="0">
      <w:lvlJc w:val="left"/>
      <w:lvlText w:val="(%1)"/>
      <w:numFmt w:val="lowerLetter"/>
      <w:start w:val="4"/>
    </w:lvl>
  </w:abstractNum>
  <w:abstractNum w:abstractNumId="503">
    <w:nsid w:val="35A681DB"/>
    <w:multiLevelType w:val="hybridMultilevel"/>
    <w:lvl w:ilvl="0">
      <w:lvlJc w:val="left"/>
      <w:lvlText w:val="(%1)"/>
      <w:numFmt w:val="lowerLetter"/>
      <w:start w:val="1"/>
    </w:lvl>
  </w:abstractNum>
  <w:abstractNum w:abstractNumId="504">
    <w:nsid w:val="1786C974"/>
    <w:multiLevelType w:val="hybridMultilevel"/>
    <w:lvl w:ilvl="0">
      <w:lvlJc w:val="left"/>
      <w:lvlText w:val="%1"/>
      <w:numFmt w:val="lowerLetter"/>
      <w:start w:val="1"/>
    </w:lvl>
    <w:lvl w:ilvl="1">
      <w:lvlJc w:val="left"/>
      <w:lvlText w:val="(%2)"/>
      <w:numFmt w:val="lowerLetter"/>
      <w:start w:val="1"/>
    </w:lvl>
  </w:abstractNum>
  <w:abstractNum w:abstractNumId="505">
    <w:nsid w:val="1C2427A1"/>
    <w:multiLevelType w:val="hybridMultilevel"/>
    <w:lvl w:ilvl="0">
      <w:lvlJc w:val="left"/>
      <w:lvlText w:val="(%1)"/>
      <w:numFmt w:val="lowerLetter"/>
      <w:start w:val="9"/>
    </w:lvl>
    <w:lvl w:ilvl="1">
      <w:lvlJc w:val="left"/>
      <w:lvlText w:val="(%2)"/>
      <w:numFmt w:val="lowerLetter"/>
      <w:start w:val="4"/>
    </w:lvl>
  </w:abstractNum>
  <w:abstractNum w:abstractNumId="506">
    <w:nsid w:val="63A24D68"/>
    <w:multiLevelType w:val="hybridMultilevel"/>
    <w:lvl w:ilvl="0">
      <w:lvlJc w:val="left"/>
      <w:lvlText w:val="(%1)"/>
      <w:numFmt w:val="lowerLetter"/>
      <w:start w:val="35"/>
    </w:lvl>
    <w:lvl w:ilvl="1">
      <w:lvlJc w:val="left"/>
      <w:lvlText w:val="%2"/>
      <w:numFmt w:val="lowerLetter"/>
      <w:start w:val="1"/>
    </w:lvl>
  </w:abstractNum>
  <w:abstractNum w:abstractNumId="507">
    <w:nsid w:val="4FB7A02A"/>
    <w:multiLevelType w:val="hybridMultilevel"/>
    <w:lvl w:ilvl="0">
      <w:lvlJc w:val="left"/>
      <w:lvlText w:val="(%1)"/>
      <w:numFmt w:val="lowerLetter"/>
      <w:start w:val="5"/>
    </w:lvl>
  </w:abstractNum>
  <w:abstractNum w:abstractNumId="508">
    <w:nsid w:val="96CF728"/>
    <w:multiLevelType w:val="hybridMultilevel"/>
    <w:lvl w:ilvl="0">
      <w:lvlJc w:val="left"/>
      <w:lvlText w:val="(%1)"/>
      <w:numFmt w:val="lowerLetter"/>
      <w:start w:val="1"/>
    </w:lvl>
  </w:abstractNum>
  <w:abstractNum w:abstractNumId="509">
    <w:nsid w:val="3B121183"/>
    <w:multiLevelType w:val="hybridMultilevel"/>
    <w:lvl w:ilvl="0">
      <w:lvlJc w:val="left"/>
      <w:lvlText w:val="(%1)"/>
      <w:numFmt w:val="lowerLetter"/>
      <w:start w:val="1"/>
    </w:lvl>
  </w:abstractNum>
  <w:abstractNum w:abstractNumId="510">
    <w:nsid w:val="3459648F"/>
    <w:multiLevelType w:val="hybridMultilevel"/>
    <w:lvl w:ilvl="0">
      <w:lvlJc w:val="left"/>
      <w:lvlText w:val="(%1)"/>
      <w:numFmt w:val="upperLetter"/>
      <w:start w:val="2"/>
    </w:lvl>
  </w:abstractNum>
  <w:abstractNum w:abstractNumId="511">
    <w:nsid w:val="3ADF331D"/>
    <w:multiLevelType w:val="hybridMultilevel"/>
    <w:lvl w:ilvl="0">
      <w:lvlJc w:val="left"/>
      <w:lvlText w:val="(%1)"/>
      <w:numFmt w:val="lowerLetter"/>
      <w:start w:val="1"/>
    </w:lvl>
  </w:abstractNum>
  <w:abstractNum w:abstractNumId="512">
    <w:nsid w:val="4D08A9E4"/>
    <w:multiLevelType w:val="hybridMultilevel"/>
    <w:lvl w:ilvl="0">
      <w:lvlJc w:val="left"/>
      <w:lvlText w:val="(%1)"/>
      <w:numFmt w:val="lowerLetter"/>
      <w:start w:val="1"/>
    </w:lvl>
  </w:abstractNum>
  <w:abstractNum w:abstractNumId="513">
    <w:nsid w:val="6AF2BB3A"/>
    <w:multiLevelType w:val="hybridMultilevel"/>
    <w:lvl w:ilvl="0">
      <w:lvlJc w:val="left"/>
      <w:lvlText w:val="(%1)"/>
      <w:numFmt w:val="lowerLetter"/>
      <w:start w:val="1"/>
    </w:lvl>
  </w:abstractNum>
  <w:abstractNum w:abstractNumId="514">
    <w:nsid w:val="481B1739"/>
    <w:multiLevelType w:val="hybridMultilevel"/>
    <w:lvl w:ilvl="0">
      <w:lvlJc w:val="left"/>
      <w:lvlText w:val="(%1)"/>
      <w:numFmt w:val="lowerLetter"/>
      <w:start w:val="4"/>
    </w:lvl>
  </w:abstractNum>
  <w:abstractNum w:abstractNumId="515">
    <w:nsid w:val="19E2BFCC"/>
    <w:multiLevelType w:val="hybridMultilevel"/>
    <w:lvl w:ilvl="0">
      <w:lvlJc w:val="left"/>
      <w:lvlText w:val="(%1)"/>
      <w:numFmt w:val="lowerLetter"/>
      <w:start w:val="5"/>
    </w:lvl>
  </w:abstractNum>
  <w:abstractNum w:abstractNumId="516">
    <w:nsid w:val="66D021CA"/>
    <w:multiLevelType w:val="hybridMultilevel"/>
    <w:lvl w:ilvl="0">
      <w:lvlJc w:val="left"/>
      <w:lvlText w:val="(%1)"/>
      <w:numFmt w:val="lowerLetter"/>
      <w:start w:val="1"/>
    </w:lvl>
  </w:abstractNum>
  <w:abstractNum w:abstractNumId="517">
    <w:nsid w:val="56167394"/>
    <w:multiLevelType w:val="hybridMultilevel"/>
    <w:lvl w:ilvl="0">
      <w:lvlJc w:val="left"/>
      <w:lvlText w:val="%1"/>
      <w:numFmt w:val="lowerLetter"/>
      <w:start w:val="1"/>
    </w:lvl>
    <w:lvl w:ilvl="1">
      <w:lvlJc w:val="left"/>
      <w:lvlText w:val="(%2)"/>
      <w:numFmt w:val="lowerRoman"/>
      <w:start w:val="1"/>
    </w:lvl>
  </w:abstractNum>
  <w:abstractNum w:abstractNumId="518">
    <w:nsid w:val="921145C"/>
    <w:multiLevelType w:val="hybridMultilevel"/>
    <w:lvl w:ilvl="0">
      <w:lvlJc w:val="left"/>
      <w:lvlText w:val="(%1)"/>
      <w:numFmt w:val="lowerLetter"/>
      <w:start w:val="2"/>
    </w:lvl>
    <w:lvl w:ilvl="1">
      <w:lvlJc w:val="left"/>
      <w:lvlText w:val="%2"/>
      <w:numFmt w:val="lowerRoman"/>
      <w:start w:val="1"/>
    </w:lvl>
  </w:abstractNum>
  <w:abstractNum w:abstractNumId="519">
    <w:nsid w:val="7B34DFE8"/>
    <w:multiLevelType w:val="hybridMultilevel"/>
    <w:lvl w:ilvl="0">
      <w:lvlJc w:val="left"/>
      <w:lvlText w:val="(%1)"/>
      <w:numFmt w:val="lowerRoman"/>
      <w:start w:val="1"/>
    </w:lvl>
  </w:abstractNum>
  <w:abstractNum w:abstractNumId="520">
    <w:nsid w:val="3CD22B79"/>
    <w:multiLevelType w:val="hybridMultilevel"/>
    <w:lvl w:ilvl="0">
      <w:lvlJc w:val="left"/>
      <w:lvlText w:val="(%1)"/>
      <w:numFmt w:val="lowerRoman"/>
      <w:start w:val="2"/>
    </w:lvl>
  </w:abstractNum>
  <w:abstractNum w:abstractNumId="521">
    <w:nsid w:val="3137975E"/>
    <w:multiLevelType w:val="hybridMultilevel"/>
    <w:lvl w:ilvl="0">
      <w:lvlJc w:val="left"/>
      <w:lvlText w:val="(%1)"/>
      <w:numFmt w:val="lowerLetter"/>
      <w:start w:val="1"/>
    </w:lvl>
    <w:lvl w:ilvl="1">
      <w:lvlJc w:val="left"/>
      <w:lvlText w:val="(%2)"/>
      <w:numFmt w:val="lowerLetter"/>
      <w:start w:val="61"/>
    </w:lvl>
  </w:abstractNum>
  <w:abstractNum w:abstractNumId="522">
    <w:nsid w:val="2DDAA791"/>
    <w:multiLevelType w:val="hybridMultilevel"/>
    <w:lvl w:ilvl="0">
      <w:lvlJc w:val="left"/>
      <w:lvlText w:val="(%1)"/>
      <w:numFmt w:val="lowerRoman"/>
      <w:start w:val="2"/>
    </w:lvl>
    <w:lvl w:ilvl="1">
      <w:lvlJc w:val="left"/>
      <w:lvlText w:val="(%2)"/>
      <w:numFmt w:val="lowerRoman"/>
      <w:start w:val="5"/>
    </w:lvl>
  </w:abstractNum>
  <w:abstractNum w:abstractNumId="523">
    <w:nsid w:val="77263B8A"/>
    <w:multiLevelType w:val="hybridMultilevel"/>
    <w:lvl w:ilvl="0">
      <w:lvlJc w:val="left"/>
      <w:lvlText w:val="(%1)"/>
      <w:numFmt w:val="lowerLetter"/>
      <w:start w:val="3"/>
    </w:lvl>
  </w:abstractNum>
  <w:abstractNum w:abstractNumId="524">
    <w:nsid w:val="755B5ED6"/>
    <w:multiLevelType w:val="hybridMultilevel"/>
    <w:lvl w:ilvl="0">
      <w:lvlJc w:val="left"/>
      <w:lvlText w:val="(%1)"/>
      <w:numFmt w:val="upperLetter"/>
      <w:start w:val="1"/>
    </w:lvl>
  </w:abstractNum>
  <w:abstractNum w:abstractNumId="525">
    <w:nsid w:val="D3715DE"/>
    <w:multiLevelType w:val="hybridMultilevel"/>
    <w:lvl w:ilvl="0">
      <w:lvlJc w:val="left"/>
      <w:lvlText w:val="(%1)"/>
      <w:numFmt w:val="upperLetter"/>
      <w:start w:val="5"/>
    </w:lvl>
  </w:abstractNum>
  <w:abstractNum w:abstractNumId="526">
    <w:nsid w:val="73509257"/>
    <w:multiLevelType w:val="hybridMultilevel"/>
    <w:lvl w:ilvl="0">
      <w:lvlJc w:val="left"/>
      <w:lvlText w:val="(%1)"/>
      <w:numFmt w:val="lowerLetter"/>
      <w:start w:val="2"/>
    </w:lvl>
  </w:abstractNum>
  <w:abstractNum w:abstractNumId="527">
    <w:nsid w:val="7013CDB7"/>
    <w:multiLevelType w:val="hybridMultilevel"/>
    <w:lvl w:ilvl="0">
      <w:lvlJc w:val="left"/>
      <w:lvlText w:val="(%1)"/>
      <w:numFmt w:val="lowerLetter"/>
      <w:start w:val="3"/>
    </w:lvl>
    <w:lvl w:ilvl="1">
      <w:lvlJc w:val="left"/>
      <w:lvlText w:val="(%2)"/>
      <w:numFmt w:val="lowerLetter"/>
      <w:start w:val="9"/>
    </w:lvl>
  </w:abstractNum>
  <w:abstractNum w:abstractNumId="528">
    <w:nsid w:val="188BFB19"/>
    <w:multiLevelType w:val="hybridMultilevel"/>
    <w:lvl w:ilvl="0">
      <w:lvlJc w:val="left"/>
      <w:lvlText w:val="(%1)"/>
      <w:numFmt w:val="lowerRoman"/>
      <w:start w:val="2"/>
    </w:lvl>
  </w:abstractNum>
  <w:abstractNum w:abstractNumId="529">
    <w:nsid w:val="75F096DF"/>
    <w:multiLevelType w:val="hybridMultilevel"/>
    <w:lvl w:ilvl="0">
      <w:lvlJc w:val="left"/>
      <w:lvlText w:val="(%1)"/>
      <w:numFmt w:val="lowerLetter"/>
      <w:start w:val="2"/>
    </w:lvl>
  </w:abstractNum>
  <w:abstractNum w:abstractNumId="530">
    <w:nsid w:val="76DEE918"/>
    <w:multiLevelType w:val="hybridMultilevel"/>
    <w:lvl w:ilvl="0">
      <w:lvlJc w:val="left"/>
      <w:lvlText w:val="(%1)"/>
      <w:numFmt w:val="lowerLetter"/>
      <w:start w:val="2"/>
    </w:lvl>
  </w:abstractNum>
  <w:abstractNum w:abstractNumId="531">
    <w:nsid w:val="B79D08D"/>
    <w:multiLevelType w:val="hybridMultilevel"/>
    <w:lvl w:ilvl="0">
      <w:lvlJc w:val="left"/>
      <w:lvlText w:val="(%1)"/>
      <w:numFmt w:val="lowerLetter"/>
      <w:start w:val="4"/>
    </w:lvl>
  </w:abstractNum>
  <w:abstractNum w:abstractNumId="532">
    <w:nsid w:val="69141769"/>
    <w:multiLevelType w:val="hybridMultilevel"/>
    <w:lvl w:ilvl="0">
      <w:lvlJc w:val="left"/>
      <w:lvlText w:val="(%1)"/>
      <w:numFmt w:val="lowerLetter"/>
      <w:start w:val="2"/>
    </w:lvl>
    <w:lvl w:ilvl="1">
      <w:lvlJc w:val="left"/>
      <w:lvlText w:val="(%2)"/>
      <w:numFmt w:val="decimal"/>
      <w:start w:val="1"/>
    </w:lvl>
  </w:abstractNum>
  <w:abstractNum w:abstractNumId="533">
    <w:nsid w:val="7BF45B8E"/>
    <w:multiLevelType w:val="hybridMultilevel"/>
    <w:lvl w:ilvl="0">
      <w:lvlJc w:val="left"/>
      <w:lvlText w:val="(%1)"/>
      <w:numFmt w:val="lowerLetter"/>
      <w:start w:val="25"/>
    </w:lvl>
  </w:abstractNum>
  <w:abstractNum w:abstractNumId="534">
    <w:nsid w:val="41205269"/>
    <w:multiLevelType w:val="hybridMultilevel"/>
    <w:lvl w:ilvl="0">
      <w:lvlJc w:val="left"/>
      <w:lvlText w:val="(%1)"/>
      <w:numFmt w:val="lowerRoman"/>
      <w:start w:val="2"/>
    </w:lvl>
  </w:abstractNum>
  <w:abstractNum w:abstractNumId="535">
    <w:nsid w:val="9AE0DD"/>
    <w:multiLevelType w:val="hybridMultilevel"/>
    <w:lvl w:ilvl="0">
      <w:lvlJc w:val="left"/>
      <w:lvlText w:val="(%1)"/>
      <w:numFmt w:val="upperLetter"/>
      <w:start w:val="1"/>
    </w:lvl>
  </w:abstractNum>
  <w:abstractNum w:abstractNumId="536">
    <w:nsid w:val="1818832F"/>
    <w:multiLevelType w:val="hybridMultilevel"/>
    <w:lvl w:ilvl="0">
      <w:lvlJc w:val="left"/>
      <w:lvlText w:val="(%1)"/>
      <w:numFmt w:val="lowerRoman"/>
      <w:start w:val="3"/>
    </w:lvl>
  </w:abstractNum>
  <w:abstractNum w:abstractNumId="537">
    <w:nsid w:val="24C29FD1"/>
    <w:multiLevelType w:val="hybridMultilevel"/>
    <w:lvl w:ilvl="0">
      <w:lvlJc w:val="left"/>
      <w:lvlText w:val="(%1)"/>
      <w:numFmt w:val="lowerRoman"/>
      <w:start w:val="5"/>
    </w:lvl>
  </w:abstractNum>
  <w:abstractNum w:abstractNumId="538">
    <w:nsid w:val="50528108"/>
    <w:multiLevelType w:val="hybridMultilevel"/>
    <w:lvl w:ilvl="0">
      <w:lvlJc w:val="left"/>
      <w:lvlText w:val="%1"/>
      <w:numFmt w:val="lowerLetter"/>
      <w:start w:val="1"/>
    </w:lvl>
    <w:lvl w:ilvl="1">
      <w:lvlJc w:val="left"/>
      <w:lvlText w:val="(%2)"/>
      <w:numFmt w:val="lowerLetter"/>
      <w:start w:val="35"/>
    </w:lvl>
  </w:abstractNum>
  <w:abstractNum w:abstractNumId="539">
    <w:nsid w:val="21857A57"/>
    <w:multiLevelType w:val="hybridMultilevel"/>
    <w:lvl w:ilvl="0">
      <w:lvlJc w:val="left"/>
      <w:lvlText w:val="(%1)"/>
      <w:numFmt w:val="lowerLetter"/>
      <w:start w:val="4"/>
    </w:lvl>
    <w:lvl w:ilvl="1">
      <w:lvlJc w:val="left"/>
      <w:lvlText w:val="%2"/>
      <w:numFmt w:val="lowerLetter"/>
      <w:start w:val="1"/>
    </w:lvl>
  </w:abstractNum>
  <w:abstractNum w:abstractNumId="540">
    <w:nsid w:val="5FD4B154"/>
    <w:multiLevelType w:val="hybridMultilevel"/>
    <w:lvl w:ilvl="0">
      <w:lvlJc w:val="left"/>
      <w:lvlText w:val="(%1)"/>
      <w:numFmt w:val="lowerLetter"/>
      <w:start w:val="1"/>
    </w:lvl>
  </w:abstractNum>
  <w:abstractNum w:abstractNumId="541">
    <w:nsid w:val="4ABE597"/>
    <w:multiLevelType w:val="hybridMultilevel"/>
    <w:lvl w:ilvl="0">
      <w:lvlJc w:val="left"/>
      <w:lvlText w:val="(%1)"/>
      <w:numFmt w:val="lowerLetter"/>
      <w:start w:val="2"/>
    </w:lvl>
  </w:abstractNum>
  <w:abstractNum w:abstractNumId="542">
    <w:nsid w:val="5C64AD75"/>
    <w:multiLevelType w:val="hybridMultilevel"/>
    <w:lvl w:ilvl="0">
      <w:lvlJc w:val="left"/>
      <w:lvlText w:val="(%1)"/>
      <w:numFmt w:val="lowerLetter"/>
      <w:start w:val="1"/>
    </w:lvl>
    <w:lvl w:ilvl="1">
      <w:lvlJc w:val="left"/>
      <w:lvlText w:val="(%2)"/>
      <w:numFmt w:val="lowerRoman"/>
      <w:start w:val="1"/>
    </w:lvl>
  </w:abstractNum>
  <w:abstractNum w:abstractNumId="543">
    <w:nsid w:val="2CDD5B39"/>
    <w:multiLevelType w:val="hybridMultilevel"/>
    <w:lvl w:ilvl="0">
      <w:lvlJc w:val="left"/>
      <w:lvlText w:val="(%1)"/>
      <w:numFmt w:val="lowerLetter"/>
      <w:start w:val="3"/>
    </w:lvl>
  </w:abstractNum>
  <w:abstractNum w:abstractNumId="544">
    <w:nsid w:val="6F9EA0D1"/>
    <w:multiLevelType w:val="hybridMultilevel"/>
    <w:lvl w:ilvl="0">
      <w:lvlJc w:val="left"/>
      <w:lvlText w:val="(%1)"/>
      <w:numFmt w:val="lowerLetter"/>
      <w:start w:val="1"/>
    </w:lvl>
  </w:abstractNum>
  <w:abstractNum w:abstractNumId="545">
    <w:nsid w:val="247FC4AE"/>
    <w:multiLevelType w:val="hybridMultilevel"/>
    <w:lvl w:ilvl="0">
      <w:lvlJc w:val="left"/>
      <w:lvlText w:val="(%1)"/>
      <w:numFmt w:val="lowerLetter"/>
      <w:start w:val="1"/>
    </w:lvl>
  </w:abstractNum>
  <w:abstractNum w:abstractNumId="546">
    <w:nsid w:val="46C01B05"/>
    <w:multiLevelType w:val="hybridMultilevel"/>
    <w:lvl w:ilvl="0">
      <w:lvlJc w:val="left"/>
      <w:lvlText w:val="(%1)"/>
      <w:numFmt w:val="lowerLetter"/>
      <w:start w:val="2"/>
    </w:lvl>
  </w:abstractNum>
  <w:abstractNum w:abstractNumId="547">
    <w:nsid w:val="566EC29B"/>
    <w:multiLevelType w:val="hybridMultilevel"/>
    <w:lvl w:ilvl="0">
      <w:lvlJc w:val="left"/>
      <w:lvlText w:val="(%1)"/>
      <w:numFmt w:val="lowerLetter"/>
      <w:start w:val="3"/>
    </w:lvl>
  </w:abstractNum>
  <w:abstractNum w:abstractNumId="548">
    <w:nsid w:val="7A963843"/>
    <w:multiLevelType w:val="hybridMultilevel"/>
    <w:lvl w:ilvl="0">
      <w:lvlJc w:val="left"/>
      <w:lvlText w:val="(%1)"/>
      <w:numFmt w:val="lowerLetter"/>
      <w:start w:val="1"/>
    </w:lvl>
  </w:abstractNum>
  <w:abstractNum w:abstractNumId="549">
    <w:nsid w:val="4FE12F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2021-04-07T16:28:35Z</dcterms:created>
  <dcterms:modified xsi:type="dcterms:W3CDTF">2021-04-07T16:28:35Z</dcterms:modified>
</cp:coreProperties>
</file>