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137160</wp:posOffset>
            </wp:positionH>
            <wp:positionV relativeFrom="page">
              <wp:posOffset>459105</wp:posOffset>
            </wp:positionV>
            <wp:extent cx="728662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6625" cy="40640"/>
                    </a:xfrm>
                    <a:prstGeom prst="rect">
                      <a:avLst/>
                    </a:prstGeom>
                    <a:noFill/>
                  </pic:spPr>
                </pic:pic>
              </a:graphicData>
            </a:graphic>
          </wp:anchor>
        </w:drawing>
        <w:t>UNITED STATES</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23"/>
          <w:szCs w:val="23"/>
          <w:b w:val="1"/>
          <w:bCs w:val="1"/>
          <w:color w:val="auto"/>
        </w:rPr>
        <w:t>SECURITIES AND EXCHANGE COMMISSION</w:t>
      </w:r>
    </w:p>
    <w:p>
      <w:pPr>
        <w:spacing w:after="0" w:line="2"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Washington, DC 20549-1004</w:t>
      </w:r>
    </w:p>
    <w:p>
      <w:pPr>
        <w:spacing w:after="0" w:line="14"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70" w:lineRule="exact"/>
        <w:rPr>
          <w:sz w:val="24"/>
          <w:szCs w:val="24"/>
          <w:color w:val="auto"/>
        </w:rPr>
      </w:pPr>
    </w:p>
    <w:p>
      <w:pPr>
        <w:jc w:val="center"/>
        <w:ind w:right="-599"/>
        <w:spacing w:after="0"/>
        <w:rPr>
          <w:sz w:val="20"/>
          <w:szCs w:val="20"/>
          <w:color w:val="auto"/>
        </w:rPr>
      </w:pPr>
      <w:r>
        <w:rPr>
          <w:rFonts w:ascii="Arial" w:cs="Arial" w:eastAsia="Arial" w:hAnsi="Arial"/>
          <w:sz w:val="29"/>
          <w:szCs w:val="29"/>
          <w:b w:val="1"/>
          <w:bCs w:val="1"/>
          <w:color w:val="auto"/>
        </w:rPr>
        <w:t>FORM 8-K</w:t>
      </w:r>
    </w:p>
    <w:p>
      <w:pPr>
        <w:spacing w:after="0" w:line="38"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82"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CURRENT REPORT</w:t>
      </w:r>
    </w:p>
    <w:p>
      <w:pPr>
        <w:spacing w:after="0" w:line="33"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PURSUANT TO SECTION 13 OR 15(d) OF</w:t>
      </w:r>
    </w:p>
    <w:p>
      <w:pPr>
        <w:spacing w:after="0" w:line="11"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THE SECURITIES EXCHANGE ACT OF 1934</w:t>
      </w:r>
    </w:p>
    <w:p>
      <w:pPr>
        <w:spacing w:after="0" w:line="178" w:lineRule="exact"/>
        <w:rPr>
          <w:sz w:val="24"/>
          <w:szCs w:val="24"/>
          <w:color w:val="auto"/>
        </w:rPr>
      </w:pPr>
    </w:p>
    <w:p>
      <w:pPr>
        <w:jc w:val="center"/>
        <w:ind w:right="-599"/>
        <w:spacing w:after="0"/>
        <w:rPr>
          <w:sz w:val="20"/>
          <w:szCs w:val="20"/>
          <w:color w:val="auto"/>
        </w:rPr>
      </w:pPr>
      <w:r>
        <w:rPr>
          <w:rFonts w:ascii="Arial" w:cs="Arial" w:eastAsia="Arial" w:hAnsi="Arial"/>
          <w:sz w:val="16"/>
          <w:szCs w:val="16"/>
          <w:b w:val="1"/>
          <w:bCs w:val="1"/>
          <w:color w:val="auto"/>
        </w:rPr>
        <w:t>Date of Report (Date of earliest event reported) February 14, 2013</w:t>
      </w:r>
    </w:p>
    <w:p>
      <w:pPr>
        <w:spacing w:after="0" w:line="25"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78" w:lineRule="exact"/>
        <w:rPr>
          <w:sz w:val="24"/>
          <w:szCs w:val="24"/>
          <w:color w:val="auto"/>
        </w:rPr>
      </w:pPr>
    </w:p>
    <w:p>
      <w:pPr>
        <w:jc w:val="center"/>
        <w:ind w:right="-599"/>
        <w:spacing w:after="0"/>
        <w:rPr>
          <w:sz w:val="20"/>
          <w:szCs w:val="20"/>
          <w:color w:val="auto"/>
        </w:rPr>
      </w:pPr>
      <w:r>
        <w:rPr>
          <w:rFonts w:ascii="Arial" w:cs="Arial" w:eastAsia="Arial" w:hAnsi="Arial"/>
          <w:sz w:val="39"/>
          <w:szCs w:val="39"/>
          <w:b w:val="1"/>
          <w:bCs w:val="1"/>
          <w:color w:val="auto"/>
        </w:rPr>
        <w:t>GENERAL MOTORS COMPANY</w:t>
      </w:r>
    </w:p>
    <w:p>
      <w:pPr>
        <w:spacing w:after="0" w:line="37"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(Exact Name of Registrant as Specified in its Charter)</w:t>
      </w:r>
    </w:p>
    <w:p>
      <w:pPr>
        <w:spacing w:after="0" w:line="7"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200" w:lineRule="exact"/>
        <w:rPr>
          <w:sz w:val="24"/>
          <w:szCs w:val="24"/>
          <w:color w:val="auto"/>
        </w:rPr>
      </w:pPr>
    </w:p>
    <w:p>
      <w:pPr>
        <w:spacing w:after="0" w:line="325" w:lineRule="exact"/>
        <w:rPr>
          <w:sz w:val="24"/>
          <w:szCs w:val="24"/>
          <w:color w:val="auto"/>
        </w:rPr>
      </w:pPr>
    </w:p>
    <w:tbl>
      <w:tblPr>
        <w:tblLayout w:type="fixed"/>
        <w:tblInd w:w="1460" w:type="dxa"/>
        <w:tblCellMar>
          <w:top w:w="0" w:type="dxa"/>
          <w:left w:w="0" w:type="dxa"/>
          <w:bottom w:w="0" w:type="dxa"/>
          <w:right w:w="0" w:type="dxa"/>
        </w:tblCellMar>
      </w:tblPr>
      <w:tr>
        <w:trPr>
          <w:trHeight w:val="197"/>
        </w:trPr>
        <w:tc>
          <w:tcPr>
            <w:tcW w:w="3300" w:type="dxa"/>
            <w:vAlign w:val="bottom"/>
          </w:tcPr>
          <w:p>
            <w:pPr>
              <w:ind w:left="480"/>
              <w:spacing w:after="0"/>
              <w:rPr>
                <w:sz w:val="20"/>
                <w:szCs w:val="20"/>
                <w:color w:val="auto"/>
              </w:rPr>
            </w:pPr>
            <w:r>
              <w:rPr>
                <w:rFonts w:ascii="Arial" w:cs="Arial" w:eastAsia="Arial" w:hAnsi="Arial"/>
                <w:sz w:val="16"/>
                <w:szCs w:val="16"/>
                <w:b w:val="1"/>
                <w:bCs w:val="1"/>
                <w:color w:val="auto"/>
              </w:rPr>
              <w:t>DELAWARE</w:t>
            </w:r>
          </w:p>
        </w:tc>
        <w:tc>
          <w:tcPr>
            <w:tcW w:w="2440" w:type="dxa"/>
            <w:vAlign w:val="bottom"/>
            <w:vMerge w:val="restart"/>
          </w:tcPr>
          <w:p>
            <w:pPr>
              <w:jc w:val="right"/>
              <w:ind w:right="1060"/>
              <w:spacing w:after="0"/>
              <w:rPr>
                <w:sz w:val="20"/>
                <w:szCs w:val="20"/>
                <w:color w:val="auto"/>
              </w:rPr>
            </w:pPr>
            <w:r>
              <w:rPr>
                <w:rFonts w:ascii="Arial" w:cs="Arial" w:eastAsia="Arial" w:hAnsi="Arial"/>
                <w:sz w:val="16"/>
                <w:szCs w:val="16"/>
                <w:b w:val="1"/>
                <w:bCs w:val="1"/>
                <w:color w:val="auto"/>
              </w:rPr>
              <w:t>001-34960</w:t>
            </w:r>
          </w:p>
        </w:tc>
        <w:tc>
          <w:tcPr>
            <w:tcW w:w="2440" w:type="dxa"/>
            <w:vAlign w:val="bottom"/>
          </w:tcPr>
          <w:p>
            <w:pPr>
              <w:jc w:val="center"/>
              <w:ind w:left="1140"/>
              <w:spacing w:after="0"/>
              <w:rPr>
                <w:sz w:val="20"/>
                <w:szCs w:val="20"/>
                <w:color w:val="auto"/>
              </w:rPr>
            </w:pPr>
            <w:r>
              <w:rPr>
                <w:rFonts w:ascii="Arial" w:cs="Arial" w:eastAsia="Arial" w:hAnsi="Arial"/>
                <w:sz w:val="16"/>
                <w:szCs w:val="16"/>
                <w:b w:val="1"/>
                <w:bCs w:val="1"/>
                <w:color w:val="auto"/>
                <w:w w:val="91"/>
              </w:rPr>
              <w:t>27-0756180</w:t>
            </w:r>
          </w:p>
        </w:tc>
        <w:tc>
          <w:tcPr>
            <w:tcW w:w="0" w:type="dxa"/>
            <w:vAlign w:val="bottom"/>
          </w:tcPr>
          <w:p>
            <w:pPr>
              <w:spacing w:after="0"/>
              <w:rPr>
                <w:sz w:val="1"/>
                <w:szCs w:val="1"/>
                <w:color w:val="auto"/>
              </w:rPr>
            </w:pPr>
          </w:p>
        </w:tc>
      </w:tr>
      <w:tr>
        <w:trPr>
          <w:trHeight w:val="193"/>
        </w:trPr>
        <w:tc>
          <w:tcPr>
            <w:tcW w:w="3300" w:type="dxa"/>
            <w:vAlign w:val="bottom"/>
          </w:tcPr>
          <w:p>
            <w:pPr>
              <w:spacing w:after="0"/>
              <w:rPr>
                <w:sz w:val="20"/>
                <w:szCs w:val="20"/>
                <w:color w:val="auto"/>
              </w:rPr>
            </w:pPr>
            <w:r>
              <w:rPr>
                <w:rFonts w:ascii="Arial" w:cs="Arial" w:eastAsia="Arial" w:hAnsi="Arial"/>
                <w:sz w:val="16"/>
                <w:szCs w:val="16"/>
                <w:color w:val="auto"/>
              </w:rPr>
              <w:t>(State or other jurisdiction of</w:t>
            </w:r>
          </w:p>
        </w:tc>
        <w:tc>
          <w:tcPr>
            <w:tcW w:w="2440" w:type="dxa"/>
            <w:vAlign w:val="bottom"/>
            <w:vMerge w:val="continue"/>
          </w:tcPr>
          <w:p>
            <w:pPr>
              <w:spacing w:after="0"/>
              <w:rPr>
                <w:sz w:val="16"/>
                <w:szCs w:val="16"/>
                <w:color w:val="auto"/>
              </w:rPr>
            </w:pPr>
          </w:p>
        </w:tc>
        <w:tc>
          <w:tcPr>
            <w:tcW w:w="2440" w:type="dxa"/>
            <w:vAlign w:val="bottom"/>
          </w:tcPr>
          <w:p>
            <w:pPr>
              <w:jc w:val="center"/>
              <w:ind w:left="1140"/>
              <w:spacing w:after="0"/>
              <w:rPr>
                <w:sz w:val="20"/>
                <w:szCs w:val="20"/>
                <w:color w:val="auto"/>
              </w:rPr>
            </w:pPr>
            <w:r>
              <w:rPr>
                <w:rFonts w:ascii="Arial" w:cs="Arial" w:eastAsia="Arial" w:hAnsi="Arial"/>
                <w:sz w:val="16"/>
                <w:szCs w:val="16"/>
                <w:color w:val="auto"/>
                <w:w w:val="93"/>
              </w:rPr>
              <w:t>(I.R.S. Employer</w:t>
            </w:r>
          </w:p>
        </w:tc>
        <w:tc>
          <w:tcPr>
            <w:tcW w:w="0" w:type="dxa"/>
            <w:vAlign w:val="bottom"/>
          </w:tcPr>
          <w:p>
            <w:pPr>
              <w:spacing w:after="0"/>
              <w:rPr>
                <w:sz w:val="1"/>
                <w:szCs w:val="1"/>
                <w:color w:val="auto"/>
              </w:rPr>
            </w:pPr>
          </w:p>
        </w:tc>
      </w:tr>
      <w:tr>
        <w:trPr>
          <w:trHeight w:val="205"/>
        </w:trPr>
        <w:tc>
          <w:tcPr>
            <w:tcW w:w="3300" w:type="dxa"/>
            <w:vAlign w:val="bottom"/>
          </w:tcPr>
          <w:p>
            <w:pPr>
              <w:ind w:left="480"/>
              <w:spacing w:after="0"/>
              <w:rPr>
                <w:sz w:val="20"/>
                <w:szCs w:val="20"/>
                <w:color w:val="auto"/>
              </w:rPr>
            </w:pPr>
            <w:r>
              <w:rPr>
                <w:rFonts w:ascii="Arial" w:cs="Arial" w:eastAsia="Arial" w:hAnsi="Arial"/>
                <w:sz w:val="16"/>
                <w:szCs w:val="16"/>
                <w:color w:val="auto"/>
              </w:rPr>
              <w:t>incorporation)</w:t>
            </w:r>
          </w:p>
        </w:tc>
        <w:tc>
          <w:tcPr>
            <w:tcW w:w="2440" w:type="dxa"/>
            <w:vAlign w:val="bottom"/>
          </w:tcPr>
          <w:p>
            <w:pPr>
              <w:jc w:val="center"/>
              <w:ind w:right="440"/>
              <w:spacing w:after="0"/>
              <w:rPr>
                <w:sz w:val="20"/>
                <w:szCs w:val="20"/>
                <w:color w:val="auto"/>
              </w:rPr>
            </w:pPr>
            <w:r>
              <w:rPr>
                <w:rFonts w:ascii="Arial" w:cs="Arial" w:eastAsia="Arial" w:hAnsi="Arial"/>
                <w:sz w:val="16"/>
                <w:szCs w:val="16"/>
                <w:color w:val="auto"/>
                <w:w w:val="92"/>
              </w:rPr>
              <w:t>(Commission File Number)</w:t>
            </w:r>
          </w:p>
        </w:tc>
        <w:tc>
          <w:tcPr>
            <w:tcW w:w="2440" w:type="dxa"/>
            <w:vAlign w:val="bottom"/>
          </w:tcPr>
          <w:p>
            <w:pPr>
              <w:jc w:val="center"/>
              <w:ind w:left="1160"/>
              <w:spacing w:after="0"/>
              <w:rPr>
                <w:sz w:val="20"/>
                <w:szCs w:val="20"/>
                <w:color w:val="auto"/>
              </w:rPr>
            </w:pPr>
            <w:r>
              <w:rPr>
                <w:rFonts w:ascii="Arial" w:cs="Arial" w:eastAsia="Arial" w:hAnsi="Arial"/>
                <w:sz w:val="16"/>
                <w:szCs w:val="16"/>
                <w:color w:val="auto"/>
                <w:w w:val="96"/>
              </w:rPr>
              <w:t>Identification No.)</w:t>
            </w:r>
          </w:p>
        </w:tc>
        <w:tc>
          <w:tcPr>
            <w:tcW w:w="0" w:type="dxa"/>
            <w:vAlign w:val="bottom"/>
          </w:tcPr>
          <w:p>
            <w:pPr>
              <w:spacing w:after="0"/>
              <w:rPr>
                <w:sz w:val="1"/>
                <w:szCs w:val="1"/>
                <w:color w:val="auto"/>
              </w:rPr>
            </w:pPr>
          </w:p>
        </w:tc>
      </w:tr>
      <w:tr>
        <w:trPr>
          <w:trHeight w:val="422"/>
        </w:trPr>
        <w:tc>
          <w:tcPr>
            <w:tcW w:w="3300" w:type="dxa"/>
            <w:vAlign w:val="bottom"/>
          </w:tcPr>
          <w:p>
            <w:pPr>
              <w:ind w:left="320"/>
              <w:spacing w:after="0"/>
              <w:rPr>
                <w:sz w:val="20"/>
                <w:szCs w:val="20"/>
                <w:color w:val="auto"/>
              </w:rPr>
            </w:pPr>
            <w:r>
              <w:rPr>
                <w:rFonts w:ascii="Arial" w:cs="Arial" w:eastAsia="Arial" w:hAnsi="Arial"/>
                <w:sz w:val="16"/>
                <w:szCs w:val="16"/>
                <w:b w:val="1"/>
                <w:bCs w:val="1"/>
                <w:color w:val="auto"/>
                <w:w w:val="91"/>
              </w:rPr>
              <w:t>300 Renaissance Center, Detroit, Michigan</w:t>
            </w:r>
          </w:p>
        </w:tc>
        <w:tc>
          <w:tcPr>
            <w:tcW w:w="2440" w:type="dxa"/>
            <w:vAlign w:val="bottom"/>
          </w:tcPr>
          <w:p>
            <w:pPr>
              <w:spacing w:after="0"/>
              <w:rPr>
                <w:sz w:val="24"/>
                <w:szCs w:val="24"/>
                <w:color w:val="auto"/>
              </w:rPr>
            </w:pPr>
          </w:p>
        </w:tc>
        <w:tc>
          <w:tcPr>
            <w:tcW w:w="2440" w:type="dxa"/>
            <w:vAlign w:val="bottom"/>
          </w:tcPr>
          <w:p>
            <w:pPr>
              <w:jc w:val="right"/>
              <w:ind w:right="980"/>
              <w:spacing w:after="0"/>
              <w:rPr>
                <w:sz w:val="20"/>
                <w:szCs w:val="20"/>
                <w:color w:val="auto"/>
              </w:rPr>
            </w:pPr>
            <w:r>
              <w:rPr>
                <w:rFonts w:ascii="Arial" w:cs="Arial" w:eastAsia="Arial" w:hAnsi="Arial"/>
                <w:sz w:val="16"/>
                <w:szCs w:val="16"/>
                <w:b w:val="1"/>
                <w:bCs w:val="1"/>
                <w:color w:val="auto"/>
              </w:rPr>
              <w:t>48265-3000</w:t>
            </w:r>
          </w:p>
        </w:tc>
        <w:tc>
          <w:tcPr>
            <w:tcW w:w="0" w:type="dxa"/>
            <w:vAlign w:val="bottom"/>
          </w:tcPr>
          <w:p>
            <w:pPr>
              <w:spacing w:after="0"/>
              <w:rPr>
                <w:sz w:val="1"/>
                <w:szCs w:val="1"/>
                <w:color w:val="auto"/>
              </w:rPr>
            </w:pPr>
          </w:p>
        </w:tc>
      </w:tr>
      <w:tr>
        <w:trPr>
          <w:trHeight w:val="205"/>
        </w:trPr>
        <w:tc>
          <w:tcPr>
            <w:tcW w:w="3300" w:type="dxa"/>
            <w:vAlign w:val="bottom"/>
          </w:tcPr>
          <w:p>
            <w:pPr>
              <w:ind w:left="480"/>
              <w:spacing w:after="0"/>
              <w:rPr>
                <w:sz w:val="20"/>
                <w:szCs w:val="20"/>
                <w:color w:val="auto"/>
              </w:rPr>
            </w:pPr>
            <w:r>
              <w:rPr>
                <w:rFonts w:ascii="Arial" w:cs="Arial" w:eastAsia="Arial" w:hAnsi="Arial"/>
                <w:sz w:val="16"/>
                <w:szCs w:val="16"/>
                <w:color w:val="auto"/>
                <w:w w:val="99"/>
              </w:rPr>
              <w:t>(Address of Principal Executive Offices)</w:t>
            </w:r>
          </w:p>
        </w:tc>
        <w:tc>
          <w:tcPr>
            <w:tcW w:w="2440" w:type="dxa"/>
            <w:vAlign w:val="bottom"/>
          </w:tcPr>
          <w:p>
            <w:pPr>
              <w:spacing w:after="0"/>
              <w:rPr>
                <w:sz w:val="17"/>
                <w:szCs w:val="17"/>
                <w:color w:val="auto"/>
              </w:rPr>
            </w:pPr>
          </w:p>
        </w:tc>
        <w:tc>
          <w:tcPr>
            <w:tcW w:w="2440" w:type="dxa"/>
            <w:vAlign w:val="bottom"/>
          </w:tcPr>
          <w:p>
            <w:pPr>
              <w:jc w:val="center"/>
              <w:ind w:right="360"/>
              <w:spacing w:after="0"/>
              <w:rPr>
                <w:sz w:val="20"/>
                <w:szCs w:val="20"/>
                <w:color w:val="auto"/>
              </w:rPr>
            </w:pPr>
            <w:r>
              <w:rPr>
                <w:rFonts w:ascii="Arial" w:cs="Arial" w:eastAsia="Arial" w:hAnsi="Arial"/>
                <w:sz w:val="16"/>
                <w:szCs w:val="16"/>
                <w:color w:val="auto"/>
                <w:w w:val="95"/>
              </w:rPr>
              <w:t>(Zip Code)</w:t>
            </w:r>
          </w:p>
        </w:tc>
        <w:tc>
          <w:tcPr>
            <w:tcW w:w="0" w:type="dxa"/>
            <w:vAlign w:val="bottom"/>
          </w:tcPr>
          <w:p>
            <w:pPr>
              <w:spacing w:after="0"/>
              <w:rPr>
                <w:sz w:val="1"/>
                <w:szCs w:val="1"/>
                <w:color w:val="auto"/>
              </w:rPr>
            </w:pPr>
          </w:p>
        </w:tc>
      </w:tr>
    </w:tbl>
    <w:p>
      <w:pPr>
        <w:spacing w:after="0" w:line="394"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313</w:t>
      </w:r>
      <w:r>
        <w:rPr>
          <w:rFonts w:ascii="Arial" w:cs="Arial" w:eastAsia="Arial" w:hAnsi="Arial"/>
          <w:sz w:val="16"/>
          <w:szCs w:val="16"/>
          <w:color w:val="auto"/>
        </w:rPr>
        <w:t xml:space="preserve">) </w:t>
      </w:r>
      <w:r>
        <w:rPr>
          <w:rFonts w:ascii="Arial" w:cs="Arial" w:eastAsia="Arial" w:hAnsi="Arial"/>
          <w:sz w:val="16"/>
          <w:szCs w:val="16"/>
          <w:b w:val="1"/>
          <w:bCs w:val="1"/>
          <w:color w:val="auto"/>
        </w:rPr>
        <w:t>556-5000</w:t>
      </w:r>
    </w:p>
    <w:p>
      <w:pPr>
        <w:spacing w:after="0" w:line="25"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(Registrant's telephone number, including area code)</w:t>
      </w:r>
    </w:p>
    <w:p>
      <w:pPr>
        <w:spacing w:after="0" w:line="186" w:lineRule="exact"/>
        <w:rPr>
          <w:sz w:val="24"/>
          <w:szCs w:val="24"/>
          <w:color w:val="auto"/>
        </w:rPr>
      </w:pPr>
    </w:p>
    <w:p>
      <w:pPr>
        <w:jc w:val="center"/>
        <w:ind w:right="-599"/>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95"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98"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18" w:lineRule="exact"/>
        <w:rPr>
          <w:sz w:val="24"/>
          <w:szCs w:val="24"/>
          <w:color w:val="auto"/>
        </w:rPr>
      </w:pPr>
    </w:p>
    <w:p>
      <w:pPr>
        <w:ind w:left="620" w:hanging="587"/>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98" w:lineRule="exact"/>
        <w:rPr>
          <w:rFonts w:ascii="MS PGothic" w:cs="MS PGothic" w:eastAsia="MS PGothic" w:hAnsi="MS PGothic"/>
          <w:sz w:val="16"/>
          <w:szCs w:val="16"/>
          <w:color w:val="auto"/>
        </w:rPr>
      </w:pPr>
    </w:p>
    <w:p>
      <w:pPr>
        <w:ind w:left="620" w:hanging="587"/>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(17-CFR 240.14a-12)</w:t>
      </w:r>
    </w:p>
    <w:p>
      <w:pPr>
        <w:spacing w:after="0" w:line="298" w:lineRule="exact"/>
        <w:rPr>
          <w:rFonts w:ascii="MS PGothic" w:cs="MS PGothic" w:eastAsia="MS PGothic" w:hAnsi="MS PGothic"/>
          <w:sz w:val="16"/>
          <w:szCs w:val="16"/>
          <w:color w:val="auto"/>
        </w:rPr>
      </w:pPr>
    </w:p>
    <w:p>
      <w:pPr>
        <w:ind w:left="620" w:hanging="587"/>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98" w:lineRule="exact"/>
        <w:rPr>
          <w:rFonts w:ascii="MS PGothic" w:cs="MS PGothic" w:eastAsia="MS PGothic" w:hAnsi="MS PGothic"/>
          <w:sz w:val="16"/>
          <w:szCs w:val="16"/>
          <w:color w:val="auto"/>
        </w:rPr>
      </w:pPr>
    </w:p>
    <w:p>
      <w:pPr>
        <w:ind w:left="620" w:hanging="587"/>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77470</wp:posOffset>
            </wp:positionV>
            <wp:extent cx="728662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6625" cy="40640"/>
                    </a:xfrm>
                    <a:prstGeom prst="rect">
                      <a:avLst/>
                    </a:prstGeom>
                    <a:noFill/>
                  </pic:spPr>
                </pic:pic>
              </a:graphicData>
            </a:graphic>
          </wp:anchor>
        </w:drawing>
      </w:r>
    </w:p>
    <w:p>
      <w:pPr>
        <w:sectPr>
          <w:pgSz w:w="11900" w:h="16838" w:orient="portrait"/>
          <w:cols w:equalWidth="0" w:num="1">
            <w:col w:w="10840"/>
          </w:cols>
          <w:pgMar w:left="240" w:top="1035" w:right="819" w:bottom="1440" w:gutter="0" w:footer="0" w:header="0"/>
        </w:sectPr>
      </w:pPr>
    </w:p>
    <w:bookmarkStart w:id="1" w:name="page2"/>
    <w:bookmarkEnd w:id="1"/>
    <w:p>
      <w:pPr>
        <w:ind w:left="4860"/>
        <w:spacing w:after="0"/>
        <w:rPr>
          <w:sz w:val="20"/>
          <w:szCs w:val="20"/>
          <w:color w:val="auto"/>
        </w:rPr>
      </w:pPr>
      <w:r>
        <w:rPr>
          <w:rFonts w:ascii="Arial" w:cs="Arial" w:eastAsia="Arial" w:hAnsi="Arial"/>
          <w:sz w:val="15"/>
          <w:szCs w:val="15"/>
          <w:b w:val="1"/>
          <w:bCs w:val="1"/>
          <w:u w:val="single" w:color="auto"/>
          <w:color w:val="auto"/>
        </w:rPr>
        <w:t>TABLE OF CONTENTS</w:t>
      </w:r>
    </w:p>
    <w:p>
      <w:pPr>
        <w:spacing w:after="0" w:line="214" w:lineRule="exact"/>
        <w:rPr>
          <w:sz w:val="20"/>
          <w:szCs w:val="20"/>
          <w:color w:val="auto"/>
        </w:rPr>
      </w:pPr>
    </w:p>
    <w:p>
      <w:pPr>
        <w:ind w:right="5039"/>
        <w:spacing w:after="0" w:line="277" w:lineRule="auto"/>
        <w:rPr>
          <w:sz w:val="20"/>
          <w:szCs w:val="20"/>
          <w:color w:val="auto"/>
        </w:rPr>
      </w:pPr>
      <w:r>
        <w:rPr>
          <w:rFonts w:ascii="Arial" w:cs="Arial" w:eastAsia="Arial" w:hAnsi="Arial"/>
          <w:sz w:val="16"/>
          <w:szCs w:val="16"/>
          <w:b w:val="1"/>
          <w:bCs w:val="1"/>
          <w:color w:val="auto"/>
        </w:rPr>
        <w:t>ITEM 2.02 RESULTS OF OPERATIONS AND FINANCIAL CONDITION ITEM 9.01 FINANCIAL STATEMENTS AND EXHIBITS SIGNATURE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INDEX TO EXHIBITS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News Release Dated February 14, 2013 and Financial Statements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Charts Furnished to Securities Analysts</w:t>
      </w:r>
    </w:p>
    <w:p>
      <w:pPr>
        <w:sectPr>
          <w:pgSz w:w="11900" w:h="16838" w:orient="portrait"/>
          <w:cols w:equalWidth="0" w:num="1">
            <w:col w:w="10219"/>
          </w:cols>
          <w:pgMar w:left="240" w:top="533" w:right="1440"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54"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On February 14, 2013 a news release was issued on the subject of 2012 fourth quarter and full year 2012 consolidated earnings for General Motors Company (GM). The news release did not include certain financial statements, related footnotes and certain other financial information that will be filed with the Securities and Exchange Commission as part of GM's Annual Report on Form 10-K. The news release and financial statements are incorporated as Exhibit 99.1.</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Charts furnished to securities analysts in connection with GM's 2012 fourth quarter and full year 2012 earnings release are attached as Exhibit 99.2.</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38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0" w:type="dxa"/>
            <w:vAlign w:val="bottom"/>
            <w:gridSpan w:val="2"/>
          </w:tcPr>
          <w:p>
            <w:pPr>
              <w:spacing w:after="0"/>
              <w:rPr>
                <w:sz w:val="20"/>
                <w:szCs w:val="20"/>
                <w:color w:val="auto"/>
              </w:rPr>
            </w:pPr>
            <w:r>
              <w:rPr>
                <w:rFonts w:ascii="Arial" w:cs="Arial" w:eastAsia="Arial" w:hAnsi="Arial"/>
                <w:sz w:val="16"/>
                <w:szCs w:val="16"/>
                <w:b w:val="1"/>
                <w:bCs w:val="1"/>
                <w:color w:val="auto"/>
              </w:rPr>
              <w:t>EXHIBITS</w:t>
            </w: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511"/>
        </w:trPr>
        <w:tc>
          <w:tcPr>
            <w:tcW w:w="480" w:type="dxa"/>
            <w:vAlign w:val="bottom"/>
          </w:tcPr>
          <w:p>
            <w:pPr>
              <w:spacing w:after="0"/>
              <w:rPr>
                <w:sz w:val="20"/>
                <w:szCs w:val="20"/>
                <w:color w:val="auto"/>
              </w:rPr>
            </w:pPr>
            <w:r>
              <w:rPr>
                <w:rFonts w:ascii="Arial" w:cs="Arial" w:eastAsia="Arial" w:hAnsi="Arial"/>
                <w:sz w:val="16"/>
                <w:szCs w:val="16"/>
                <w:color w:val="auto"/>
                <w:w w:val="95"/>
              </w:rPr>
              <w:t>Exhibit</w:t>
            </w:r>
          </w:p>
        </w:tc>
        <w:tc>
          <w:tcPr>
            <w:tcW w:w="34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6"/>
                <w:szCs w:val="16"/>
                <w:color w:val="auto"/>
              </w:rPr>
              <w:t>Description</w:t>
            </w:r>
          </w:p>
        </w:tc>
        <w:tc>
          <w:tcPr>
            <w:tcW w:w="780" w:type="dxa"/>
            <w:vAlign w:val="bottom"/>
            <w:tcBorders>
              <w:top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6"/>
                <w:szCs w:val="16"/>
                <w:color w:val="auto"/>
              </w:rPr>
              <w:t>Method of Filing</w:t>
            </w:r>
          </w:p>
        </w:tc>
      </w:tr>
      <w:tr>
        <w:trPr>
          <w:trHeight w:val="20"/>
        </w:trPr>
        <w:tc>
          <w:tcPr>
            <w:tcW w:w="48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59"/>
        </w:trPr>
        <w:tc>
          <w:tcPr>
            <w:tcW w:w="3900" w:type="dxa"/>
            <w:vAlign w:val="bottom"/>
            <w:gridSpan w:val="2"/>
          </w:tcPr>
          <w:p>
            <w:pPr>
              <w:spacing w:after="0"/>
              <w:rPr>
                <w:sz w:val="20"/>
                <w:szCs w:val="20"/>
                <w:color w:val="auto"/>
              </w:rPr>
            </w:pPr>
            <w:r>
              <w:rPr>
                <w:rFonts w:ascii="Arial" w:cs="Arial" w:eastAsia="Arial" w:hAnsi="Arial"/>
                <w:sz w:val="16"/>
                <w:szCs w:val="16"/>
                <w:color w:val="auto"/>
              </w:rPr>
              <w:t>Exhibit 99.1</w:t>
            </w:r>
          </w:p>
        </w:tc>
        <w:tc>
          <w:tcPr>
            <w:tcW w:w="4000" w:type="dxa"/>
            <w:vAlign w:val="bottom"/>
            <w:gridSpan w:val="4"/>
          </w:tcPr>
          <w:p>
            <w:pPr>
              <w:spacing w:after="0"/>
              <w:rPr>
                <w:sz w:val="20"/>
                <w:szCs w:val="20"/>
                <w:color w:val="auto"/>
              </w:rPr>
            </w:pPr>
            <w:r>
              <w:rPr>
                <w:rFonts w:ascii="Arial" w:cs="Arial" w:eastAsia="Arial" w:hAnsi="Arial"/>
                <w:sz w:val="16"/>
                <w:szCs w:val="16"/>
                <w:color w:val="auto"/>
              </w:rPr>
              <w:t>News Release Dated February 14, 2013 and Financial</w:t>
            </w:r>
          </w:p>
        </w:tc>
        <w:tc>
          <w:tcPr>
            <w:tcW w:w="1260" w:type="dxa"/>
            <w:vAlign w:val="bottom"/>
            <w:gridSpan w:val="2"/>
          </w:tcPr>
          <w:p>
            <w:pPr>
              <w:spacing w:after="0"/>
              <w:rPr>
                <w:sz w:val="20"/>
                <w:szCs w:val="20"/>
                <w:color w:val="auto"/>
              </w:rPr>
            </w:pPr>
            <w:r>
              <w:rPr>
                <w:rFonts w:ascii="Arial" w:cs="Arial" w:eastAsia="Arial" w:hAnsi="Arial"/>
                <w:sz w:val="16"/>
                <w:szCs w:val="16"/>
                <w:color w:val="auto"/>
                <w:w w:val="90"/>
              </w:rPr>
              <w:t>Attached as Exhibit</w:t>
            </w:r>
          </w:p>
        </w:tc>
      </w:tr>
      <w:tr>
        <w:trPr>
          <w:trHeight w:val="205"/>
        </w:trPr>
        <w:tc>
          <w:tcPr>
            <w:tcW w:w="4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4000" w:type="dxa"/>
            <w:vAlign w:val="bottom"/>
            <w:gridSpan w:val="4"/>
          </w:tcPr>
          <w:p>
            <w:pPr>
              <w:spacing w:after="0"/>
              <w:rPr>
                <w:sz w:val="20"/>
                <w:szCs w:val="20"/>
                <w:color w:val="auto"/>
              </w:rPr>
            </w:pPr>
            <w:r>
              <w:rPr>
                <w:rFonts w:ascii="Arial" w:cs="Arial" w:eastAsia="Arial" w:hAnsi="Arial"/>
                <w:sz w:val="16"/>
                <w:szCs w:val="16"/>
                <w:color w:val="auto"/>
              </w:rPr>
              <w:t>Statements</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1"/>
        </w:trPr>
        <w:tc>
          <w:tcPr>
            <w:tcW w:w="3900" w:type="dxa"/>
            <w:vAlign w:val="bottom"/>
            <w:gridSpan w:val="2"/>
          </w:tcPr>
          <w:p>
            <w:pPr>
              <w:spacing w:after="0"/>
              <w:rPr>
                <w:sz w:val="20"/>
                <w:szCs w:val="20"/>
                <w:color w:val="auto"/>
              </w:rPr>
            </w:pPr>
            <w:r>
              <w:rPr>
                <w:rFonts w:ascii="Arial" w:cs="Arial" w:eastAsia="Arial" w:hAnsi="Arial"/>
                <w:sz w:val="16"/>
                <w:szCs w:val="16"/>
                <w:color w:val="auto"/>
              </w:rPr>
              <w:t>Exhibit 99.2</w:t>
            </w:r>
          </w:p>
        </w:tc>
        <w:tc>
          <w:tcPr>
            <w:tcW w:w="4000" w:type="dxa"/>
            <w:vAlign w:val="bottom"/>
            <w:gridSpan w:val="4"/>
          </w:tcPr>
          <w:p>
            <w:pPr>
              <w:spacing w:after="0"/>
              <w:rPr>
                <w:sz w:val="20"/>
                <w:szCs w:val="20"/>
                <w:color w:val="auto"/>
              </w:rPr>
            </w:pPr>
            <w:r>
              <w:rPr>
                <w:rFonts w:ascii="Arial" w:cs="Arial" w:eastAsia="Arial" w:hAnsi="Arial"/>
                <w:sz w:val="16"/>
                <w:szCs w:val="16"/>
                <w:color w:val="auto"/>
              </w:rPr>
              <w:t>Charts Furnished to Securities Analysts</w:t>
            </w:r>
          </w:p>
        </w:tc>
        <w:tc>
          <w:tcPr>
            <w:tcW w:w="1260" w:type="dxa"/>
            <w:vAlign w:val="bottom"/>
            <w:gridSpan w:val="2"/>
          </w:tcPr>
          <w:p>
            <w:pPr>
              <w:spacing w:after="0"/>
              <w:rPr>
                <w:sz w:val="20"/>
                <w:szCs w:val="20"/>
                <w:color w:val="auto"/>
              </w:rPr>
            </w:pPr>
            <w:r>
              <w:rPr>
                <w:rFonts w:ascii="Arial" w:cs="Arial" w:eastAsia="Arial" w:hAnsi="Arial"/>
                <w:sz w:val="16"/>
                <w:szCs w:val="16"/>
                <w:color w:val="auto"/>
                <w:w w:val="90"/>
              </w:rPr>
              <w:t>Attached as Exhibit</w:t>
            </w:r>
          </w:p>
        </w:tc>
      </w:tr>
    </w:tbl>
    <w:p>
      <w:pPr>
        <w:sectPr>
          <w:pgSz w:w="11900" w:h="16838" w:orient="portrait"/>
          <w:cols w:equalWidth="0" w:num="1">
            <w:col w:w="11240"/>
          </w:cols>
          <w:pgMar w:left="240" w:top="919" w:right="419" w:bottom="1440" w:gutter="0" w:footer="0" w:header="0"/>
        </w:sectPr>
      </w:pPr>
    </w:p>
    <w:bookmarkStart w:id="3" w:name="page4"/>
    <w:bookmarkEnd w:id="3"/>
    <w:p>
      <w:pPr>
        <w:jc w:val="center"/>
        <w:ind w:right="-379"/>
        <w:spacing w:after="0"/>
        <w:rPr>
          <w:sz w:val="20"/>
          <w:szCs w:val="20"/>
          <w:color w:val="auto"/>
        </w:rPr>
      </w:pPr>
      <w:r>
        <w:rPr>
          <w:rFonts w:ascii="Arial" w:cs="Arial" w:eastAsia="Arial" w:hAnsi="Arial"/>
          <w:sz w:val="16"/>
          <w:szCs w:val="16"/>
          <w:b w:val="1"/>
          <w:bCs w:val="1"/>
          <w:color w:val="auto"/>
        </w:rPr>
        <w:t>SIGNATURE</w:t>
      </w:r>
    </w:p>
    <w:p>
      <w:pPr>
        <w:spacing w:after="0" w:line="200" w:lineRule="exact"/>
        <w:rPr>
          <w:sz w:val="20"/>
          <w:szCs w:val="20"/>
          <w:color w:val="auto"/>
        </w:rPr>
      </w:pPr>
    </w:p>
    <w:p>
      <w:pPr>
        <w:spacing w:after="0" w:line="392"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4"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31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5"/>
              </w:rPr>
              <w:t>GENERAL MOTORS COMPANY</w:t>
            </w: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(Registrant)</w:t>
            </w:r>
          </w:p>
        </w:tc>
        <w:tc>
          <w:tcPr>
            <w:tcW w:w="0" w:type="dxa"/>
            <w:vAlign w:val="bottom"/>
          </w:tcPr>
          <w:p>
            <w:pPr>
              <w:spacing w:after="0"/>
              <w:rPr>
                <w:sz w:val="1"/>
                <w:szCs w:val="1"/>
                <w:color w:val="auto"/>
              </w:rPr>
            </w:pPr>
          </w:p>
        </w:tc>
      </w:tr>
      <w:tr>
        <w:trPr>
          <w:trHeight w:val="627"/>
        </w:trPr>
        <w:tc>
          <w:tcPr>
            <w:tcW w:w="31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/s/ NICK S. CYPRUS</w:t>
            </w:r>
          </w:p>
        </w:tc>
        <w:tc>
          <w:tcPr>
            <w:tcW w:w="0" w:type="dxa"/>
            <w:vAlign w:val="bottom"/>
          </w:tcPr>
          <w:p>
            <w:pPr>
              <w:spacing w:after="0"/>
              <w:rPr>
                <w:sz w:val="1"/>
                <w:szCs w:val="1"/>
                <w:color w:val="auto"/>
              </w:rPr>
            </w:pPr>
          </w:p>
        </w:tc>
      </w:tr>
      <w:tr>
        <w:trPr>
          <w:trHeight w:val="24"/>
        </w:trPr>
        <w:tc>
          <w:tcPr>
            <w:tcW w:w="3180" w:type="dxa"/>
            <w:vAlign w:val="bottom"/>
            <w:vMerge w:val="restart"/>
          </w:tcPr>
          <w:p>
            <w:pPr>
              <w:spacing w:after="0"/>
              <w:rPr>
                <w:sz w:val="20"/>
                <w:szCs w:val="20"/>
                <w:color w:val="auto"/>
              </w:rPr>
            </w:pPr>
            <w:r>
              <w:rPr>
                <w:rFonts w:ascii="Arial" w:cs="Arial" w:eastAsia="Arial" w:hAnsi="Arial"/>
                <w:sz w:val="16"/>
                <w:szCs w:val="16"/>
                <w:color w:val="auto"/>
              </w:rPr>
              <w:t>Date: February 14, 2013</w:t>
            </w:r>
          </w:p>
        </w:tc>
        <w:tc>
          <w:tcPr>
            <w:tcW w:w="2240" w:type="dxa"/>
            <w:vAlign w:val="bottom"/>
            <w:vMerge w:val="restart"/>
          </w:tcPr>
          <w:p>
            <w:pPr>
              <w:ind w:left="1620"/>
              <w:spacing w:after="0"/>
              <w:rPr>
                <w:sz w:val="20"/>
                <w:szCs w:val="20"/>
                <w:color w:val="auto"/>
              </w:rPr>
            </w:pPr>
            <w:r>
              <w:rPr>
                <w:rFonts w:ascii="Arial" w:cs="Arial" w:eastAsia="Arial" w:hAnsi="Arial"/>
                <w:sz w:val="16"/>
                <w:szCs w:val="16"/>
                <w:color w:val="auto"/>
              </w:rPr>
              <w:t>By:</w:t>
            </w:r>
          </w:p>
        </w:tc>
        <w:tc>
          <w:tcPr>
            <w:tcW w:w="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180" w:type="dxa"/>
            <w:vAlign w:val="bottom"/>
            <w:vMerge w:val="continue"/>
          </w:tcPr>
          <w:p>
            <w:pPr>
              <w:spacing w:after="0"/>
              <w:rPr>
                <w:sz w:val="17"/>
                <w:szCs w:val="17"/>
                <w:color w:val="auto"/>
              </w:rPr>
            </w:pPr>
          </w:p>
        </w:tc>
        <w:tc>
          <w:tcPr>
            <w:tcW w:w="22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Nick S. Cyprus</w:t>
            </w:r>
          </w:p>
        </w:tc>
        <w:tc>
          <w:tcPr>
            <w:tcW w:w="0" w:type="dxa"/>
            <w:vAlign w:val="bottom"/>
          </w:tcPr>
          <w:p>
            <w:pPr>
              <w:spacing w:after="0"/>
              <w:rPr>
                <w:sz w:val="1"/>
                <w:szCs w:val="1"/>
                <w:color w:val="auto"/>
              </w:rPr>
            </w:pPr>
          </w:p>
        </w:tc>
      </w:tr>
      <w:tr>
        <w:trPr>
          <w:trHeight w:val="205"/>
        </w:trPr>
        <w:tc>
          <w:tcPr>
            <w:tcW w:w="31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040"/>
          </w:cols>
          <w:pgMar w:left="240" w:top="726" w:right="619" w:bottom="1440" w:gutter="0" w:footer="0" w:header="0"/>
        </w:sectPr>
      </w:pPr>
    </w:p>
    <w:bookmarkStart w:id="4" w:name="page5"/>
    <w:bookmarkEnd w:id="4"/>
    <w:p>
      <w:pPr>
        <w:jc w:val="right"/>
        <w:spacing w:after="0"/>
        <w:rPr>
          <w:sz w:val="20"/>
          <w:szCs w:val="20"/>
          <w:color w:val="auto"/>
        </w:rPr>
      </w:pPr>
      <w:r>
        <w:rPr>
          <w:rFonts w:ascii="Arial" w:cs="Arial" w:eastAsia="Arial" w:hAnsi="Arial"/>
          <w:sz w:val="26"/>
          <w:szCs w:val="2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5223510" cy="750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23510" cy="750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 Release: Thursday, Feb. 14, 2013, 7:30 a.m. EST</w:t>
      </w:r>
    </w:p>
    <w:p>
      <w:pPr>
        <w:spacing w:after="0" w:line="181" w:lineRule="exact"/>
        <w:rPr>
          <w:sz w:val="20"/>
          <w:szCs w:val="20"/>
          <w:color w:val="auto"/>
        </w:rPr>
      </w:pPr>
    </w:p>
    <w:p>
      <w:pPr>
        <w:jc w:val="center"/>
        <w:ind w:right="-3"/>
        <w:spacing w:after="0"/>
        <w:rPr>
          <w:sz w:val="20"/>
          <w:szCs w:val="20"/>
          <w:color w:val="auto"/>
        </w:rPr>
      </w:pPr>
      <w:r>
        <w:rPr>
          <w:rFonts w:ascii="Arial" w:cs="Arial" w:eastAsia="Arial" w:hAnsi="Arial"/>
          <w:sz w:val="26"/>
          <w:szCs w:val="26"/>
          <w:b w:val="1"/>
          <w:bCs w:val="1"/>
          <w:color w:val="auto"/>
        </w:rPr>
        <w:t>GM Reports 2012 Net Income of $4.9 Billion</w:t>
      </w:r>
    </w:p>
    <w:p>
      <w:pPr>
        <w:spacing w:after="0" w:line="3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Full-year EBIT-adjusted of $7.9 billion</w:t>
      </w:r>
    </w:p>
    <w:p>
      <w:pPr>
        <w:spacing w:after="0" w:line="189" w:lineRule="exact"/>
        <w:rPr>
          <w:sz w:val="20"/>
          <w:szCs w:val="20"/>
          <w:color w:val="auto"/>
        </w:rPr>
      </w:pPr>
    </w:p>
    <w:p>
      <w:pPr>
        <w:ind w:left="284" w:hanging="284"/>
        <w:spacing w:after="0"/>
        <w:tabs>
          <w:tab w:leader="none" w:pos="284" w:val="left"/>
        </w:tabs>
        <w:numPr>
          <w:ilvl w:val="0"/>
          <w:numId w:val="2"/>
        </w:numPr>
        <w:rPr>
          <w:rFonts w:ascii="Arial" w:cs="Arial" w:eastAsia="Arial" w:hAnsi="Arial"/>
          <w:sz w:val="16"/>
          <w:szCs w:val="16"/>
          <w:color w:val="auto"/>
        </w:rPr>
      </w:pPr>
      <w:r>
        <w:rPr>
          <w:rFonts w:ascii="Arial" w:cs="Arial" w:eastAsia="Arial" w:hAnsi="Arial"/>
          <w:sz w:val="18"/>
          <w:szCs w:val="18"/>
          <w:color w:val="auto"/>
        </w:rPr>
        <w:t>Company posts third consecutive year of strong earnings</w:t>
      </w:r>
    </w:p>
    <w:p>
      <w:pPr>
        <w:ind w:left="284" w:hanging="284"/>
        <w:spacing w:after="0" w:line="237" w:lineRule="auto"/>
        <w:tabs>
          <w:tab w:leader="none" w:pos="284" w:val="left"/>
        </w:tabs>
        <w:numPr>
          <w:ilvl w:val="0"/>
          <w:numId w:val="2"/>
        </w:numPr>
        <w:rPr>
          <w:rFonts w:ascii="Arial" w:cs="Arial" w:eastAsia="Arial" w:hAnsi="Arial"/>
          <w:sz w:val="16"/>
          <w:szCs w:val="16"/>
          <w:color w:val="auto"/>
        </w:rPr>
      </w:pPr>
      <w:r>
        <w:rPr>
          <w:rFonts w:ascii="Arial" w:cs="Arial" w:eastAsia="Arial" w:hAnsi="Arial"/>
          <w:sz w:val="18"/>
          <w:szCs w:val="18"/>
          <w:color w:val="auto"/>
        </w:rPr>
        <w:t>Fourth quarter net income of $0.9 billion, up from $0.5 billion last year</w:t>
      </w:r>
    </w:p>
    <w:p>
      <w:pPr>
        <w:ind w:left="284" w:hanging="284"/>
        <w:spacing w:after="0"/>
        <w:tabs>
          <w:tab w:leader="none" w:pos="284" w:val="left"/>
        </w:tabs>
        <w:numPr>
          <w:ilvl w:val="0"/>
          <w:numId w:val="2"/>
        </w:numPr>
        <w:rPr>
          <w:rFonts w:ascii="Arial" w:cs="Arial" w:eastAsia="Arial" w:hAnsi="Arial"/>
          <w:sz w:val="16"/>
          <w:szCs w:val="16"/>
          <w:color w:val="auto"/>
        </w:rPr>
      </w:pPr>
      <w:r>
        <w:rPr>
          <w:rFonts w:ascii="Arial" w:cs="Arial" w:eastAsia="Arial" w:hAnsi="Arial"/>
          <w:sz w:val="18"/>
          <w:szCs w:val="18"/>
          <w:color w:val="auto"/>
        </w:rPr>
        <w:t>EBIT-adjusted of $1.2 billion in the fourth quarter, up from $1.1 billion last year</w:t>
      </w:r>
    </w:p>
    <w:p>
      <w:pPr>
        <w:spacing w:after="0" w:line="169" w:lineRule="exact"/>
        <w:rPr>
          <w:sz w:val="20"/>
          <w:szCs w:val="20"/>
          <w:color w:val="auto"/>
        </w:rPr>
      </w:pPr>
    </w:p>
    <w:p>
      <w:pPr>
        <w:ind w:left="4" w:right="20"/>
        <w:spacing w:after="0" w:line="299" w:lineRule="auto"/>
        <w:rPr>
          <w:sz w:val="20"/>
          <w:szCs w:val="20"/>
          <w:color w:val="auto"/>
        </w:rPr>
      </w:pPr>
      <w:r>
        <w:rPr>
          <w:rFonts w:ascii="Arial" w:cs="Arial" w:eastAsia="Arial" w:hAnsi="Arial"/>
          <w:sz w:val="17"/>
          <w:szCs w:val="17"/>
          <w:b w:val="1"/>
          <w:bCs w:val="1"/>
          <w:color w:val="auto"/>
        </w:rPr>
        <w:t xml:space="preserve">DETROIT </w:t>
      </w:r>
      <w:r>
        <w:rPr>
          <w:rFonts w:ascii="Arial" w:cs="Arial" w:eastAsia="Arial" w:hAnsi="Arial"/>
          <w:sz w:val="17"/>
          <w:szCs w:val="17"/>
          <w:color w:val="auto"/>
        </w:rPr>
        <w:t>- General Motors Co. (NYSE: GM) today announced 2012 calendar-year net income attributable to common stockholders of $4.9 billion,</w:t>
      </w:r>
      <w:r>
        <w:rPr>
          <w:rFonts w:ascii="Arial" w:cs="Arial" w:eastAsia="Arial" w:hAnsi="Arial"/>
          <w:sz w:val="17"/>
          <w:szCs w:val="17"/>
          <w:b w:val="1"/>
          <w:bCs w:val="1"/>
          <w:color w:val="auto"/>
        </w:rPr>
        <w:t xml:space="preserve"> </w:t>
      </w:r>
      <w:r>
        <w:rPr>
          <w:rFonts w:ascii="Arial" w:cs="Arial" w:eastAsia="Arial" w:hAnsi="Arial"/>
          <w:sz w:val="17"/>
          <w:szCs w:val="17"/>
          <w:color w:val="auto"/>
        </w:rPr>
        <w:t>or $2.92 per fully diluted share, down from $7.6 billion, or $4.58 per fully diluted share in 2011, due primarily to unfavorable special items.</w:t>
      </w:r>
    </w:p>
    <w:p>
      <w:pPr>
        <w:spacing w:after="0" w:line="138" w:lineRule="exact"/>
        <w:rPr>
          <w:sz w:val="20"/>
          <w:szCs w:val="20"/>
          <w:color w:val="auto"/>
        </w:rPr>
      </w:pPr>
    </w:p>
    <w:p>
      <w:pPr>
        <w:ind w:left="4" w:right="400"/>
        <w:spacing w:after="0" w:line="243" w:lineRule="auto"/>
        <w:rPr>
          <w:sz w:val="20"/>
          <w:szCs w:val="20"/>
          <w:color w:val="auto"/>
        </w:rPr>
      </w:pPr>
      <w:r>
        <w:rPr>
          <w:rFonts w:ascii="Arial" w:cs="Arial" w:eastAsia="Arial" w:hAnsi="Arial"/>
          <w:sz w:val="18"/>
          <w:szCs w:val="18"/>
          <w:color w:val="auto"/>
        </w:rPr>
        <w:t>Special items during the calendar year impacted full-year net income to common stockholders unfavorably, $(0.5) billion, or $(0.32) per share, compared to a favorable $1.2 billion impact in 2011, or $0.70 per share.</w:t>
      </w:r>
    </w:p>
    <w:p>
      <w:pPr>
        <w:spacing w:after="0" w:line="184" w:lineRule="exact"/>
        <w:rPr>
          <w:sz w:val="20"/>
          <w:szCs w:val="20"/>
          <w:color w:val="auto"/>
        </w:rPr>
      </w:pPr>
    </w:p>
    <w:p>
      <w:pPr>
        <w:ind w:left="4" w:right="100"/>
        <w:spacing w:after="0" w:line="272" w:lineRule="auto"/>
        <w:rPr>
          <w:sz w:val="20"/>
          <w:szCs w:val="20"/>
          <w:color w:val="auto"/>
        </w:rPr>
      </w:pPr>
      <w:r>
        <w:rPr>
          <w:rFonts w:ascii="Arial" w:cs="Arial" w:eastAsia="Arial" w:hAnsi="Arial"/>
          <w:sz w:val="17"/>
          <w:szCs w:val="17"/>
          <w:color w:val="auto"/>
        </w:rPr>
        <w:t>Revenue increased 1 percent to $152.3 billion, compared with $150.3 billion in 2011. Full-year earnings before interest and tax (EBIT) adjusted was $7.9 billion, compared with $8.3 billion in 2011. Full-year EBIT-adjusted for 2012 includes the impact of restructuring charges of $(0.4) billion.</w:t>
      </w:r>
    </w:p>
    <w:p>
      <w:pPr>
        <w:spacing w:after="0" w:line="160" w:lineRule="exact"/>
        <w:rPr>
          <w:sz w:val="20"/>
          <w:szCs w:val="20"/>
          <w:color w:val="auto"/>
        </w:rPr>
      </w:pPr>
    </w:p>
    <w:p>
      <w:pPr>
        <w:ind w:left="4" w:right="180"/>
        <w:spacing w:after="0"/>
        <w:rPr>
          <w:sz w:val="20"/>
          <w:szCs w:val="20"/>
          <w:color w:val="auto"/>
        </w:rPr>
      </w:pPr>
      <w:r>
        <w:rPr>
          <w:rFonts w:ascii="Arial" w:cs="Arial" w:eastAsia="Arial" w:hAnsi="Arial"/>
          <w:sz w:val="18"/>
          <w:szCs w:val="18"/>
          <w:color w:val="auto"/>
        </w:rPr>
        <w:t>“We recorded another solid year in 2012 as we grew the business, delivered a third straight year of profitability and took significant actions to put the company on a solid path for future growth,” said Dan Akerson, chairman and CEO. “This year our priorities will be executing flawless new vehicle launches, controlling costs and delivering more vehicles to our customers at outstanding value.”</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2"/>
          <w:szCs w:val="12"/>
          <w:color w:val="auto"/>
        </w:rPr>
        <w:t>(in billions except for per share amounts)</w:t>
      </w:r>
    </w:p>
    <w:p>
      <w:pPr>
        <w:spacing w:after="0" w:line="361" w:lineRule="exact"/>
        <w:rPr>
          <w:sz w:val="20"/>
          <w:szCs w:val="20"/>
          <w:color w:val="auto"/>
        </w:rPr>
      </w:pPr>
    </w:p>
    <w:tbl>
      <w:tblPr>
        <w:tblLayout w:type="fixed"/>
        <w:tblInd w:w="584" w:type="dxa"/>
        <w:tblCellMar>
          <w:top w:w="0" w:type="dxa"/>
          <w:left w:w="0" w:type="dxa"/>
          <w:bottom w:w="0" w:type="dxa"/>
          <w:right w:w="0" w:type="dxa"/>
        </w:tblCellMar>
      </w:tblPr>
      <w:tr>
        <w:trPr>
          <w:trHeight w:val="187"/>
        </w:trPr>
        <w:tc>
          <w:tcPr>
            <w:tcW w:w="30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Q4 2011</w:t>
            </w:r>
          </w:p>
        </w:tc>
        <w:tc>
          <w:tcPr>
            <w:tcW w:w="1680" w:type="dxa"/>
            <w:vAlign w:val="bottom"/>
          </w:tcPr>
          <w:p>
            <w:pPr>
              <w:jc w:val="center"/>
              <w:ind w:right="128"/>
              <w:spacing w:after="0"/>
              <w:rPr>
                <w:sz w:val="20"/>
                <w:szCs w:val="20"/>
                <w:color w:val="auto"/>
              </w:rPr>
            </w:pPr>
            <w:r>
              <w:rPr>
                <w:rFonts w:ascii="Arial" w:cs="Arial" w:eastAsia="Arial" w:hAnsi="Arial"/>
                <w:sz w:val="14"/>
                <w:szCs w:val="14"/>
                <w:b w:val="1"/>
                <w:bCs w:val="1"/>
                <w:color w:val="auto"/>
                <w:w w:val="96"/>
              </w:rPr>
              <w:t>Q4 2012</w:t>
            </w:r>
          </w:p>
        </w:tc>
        <w:tc>
          <w:tcPr>
            <w:tcW w:w="2120" w:type="dxa"/>
            <w:vAlign w:val="bottom"/>
          </w:tcPr>
          <w:p>
            <w:pPr>
              <w:ind w:left="660"/>
              <w:spacing w:after="0"/>
              <w:rPr>
                <w:sz w:val="20"/>
                <w:szCs w:val="20"/>
                <w:color w:val="auto"/>
              </w:rPr>
            </w:pPr>
            <w:r>
              <w:rPr>
                <w:rFonts w:ascii="Arial" w:cs="Arial" w:eastAsia="Arial" w:hAnsi="Arial"/>
                <w:sz w:val="14"/>
                <w:szCs w:val="14"/>
                <w:b w:val="1"/>
                <w:bCs w:val="1"/>
                <w:color w:val="auto"/>
              </w:rPr>
              <w:t>Full-year 2011</w:t>
            </w:r>
          </w:p>
        </w:tc>
        <w:tc>
          <w:tcPr>
            <w:tcW w:w="1440" w:type="dxa"/>
            <w:vAlign w:val="bottom"/>
          </w:tcPr>
          <w:p>
            <w:pPr>
              <w:ind w:left="560"/>
              <w:spacing w:after="0"/>
              <w:rPr>
                <w:sz w:val="20"/>
                <w:szCs w:val="20"/>
                <w:color w:val="auto"/>
              </w:rPr>
            </w:pPr>
            <w:r>
              <w:rPr>
                <w:rFonts w:ascii="Arial" w:cs="Arial" w:eastAsia="Arial" w:hAnsi="Arial"/>
                <w:sz w:val="14"/>
                <w:szCs w:val="14"/>
                <w:b w:val="1"/>
                <w:bCs w:val="1"/>
                <w:color w:val="auto"/>
                <w:w w:val="92"/>
              </w:rPr>
              <w:t>Full-year 2012</w:t>
            </w:r>
          </w:p>
        </w:tc>
        <w:tc>
          <w:tcPr>
            <w:tcW w:w="0" w:type="dxa"/>
            <w:vAlign w:val="bottom"/>
          </w:tcPr>
          <w:p>
            <w:pPr>
              <w:spacing w:after="0"/>
              <w:rPr>
                <w:sz w:val="1"/>
                <w:szCs w:val="1"/>
                <w:color w:val="auto"/>
              </w:rPr>
            </w:pPr>
          </w:p>
        </w:tc>
      </w:tr>
      <w:tr>
        <w:trPr>
          <w:trHeight w:val="929"/>
        </w:trPr>
        <w:tc>
          <w:tcPr>
            <w:tcW w:w="3000" w:type="dxa"/>
            <w:vAlign w:val="bottom"/>
          </w:tcPr>
          <w:p>
            <w:pPr>
              <w:spacing w:after="0"/>
              <w:rPr>
                <w:sz w:val="20"/>
                <w:szCs w:val="20"/>
                <w:color w:val="auto"/>
              </w:rPr>
            </w:pPr>
            <w:r>
              <w:rPr>
                <w:rFonts w:ascii="Arial" w:cs="Arial" w:eastAsia="Arial" w:hAnsi="Arial"/>
                <w:sz w:val="14"/>
                <w:szCs w:val="14"/>
                <w:b w:val="1"/>
                <w:bCs w:val="1"/>
                <w:color w:val="auto"/>
              </w:rPr>
              <w:t>Revenue</w:t>
            </w:r>
          </w:p>
        </w:tc>
        <w:tc>
          <w:tcPr>
            <w:tcW w:w="1460" w:type="dxa"/>
            <w:vAlign w:val="bottom"/>
          </w:tcPr>
          <w:p>
            <w:pPr>
              <w:jc w:val="center"/>
              <w:spacing w:after="0"/>
              <w:rPr>
                <w:sz w:val="20"/>
                <w:szCs w:val="20"/>
                <w:color w:val="auto"/>
              </w:rPr>
            </w:pPr>
            <w:r>
              <w:rPr>
                <w:rFonts w:ascii="Arial" w:cs="Arial" w:eastAsia="Arial" w:hAnsi="Arial"/>
                <w:sz w:val="14"/>
                <w:szCs w:val="14"/>
                <w:color w:val="auto"/>
                <w:w w:val="91"/>
              </w:rPr>
              <w:t>$38.0</w:t>
            </w:r>
          </w:p>
        </w:tc>
        <w:tc>
          <w:tcPr>
            <w:tcW w:w="1680" w:type="dxa"/>
            <w:vAlign w:val="bottom"/>
          </w:tcPr>
          <w:p>
            <w:pPr>
              <w:jc w:val="center"/>
              <w:ind w:right="128"/>
              <w:spacing w:after="0"/>
              <w:rPr>
                <w:sz w:val="20"/>
                <w:szCs w:val="20"/>
                <w:color w:val="auto"/>
              </w:rPr>
            </w:pPr>
            <w:r>
              <w:rPr>
                <w:rFonts w:ascii="Arial" w:cs="Arial" w:eastAsia="Arial" w:hAnsi="Arial"/>
                <w:sz w:val="14"/>
                <w:szCs w:val="14"/>
                <w:color w:val="auto"/>
                <w:w w:val="91"/>
              </w:rPr>
              <w:t>$39.3</w:t>
            </w:r>
          </w:p>
        </w:tc>
        <w:tc>
          <w:tcPr>
            <w:tcW w:w="2120" w:type="dxa"/>
            <w:vAlign w:val="bottom"/>
          </w:tcPr>
          <w:p>
            <w:pPr>
              <w:jc w:val="center"/>
              <w:ind w:left="48"/>
              <w:spacing w:after="0"/>
              <w:rPr>
                <w:sz w:val="20"/>
                <w:szCs w:val="20"/>
                <w:color w:val="auto"/>
              </w:rPr>
            </w:pPr>
            <w:r>
              <w:rPr>
                <w:rFonts w:ascii="Arial" w:cs="Arial" w:eastAsia="Arial" w:hAnsi="Arial"/>
                <w:sz w:val="14"/>
                <w:szCs w:val="14"/>
                <w:color w:val="auto"/>
                <w:w w:val="93"/>
              </w:rPr>
              <w:t>$150.3</w:t>
            </w:r>
          </w:p>
        </w:tc>
        <w:tc>
          <w:tcPr>
            <w:tcW w:w="1440" w:type="dxa"/>
            <w:vAlign w:val="bottom"/>
          </w:tcPr>
          <w:p>
            <w:pPr>
              <w:jc w:val="center"/>
              <w:ind w:left="488"/>
              <w:spacing w:after="0"/>
              <w:rPr>
                <w:sz w:val="20"/>
                <w:szCs w:val="20"/>
                <w:color w:val="auto"/>
              </w:rPr>
            </w:pPr>
            <w:r>
              <w:rPr>
                <w:rFonts w:ascii="Arial" w:cs="Arial" w:eastAsia="Arial" w:hAnsi="Arial"/>
                <w:sz w:val="14"/>
                <w:szCs w:val="14"/>
                <w:color w:val="auto"/>
                <w:w w:val="93"/>
              </w:rPr>
              <w:t>$152.3</w:t>
            </w:r>
          </w:p>
        </w:tc>
        <w:tc>
          <w:tcPr>
            <w:tcW w:w="0" w:type="dxa"/>
            <w:vAlign w:val="bottom"/>
          </w:tcPr>
          <w:p>
            <w:pPr>
              <w:spacing w:after="0"/>
              <w:rPr>
                <w:sz w:val="1"/>
                <w:szCs w:val="1"/>
                <w:color w:val="auto"/>
              </w:rPr>
            </w:pPr>
          </w:p>
        </w:tc>
      </w:tr>
      <w:tr>
        <w:trPr>
          <w:trHeight w:val="235"/>
        </w:trPr>
        <w:tc>
          <w:tcPr>
            <w:tcW w:w="3000" w:type="dxa"/>
            <w:vAlign w:val="bottom"/>
          </w:tcPr>
          <w:p>
            <w:pPr>
              <w:spacing w:after="0"/>
              <w:rPr>
                <w:sz w:val="20"/>
                <w:szCs w:val="20"/>
                <w:color w:val="auto"/>
              </w:rPr>
            </w:pPr>
            <w:r>
              <w:rPr>
                <w:rFonts w:ascii="Arial" w:cs="Arial" w:eastAsia="Arial" w:hAnsi="Arial"/>
                <w:sz w:val="14"/>
                <w:szCs w:val="14"/>
                <w:b w:val="1"/>
                <w:bCs w:val="1"/>
                <w:color w:val="auto"/>
              </w:rPr>
              <w:t>Net income attributable to common</w:t>
            </w: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w w:val="95"/>
              </w:rPr>
              <w:t>$0.5</w:t>
            </w:r>
          </w:p>
        </w:tc>
        <w:tc>
          <w:tcPr>
            <w:tcW w:w="1680" w:type="dxa"/>
            <w:vAlign w:val="bottom"/>
            <w:vMerge w:val="restart"/>
          </w:tcPr>
          <w:p>
            <w:pPr>
              <w:jc w:val="center"/>
              <w:ind w:right="128"/>
              <w:spacing w:after="0"/>
              <w:rPr>
                <w:sz w:val="20"/>
                <w:szCs w:val="20"/>
                <w:color w:val="auto"/>
              </w:rPr>
            </w:pPr>
            <w:r>
              <w:rPr>
                <w:rFonts w:ascii="Arial" w:cs="Arial" w:eastAsia="Arial" w:hAnsi="Arial"/>
                <w:sz w:val="14"/>
                <w:szCs w:val="14"/>
                <w:color w:val="auto"/>
                <w:w w:val="87"/>
              </w:rPr>
              <w:t>$0.9</w:t>
            </w:r>
          </w:p>
        </w:tc>
        <w:tc>
          <w:tcPr>
            <w:tcW w:w="2120" w:type="dxa"/>
            <w:vAlign w:val="bottom"/>
            <w:vMerge w:val="restart"/>
          </w:tcPr>
          <w:p>
            <w:pPr>
              <w:jc w:val="center"/>
              <w:ind w:left="28"/>
              <w:spacing w:after="0"/>
              <w:rPr>
                <w:sz w:val="20"/>
                <w:szCs w:val="20"/>
                <w:color w:val="auto"/>
              </w:rPr>
            </w:pPr>
            <w:r>
              <w:rPr>
                <w:rFonts w:ascii="Arial" w:cs="Arial" w:eastAsia="Arial" w:hAnsi="Arial"/>
                <w:sz w:val="14"/>
                <w:szCs w:val="14"/>
                <w:color w:val="auto"/>
                <w:w w:val="95"/>
              </w:rPr>
              <w:t>$7.6</w:t>
            </w:r>
          </w:p>
        </w:tc>
        <w:tc>
          <w:tcPr>
            <w:tcW w:w="1440" w:type="dxa"/>
            <w:vAlign w:val="bottom"/>
            <w:vMerge w:val="restart"/>
          </w:tcPr>
          <w:p>
            <w:pPr>
              <w:jc w:val="center"/>
              <w:ind w:left="488"/>
              <w:spacing w:after="0"/>
              <w:rPr>
                <w:sz w:val="20"/>
                <w:szCs w:val="20"/>
                <w:color w:val="auto"/>
              </w:rPr>
            </w:pPr>
            <w:r>
              <w:rPr>
                <w:rFonts w:ascii="Arial" w:cs="Arial" w:eastAsia="Arial" w:hAnsi="Arial"/>
                <w:sz w:val="14"/>
                <w:szCs w:val="14"/>
                <w:color w:val="auto"/>
                <w:w w:val="87"/>
              </w:rPr>
              <w:t>$4.9</w:t>
            </w:r>
          </w:p>
        </w:tc>
        <w:tc>
          <w:tcPr>
            <w:tcW w:w="0" w:type="dxa"/>
            <w:vAlign w:val="bottom"/>
          </w:tcPr>
          <w:p>
            <w:pPr>
              <w:spacing w:after="0"/>
              <w:rPr>
                <w:sz w:val="1"/>
                <w:szCs w:val="1"/>
                <w:color w:val="auto"/>
              </w:rPr>
            </w:pPr>
          </w:p>
        </w:tc>
      </w:tr>
      <w:tr>
        <w:trPr>
          <w:trHeight w:val="90"/>
        </w:trPr>
        <w:tc>
          <w:tcPr>
            <w:tcW w:w="3000" w:type="dxa"/>
            <w:vAlign w:val="bottom"/>
            <w:vMerge w:val="restart"/>
          </w:tcPr>
          <w:p>
            <w:pPr>
              <w:spacing w:after="0"/>
              <w:rPr>
                <w:sz w:val="20"/>
                <w:szCs w:val="20"/>
                <w:color w:val="auto"/>
              </w:rPr>
            </w:pPr>
            <w:r>
              <w:rPr>
                <w:rFonts w:ascii="Arial" w:cs="Arial" w:eastAsia="Arial" w:hAnsi="Arial"/>
                <w:sz w:val="14"/>
                <w:szCs w:val="14"/>
                <w:b w:val="1"/>
                <w:bCs w:val="1"/>
                <w:color w:val="auto"/>
              </w:rPr>
              <w:t>stockholders</w:t>
            </w:r>
          </w:p>
        </w:tc>
        <w:tc>
          <w:tcPr>
            <w:tcW w:w="146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212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300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3000" w:type="dxa"/>
            <w:vAlign w:val="bottom"/>
          </w:tcPr>
          <w:p>
            <w:pPr>
              <w:spacing w:after="0"/>
              <w:rPr>
                <w:sz w:val="20"/>
                <w:szCs w:val="20"/>
                <w:color w:val="auto"/>
              </w:rPr>
            </w:pPr>
            <w:r>
              <w:rPr>
                <w:rFonts w:ascii="Arial" w:cs="Arial" w:eastAsia="Arial" w:hAnsi="Arial"/>
                <w:sz w:val="14"/>
                <w:szCs w:val="14"/>
                <w:b w:val="1"/>
                <w:bCs w:val="1"/>
                <w:color w:val="auto"/>
              </w:rPr>
              <w:t>Earnings per share</w:t>
            </w: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w w:val="91"/>
              </w:rPr>
              <w:t>$0.28</w:t>
            </w:r>
          </w:p>
        </w:tc>
        <w:tc>
          <w:tcPr>
            <w:tcW w:w="1680" w:type="dxa"/>
            <w:vAlign w:val="bottom"/>
            <w:vMerge w:val="restart"/>
          </w:tcPr>
          <w:p>
            <w:pPr>
              <w:jc w:val="center"/>
              <w:ind w:right="128"/>
              <w:spacing w:after="0"/>
              <w:rPr>
                <w:sz w:val="20"/>
                <w:szCs w:val="20"/>
                <w:color w:val="auto"/>
              </w:rPr>
            </w:pPr>
            <w:r>
              <w:rPr>
                <w:rFonts w:ascii="Arial" w:cs="Arial" w:eastAsia="Arial" w:hAnsi="Arial"/>
                <w:sz w:val="14"/>
                <w:szCs w:val="14"/>
                <w:color w:val="auto"/>
                <w:w w:val="91"/>
              </w:rPr>
              <w:t>$0.54</w:t>
            </w:r>
          </w:p>
        </w:tc>
        <w:tc>
          <w:tcPr>
            <w:tcW w:w="2120" w:type="dxa"/>
            <w:vAlign w:val="bottom"/>
            <w:vMerge w:val="restart"/>
          </w:tcPr>
          <w:p>
            <w:pPr>
              <w:jc w:val="center"/>
              <w:ind w:left="28"/>
              <w:spacing w:after="0"/>
              <w:rPr>
                <w:sz w:val="20"/>
                <w:szCs w:val="20"/>
                <w:color w:val="auto"/>
              </w:rPr>
            </w:pPr>
            <w:r>
              <w:rPr>
                <w:rFonts w:ascii="Arial" w:cs="Arial" w:eastAsia="Arial" w:hAnsi="Arial"/>
                <w:sz w:val="14"/>
                <w:szCs w:val="14"/>
                <w:color w:val="auto"/>
                <w:w w:val="96"/>
              </w:rPr>
              <w:t>$4.58</w:t>
            </w:r>
          </w:p>
        </w:tc>
        <w:tc>
          <w:tcPr>
            <w:tcW w:w="1440" w:type="dxa"/>
            <w:vAlign w:val="bottom"/>
            <w:vMerge w:val="restart"/>
          </w:tcPr>
          <w:p>
            <w:pPr>
              <w:jc w:val="center"/>
              <w:ind w:left="488"/>
              <w:spacing w:after="0"/>
              <w:rPr>
                <w:sz w:val="20"/>
                <w:szCs w:val="20"/>
                <w:color w:val="auto"/>
              </w:rPr>
            </w:pPr>
            <w:r>
              <w:rPr>
                <w:rFonts w:ascii="Arial" w:cs="Arial" w:eastAsia="Arial" w:hAnsi="Arial"/>
                <w:sz w:val="14"/>
                <w:szCs w:val="14"/>
                <w:color w:val="auto"/>
                <w:w w:val="91"/>
              </w:rPr>
              <w:t>$2.92</w:t>
            </w:r>
          </w:p>
        </w:tc>
        <w:tc>
          <w:tcPr>
            <w:tcW w:w="0" w:type="dxa"/>
            <w:vAlign w:val="bottom"/>
          </w:tcPr>
          <w:p>
            <w:pPr>
              <w:spacing w:after="0"/>
              <w:rPr>
                <w:sz w:val="1"/>
                <w:szCs w:val="1"/>
                <w:color w:val="auto"/>
              </w:rPr>
            </w:pPr>
          </w:p>
        </w:tc>
      </w:tr>
      <w:tr>
        <w:trPr>
          <w:trHeight w:val="94"/>
        </w:trPr>
        <w:tc>
          <w:tcPr>
            <w:tcW w:w="3000" w:type="dxa"/>
            <w:vAlign w:val="bottom"/>
            <w:vMerge w:val="restart"/>
          </w:tcPr>
          <w:p>
            <w:pPr>
              <w:spacing w:after="0"/>
              <w:rPr>
                <w:sz w:val="20"/>
                <w:szCs w:val="20"/>
                <w:color w:val="auto"/>
              </w:rPr>
            </w:pPr>
            <w:r>
              <w:rPr>
                <w:rFonts w:ascii="Arial" w:cs="Arial" w:eastAsia="Arial" w:hAnsi="Arial"/>
                <w:sz w:val="14"/>
                <w:szCs w:val="14"/>
                <w:b w:val="1"/>
                <w:bCs w:val="1"/>
                <w:color w:val="auto"/>
              </w:rPr>
              <w:t>(EPS) fully diluted</w:t>
            </w:r>
          </w:p>
        </w:tc>
        <w:tc>
          <w:tcPr>
            <w:tcW w:w="146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212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00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3000" w:type="dxa"/>
            <w:vAlign w:val="bottom"/>
          </w:tcPr>
          <w:p>
            <w:pPr>
              <w:spacing w:after="0"/>
              <w:rPr>
                <w:sz w:val="20"/>
                <w:szCs w:val="20"/>
                <w:color w:val="auto"/>
              </w:rPr>
            </w:pPr>
            <w:r>
              <w:rPr>
                <w:rFonts w:ascii="Arial" w:cs="Arial" w:eastAsia="Arial" w:hAnsi="Arial"/>
                <w:sz w:val="14"/>
                <w:szCs w:val="14"/>
                <w:b w:val="1"/>
                <w:bCs w:val="1"/>
                <w:color w:val="auto"/>
              </w:rPr>
              <w:t>Impact of special items on EPS fully</w:t>
            </w: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w w:val="94"/>
              </w:rPr>
              <w:t>$(0.11)</w:t>
            </w:r>
          </w:p>
        </w:tc>
        <w:tc>
          <w:tcPr>
            <w:tcW w:w="1680" w:type="dxa"/>
            <w:vAlign w:val="bottom"/>
            <w:vMerge w:val="restart"/>
          </w:tcPr>
          <w:p>
            <w:pPr>
              <w:jc w:val="center"/>
              <w:ind w:right="128"/>
              <w:spacing w:after="0"/>
              <w:rPr>
                <w:sz w:val="20"/>
                <w:szCs w:val="20"/>
                <w:color w:val="auto"/>
              </w:rPr>
            </w:pPr>
            <w:r>
              <w:rPr>
                <w:rFonts w:ascii="Arial" w:cs="Arial" w:eastAsia="Arial" w:hAnsi="Arial"/>
                <w:sz w:val="14"/>
                <w:szCs w:val="14"/>
                <w:color w:val="auto"/>
                <w:w w:val="91"/>
              </w:rPr>
              <w:t>$0.06</w:t>
            </w:r>
          </w:p>
        </w:tc>
        <w:tc>
          <w:tcPr>
            <w:tcW w:w="2120" w:type="dxa"/>
            <w:vAlign w:val="bottom"/>
            <w:vMerge w:val="restart"/>
          </w:tcPr>
          <w:p>
            <w:pPr>
              <w:jc w:val="center"/>
              <w:ind w:left="28"/>
              <w:spacing w:after="0"/>
              <w:rPr>
                <w:sz w:val="20"/>
                <w:szCs w:val="20"/>
                <w:color w:val="auto"/>
              </w:rPr>
            </w:pPr>
            <w:r>
              <w:rPr>
                <w:rFonts w:ascii="Arial" w:cs="Arial" w:eastAsia="Arial" w:hAnsi="Arial"/>
                <w:sz w:val="14"/>
                <w:szCs w:val="14"/>
                <w:color w:val="auto"/>
                <w:w w:val="96"/>
              </w:rPr>
              <w:t>$0.70</w:t>
            </w:r>
          </w:p>
        </w:tc>
        <w:tc>
          <w:tcPr>
            <w:tcW w:w="1440" w:type="dxa"/>
            <w:vAlign w:val="bottom"/>
            <w:vMerge w:val="restart"/>
          </w:tcPr>
          <w:p>
            <w:pPr>
              <w:jc w:val="center"/>
              <w:ind w:left="488"/>
              <w:spacing w:after="0"/>
              <w:rPr>
                <w:sz w:val="20"/>
                <w:szCs w:val="20"/>
                <w:color w:val="auto"/>
              </w:rPr>
            </w:pPr>
            <w:r>
              <w:rPr>
                <w:rFonts w:ascii="Arial" w:cs="Arial" w:eastAsia="Arial" w:hAnsi="Arial"/>
                <w:sz w:val="14"/>
                <w:szCs w:val="14"/>
                <w:color w:val="auto"/>
                <w:w w:val="99"/>
              </w:rPr>
              <w:t>$(0.32)</w:t>
            </w:r>
          </w:p>
        </w:tc>
        <w:tc>
          <w:tcPr>
            <w:tcW w:w="0" w:type="dxa"/>
            <w:vAlign w:val="bottom"/>
          </w:tcPr>
          <w:p>
            <w:pPr>
              <w:spacing w:after="0"/>
              <w:rPr>
                <w:sz w:val="1"/>
                <w:szCs w:val="1"/>
                <w:color w:val="auto"/>
              </w:rPr>
            </w:pPr>
          </w:p>
        </w:tc>
      </w:tr>
      <w:tr>
        <w:trPr>
          <w:trHeight w:val="90"/>
        </w:trPr>
        <w:tc>
          <w:tcPr>
            <w:tcW w:w="3000" w:type="dxa"/>
            <w:vAlign w:val="bottom"/>
            <w:vMerge w:val="restart"/>
          </w:tcPr>
          <w:p>
            <w:pPr>
              <w:spacing w:after="0"/>
              <w:rPr>
                <w:sz w:val="20"/>
                <w:szCs w:val="20"/>
                <w:color w:val="auto"/>
              </w:rPr>
            </w:pPr>
            <w:r>
              <w:rPr>
                <w:rFonts w:ascii="Arial" w:cs="Arial" w:eastAsia="Arial" w:hAnsi="Arial"/>
                <w:sz w:val="14"/>
                <w:szCs w:val="14"/>
                <w:b w:val="1"/>
                <w:bCs w:val="1"/>
                <w:color w:val="auto"/>
              </w:rPr>
              <w:t>diluted</w:t>
            </w:r>
          </w:p>
        </w:tc>
        <w:tc>
          <w:tcPr>
            <w:tcW w:w="146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212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300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3000" w:type="dxa"/>
            <w:vAlign w:val="bottom"/>
          </w:tcPr>
          <w:p>
            <w:pPr>
              <w:spacing w:after="0"/>
              <w:rPr>
                <w:sz w:val="20"/>
                <w:szCs w:val="20"/>
                <w:color w:val="auto"/>
              </w:rPr>
            </w:pPr>
            <w:r>
              <w:rPr>
                <w:rFonts w:ascii="Arial" w:cs="Arial" w:eastAsia="Arial" w:hAnsi="Arial"/>
                <w:sz w:val="14"/>
                <w:szCs w:val="14"/>
                <w:b w:val="1"/>
                <w:bCs w:val="1"/>
                <w:color w:val="auto"/>
              </w:rPr>
              <w:t>EBIT-adjusted</w:t>
            </w:r>
          </w:p>
        </w:tc>
        <w:tc>
          <w:tcPr>
            <w:tcW w:w="1460" w:type="dxa"/>
            <w:vAlign w:val="bottom"/>
          </w:tcPr>
          <w:p>
            <w:pPr>
              <w:jc w:val="center"/>
              <w:spacing w:after="0"/>
              <w:rPr>
                <w:sz w:val="20"/>
                <w:szCs w:val="20"/>
                <w:color w:val="auto"/>
              </w:rPr>
            </w:pPr>
            <w:r>
              <w:rPr>
                <w:rFonts w:ascii="Arial" w:cs="Arial" w:eastAsia="Arial" w:hAnsi="Arial"/>
                <w:sz w:val="14"/>
                <w:szCs w:val="14"/>
                <w:color w:val="auto"/>
                <w:w w:val="95"/>
              </w:rPr>
              <w:t>$1.1</w:t>
            </w:r>
          </w:p>
        </w:tc>
        <w:tc>
          <w:tcPr>
            <w:tcW w:w="1680" w:type="dxa"/>
            <w:vAlign w:val="bottom"/>
          </w:tcPr>
          <w:p>
            <w:pPr>
              <w:jc w:val="center"/>
              <w:ind w:right="128"/>
              <w:spacing w:after="0"/>
              <w:rPr>
                <w:sz w:val="20"/>
                <w:szCs w:val="20"/>
                <w:color w:val="auto"/>
              </w:rPr>
            </w:pPr>
            <w:r>
              <w:rPr>
                <w:rFonts w:ascii="Arial" w:cs="Arial" w:eastAsia="Arial" w:hAnsi="Arial"/>
                <w:sz w:val="14"/>
                <w:szCs w:val="14"/>
                <w:color w:val="auto"/>
                <w:w w:val="87"/>
              </w:rPr>
              <w:t>$1.2</w:t>
            </w:r>
          </w:p>
        </w:tc>
        <w:tc>
          <w:tcPr>
            <w:tcW w:w="2120" w:type="dxa"/>
            <w:vAlign w:val="bottom"/>
          </w:tcPr>
          <w:p>
            <w:pPr>
              <w:jc w:val="center"/>
              <w:ind w:left="28"/>
              <w:spacing w:after="0"/>
              <w:rPr>
                <w:sz w:val="20"/>
                <w:szCs w:val="20"/>
                <w:color w:val="auto"/>
              </w:rPr>
            </w:pPr>
            <w:r>
              <w:rPr>
                <w:rFonts w:ascii="Arial" w:cs="Arial" w:eastAsia="Arial" w:hAnsi="Arial"/>
                <w:sz w:val="14"/>
                <w:szCs w:val="14"/>
                <w:color w:val="auto"/>
                <w:w w:val="95"/>
              </w:rPr>
              <w:t>$8.3</w:t>
            </w:r>
          </w:p>
        </w:tc>
        <w:tc>
          <w:tcPr>
            <w:tcW w:w="1440" w:type="dxa"/>
            <w:vAlign w:val="bottom"/>
          </w:tcPr>
          <w:p>
            <w:pPr>
              <w:jc w:val="center"/>
              <w:ind w:left="488"/>
              <w:spacing w:after="0"/>
              <w:rPr>
                <w:sz w:val="20"/>
                <w:szCs w:val="20"/>
                <w:color w:val="auto"/>
              </w:rPr>
            </w:pPr>
            <w:r>
              <w:rPr>
                <w:rFonts w:ascii="Arial" w:cs="Arial" w:eastAsia="Arial" w:hAnsi="Arial"/>
                <w:sz w:val="14"/>
                <w:szCs w:val="14"/>
                <w:color w:val="auto"/>
                <w:w w:val="87"/>
              </w:rPr>
              <w:t>$7.9</w:t>
            </w:r>
          </w:p>
        </w:tc>
        <w:tc>
          <w:tcPr>
            <w:tcW w:w="0" w:type="dxa"/>
            <w:vAlign w:val="bottom"/>
          </w:tcPr>
          <w:p>
            <w:pPr>
              <w:spacing w:after="0"/>
              <w:rPr>
                <w:sz w:val="1"/>
                <w:szCs w:val="1"/>
                <w:color w:val="auto"/>
              </w:rPr>
            </w:pPr>
          </w:p>
        </w:tc>
      </w:tr>
      <w:tr>
        <w:trPr>
          <w:trHeight w:val="235"/>
        </w:trPr>
        <w:tc>
          <w:tcPr>
            <w:tcW w:w="3000" w:type="dxa"/>
            <w:vAlign w:val="bottom"/>
          </w:tcPr>
          <w:p>
            <w:pPr>
              <w:spacing w:after="0"/>
              <w:rPr>
                <w:sz w:val="20"/>
                <w:szCs w:val="20"/>
                <w:color w:val="auto"/>
              </w:rPr>
            </w:pPr>
            <w:r>
              <w:rPr>
                <w:rFonts w:ascii="Arial" w:cs="Arial" w:eastAsia="Arial" w:hAnsi="Arial"/>
                <w:sz w:val="14"/>
                <w:szCs w:val="14"/>
                <w:b w:val="1"/>
                <w:bCs w:val="1"/>
                <w:color w:val="auto"/>
              </w:rPr>
              <w:t>Automotive net cash flow from operating</w:t>
            </w: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w w:val="95"/>
              </w:rPr>
              <w:t>$1.2</w:t>
            </w:r>
          </w:p>
        </w:tc>
        <w:tc>
          <w:tcPr>
            <w:tcW w:w="1680" w:type="dxa"/>
            <w:vAlign w:val="bottom"/>
            <w:vMerge w:val="restart"/>
          </w:tcPr>
          <w:p>
            <w:pPr>
              <w:jc w:val="center"/>
              <w:ind w:right="128"/>
              <w:spacing w:after="0"/>
              <w:rPr>
                <w:sz w:val="20"/>
                <w:szCs w:val="20"/>
                <w:color w:val="auto"/>
              </w:rPr>
            </w:pPr>
            <w:r>
              <w:rPr>
                <w:rFonts w:ascii="Arial" w:cs="Arial" w:eastAsia="Arial" w:hAnsi="Arial"/>
                <w:sz w:val="14"/>
                <w:szCs w:val="14"/>
                <w:color w:val="auto"/>
                <w:w w:val="87"/>
              </w:rPr>
              <w:t>$0.5</w:t>
            </w:r>
          </w:p>
        </w:tc>
        <w:tc>
          <w:tcPr>
            <w:tcW w:w="2120" w:type="dxa"/>
            <w:vAlign w:val="bottom"/>
            <w:vMerge w:val="restart"/>
          </w:tcPr>
          <w:p>
            <w:pPr>
              <w:jc w:val="center"/>
              <w:ind w:left="28"/>
              <w:spacing w:after="0"/>
              <w:rPr>
                <w:sz w:val="20"/>
                <w:szCs w:val="20"/>
                <w:color w:val="auto"/>
              </w:rPr>
            </w:pPr>
            <w:r>
              <w:rPr>
                <w:rFonts w:ascii="Arial" w:cs="Arial" w:eastAsia="Arial" w:hAnsi="Arial"/>
                <w:sz w:val="14"/>
                <w:szCs w:val="14"/>
                <w:color w:val="auto"/>
                <w:w w:val="95"/>
              </w:rPr>
              <w:t>$7.4</w:t>
            </w:r>
          </w:p>
        </w:tc>
        <w:tc>
          <w:tcPr>
            <w:tcW w:w="1440" w:type="dxa"/>
            <w:vAlign w:val="bottom"/>
            <w:vMerge w:val="restart"/>
          </w:tcPr>
          <w:p>
            <w:pPr>
              <w:jc w:val="center"/>
              <w:ind w:left="488"/>
              <w:spacing w:after="0"/>
              <w:rPr>
                <w:sz w:val="20"/>
                <w:szCs w:val="20"/>
                <w:color w:val="auto"/>
              </w:rPr>
            </w:pPr>
            <w:r>
              <w:rPr>
                <w:rFonts w:ascii="Arial" w:cs="Arial" w:eastAsia="Arial" w:hAnsi="Arial"/>
                <w:sz w:val="14"/>
                <w:szCs w:val="14"/>
                <w:color w:val="auto"/>
                <w:w w:val="87"/>
              </w:rPr>
              <w:t>$9.6</w:t>
            </w:r>
          </w:p>
        </w:tc>
        <w:tc>
          <w:tcPr>
            <w:tcW w:w="0" w:type="dxa"/>
            <w:vAlign w:val="bottom"/>
          </w:tcPr>
          <w:p>
            <w:pPr>
              <w:spacing w:after="0"/>
              <w:rPr>
                <w:sz w:val="1"/>
                <w:szCs w:val="1"/>
                <w:color w:val="auto"/>
              </w:rPr>
            </w:pPr>
          </w:p>
        </w:tc>
      </w:tr>
      <w:tr>
        <w:trPr>
          <w:trHeight w:val="90"/>
        </w:trPr>
        <w:tc>
          <w:tcPr>
            <w:tcW w:w="3000" w:type="dxa"/>
            <w:vAlign w:val="bottom"/>
            <w:vMerge w:val="restart"/>
          </w:tcPr>
          <w:p>
            <w:pPr>
              <w:spacing w:after="0"/>
              <w:rPr>
                <w:sz w:val="20"/>
                <w:szCs w:val="20"/>
                <w:color w:val="auto"/>
              </w:rPr>
            </w:pPr>
            <w:r>
              <w:rPr>
                <w:rFonts w:ascii="Arial" w:cs="Arial" w:eastAsia="Arial" w:hAnsi="Arial"/>
                <w:sz w:val="14"/>
                <w:szCs w:val="14"/>
                <w:b w:val="1"/>
                <w:bCs w:val="1"/>
                <w:color w:val="auto"/>
              </w:rPr>
              <w:t>activities</w:t>
            </w:r>
          </w:p>
        </w:tc>
        <w:tc>
          <w:tcPr>
            <w:tcW w:w="146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212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300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0"/>
        </w:trPr>
        <w:tc>
          <w:tcPr>
            <w:tcW w:w="3000" w:type="dxa"/>
            <w:vAlign w:val="bottom"/>
          </w:tcPr>
          <w:p>
            <w:pPr>
              <w:spacing w:after="0"/>
              <w:rPr>
                <w:sz w:val="20"/>
                <w:szCs w:val="20"/>
                <w:color w:val="auto"/>
              </w:rPr>
            </w:pPr>
            <w:r>
              <w:rPr>
                <w:rFonts w:ascii="Arial" w:cs="Arial" w:eastAsia="Arial" w:hAnsi="Arial"/>
                <w:sz w:val="14"/>
                <w:szCs w:val="14"/>
                <w:b w:val="1"/>
                <w:bCs w:val="1"/>
                <w:color w:val="auto"/>
              </w:rPr>
              <w:t>Adjusted automotive</w:t>
            </w:r>
          </w:p>
        </w:tc>
        <w:tc>
          <w:tcPr>
            <w:tcW w:w="1460" w:type="dxa"/>
            <w:vAlign w:val="bottom"/>
          </w:tcPr>
          <w:p>
            <w:pPr>
              <w:jc w:val="center"/>
              <w:spacing w:after="0"/>
              <w:rPr>
                <w:sz w:val="20"/>
                <w:szCs w:val="20"/>
                <w:color w:val="auto"/>
              </w:rPr>
            </w:pPr>
            <w:r>
              <w:rPr>
                <w:rFonts w:ascii="Arial" w:cs="Arial" w:eastAsia="Arial" w:hAnsi="Arial"/>
                <w:sz w:val="14"/>
                <w:szCs w:val="14"/>
                <w:color w:val="auto"/>
                <w:w w:val="98"/>
              </w:rPr>
              <w:t>$(0.2)</w:t>
            </w:r>
          </w:p>
        </w:tc>
        <w:tc>
          <w:tcPr>
            <w:tcW w:w="1680" w:type="dxa"/>
            <w:vAlign w:val="bottom"/>
          </w:tcPr>
          <w:p>
            <w:pPr>
              <w:jc w:val="center"/>
              <w:ind w:right="128"/>
              <w:spacing w:after="0"/>
              <w:rPr>
                <w:sz w:val="20"/>
                <w:szCs w:val="20"/>
                <w:color w:val="auto"/>
              </w:rPr>
            </w:pPr>
            <w:r>
              <w:rPr>
                <w:rFonts w:ascii="Arial" w:cs="Arial" w:eastAsia="Arial" w:hAnsi="Arial"/>
                <w:sz w:val="14"/>
                <w:szCs w:val="14"/>
                <w:color w:val="auto"/>
                <w:w w:val="87"/>
              </w:rPr>
              <w:t>$1.1</w:t>
            </w:r>
          </w:p>
        </w:tc>
        <w:tc>
          <w:tcPr>
            <w:tcW w:w="2120" w:type="dxa"/>
            <w:vAlign w:val="bottom"/>
          </w:tcPr>
          <w:p>
            <w:pPr>
              <w:jc w:val="center"/>
              <w:ind w:left="28"/>
              <w:spacing w:after="0"/>
              <w:rPr>
                <w:sz w:val="20"/>
                <w:szCs w:val="20"/>
                <w:color w:val="auto"/>
              </w:rPr>
            </w:pPr>
            <w:r>
              <w:rPr>
                <w:rFonts w:ascii="Arial" w:cs="Arial" w:eastAsia="Arial" w:hAnsi="Arial"/>
                <w:sz w:val="14"/>
                <w:szCs w:val="14"/>
                <w:color w:val="auto"/>
                <w:w w:val="95"/>
              </w:rPr>
              <w:t>$3.0</w:t>
            </w:r>
          </w:p>
        </w:tc>
        <w:tc>
          <w:tcPr>
            <w:tcW w:w="1440" w:type="dxa"/>
            <w:vAlign w:val="bottom"/>
          </w:tcPr>
          <w:p>
            <w:pPr>
              <w:jc w:val="center"/>
              <w:ind w:left="488"/>
              <w:spacing w:after="0"/>
              <w:rPr>
                <w:sz w:val="20"/>
                <w:szCs w:val="20"/>
                <w:color w:val="auto"/>
              </w:rPr>
            </w:pPr>
            <w:r>
              <w:rPr>
                <w:rFonts w:ascii="Arial" w:cs="Arial" w:eastAsia="Arial" w:hAnsi="Arial"/>
                <w:sz w:val="14"/>
                <w:szCs w:val="14"/>
                <w:color w:val="auto"/>
                <w:w w:val="87"/>
              </w:rPr>
              <w:t>$4.3</w:t>
            </w:r>
          </w:p>
        </w:tc>
        <w:tc>
          <w:tcPr>
            <w:tcW w:w="0" w:type="dxa"/>
            <w:vAlign w:val="bottom"/>
          </w:tcPr>
          <w:p>
            <w:pPr>
              <w:spacing w:after="0"/>
              <w:rPr>
                <w:sz w:val="1"/>
                <w:szCs w:val="1"/>
                <w:color w:val="auto"/>
              </w:rPr>
            </w:pPr>
          </w:p>
        </w:tc>
      </w:tr>
      <w:tr>
        <w:trPr>
          <w:trHeight w:val="191"/>
        </w:trPr>
        <w:tc>
          <w:tcPr>
            <w:tcW w:w="3000" w:type="dxa"/>
            <w:vAlign w:val="bottom"/>
          </w:tcPr>
          <w:p>
            <w:pPr>
              <w:spacing w:after="0"/>
              <w:rPr>
                <w:sz w:val="20"/>
                <w:szCs w:val="20"/>
                <w:color w:val="auto"/>
              </w:rPr>
            </w:pPr>
            <w:r>
              <w:rPr>
                <w:rFonts w:ascii="Arial" w:cs="Arial" w:eastAsia="Arial" w:hAnsi="Arial"/>
                <w:sz w:val="14"/>
                <w:szCs w:val="14"/>
                <w:b w:val="1"/>
                <w:bCs w:val="1"/>
                <w:color w:val="auto"/>
              </w:rPr>
              <w:t>free cash flow</w:t>
            </w:r>
          </w:p>
        </w:tc>
        <w:tc>
          <w:tcPr>
            <w:tcW w:w="14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44"/>
          </w:cols>
          <w:pgMar w:left="236" w:top="514" w:right="2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Fourth Quarter Results</w:t>
      </w:r>
    </w:p>
    <w:p>
      <w:pPr>
        <w:spacing w:after="0" w:line="20"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Revenue in the fourth quarter of 2012 increased 3 percent to $39.3 billion, compared with the fourth quarter of 2011. GM's fourth quarter 2012 net income attributable to common stockholders was $0.9 billion, or $0.54 per fully diluted share, including a net gain from special items of $0.1 billion or $0.06 per fully diluted share.</w:t>
      </w:r>
    </w:p>
    <w:p>
      <w:pPr>
        <w:spacing w:after="0" w:line="187"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In the fourth quarter of 2011, GM's net income attributable to common stockholders was $0.5 billion, or $0.28 per fully diluted share, including a net loss from special items of $(0.2) billion, or $(0.11) per fully diluted share.</w:t>
      </w:r>
    </w:p>
    <w:p>
      <w:pPr>
        <w:spacing w:after="0" w:line="184"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EBIT-adjusted was $1.2 billion in the fourth quarter of 2012, compared with $1.1 billion in the fourth quarter of 2011. Fourth quarter EBIT-adjusted for 2012 includes the impact of restructuring charges of $(0.2) billion.</w:t>
      </w:r>
    </w:p>
    <w:p>
      <w:pPr>
        <w:spacing w:after="0" w:line="184"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GM's fourth quarter 2012 special items impact to net income of $0.1 billion includes a $34.9 billion non-cash benefit from the release of the majority of the company's valuation allowances on U.S. and Canada deferred tax assets and an associated $(26.2) billion non-cash goodwill impairment charge; a $(5.2) billion non-cash impairment of GM Europe long-lived assets; and a $(2.2) billion charge related to U.S. salaried pension plan actions announced earlier this year, among other smaller items.</w:t>
      </w:r>
    </w:p>
    <w:p>
      <w:pPr>
        <w:spacing w:after="0" w:line="189"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The non-cash impairment of GM Europe long-lived assets does not reflect any change to the company's objective to break-even in its European operations by mid-decade.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0" w:lineRule="exact"/>
        <w:rPr>
          <w:sz w:val="20"/>
          <w:szCs w:val="20"/>
          <w:color w:val="auto"/>
        </w:rPr>
      </w:pPr>
    </w:p>
    <w:p>
      <w:pPr>
        <w:ind w:left="580" w:right="40" w:hanging="294"/>
        <w:spacing w:after="0" w:line="237"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8"/>
          <w:szCs w:val="18"/>
          <w:color w:val="auto"/>
        </w:rPr>
        <w:t>GM North America (GMNA) reported EBIT-adjusted of $1.4 billion in the fourth quarter of 2012 compared with $1.5 billion in 2011. Full-year EBIT-adjusted was $7.0 billion in 2012 compared to $7.2 billion in 2011. Based on GMNA's 2012 financial performance, the company will pay profit sharing of up to $6,750 to approximately 49,000 eligible GM U.S. hourly employees.</w:t>
      </w:r>
    </w:p>
    <w:p>
      <w:pPr>
        <w:spacing w:after="0" w:line="1" w:lineRule="exact"/>
        <w:rPr>
          <w:rFonts w:ascii="Arial" w:cs="Arial" w:eastAsia="Arial" w:hAnsi="Arial"/>
          <w:sz w:val="16"/>
          <w:szCs w:val="16"/>
          <w:color w:val="auto"/>
        </w:rPr>
      </w:pPr>
    </w:p>
    <w:p>
      <w:pPr>
        <w:ind w:left="580" w:right="40" w:hanging="294"/>
        <w:spacing w:after="0" w:line="237"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8"/>
          <w:szCs w:val="18"/>
          <w:color w:val="auto"/>
        </w:rPr>
        <w:t>GM Europe (GME) reported EBIT-adjusted of $(0.7) billion in the fourth quarter of 2012, compared to $(0.6) billion in 2011. Full-year EBIT-adjusted was $(1.8) billion in 2012, compared with $(0.7) billion in 2011.</w:t>
      </w:r>
    </w:p>
    <w:p>
      <w:pPr>
        <w:spacing w:after="0" w:line="1" w:lineRule="exact"/>
        <w:rPr>
          <w:rFonts w:ascii="Arial" w:cs="Arial" w:eastAsia="Arial" w:hAnsi="Arial"/>
          <w:sz w:val="16"/>
          <w:szCs w:val="16"/>
          <w:color w:val="auto"/>
        </w:rPr>
      </w:pPr>
    </w:p>
    <w:p>
      <w:pPr>
        <w:ind w:left="580" w:hanging="294"/>
        <w:spacing w:after="0" w:line="237"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8"/>
          <w:szCs w:val="18"/>
          <w:color w:val="auto"/>
        </w:rPr>
        <w:t>GM International Operations (GMIO) reported EBIT-adjusted of $0.5 billion in the fourth quarter of 2012 compared with $0.4 billion in 2011. Full-year EBIT-adjusted was $2.2 billion in 2012 compared with $1.9 billion in 2011.</w:t>
      </w:r>
    </w:p>
    <w:p>
      <w:pPr>
        <w:spacing w:after="0" w:line="1" w:lineRule="exact"/>
        <w:rPr>
          <w:rFonts w:ascii="Arial" w:cs="Arial" w:eastAsia="Arial" w:hAnsi="Arial"/>
          <w:sz w:val="16"/>
          <w:szCs w:val="16"/>
          <w:color w:val="auto"/>
        </w:rPr>
      </w:pPr>
    </w:p>
    <w:p>
      <w:pPr>
        <w:ind w:left="580" w:right="120" w:hanging="294"/>
        <w:spacing w:after="0" w:line="237"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8"/>
          <w:szCs w:val="18"/>
          <w:color w:val="auto"/>
        </w:rPr>
        <w:t>GM South America (GMSA) reported EBIT-adjusted of $0.1 billion in the fourth quarter of 2012, compared with $(0.2) billion in 2011. Full-year EBIT-adjusted was $0.3 billion in 2012 compared with EBIT-adjusted of $(0.1) billion in 2011.</w:t>
      </w:r>
    </w:p>
    <w:p>
      <w:pPr>
        <w:spacing w:after="0" w:line="1" w:lineRule="exact"/>
        <w:rPr>
          <w:rFonts w:ascii="Arial" w:cs="Arial" w:eastAsia="Arial" w:hAnsi="Arial"/>
          <w:sz w:val="16"/>
          <w:szCs w:val="16"/>
          <w:color w:val="auto"/>
        </w:rPr>
      </w:pPr>
    </w:p>
    <w:p>
      <w:pPr>
        <w:ind w:left="580" w:right="280" w:hanging="294"/>
        <w:spacing w:after="0" w:line="243"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8"/>
          <w:szCs w:val="18"/>
          <w:color w:val="auto"/>
        </w:rPr>
        <w:t>GM Financial reported earnings before taxes (EBT) of $0.1 billion in the fourth quarter of 2012, compared with $0.2 billion in 2011. Full-year EBT was $0.7 billion, compared to $0.6 billion in 2011.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and Liquidity</w:t>
      </w:r>
    </w:p>
    <w:p>
      <w:pPr>
        <w:spacing w:after="0" w:line="20"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For the fourth quarter of 2012, automotive cash flow from operating activities was $0.5 billion, compared to $1.2 billion in 2011. In the fourth quarter of 2012, adjusted automotive free cash flow was $ 1.1 billion, compared to $(0.2) billion in 2011. For the year, adjusted automotive free cash flow was $4.3 billion, compared to $3.0 billion a year ago.</w:t>
      </w:r>
    </w:p>
    <w:p>
      <w:pPr>
        <w:spacing w:after="0" w:line="151" w:lineRule="exact"/>
        <w:rPr>
          <w:sz w:val="20"/>
          <w:szCs w:val="20"/>
          <w:color w:val="auto"/>
        </w:rPr>
      </w:pPr>
    </w:p>
    <w:p>
      <w:pPr>
        <w:ind w:right="600"/>
        <w:spacing w:after="0" w:line="243" w:lineRule="auto"/>
        <w:rPr>
          <w:sz w:val="20"/>
          <w:szCs w:val="20"/>
          <w:color w:val="auto"/>
        </w:rPr>
      </w:pPr>
      <w:r>
        <w:rPr>
          <w:rFonts w:ascii="Arial" w:cs="Arial" w:eastAsia="Arial" w:hAnsi="Arial"/>
          <w:sz w:val="18"/>
          <w:szCs w:val="18"/>
          <w:color w:val="auto"/>
        </w:rPr>
        <w:t>GM ended 2012 with strong total automotive liquidity of $37.2 billion compared with $37.0 billion at year-end in 2011. Automotive cash and marketable securities was $26.1 billion at the end of 2012, compared with $31.6 billion a year earlier.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GM expects capital expenditures for 2013 to be similar to 2012.</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00"/>
          </w:cols>
          <w:pgMar w:left="240" w:top="52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U.S. Pension Update</w:t>
      </w:r>
    </w:p>
    <w:p>
      <w:pPr>
        <w:spacing w:after="0" w:line="2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GM's U.S. defined benefit pension plans earned asset returns of 11.6 percent in 2012 and ended the year 84 percent funded. The underfunded position stood at $13.1 billion, slightly improved from the prior year. As previously announced, during 2012 GM settled approximately $28 billion of its U.S. salaried pension liability through a combination of lump sum offers and annuitizations.</w:t>
      </w:r>
    </w:p>
    <w:p>
      <w:pPr>
        <w:spacing w:after="0" w:line="187"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Under current economic conditions, GM expects no mandatory contributions to U.S. defined benefit pension plans for at least five years. While the company will continue to evaluate opportunities to make voluntary cash contributions, it has no current plans to do so in 2013.</w:t>
      </w:r>
    </w:p>
    <w:p>
      <w:pPr>
        <w:spacing w:after="0" w:line="18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“We're pleased with our fourth quarter results, as the business generated strong adjusted free cash flow and we took significant steps to strengthen our fortress balance sheet,” said Dan Ammann, senior vice president and CFO. “Our aggressive vehicle launch cadence and focus on improving the topline, combined with rigorous cost discipline will help us continue to generate strong business results moving forward.”</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b w:val="1"/>
          <w:bCs w:val="1"/>
          <w:color w:val="auto"/>
        </w:rPr>
        <w:t xml:space="preserve">General Motors Co. </w:t>
      </w:r>
      <w:r>
        <w:rPr>
          <w:rFonts w:ascii="Arial" w:cs="Arial" w:eastAsia="Arial" w:hAnsi="Arial"/>
          <w:sz w:val="16"/>
          <w:szCs w:val="16"/>
          <w:color w:val="auto"/>
        </w:rPr>
        <w:t>(NYSE:GM, TSX: GMM) and its partners produce vehicles in 30 countries, and the company has leadership positions in the world's largest</w:t>
      </w:r>
      <w:r>
        <w:rPr>
          <w:rFonts w:ascii="Arial" w:cs="Arial" w:eastAsia="Arial" w:hAnsi="Arial"/>
          <w:sz w:val="16"/>
          <w:szCs w:val="16"/>
          <w:b w:val="1"/>
          <w:bCs w:val="1"/>
          <w:color w:val="auto"/>
        </w:rPr>
        <w:t xml:space="preserve"> </w:t>
      </w:r>
      <w:r>
        <w:rPr>
          <w:rFonts w:ascii="Arial" w:cs="Arial" w:eastAsia="Arial" w:hAnsi="Arial"/>
          <w:sz w:val="16"/>
          <w:szCs w:val="16"/>
          <w:color w:val="auto"/>
        </w:rPr>
        <w:t>and fastest-growing automotive markets. GM's brands include Chevrolet and Cadillac, as well as Baojun, Buick, GMC, Holden, Isuzu, Daewoo, Jiefang, Opel, Vauxhall and Wuling. More information on the company and its subsidiaries, including OnStar, a global leader in vehicle safety, security and information services, can be found at http://www.gm.com.</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Tom Henderson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Office 313-667-2702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Cell 313-410-2704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tom.e.henderson@gm.com</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Randy Arickx</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Office 313-667-0006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Cell 313-268-7070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randy.c.arickx@gm.com</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financing sources, including as required to fund our planned significant investment in new technology; our ability to successfully integrate Ally Financial's international operations; the ability of our suppliers to timely deliver parts, components and systems; our ability to realize successful vehicle applications of new technology; overall strength and stability of our markets, particularly Europe; and our ability to continue to attract new customers, particularly for our new products. GM's most recent annual report on Form 10-K provides information about these and other factors, which we may revise or supplement in future reports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524" w:right="239" w:bottom="1440" w:gutter="0" w:footer="0" w:header="0"/>
        </w:sectPr>
      </w:pPr>
    </w:p>
    <w:bookmarkStart w:id="7" w:name="page8"/>
    <w:bookmarkEnd w:id="7"/>
    <w:p>
      <w:pPr>
        <w:jc w:val="center"/>
        <w:ind w:left="880"/>
        <w:spacing w:after="0"/>
        <w:rPr>
          <w:sz w:val="20"/>
          <w:szCs w:val="20"/>
          <w:color w:val="auto"/>
        </w:rPr>
      </w:pPr>
      <w:r>
        <w:rPr>
          <w:rFonts w:ascii="Arial" w:cs="Arial" w:eastAsia="Arial" w:hAnsi="Arial"/>
          <w:sz w:val="16"/>
          <w:szCs w:val="16"/>
          <w:b w:val="1"/>
          <w:bCs w:val="1"/>
          <w:color w:val="auto"/>
        </w:rPr>
        <w:t>Exhibit 1</w:t>
      </w:r>
    </w:p>
    <w:p>
      <w:pPr>
        <w:spacing w:after="0" w:line="202"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i w:val="1"/>
          <w:iCs w:val="1"/>
          <w:color w:val="auto"/>
        </w:rPr>
        <w:t>(Unaudited)</w:t>
      </w:r>
    </w:p>
    <w:p>
      <w:pPr>
        <w:spacing w:after="0" w:line="146" w:lineRule="exact"/>
        <w:rPr>
          <w:sz w:val="20"/>
          <w:szCs w:val="20"/>
          <w:color w:val="auto"/>
        </w:rPr>
      </w:pPr>
    </w:p>
    <w:p>
      <w:pPr>
        <w:jc w:val="both"/>
        <w:ind w:left="4" w:firstLine="145"/>
        <w:spacing w:after="0" w:line="268" w:lineRule="auto"/>
        <w:rPr>
          <w:sz w:val="20"/>
          <w:szCs w:val="20"/>
          <w:color w:val="auto"/>
        </w:rPr>
      </w:pPr>
      <w:r>
        <w:rPr>
          <w:rFonts w:ascii="Arial" w:cs="Arial" w:eastAsia="Arial" w:hAnsi="Arial"/>
          <w:sz w:val="14"/>
          <w:szCs w:val="14"/>
          <w:color w:val="auto"/>
        </w:rPr>
        <w:t>The accompanying tables and charts include earnings before interest and taxes adjusted for special items, presented net of noncontrolling interests (EBIT-adjusted), and Automotive adjusted free cash flow. These metrics are not prepared in accordance with Accounting Principles Generally Accepted in the United States of America (U.S. GAAP) and have not been audited or reviewed by GM's independent auditors. EBIT-adjusted and Automotive adjusted free cash flow are considered non-GAAP financial measures.</w:t>
      </w:r>
    </w:p>
    <w:p>
      <w:pPr>
        <w:spacing w:after="0" w:line="136" w:lineRule="exact"/>
        <w:rPr>
          <w:sz w:val="20"/>
          <w:szCs w:val="20"/>
          <w:color w:val="auto"/>
        </w:rPr>
      </w:pPr>
    </w:p>
    <w:p>
      <w:pPr>
        <w:jc w:val="both"/>
        <w:ind w:left="4" w:right="20" w:firstLine="145"/>
        <w:spacing w:after="0" w:line="289" w:lineRule="auto"/>
        <w:rPr>
          <w:sz w:val="20"/>
          <w:szCs w:val="20"/>
          <w:color w:val="auto"/>
        </w:rPr>
      </w:pPr>
      <w:r>
        <w:rPr>
          <w:rFonts w:ascii="Arial" w:cs="Arial" w:eastAsia="Arial" w:hAnsi="Arial"/>
          <w:sz w:val="13"/>
          <w:szCs w:val="13"/>
          <w:color w:val="auto"/>
        </w:rPr>
        <w:t>Management believes these non-GAAP financial measures provide meaningful supplemental information regarding GM's operating results because they exclude amounts that management does not consider part of operating results when assessing and measuring the operational and financial performance of the organization. Management believes these measures allow it to readily view operating trends, perform analytical comparisons and benchmark performance between periods and among geographic regions. Accordingly, GM believes these non-GAAP financial measures are useful in allowing for greater transparency of GM's core operations and they are therefore used by management in its financial and operational decision-making.</w:t>
      </w:r>
    </w:p>
    <w:p>
      <w:pPr>
        <w:spacing w:after="0" w:line="124" w:lineRule="exact"/>
        <w:rPr>
          <w:sz w:val="20"/>
          <w:szCs w:val="20"/>
          <w:color w:val="auto"/>
        </w:rPr>
      </w:pPr>
    </w:p>
    <w:p>
      <w:pPr>
        <w:jc w:val="both"/>
        <w:ind w:left="4" w:firstLine="145"/>
        <w:spacing w:after="0" w:line="289" w:lineRule="auto"/>
        <w:rPr>
          <w:sz w:val="20"/>
          <w:szCs w:val="20"/>
          <w:color w:val="auto"/>
        </w:rPr>
      </w:pPr>
      <w:r>
        <w:rPr>
          <w:rFonts w:ascii="Arial" w:cs="Arial" w:eastAsia="Arial" w:hAnsi="Arial"/>
          <w:sz w:val="13"/>
          <w:szCs w:val="13"/>
          <w:color w:val="auto"/>
        </w:rPr>
        <w:t>While management believes that these non-GAAP financial measures provide useful information, they are not operating measures under U.S. GAAP, and there are limitations associated with their use. GM's calculation of these non-GAAP financial measures may not be completely comparable to similarly titled measures of other companies due to potential differences between companies in their method of calculation. As a result the use of these non-GAAP financial measures has limitations and should not be considered in isolation from, or as a substitute for, other measures such as Net income or Net income attributable to stockholders. Due to these limitations, these non-GAAP financial measures are used as a supplement to U.S. GAAP measures.</w:t>
      </w:r>
    </w:p>
    <w:p>
      <w:pPr>
        <w:spacing w:after="0" w:line="136" w:lineRule="exact"/>
        <w:rPr>
          <w:sz w:val="20"/>
          <w:szCs w:val="20"/>
          <w:color w:val="auto"/>
        </w:rPr>
      </w:pPr>
    </w:p>
    <w:p>
      <w:pPr>
        <w:ind w:left="144"/>
        <w:spacing w:after="0"/>
        <w:rPr>
          <w:sz w:val="20"/>
          <w:szCs w:val="20"/>
          <w:color w:val="auto"/>
        </w:rPr>
      </w:pPr>
      <w:r>
        <w:rPr>
          <w:rFonts w:ascii="Arial" w:cs="Arial" w:eastAsia="Arial" w:hAnsi="Arial"/>
          <w:sz w:val="14"/>
          <w:szCs w:val="14"/>
          <w:color w:val="auto"/>
        </w:rPr>
        <w:t>The following table summarizes the reconciliation of EBIT-adjusted to its most comparable U.S. GAAP measure (dollars in millions):</w:t>
      </w:r>
    </w:p>
    <w:p>
      <w:pPr>
        <w:spacing w:after="0" w:line="213"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4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4"/>
          </w:tcPr>
          <w:p>
            <w:pPr>
              <w:jc w:val="right"/>
              <w:ind w:right="1228"/>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Arial" w:cs="Arial" w:eastAsia="Arial" w:hAnsi="Arial"/>
                <w:sz w:val="13"/>
                <w:szCs w:val="13"/>
                <w:b w:val="1"/>
                <w:bCs w:val="1"/>
                <w:color w:val="auto"/>
              </w:rPr>
              <w:t>December 31, 2012</w:t>
            </w:r>
          </w:p>
        </w:tc>
        <w:tc>
          <w:tcPr>
            <w:tcW w:w="20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Arial" w:cs="Arial" w:eastAsia="Arial" w:hAnsi="Arial"/>
                <w:sz w:val="13"/>
                <w:szCs w:val="13"/>
                <w:b w:val="1"/>
                <w:bCs w:val="1"/>
                <w:color w:val="auto"/>
              </w:rPr>
              <w:t>December 31, 2011</w:t>
            </w:r>
          </w:p>
        </w:tc>
        <w:tc>
          <w:tcPr>
            <w:tcW w:w="18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Arial" w:cs="Arial" w:eastAsia="Arial" w:hAnsi="Arial"/>
                <w:sz w:val="13"/>
                <w:szCs w:val="13"/>
                <w:b w:val="1"/>
                <w:bCs w:val="1"/>
                <w:color w:val="auto"/>
              </w:rPr>
              <w:t>December 31, 2012</w:t>
            </w:r>
          </w:p>
        </w:tc>
        <w:tc>
          <w:tcPr>
            <w:tcW w:w="180" w:type="dxa"/>
            <w:vAlign w:val="bottom"/>
          </w:tcPr>
          <w:p>
            <w:pPr>
              <w:spacing w:after="0"/>
              <w:rPr>
                <w:sz w:val="20"/>
                <w:szCs w:val="20"/>
                <w:color w:val="auto"/>
              </w:rPr>
            </w:pPr>
          </w:p>
        </w:tc>
        <w:tc>
          <w:tcPr>
            <w:tcW w:w="1400" w:type="dxa"/>
            <w:vAlign w:val="bottom"/>
          </w:tcPr>
          <w:p>
            <w:pPr>
              <w:jc w:val="right"/>
              <w:ind w:right="208"/>
              <w:spacing w:after="0"/>
              <w:rPr>
                <w:sz w:val="20"/>
                <w:szCs w:val="20"/>
                <w:color w:val="auto"/>
              </w:rPr>
            </w:pPr>
            <w:r>
              <w:rPr>
                <w:rFonts w:ascii="Arial" w:cs="Arial" w:eastAsia="Arial" w:hAnsi="Arial"/>
                <w:sz w:val="13"/>
                <w:szCs w:val="13"/>
                <w:b w:val="1"/>
                <w:bCs w:val="1"/>
                <w:color w:val="auto"/>
                <w:w w:val="93"/>
              </w:rPr>
              <w:t>December 31, 2011</w:t>
            </w:r>
          </w:p>
        </w:tc>
        <w:tc>
          <w:tcPr>
            <w:tcW w:w="0" w:type="dxa"/>
            <w:vAlign w:val="bottom"/>
          </w:tcPr>
          <w:p>
            <w:pPr>
              <w:spacing w:after="0"/>
              <w:rPr>
                <w:sz w:val="1"/>
                <w:szCs w:val="1"/>
                <w:color w:val="auto"/>
              </w:rPr>
            </w:pPr>
          </w:p>
        </w:tc>
      </w:tr>
      <w:tr>
        <w:trPr>
          <w:trHeight w:val="211"/>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Operating segments</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80" w:type="dxa"/>
            <w:vAlign w:val="bottom"/>
          </w:tcPr>
          <w:p>
            <w:pPr>
              <w:ind w:left="20"/>
              <w:spacing w:after="0"/>
              <w:rPr>
                <w:sz w:val="20"/>
                <w:szCs w:val="20"/>
                <w:color w:val="auto"/>
              </w:rPr>
            </w:pPr>
            <w:r>
              <w:rPr>
                <w:rFonts w:ascii="Arial" w:cs="Arial" w:eastAsia="Arial" w:hAnsi="Arial"/>
                <w:sz w:val="14"/>
                <w:szCs w:val="14"/>
                <w:color w:val="auto"/>
              </w:rPr>
              <w:t>GMNA(a)</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49"/>
              <w:spacing w:after="0"/>
              <w:rPr>
                <w:sz w:val="20"/>
                <w:szCs w:val="20"/>
                <w:color w:val="auto"/>
              </w:rPr>
            </w:pPr>
            <w:r>
              <w:rPr>
                <w:rFonts w:ascii="Arial" w:cs="Arial" w:eastAsia="Arial" w:hAnsi="Arial"/>
                <w:sz w:val="14"/>
                <w:szCs w:val="14"/>
                <w:color w:val="auto"/>
              </w:rPr>
              <w:t>1,395</w:t>
            </w:r>
          </w:p>
        </w:tc>
        <w:tc>
          <w:tcPr>
            <w:tcW w:w="12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1,497</w:t>
            </w:r>
          </w:p>
        </w:tc>
        <w:tc>
          <w:tcPr>
            <w:tcW w:w="12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9"/>
              <w:spacing w:after="0"/>
              <w:rPr>
                <w:sz w:val="20"/>
                <w:szCs w:val="20"/>
                <w:color w:val="auto"/>
              </w:rPr>
            </w:pPr>
            <w:r>
              <w:rPr>
                <w:rFonts w:ascii="Arial" w:cs="Arial" w:eastAsia="Arial" w:hAnsi="Arial"/>
                <w:sz w:val="14"/>
                <w:szCs w:val="14"/>
                <w:color w:val="auto"/>
              </w:rPr>
              <w:t>6,953</w:t>
            </w:r>
          </w:p>
        </w:tc>
        <w:tc>
          <w:tcPr>
            <w:tcW w:w="120" w:type="dxa"/>
            <w:vAlign w:val="bottom"/>
          </w:tcPr>
          <w:p>
            <w:pPr>
              <w:spacing w:after="0"/>
              <w:rPr>
                <w:sz w:val="20"/>
                <w:szCs w:val="20"/>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7,194</w:t>
            </w:r>
          </w:p>
        </w:tc>
        <w:tc>
          <w:tcPr>
            <w:tcW w:w="0" w:type="dxa"/>
            <w:vAlign w:val="bottom"/>
          </w:tcPr>
          <w:p>
            <w:pPr>
              <w:spacing w:after="0"/>
              <w:rPr>
                <w:sz w:val="1"/>
                <w:szCs w:val="1"/>
                <w:color w:val="auto"/>
              </w:rPr>
            </w:pPr>
          </w:p>
        </w:tc>
      </w:tr>
      <w:tr>
        <w:trPr>
          <w:trHeight w:val="241"/>
        </w:trPr>
        <w:tc>
          <w:tcPr>
            <w:tcW w:w="4680" w:type="dxa"/>
            <w:vAlign w:val="bottom"/>
          </w:tcPr>
          <w:p>
            <w:pPr>
              <w:ind w:left="20"/>
              <w:spacing w:after="0"/>
              <w:rPr>
                <w:sz w:val="20"/>
                <w:szCs w:val="20"/>
                <w:color w:val="auto"/>
              </w:rPr>
            </w:pPr>
            <w:r>
              <w:rPr>
                <w:rFonts w:ascii="Arial" w:cs="Arial" w:eastAsia="Arial" w:hAnsi="Arial"/>
                <w:sz w:val="14"/>
                <w:szCs w:val="14"/>
                <w:color w:val="auto"/>
              </w:rPr>
              <w:t>GME(a)</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(562)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r>
        <w:trPr>
          <w:trHeight w:val="241"/>
        </w:trPr>
        <w:tc>
          <w:tcPr>
            <w:tcW w:w="4680" w:type="dxa"/>
            <w:vAlign w:val="bottom"/>
          </w:tcPr>
          <w:p>
            <w:pPr>
              <w:ind w:left="20"/>
              <w:spacing w:after="0"/>
              <w:rPr>
                <w:sz w:val="20"/>
                <w:szCs w:val="20"/>
                <w:color w:val="auto"/>
              </w:rPr>
            </w:pPr>
            <w:r>
              <w:rPr>
                <w:rFonts w:ascii="Arial" w:cs="Arial" w:eastAsia="Arial" w:hAnsi="Arial"/>
                <w:sz w:val="14"/>
                <w:szCs w:val="14"/>
                <w:color w:val="auto"/>
              </w:rPr>
              <w:t>GMIO(a)</w:t>
            </w:r>
          </w:p>
        </w:tc>
        <w:tc>
          <w:tcPr>
            <w:tcW w:w="200" w:type="dxa"/>
            <w:vAlign w:val="bottom"/>
          </w:tcPr>
          <w:p>
            <w:pPr>
              <w:spacing w:after="0"/>
              <w:rPr>
                <w:sz w:val="20"/>
                <w:szCs w:val="20"/>
                <w:color w:val="auto"/>
              </w:rPr>
            </w:pPr>
          </w:p>
        </w:tc>
        <w:tc>
          <w:tcPr>
            <w:tcW w:w="1420" w:type="dxa"/>
            <w:vAlign w:val="bottom"/>
          </w:tcPr>
          <w:p>
            <w:pPr>
              <w:jc w:val="right"/>
              <w:ind w:right="49"/>
              <w:spacing w:after="0"/>
              <w:rPr>
                <w:sz w:val="20"/>
                <w:szCs w:val="20"/>
                <w:color w:val="auto"/>
              </w:rPr>
            </w:pPr>
            <w:r>
              <w:rPr>
                <w:rFonts w:ascii="Arial" w:cs="Arial" w:eastAsia="Arial" w:hAnsi="Arial"/>
                <w:sz w:val="14"/>
                <w:szCs w:val="14"/>
                <w:color w:val="auto"/>
              </w:rPr>
              <w:t>473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373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29"/>
              <w:spacing w:after="0"/>
              <w:rPr>
                <w:sz w:val="20"/>
                <w:szCs w:val="20"/>
                <w:color w:val="auto"/>
              </w:rPr>
            </w:pPr>
            <w:r>
              <w:rPr>
                <w:rFonts w:ascii="Arial" w:cs="Arial" w:eastAsia="Arial" w:hAnsi="Arial"/>
                <w:sz w:val="14"/>
                <w:szCs w:val="14"/>
                <w:color w:val="auto"/>
              </w:rPr>
              <w:t>2,191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1,897</w:t>
            </w:r>
          </w:p>
        </w:tc>
        <w:tc>
          <w:tcPr>
            <w:tcW w:w="0" w:type="dxa"/>
            <w:vAlign w:val="bottom"/>
          </w:tcPr>
          <w:p>
            <w:pPr>
              <w:spacing w:after="0"/>
              <w:rPr>
                <w:sz w:val="1"/>
                <w:szCs w:val="1"/>
                <w:color w:val="auto"/>
              </w:rPr>
            </w:pPr>
          </w:p>
        </w:tc>
      </w:tr>
      <w:tr>
        <w:trPr>
          <w:trHeight w:val="241"/>
        </w:trPr>
        <w:tc>
          <w:tcPr>
            <w:tcW w:w="4680" w:type="dxa"/>
            <w:vAlign w:val="bottom"/>
          </w:tcPr>
          <w:p>
            <w:pPr>
              <w:ind w:left="20"/>
              <w:spacing w:after="0"/>
              <w:rPr>
                <w:sz w:val="20"/>
                <w:szCs w:val="20"/>
                <w:color w:val="auto"/>
              </w:rPr>
            </w:pPr>
            <w:r>
              <w:rPr>
                <w:rFonts w:ascii="Arial" w:cs="Arial" w:eastAsia="Arial" w:hAnsi="Arial"/>
                <w:sz w:val="14"/>
                <w:szCs w:val="14"/>
                <w:color w:val="auto"/>
              </w:rPr>
              <w:t>GMSA(a)</w:t>
            </w:r>
          </w:p>
        </w:tc>
        <w:tc>
          <w:tcPr>
            <w:tcW w:w="200" w:type="dxa"/>
            <w:vAlign w:val="bottom"/>
          </w:tcPr>
          <w:p>
            <w:pPr>
              <w:spacing w:after="0"/>
              <w:rPr>
                <w:sz w:val="20"/>
                <w:szCs w:val="20"/>
                <w:color w:val="auto"/>
              </w:rPr>
            </w:pPr>
          </w:p>
        </w:tc>
        <w:tc>
          <w:tcPr>
            <w:tcW w:w="1420" w:type="dxa"/>
            <w:vAlign w:val="bottom"/>
          </w:tcPr>
          <w:p>
            <w:pPr>
              <w:jc w:val="right"/>
              <w:ind w:right="49"/>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29"/>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41"/>
        </w:trPr>
        <w:tc>
          <w:tcPr>
            <w:tcW w:w="4680" w:type="dxa"/>
            <w:vAlign w:val="bottom"/>
          </w:tcPr>
          <w:p>
            <w:pPr>
              <w:ind w:left="20"/>
              <w:spacing w:after="0"/>
              <w:rPr>
                <w:sz w:val="20"/>
                <w:szCs w:val="20"/>
                <w:color w:val="auto"/>
              </w:rPr>
            </w:pPr>
            <w:r>
              <w:rPr>
                <w:rFonts w:ascii="Arial" w:cs="Arial" w:eastAsia="Arial" w:hAnsi="Arial"/>
                <w:sz w:val="14"/>
                <w:szCs w:val="14"/>
                <w:color w:val="auto"/>
              </w:rPr>
              <w:t>GM Financial(b)</w:t>
            </w:r>
          </w:p>
        </w:tc>
        <w:tc>
          <w:tcPr>
            <w:tcW w:w="200" w:type="dxa"/>
            <w:vAlign w:val="bottom"/>
          </w:tcPr>
          <w:p>
            <w:pPr>
              <w:spacing w:after="0"/>
              <w:rPr>
                <w:sz w:val="20"/>
                <w:szCs w:val="20"/>
                <w:color w:val="auto"/>
              </w:rPr>
            </w:pPr>
          </w:p>
        </w:tc>
        <w:tc>
          <w:tcPr>
            <w:tcW w:w="1420" w:type="dxa"/>
            <w:vAlign w:val="bottom"/>
          </w:tcPr>
          <w:p>
            <w:pPr>
              <w:jc w:val="right"/>
              <w:ind w:right="49"/>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29"/>
              <w:spacing w:after="0"/>
              <w:rPr>
                <w:sz w:val="20"/>
                <w:szCs w:val="20"/>
                <w:color w:val="auto"/>
              </w:rPr>
            </w:pPr>
            <w:r>
              <w:rPr>
                <w:rFonts w:ascii="Arial" w:cs="Arial" w:eastAsia="Arial" w:hAnsi="Arial"/>
                <w:sz w:val="14"/>
                <w:szCs w:val="14"/>
                <w:color w:val="auto"/>
              </w:rPr>
              <w:t>744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30"/>
        </w:trPr>
        <w:tc>
          <w:tcPr>
            <w:tcW w:w="4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680" w:type="dxa"/>
            <w:vAlign w:val="bottom"/>
          </w:tcPr>
          <w:p>
            <w:pPr>
              <w:ind w:left="160"/>
              <w:spacing w:after="0"/>
              <w:rPr>
                <w:sz w:val="20"/>
                <w:szCs w:val="20"/>
                <w:color w:val="auto"/>
              </w:rPr>
            </w:pPr>
            <w:r>
              <w:rPr>
                <w:rFonts w:ascii="Arial" w:cs="Arial" w:eastAsia="Arial" w:hAnsi="Arial"/>
                <w:sz w:val="14"/>
                <w:szCs w:val="14"/>
                <w:color w:val="auto"/>
              </w:rPr>
              <w:t>Total operating segments(b)</w:t>
            </w:r>
          </w:p>
        </w:tc>
        <w:tc>
          <w:tcPr>
            <w:tcW w:w="200" w:type="dxa"/>
            <w:vAlign w:val="bottom"/>
          </w:tcPr>
          <w:p>
            <w:pPr>
              <w:spacing w:after="0"/>
              <w:rPr>
                <w:sz w:val="16"/>
                <w:szCs w:val="16"/>
                <w:color w:val="auto"/>
              </w:rPr>
            </w:pPr>
          </w:p>
        </w:tc>
        <w:tc>
          <w:tcPr>
            <w:tcW w:w="1420" w:type="dxa"/>
            <w:vAlign w:val="bottom"/>
          </w:tcPr>
          <w:p>
            <w:pPr>
              <w:jc w:val="right"/>
              <w:ind w:right="49"/>
              <w:spacing w:after="0"/>
              <w:rPr>
                <w:sz w:val="20"/>
                <w:szCs w:val="20"/>
                <w:color w:val="auto"/>
              </w:rPr>
            </w:pPr>
            <w:r>
              <w:rPr>
                <w:rFonts w:ascii="Arial" w:cs="Arial" w:eastAsia="Arial" w:hAnsi="Arial"/>
                <w:sz w:val="14"/>
                <w:szCs w:val="14"/>
                <w:color w:val="auto"/>
              </w:rPr>
              <w:t>1,414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1,253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29"/>
              <w:spacing w:after="0"/>
              <w:rPr>
                <w:sz w:val="20"/>
                <w:szCs w:val="20"/>
                <w:color w:val="auto"/>
              </w:rPr>
            </w:pPr>
            <w:r>
              <w:rPr>
                <w:rFonts w:ascii="Arial" w:cs="Arial" w:eastAsia="Arial" w:hAnsi="Arial"/>
                <w:sz w:val="14"/>
                <w:szCs w:val="14"/>
                <w:color w:val="auto"/>
              </w:rPr>
              <w:t>8,362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8,844</w:t>
            </w:r>
          </w:p>
        </w:tc>
        <w:tc>
          <w:tcPr>
            <w:tcW w:w="0" w:type="dxa"/>
            <w:vAlign w:val="bottom"/>
          </w:tcPr>
          <w:p>
            <w:pPr>
              <w:spacing w:after="0"/>
              <w:rPr>
                <w:sz w:val="1"/>
                <w:szCs w:val="1"/>
                <w:color w:val="auto"/>
              </w:rPr>
            </w:pPr>
          </w:p>
        </w:tc>
      </w:tr>
      <w:tr>
        <w:trPr>
          <w:trHeight w:val="241"/>
        </w:trPr>
        <w:tc>
          <w:tcPr>
            <w:tcW w:w="4680" w:type="dxa"/>
            <w:vAlign w:val="bottom"/>
          </w:tcPr>
          <w:p>
            <w:pPr>
              <w:ind w:left="160"/>
              <w:spacing w:after="0"/>
              <w:rPr>
                <w:sz w:val="20"/>
                <w:szCs w:val="20"/>
                <w:color w:val="auto"/>
              </w:rPr>
            </w:pPr>
            <w:r>
              <w:rPr>
                <w:rFonts w:ascii="Arial" w:cs="Arial" w:eastAsia="Arial" w:hAnsi="Arial"/>
                <w:sz w:val="14"/>
                <w:szCs w:val="14"/>
                <w:color w:val="auto"/>
              </w:rPr>
              <w:t>Corporate and eliminations</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(540)</w:t>
            </w:r>
          </w:p>
        </w:tc>
        <w:tc>
          <w:tcPr>
            <w:tcW w:w="0" w:type="dxa"/>
            <w:vAlign w:val="bottom"/>
          </w:tcPr>
          <w:p>
            <w:pPr>
              <w:spacing w:after="0"/>
              <w:rPr>
                <w:sz w:val="1"/>
                <w:szCs w:val="1"/>
                <w:color w:val="auto"/>
              </w:rPr>
            </w:pPr>
          </w:p>
        </w:tc>
      </w:tr>
      <w:tr>
        <w:trPr>
          <w:trHeight w:val="30"/>
        </w:trPr>
        <w:tc>
          <w:tcPr>
            <w:tcW w:w="4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EBIT-adjusted(b)</w:t>
            </w:r>
          </w:p>
        </w:tc>
        <w:tc>
          <w:tcPr>
            <w:tcW w:w="200" w:type="dxa"/>
            <w:vAlign w:val="bottom"/>
          </w:tcPr>
          <w:p>
            <w:pPr>
              <w:spacing w:after="0"/>
              <w:rPr>
                <w:sz w:val="16"/>
                <w:szCs w:val="16"/>
                <w:color w:val="auto"/>
              </w:rPr>
            </w:pPr>
          </w:p>
        </w:tc>
        <w:tc>
          <w:tcPr>
            <w:tcW w:w="1420" w:type="dxa"/>
            <w:vAlign w:val="bottom"/>
          </w:tcPr>
          <w:p>
            <w:pPr>
              <w:jc w:val="right"/>
              <w:ind w:right="49"/>
              <w:spacing w:after="0"/>
              <w:rPr>
                <w:sz w:val="20"/>
                <w:szCs w:val="20"/>
                <w:color w:val="auto"/>
              </w:rPr>
            </w:pPr>
            <w:r>
              <w:rPr>
                <w:rFonts w:ascii="Arial" w:cs="Arial" w:eastAsia="Arial" w:hAnsi="Arial"/>
                <w:sz w:val="14"/>
                <w:szCs w:val="14"/>
                <w:b w:val="1"/>
                <w:bCs w:val="1"/>
                <w:color w:val="auto"/>
              </w:rPr>
              <w:t>1,248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b w:val="1"/>
                <w:bCs w:val="1"/>
                <w:color w:val="auto"/>
              </w:rPr>
              <w:t>1,097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29"/>
              <w:spacing w:after="0"/>
              <w:rPr>
                <w:sz w:val="20"/>
                <w:szCs w:val="20"/>
                <w:color w:val="auto"/>
              </w:rPr>
            </w:pPr>
            <w:r>
              <w:rPr>
                <w:rFonts w:ascii="Arial" w:cs="Arial" w:eastAsia="Arial" w:hAnsi="Arial"/>
                <w:sz w:val="14"/>
                <w:szCs w:val="14"/>
                <w:b w:val="1"/>
                <w:bCs w:val="1"/>
                <w:color w:val="auto"/>
              </w:rPr>
              <w:t>7,859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auto"/>
              </w:rPr>
              <w:t>8,304</w:t>
            </w:r>
          </w:p>
        </w:tc>
        <w:tc>
          <w:tcPr>
            <w:tcW w:w="0" w:type="dxa"/>
            <w:vAlign w:val="bottom"/>
          </w:tcPr>
          <w:p>
            <w:pPr>
              <w:spacing w:after="0"/>
              <w:rPr>
                <w:sz w:val="1"/>
                <w:szCs w:val="1"/>
                <w:color w:val="auto"/>
              </w:rPr>
            </w:pPr>
          </w:p>
        </w:tc>
      </w:tr>
      <w:tr>
        <w:trPr>
          <w:trHeight w:val="241"/>
        </w:trPr>
        <w:tc>
          <w:tcPr>
            <w:tcW w:w="4680" w:type="dxa"/>
            <w:vAlign w:val="bottom"/>
          </w:tcPr>
          <w:p>
            <w:pPr>
              <w:ind w:left="20"/>
              <w:spacing w:after="0"/>
              <w:rPr>
                <w:sz w:val="20"/>
                <w:szCs w:val="20"/>
                <w:color w:val="auto"/>
              </w:rPr>
            </w:pPr>
            <w:r>
              <w:rPr>
                <w:rFonts w:ascii="Arial" w:cs="Arial" w:eastAsia="Arial" w:hAnsi="Arial"/>
                <w:sz w:val="14"/>
                <w:szCs w:val="14"/>
                <w:color w:val="auto"/>
              </w:rPr>
              <w:t>Adjustments</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(35,418)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(622)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(36,106)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861</w:t>
            </w:r>
          </w:p>
        </w:tc>
        <w:tc>
          <w:tcPr>
            <w:tcW w:w="0" w:type="dxa"/>
            <w:vAlign w:val="bottom"/>
          </w:tcPr>
          <w:p>
            <w:pPr>
              <w:spacing w:after="0"/>
              <w:rPr>
                <w:sz w:val="1"/>
                <w:szCs w:val="1"/>
                <w:color w:val="auto"/>
              </w:rPr>
            </w:pPr>
          </w:p>
        </w:tc>
      </w:tr>
      <w:tr>
        <w:trPr>
          <w:trHeight w:val="241"/>
        </w:trPr>
        <w:tc>
          <w:tcPr>
            <w:tcW w:w="4680" w:type="dxa"/>
            <w:vAlign w:val="bottom"/>
          </w:tcPr>
          <w:p>
            <w:pPr>
              <w:ind w:left="20"/>
              <w:spacing w:after="0"/>
              <w:rPr>
                <w:sz w:val="20"/>
                <w:szCs w:val="20"/>
                <w:color w:val="auto"/>
              </w:rPr>
            </w:pPr>
            <w:r>
              <w:rPr>
                <w:rFonts w:ascii="Arial" w:cs="Arial" w:eastAsia="Arial" w:hAnsi="Arial"/>
                <w:sz w:val="14"/>
                <w:szCs w:val="14"/>
                <w:color w:val="auto"/>
              </w:rPr>
              <w:t>Corporate interest income</w:t>
            </w:r>
          </w:p>
        </w:tc>
        <w:tc>
          <w:tcPr>
            <w:tcW w:w="200" w:type="dxa"/>
            <w:vAlign w:val="bottom"/>
          </w:tcPr>
          <w:p>
            <w:pPr>
              <w:spacing w:after="0"/>
              <w:rPr>
                <w:sz w:val="20"/>
                <w:szCs w:val="20"/>
                <w:color w:val="auto"/>
              </w:rPr>
            </w:pPr>
          </w:p>
        </w:tc>
        <w:tc>
          <w:tcPr>
            <w:tcW w:w="1420" w:type="dxa"/>
            <w:vAlign w:val="bottom"/>
          </w:tcPr>
          <w:p>
            <w:pPr>
              <w:jc w:val="right"/>
              <w:ind w:right="49"/>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29"/>
              <w:spacing w:after="0"/>
              <w:rPr>
                <w:sz w:val="20"/>
                <w:szCs w:val="20"/>
                <w:color w:val="auto"/>
              </w:rPr>
            </w:pPr>
            <w:r>
              <w:rPr>
                <w:rFonts w:ascii="Arial" w:cs="Arial" w:eastAsia="Arial" w:hAnsi="Arial"/>
                <w:sz w:val="14"/>
                <w:szCs w:val="14"/>
                <w:color w:val="auto"/>
              </w:rPr>
              <w:t>343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241"/>
        </w:trPr>
        <w:tc>
          <w:tcPr>
            <w:tcW w:w="4680" w:type="dxa"/>
            <w:vAlign w:val="bottom"/>
          </w:tcPr>
          <w:p>
            <w:pPr>
              <w:ind w:left="20"/>
              <w:spacing w:after="0"/>
              <w:rPr>
                <w:sz w:val="20"/>
                <w:szCs w:val="20"/>
                <w:color w:val="auto"/>
              </w:rPr>
            </w:pPr>
            <w:r>
              <w:rPr>
                <w:rFonts w:ascii="Arial" w:cs="Arial" w:eastAsia="Arial" w:hAnsi="Arial"/>
                <w:sz w:val="14"/>
                <w:szCs w:val="14"/>
                <w:color w:val="auto"/>
              </w:rPr>
              <w:t>Automotive interest expense</w:t>
            </w:r>
          </w:p>
        </w:tc>
        <w:tc>
          <w:tcPr>
            <w:tcW w:w="200" w:type="dxa"/>
            <w:vAlign w:val="bottom"/>
          </w:tcPr>
          <w:p>
            <w:pPr>
              <w:spacing w:after="0"/>
              <w:rPr>
                <w:sz w:val="20"/>
                <w:szCs w:val="20"/>
                <w:color w:val="auto"/>
              </w:rPr>
            </w:pPr>
          </w:p>
        </w:tc>
        <w:tc>
          <w:tcPr>
            <w:tcW w:w="1420" w:type="dxa"/>
            <w:vAlign w:val="bottom"/>
          </w:tcPr>
          <w:p>
            <w:pPr>
              <w:jc w:val="right"/>
              <w:ind w:right="49"/>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29"/>
              <w:spacing w:after="0"/>
              <w:rPr>
                <w:sz w:val="20"/>
                <w:szCs w:val="20"/>
                <w:color w:val="auto"/>
              </w:rPr>
            </w:pPr>
            <w:r>
              <w:rPr>
                <w:rFonts w:ascii="Arial" w:cs="Arial" w:eastAsia="Arial" w:hAnsi="Arial"/>
                <w:sz w:val="14"/>
                <w:szCs w:val="14"/>
                <w:color w:val="auto"/>
              </w:rPr>
              <w:t>489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540</w:t>
            </w:r>
          </w:p>
        </w:tc>
        <w:tc>
          <w:tcPr>
            <w:tcW w:w="0" w:type="dxa"/>
            <w:vAlign w:val="bottom"/>
          </w:tcPr>
          <w:p>
            <w:pPr>
              <w:spacing w:after="0"/>
              <w:rPr>
                <w:sz w:val="1"/>
                <w:szCs w:val="1"/>
                <w:color w:val="auto"/>
              </w:rPr>
            </w:pPr>
          </w:p>
        </w:tc>
      </w:tr>
      <w:tr>
        <w:trPr>
          <w:trHeight w:val="241"/>
        </w:trPr>
        <w:tc>
          <w:tcPr>
            <w:tcW w:w="468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200" w:type="dxa"/>
            <w:vAlign w:val="bottom"/>
          </w:tcPr>
          <w:p>
            <w:pPr>
              <w:spacing w:after="0"/>
              <w:rPr>
                <w:sz w:val="20"/>
                <w:szCs w:val="20"/>
                <w:color w:val="auto"/>
              </w:rPr>
            </w:pPr>
          </w:p>
        </w:tc>
        <w:tc>
          <w:tcPr>
            <w:tcW w:w="1420" w:type="dxa"/>
            <w:vAlign w:val="bottom"/>
          </w:tcPr>
          <w:p>
            <w:pPr>
              <w:jc w:val="right"/>
              <w:ind w:right="49"/>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1400" w:type="dxa"/>
            <w:vAlign w:val="bottom"/>
          </w:tcPr>
          <w:p>
            <w:pPr>
              <w:jc w:val="right"/>
              <w:ind w:right="29"/>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1"/>
        </w:trPr>
        <w:tc>
          <w:tcPr>
            <w:tcW w:w="4680" w:type="dxa"/>
            <w:vAlign w:val="bottom"/>
          </w:tcPr>
          <w:p>
            <w:pPr>
              <w:ind w:left="20"/>
              <w:spacing w:after="0"/>
              <w:rPr>
                <w:sz w:val="20"/>
                <w:szCs w:val="20"/>
                <w:color w:val="auto"/>
              </w:rPr>
            </w:pPr>
            <w:r>
              <w:rPr>
                <w:rFonts w:ascii="Arial" w:cs="Arial" w:eastAsia="Arial" w:hAnsi="Arial"/>
                <w:sz w:val="14"/>
                <w:szCs w:val="14"/>
                <w:color w:val="auto"/>
              </w:rPr>
              <w:t>Income tax expense (benefit)</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(35,645)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(34,831)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30"/>
        </w:trPr>
        <w:tc>
          <w:tcPr>
            <w:tcW w:w="4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stockholders</w:t>
            </w:r>
          </w:p>
        </w:tc>
        <w:tc>
          <w:tcPr>
            <w:tcW w:w="200" w:type="dxa"/>
            <w:vAlign w:val="bottom"/>
          </w:tcPr>
          <w:p>
            <w:pPr>
              <w:spacing w:after="0"/>
              <w:rPr>
                <w:sz w:val="16"/>
                <w:szCs w:val="16"/>
                <w:color w:val="auto"/>
              </w:rPr>
            </w:pPr>
          </w:p>
        </w:tc>
        <w:tc>
          <w:tcPr>
            <w:tcW w:w="1420" w:type="dxa"/>
            <w:vAlign w:val="bottom"/>
          </w:tcPr>
          <w:p>
            <w:pPr>
              <w:jc w:val="right"/>
              <w:ind w:right="49"/>
              <w:spacing w:after="0"/>
              <w:rPr>
                <w:sz w:val="20"/>
                <w:szCs w:val="20"/>
                <w:color w:val="auto"/>
              </w:rPr>
            </w:pPr>
            <w:r>
              <w:rPr>
                <w:rFonts w:ascii="Arial" w:cs="Arial" w:eastAsia="Arial" w:hAnsi="Arial"/>
                <w:sz w:val="14"/>
                <w:szCs w:val="14"/>
                <w:b w:val="1"/>
                <w:bCs w:val="1"/>
                <w:color w:val="auto"/>
              </w:rPr>
              <w:t>1,194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b w:val="1"/>
                <w:bCs w:val="1"/>
                <w:color w:val="auto"/>
              </w:rPr>
              <w:t>725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29"/>
              <w:spacing w:after="0"/>
              <w:rPr>
                <w:sz w:val="20"/>
                <w:szCs w:val="20"/>
                <w:color w:val="auto"/>
              </w:rPr>
            </w:pPr>
            <w:r>
              <w:rPr>
                <w:rFonts w:ascii="Arial" w:cs="Arial" w:eastAsia="Arial" w:hAnsi="Arial"/>
                <w:sz w:val="14"/>
                <w:szCs w:val="14"/>
                <w:b w:val="1"/>
                <w:bCs w:val="1"/>
                <w:color w:val="auto"/>
              </w:rPr>
              <w:t>6,188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auto"/>
              </w:rPr>
              <w:t>9,190</w:t>
            </w:r>
          </w:p>
        </w:tc>
        <w:tc>
          <w:tcPr>
            <w:tcW w:w="0" w:type="dxa"/>
            <w:vAlign w:val="bottom"/>
          </w:tcPr>
          <w:p>
            <w:pPr>
              <w:spacing w:after="0"/>
              <w:rPr>
                <w:sz w:val="1"/>
                <w:szCs w:val="1"/>
                <w:color w:val="auto"/>
              </w:rPr>
            </w:pPr>
          </w:p>
        </w:tc>
      </w:tr>
      <w:tr>
        <w:trPr>
          <w:trHeight w:val="227"/>
        </w:trPr>
        <w:tc>
          <w:tcPr>
            <w:tcW w:w="4680" w:type="dxa"/>
            <w:vAlign w:val="bottom"/>
          </w:tcPr>
          <w:p>
            <w:pPr>
              <w:ind w:left="20"/>
              <w:spacing w:after="0"/>
              <w:rPr>
                <w:sz w:val="20"/>
                <w:szCs w:val="20"/>
                <w:color w:val="auto"/>
              </w:rPr>
            </w:pPr>
            <w:r>
              <w:rPr>
                <w:rFonts w:ascii="Arial" w:cs="Arial" w:eastAsia="Arial" w:hAnsi="Arial"/>
                <w:sz w:val="14"/>
                <w:szCs w:val="14"/>
                <w:color w:val="auto"/>
                <w:w w:val="95"/>
              </w:rPr>
              <w:t>Less: cumulative dividends on and undistributed earnings allocated to Series B</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680" w:type="dxa"/>
            <w:vAlign w:val="bottom"/>
          </w:tcPr>
          <w:p>
            <w:pPr>
              <w:ind w:left="160"/>
              <w:spacing w:after="0"/>
              <w:rPr>
                <w:sz w:val="20"/>
                <w:szCs w:val="20"/>
                <w:color w:val="auto"/>
              </w:rPr>
            </w:pPr>
            <w:r>
              <w:rPr>
                <w:rFonts w:ascii="Arial" w:cs="Arial" w:eastAsia="Arial" w:hAnsi="Arial"/>
                <w:sz w:val="14"/>
                <w:szCs w:val="14"/>
                <w:color w:val="auto"/>
              </w:rPr>
              <w:t>Preferred Stock participating security</w:t>
            </w:r>
          </w:p>
        </w:tc>
        <w:tc>
          <w:tcPr>
            <w:tcW w:w="200" w:type="dxa"/>
            <w:vAlign w:val="bottom"/>
          </w:tcPr>
          <w:p>
            <w:pPr>
              <w:spacing w:after="0"/>
              <w:rPr>
                <w:sz w:val="15"/>
                <w:szCs w:val="15"/>
                <w:color w:val="auto"/>
              </w:rPr>
            </w:pPr>
          </w:p>
        </w:tc>
        <w:tc>
          <w:tcPr>
            <w:tcW w:w="1420" w:type="dxa"/>
            <w:vAlign w:val="bottom"/>
          </w:tcPr>
          <w:p>
            <w:pPr>
              <w:jc w:val="right"/>
              <w:ind w:right="49"/>
              <w:spacing w:after="0"/>
              <w:rPr>
                <w:sz w:val="20"/>
                <w:szCs w:val="20"/>
                <w:color w:val="auto"/>
              </w:rPr>
            </w:pPr>
            <w:r>
              <w:rPr>
                <w:rFonts w:ascii="Arial" w:cs="Arial" w:eastAsia="Arial" w:hAnsi="Arial"/>
                <w:sz w:val="14"/>
                <w:szCs w:val="14"/>
                <w:color w:val="auto"/>
              </w:rPr>
              <w:t>302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ind w:right="29"/>
              <w:spacing w:after="0"/>
              <w:rPr>
                <w:sz w:val="20"/>
                <w:szCs w:val="20"/>
                <w:color w:val="auto"/>
              </w:rPr>
            </w:pPr>
            <w:r>
              <w:rPr>
                <w:rFonts w:ascii="Arial" w:cs="Arial" w:eastAsia="Arial" w:hAnsi="Arial"/>
                <w:sz w:val="14"/>
                <w:szCs w:val="14"/>
                <w:color w:val="auto"/>
              </w:rPr>
              <w:t>1,329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1,605</w:t>
            </w:r>
          </w:p>
        </w:tc>
        <w:tc>
          <w:tcPr>
            <w:tcW w:w="0" w:type="dxa"/>
            <w:vAlign w:val="bottom"/>
          </w:tcPr>
          <w:p>
            <w:pPr>
              <w:spacing w:after="0"/>
              <w:rPr>
                <w:sz w:val="1"/>
                <w:szCs w:val="1"/>
                <w:color w:val="auto"/>
              </w:rPr>
            </w:pPr>
          </w:p>
        </w:tc>
      </w:tr>
      <w:tr>
        <w:trPr>
          <w:trHeight w:val="30"/>
        </w:trPr>
        <w:tc>
          <w:tcPr>
            <w:tcW w:w="4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common stockholders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892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472</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4,859</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7,585</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6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284" w:right="20" w:hanging="284"/>
        <w:spacing w:after="0" w:line="251" w:lineRule="auto"/>
        <w:tabs>
          <w:tab w:leader="none" w:pos="284" w:val="left"/>
        </w:tabs>
        <w:numPr>
          <w:ilvl w:val="0"/>
          <w:numId w:val="4"/>
        </w:numPr>
        <w:rPr>
          <w:rFonts w:ascii="Arial" w:cs="Arial" w:eastAsia="Arial" w:hAnsi="Arial"/>
          <w:sz w:val="14"/>
          <w:szCs w:val="14"/>
          <w:color w:val="auto"/>
        </w:rPr>
      </w:pPr>
      <w:r>
        <w:rPr>
          <w:rFonts w:ascii="Arial" w:cs="Arial" w:eastAsia="Arial" w:hAnsi="Arial"/>
          <w:sz w:val="14"/>
          <w:szCs w:val="14"/>
          <w:color w:val="auto"/>
        </w:rPr>
        <w:t>GM's automotive operations interest and income taxes are recorded centrally in Corporate; therefore, there are no reconciling items for GM's automotive operating segments between EBIT-adjusted and Net income attributable to stockholders.</w:t>
      </w:r>
    </w:p>
    <w:p>
      <w:pPr>
        <w:ind w:left="284" w:hanging="284"/>
        <w:spacing w:after="0"/>
        <w:tabs>
          <w:tab w:leader="none" w:pos="284" w:val="left"/>
        </w:tabs>
        <w:numPr>
          <w:ilvl w:val="0"/>
          <w:numId w:val="4"/>
        </w:numPr>
        <w:rPr>
          <w:rFonts w:ascii="Arial" w:cs="Arial" w:eastAsia="Arial" w:hAnsi="Arial"/>
          <w:sz w:val="14"/>
          <w:szCs w:val="14"/>
          <w:color w:val="auto"/>
        </w:rPr>
      </w:pPr>
      <w:r>
        <w:rPr>
          <w:rFonts w:ascii="Arial" w:cs="Arial" w:eastAsia="Arial" w:hAnsi="Arial"/>
          <w:sz w:val="14"/>
          <w:szCs w:val="14"/>
          <w:color w:val="auto"/>
        </w:rPr>
        <w:t>GM Financial amounts represent income before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44"/>
          </w:cols>
          <w:pgMar w:left="236" w:top="533" w:right="219" w:bottom="1440" w:gutter="0" w:footer="0" w:header="0"/>
        </w:sectPr>
      </w:pPr>
    </w:p>
    <w:bookmarkStart w:id="8" w:name="page9"/>
    <w:bookmarkEnd w:id="8"/>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Unaudited)</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impact of special items to net income to common stockholders (in millions):</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8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jc w:val="right"/>
              <w:ind w:right="1228"/>
              <w:spacing w:after="0"/>
              <w:rPr>
                <w:sz w:val="20"/>
                <w:szCs w:val="20"/>
                <w:color w:val="auto"/>
              </w:rPr>
            </w:pPr>
            <w:r>
              <w:rPr>
                <w:rFonts w:ascii="Arial" w:cs="Arial" w:eastAsia="Arial" w:hAnsi="Arial"/>
                <w:sz w:val="13"/>
                <w:szCs w:val="13"/>
                <w:b w:val="1"/>
                <w:bCs w:val="1"/>
                <w:color w:val="auto"/>
              </w:rPr>
              <w:t>Years Ended</w:t>
            </w:r>
          </w:p>
        </w:tc>
        <w:tc>
          <w:tcPr>
            <w:tcW w:w="0" w:type="dxa"/>
            <w:vAlign w:val="bottom"/>
          </w:tcPr>
          <w:p>
            <w:pPr>
              <w:spacing w:after="0"/>
              <w:rPr>
                <w:sz w:val="1"/>
                <w:szCs w:val="1"/>
                <w:color w:val="auto"/>
              </w:rPr>
            </w:pPr>
          </w:p>
        </w:tc>
      </w:tr>
      <w:tr>
        <w:trPr>
          <w:trHeight w:val="233"/>
        </w:trPr>
        <w:tc>
          <w:tcPr>
            <w:tcW w:w="8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ind w:left="180"/>
              <w:spacing w:after="0"/>
              <w:rPr>
                <w:sz w:val="20"/>
                <w:szCs w:val="20"/>
                <w:color w:val="auto"/>
              </w:rPr>
            </w:pPr>
            <w:r>
              <w:rPr>
                <w:rFonts w:ascii="Arial" w:cs="Arial" w:eastAsia="Arial" w:hAnsi="Arial"/>
                <w:sz w:val="13"/>
                <w:szCs w:val="13"/>
                <w:b w:val="1"/>
                <w:bCs w:val="1"/>
                <w:color w:val="auto"/>
              </w:rPr>
              <w:t>December 31, 2012</w:t>
            </w:r>
          </w:p>
        </w:tc>
        <w:tc>
          <w:tcPr>
            <w:tcW w:w="180" w:type="dxa"/>
            <w:vAlign w:val="bottom"/>
          </w:tcPr>
          <w:p>
            <w:pPr>
              <w:spacing w:after="0"/>
              <w:rPr>
                <w:sz w:val="20"/>
                <w:szCs w:val="20"/>
                <w:color w:val="auto"/>
              </w:rPr>
            </w:pPr>
          </w:p>
        </w:tc>
        <w:tc>
          <w:tcPr>
            <w:tcW w:w="1400" w:type="dxa"/>
            <w:vAlign w:val="bottom"/>
          </w:tcPr>
          <w:p>
            <w:pPr>
              <w:jc w:val="right"/>
              <w:ind w:right="208"/>
              <w:spacing w:after="0"/>
              <w:rPr>
                <w:sz w:val="20"/>
                <w:szCs w:val="20"/>
                <w:color w:val="auto"/>
              </w:rPr>
            </w:pPr>
            <w:r>
              <w:rPr>
                <w:rFonts w:ascii="Arial" w:cs="Arial" w:eastAsia="Arial" w:hAnsi="Arial"/>
                <w:sz w:val="13"/>
                <w:szCs w:val="13"/>
                <w:b w:val="1"/>
                <w:bCs w:val="1"/>
                <w:color w:val="auto"/>
                <w:w w:val="93"/>
              </w:rPr>
              <w:t>December 31, 2011</w:t>
            </w:r>
          </w:p>
        </w:tc>
        <w:tc>
          <w:tcPr>
            <w:tcW w:w="0" w:type="dxa"/>
            <w:vAlign w:val="bottom"/>
          </w:tcPr>
          <w:p>
            <w:pPr>
              <w:spacing w:after="0"/>
              <w:rPr>
                <w:sz w:val="1"/>
                <w:szCs w:val="1"/>
                <w:color w:val="auto"/>
              </w:rPr>
            </w:pPr>
          </w:p>
        </w:tc>
      </w:tr>
      <w:tr>
        <w:trPr>
          <w:trHeight w:val="218"/>
        </w:trPr>
        <w:tc>
          <w:tcPr>
            <w:tcW w:w="8100" w:type="dxa"/>
            <w:vAlign w:val="bottom"/>
          </w:tcPr>
          <w:p>
            <w:pPr>
              <w:spacing w:after="0"/>
              <w:rPr>
                <w:sz w:val="20"/>
                <w:szCs w:val="20"/>
                <w:color w:val="auto"/>
              </w:rPr>
            </w:pPr>
            <w:r>
              <w:rPr>
                <w:rFonts w:ascii="Arial" w:cs="Arial" w:eastAsia="Arial" w:hAnsi="Arial"/>
                <w:sz w:val="14"/>
                <w:szCs w:val="14"/>
                <w:b w:val="1"/>
                <w:bCs w:val="1"/>
                <w:color w:val="auto"/>
              </w:rPr>
              <w:t>Net income attributable to common stockholders</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4,859</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7,585</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4"/>
                <w:szCs w:val="14"/>
                <w:b w:val="1"/>
                <w:bCs w:val="1"/>
                <w:color w:val="auto"/>
              </w:rPr>
              <w:t>Included in Above:</w:t>
            </w: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81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100" w:type="dxa"/>
            <w:vAlign w:val="bottom"/>
          </w:tcPr>
          <w:p>
            <w:pPr>
              <w:spacing w:after="0"/>
              <w:rPr>
                <w:sz w:val="20"/>
                <w:szCs w:val="20"/>
                <w:color w:val="auto"/>
              </w:rPr>
            </w:pPr>
            <w:r>
              <w:rPr>
                <w:rFonts w:ascii="Arial" w:cs="Arial" w:eastAsia="Arial" w:hAnsi="Arial"/>
                <w:sz w:val="14"/>
                <w:szCs w:val="14"/>
                <w:color w:val="auto"/>
              </w:rPr>
              <w:t>Gain on sale of our New Delphi Class A Membership Interests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1,645</w:t>
            </w:r>
          </w:p>
        </w:tc>
        <w:tc>
          <w:tcPr>
            <w:tcW w:w="0" w:type="dxa"/>
            <w:vAlign w:val="bottom"/>
          </w:tcPr>
          <w:p>
            <w:pPr>
              <w:spacing w:after="0"/>
              <w:rPr>
                <w:sz w:val="1"/>
                <w:szCs w:val="1"/>
                <w:color w:val="auto"/>
              </w:rPr>
            </w:pPr>
          </w:p>
        </w:tc>
      </w:tr>
      <w:tr>
        <w:trPr>
          <w:trHeight w:val="241"/>
        </w:trPr>
        <w:tc>
          <w:tcPr>
            <w:tcW w:w="8100" w:type="dxa"/>
            <w:vAlign w:val="bottom"/>
          </w:tcPr>
          <w:p>
            <w:pPr>
              <w:spacing w:after="0"/>
              <w:rPr>
                <w:sz w:val="20"/>
                <w:szCs w:val="20"/>
                <w:color w:val="auto"/>
              </w:rPr>
            </w:pPr>
            <w:r>
              <w:rPr>
                <w:rFonts w:ascii="Arial" w:cs="Arial" w:eastAsia="Arial" w:hAnsi="Arial"/>
                <w:sz w:val="14"/>
                <w:szCs w:val="14"/>
                <w:color w:val="auto"/>
              </w:rPr>
              <w:t>Gain related to Canadian Health Care Trust (HCT) settlement</w:t>
            </w:r>
          </w:p>
        </w:tc>
        <w:tc>
          <w:tcPr>
            <w:tcW w:w="28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749</w:t>
            </w:r>
          </w:p>
        </w:tc>
        <w:tc>
          <w:tcPr>
            <w:tcW w:w="0" w:type="dxa"/>
            <w:vAlign w:val="bottom"/>
          </w:tcPr>
          <w:p>
            <w:pPr>
              <w:spacing w:after="0"/>
              <w:rPr>
                <w:sz w:val="1"/>
                <w:szCs w:val="1"/>
                <w:color w:val="auto"/>
              </w:rPr>
            </w:pPr>
          </w:p>
        </w:tc>
      </w:tr>
      <w:tr>
        <w:trPr>
          <w:trHeight w:val="241"/>
        </w:trPr>
        <w:tc>
          <w:tcPr>
            <w:tcW w:w="8100" w:type="dxa"/>
            <w:vAlign w:val="bottom"/>
          </w:tcPr>
          <w:p>
            <w:pPr>
              <w:spacing w:after="0"/>
              <w:rPr>
                <w:sz w:val="20"/>
                <w:szCs w:val="20"/>
                <w:color w:val="auto"/>
              </w:rPr>
            </w:pPr>
            <w:r>
              <w:rPr>
                <w:rFonts w:ascii="Arial" w:cs="Arial" w:eastAsia="Arial" w:hAnsi="Arial"/>
                <w:sz w:val="14"/>
                <w:szCs w:val="14"/>
                <w:color w:val="auto"/>
              </w:rPr>
              <w:t>Impairment related to Ally Financial common stock</w:t>
            </w:r>
          </w:p>
        </w:tc>
        <w:tc>
          <w:tcPr>
            <w:tcW w:w="28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241"/>
        </w:trPr>
        <w:tc>
          <w:tcPr>
            <w:tcW w:w="8100" w:type="dxa"/>
            <w:vAlign w:val="bottom"/>
          </w:tcPr>
          <w:p>
            <w:pPr>
              <w:spacing w:after="0"/>
              <w:rPr>
                <w:sz w:val="20"/>
                <w:szCs w:val="20"/>
                <w:color w:val="auto"/>
              </w:rPr>
            </w:pPr>
            <w:r>
              <w:rPr>
                <w:rFonts w:ascii="Arial" w:cs="Arial" w:eastAsia="Arial" w:hAnsi="Arial"/>
                <w:sz w:val="14"/>
                <w:szCs w:val="14"/>
                <w:color w:val="auto"/>
              </w:rPr>
              <w:t>Gain on sale of Ally Financial preferred stock</w:t>
            </w:r>
          </w:p>
        </w:tc>
        <w:tc>
          <w:tcPr>
            <w:tcW w:w="28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241"/>
        </w:trPr>
        <w:tc>
          <w:tcPr>
            <w:tcW w:w="8100" w:type="dxa"/>
            <w:vAlign w:val="bottom"/>
          </w:tcPr>
          <w:p>
            <w:pPr>
              <w:spacing w:after="0"/>
              <w:rPr>
                <w:sz w:val="20"/>
                <w:szCs w:val="20"/>
                <w:color w:val="auto"/>
              </w:rPr>
            </w:pPr>
            <w:r>
              <w:rPr>
                <w:rFonts w:ascii="Arial" w:cs="Arial" w:eastAsia="Arial" w:hAnsi="Arial"/>
                <w:sz w:val="14"/>
                <w:szCs w:val="14"/>
                <w:color w:val="auto"/>
              </w:rPr>
              <w:t>Charges related to HKJV</w:t>
            </w:r>
          </w:p>
        </w:tc>
        <w:tc>
          <w:tcPr>
            <w:tcW w:w="28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41"/>
        </w:trPr>
        <w:tc>
          <w:tcPr>
            <w:tcW w:w="8100" w:type="dxa"/>
            <w:vAlign w:val="bottom"/>
          </w:tcPr>
          <w:p>
            <w:pPr>
              <w:spacing w:after="0"/>
              <w:rPr>
                <w:sz w:val="20"/>
                <w:szCs w:val="20"/>
                <w:color w:val="auto"/>
              </w:rPr>
            </w:pPr>
            <w:r>
              <w:rPr>
                <w:rFonts w:ascii="Arial" w:cs="Arial" w:eastAsia="Arial" w:hAnsi="Arial"/>
                <w:sz w:val="14"/>
                <w:szCs w:val="14"/>
                <w:color w:val="auto"/>
              </w:rPr>
              <w:t>Gain on extinguishment of debt</w:t>
            </w:r>
          </w:p>
        </w:tc>
        <w:tc>
          <w:tcPr>
            <w:tcW w:w="28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41"/>
        </w:trPr>
        <w:tc>
          <w:tcPr>
            <w:tcW w:w="8100" w:type="dxa"/>
            <w:vAlign w:val="bottom"/>
          </w:tcPr>
          <w:p>
            <w:pPr>
              <w:spacing w:after="0"/>
              <w:rPr>
                <w:sz w:val="20"/>
                <w:szCs w:val="20"/>
                <w:color w:val="auto"/>
              </w:rPr>
            </w:pPr>
            <w:r>
              <w:rPr>
                <w:rFonts w:ascii="Arial" w:cs="Arial" w:eastAsia="Arial" w:hAnsi="Arial"/>
                <w:sz w:val="14"/>
                <w:szCs w:val="14"/>
                <w:color w:val="auto"/>
              </w:rPr>
              <w:t>Deferred tax valuation allowance release</w:t>
            </w:r>
          </w:p>
        </w:tc>
        <w:tc>
          <w:tcPr>
            <w:tcW w:w="280" w:type="dxa"/>
            <w:vAlign w:val="bottom"/>
          </w:tcPr>
          <w:p>
            <w:pPr>
              <w:spacing w:after="0"/>
              <w:rPr>
                <w:sz w:val="20"/>
                <w:szCs w:val="20"/>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34,936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241"/>
        </w:trPr>
        <w:tc>
          <w:tcPr>
            <w:tcW w:w="8100" w:type="dxa"/>
            <w:vAlign w:val="bottom"/>
          </w:tcPr>
          <w:p>
            <w:pPr>
              <w:spacing w:after="0"/>
              <w:rPr>
                <w:sz w:val="20"/>
                <w:szCs w:val="20"/>
                <w:color w:val="auto"/>
              </w:rPr>
            </w:pPr>
            <w:r>
              <w:rPr>
                <w:rFonts w:ascii="Arial" w:cs="Arial" w:eastAsia="Arial" w:hAnsi="Arial"/>
                <w:sz w:val="14"/>
                <w:szCs w:val="14"/>
                <w:color w:val="auto"/>
              </w:rPr>
              <w:t>Goodwill impairment charges</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(26,899)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(1,274)</w:t>
            </w:r>
          </w:p>
        </w:tc>
        <w:tc>
          <w:tcPr>
            <w:tcW w:w="0" w:type="dxa"/>
            <w:vAlign w:val="bottom"/>
          </w:tcPr>
          <w:p>
            <w:pPr>
              <w:spacing w:after="0"/>
              <w:rPr>
                <w:sz w:val="1"/>
                <w:szCs w:val="1"/>
                <w:color w:val="auto"/>
              </w:rPr>
            </w:pPr>
          </w:p>
        </w:tc>
      </w:tr>
      <w:tr>
        <w:trPr>
          <w:trHeight w:val="241"/>
        </w:trPr>
        <w:tc>
          <w:tcPr>
            <w:tcW w:w="8100" w:type="dxa"/>
            <w:vAlign w:val="bottom"/>
          </w:tcPr>
          <w:p>
            <w:pPr>
              <w:spacing w:after="0"/>
              <w:rPr>
                <w:sz w:val="20"/>
                <w:szCs w:val="20"/>
                <w:color w:val="auto"/>
              </w:rPr>
            </w:pPr>
            <w:r>
              <w:rPr>
                <w:rFonts w:ascii="Arial" w:cs="Arial" w:eastAsia="Arial" w:hAnsi="Arial"/>
                <w:sz w:val="14"/>
                <w:szCs w:val="14"/>
                <w:color w:val="auto"/>
              </w:rPr>
              <w:t>GME long-lived and intangible asset impairment</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(5,232)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1"/>
        </w:trPr>
        <w:tc>
          <w:tcPr>
            <w:tcW w:w="8100" w:type="dxa"/>
            <w:vAlign w:val="bottom"/>
          </w:tcPr>
          <w:p>
            <w:pPr>
              <w:spacing w:after="0"/>
              <w:rPr>
                <w:sz w:val="20"/>
                <w:szCs w:val="20"/>
                <w:color w:val="auto"/>
              </w:rPr>
            </w:pPr>
            <w:r>
              <w:rPr>
                <w:rFonts w:ascii="Arial" w:cs="Arial" w:eastAsia="Arial" w:hAnsi="Arial"/>
                <w:sz w:val="14"/>
                <w:szCs w:val="14"/>
                <w:color w:val="auto"/>
              </w:rPr>
              <w:t>Pension settlement charges</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(2,249)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1"/>
        </w:trPr>
        <w:tc>
          <w:tcPr>
            <w:tcW w:w="8100" w:type="dxa"/>
            <w:vAlign w:val="bottom"/>
          </w:tcPr>
          <w:p>
            <w:pPr>
              <w:spacing w:after="0"/>
              <w:rPr>
                <w:sz w:val="20"/>
                <w:szCs w:val="20"/>
                <w:color w:val="auto"/>
              </w:rPr>
            </w:pPr>
            <w:r>
              <w:rPr>
                <w:rFonts w:ascii="Arial" w:cs="Arial" w:eastAsia="Arial" w:hAnsi="Arial"/>
                <w:sz w:val="14"/>
                <w:szCs w:val="14"/>
                <w:color w:val="auto"/>
              </w:rPr>
              <w:t>Premium paid to purchase our common stock from the U.S.Treasury</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1"/>
        </w:trPr>
        <w:tc>
          <w:tcPr>
            <w:tcW w:w="8100" w:type="dxa"/>
            <w:vAlign w:val="bottom"/>
          </w:tcPr>
          <w:p>
            <w:pPr>
              <w:spacing w:after="0"/>
              <w:rPr>
                <w:sz w:val="20"/>
                <w:szCs w:val="20"/>
                <w:color w:val="auto"/>
              </w:rPr>
            </w:pPr>
            <w:r>
              <w:rPr>
                <w:rFonts w:ascii="Arial" w:cs="Arial" w:eastAsia="Arial" w:hAnsi="Arial"/>
                <w:sz w:val="14"/>
                <w:szCs w:val="14"/>
                <w:color w:val="auto"/>
              </w:rPr>
              <w:t>GM Korea hourly wage litigation</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1"/>
        </w:trPr>
        <w:tc>
          <w:tcPr>
            <w:tcW w:w="8100" w:type="dxa"/>
            <w:vAlign w:val="bottom"/>
          </w:tcPr>
          <w:p>
            <w:pPr>
              <w:spacing w:after="0"/>
              <w:rPr>
                <w:sz w:val="20"/>
                <w:szCs w:val="20"/>
                <w:color w:val="auto"/>
              </w:rPr>
            </w:pPr>
            <w:r>
              <w:rPr>
                <w:rFonts w:ascii="Arial" w:cs="Arial" w:eastAsia="Arial" w:hAnsi="Arial"/>
                <w:sz w:val="14"/>
                <w:szCs w:val="14"/>
                <w:color w:val="auto"/>
              </w:rPr>
              <w:t>Redemption of GM Korea mandatorily redeemable preferred shares</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1"/>
        </w:trPr>
        <w:tc>
          <w:tcPr>
            <w:tcW w:w="8100" w:type="dxa"/>
            <w:vAlign w:val="bottom"/>
          </w:tcPr>
          <w:p>
            <w:pPr>
              <w:spacing w:after="0"/>
              <w:rPr>
                <w:sz w:val="20"/>
                <w:szCs w:val="20"/>
                <w:color w:val="auto"/>
              </w:rPr>
            </w:pPr>
            <w:r>
              <w:rPr>
                <w:rFonts w:ascii="Arial" w:cs="Arial" w:eastAsia="Arial" w:hAnsi="Arial"/>
                <w:sz w:val="14"/>
                <w:szCs w:val="14"/>
                <w:color w:val="auto"/>
              </w:rPr>
              <w:t>Impairment charge related to our investment in PSA</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1"/>
        </w:trPr>
        <w:tc>
          <w:tcPr>
            <w:tcW w:w="8100" w:type="dxa"/>
            <w:vAlign w:val="bottom"/>
          </w:tcPr>
          <w:p>
            <w:pPr>
              <w:spacing w:after="0"/>
              <w:rPr>
                <w:sz w:val="20"/>
                <w:szCs w:val="20"/>
                <w:color w:val="auto"/>
              </w:rPr>
            </w:pPr>
            <w:r>
              <w:rPr>
                <w:rFonts w:ascii="Arial" w:cs="Arial" w:eastAsia="Arial" w:hAnsi="Arial"/>
                <w:sz w:val="14"/>
                <w:szCs w:val="14"/>
                <w:color w:val="auto"/>
              </w:rPr>
              <w:t>Charge to record General Motors Strasbourg S.A.S. (GMS) assets and liabilities to estimated fair value</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1"/>
        </w:trPr>
        <w:tc>
          <w:tcPr>
            <w:tcW w:w="8100" w:type="dxa"/>
            <w:vAlign w:val="bottom"/>
          </w:tcPr>
          <w:p>
            <w:pPr>
              <w:spacing w:after="0"/>
              <w:rPr>
                <w:sz w:val="20"/>
                <w:szCs w:val="20"/>
                <w:color w:val="auto"/>
              </w:rPr>
            </w:pPr>
            <w:r>
              <w:rPr>
                <w:rFonts w:ascii="Arial" w:cs="Arial" w:eastAsia="Arial" w:hAnsi="Arial"/>
                <w:sz w:val="14"/>
                <w:szCs w:val="14"/>
                <w:color w:val="auto"/>
              </w:rPr>
              <w:t>Income related to insurance recoveries</w:t>
            </w:r>
          </w:p>
        </w:tc>
        <w:tc>
          <w:tcPr>
            <w:tcW w:w="280" w:type="dxa"/>
            <w:vAlign w:val="bottom"/>
          </w:tcPr>
          <w:p>
            <w:pPr>
              <w:spacing w:after="0"/>
              <w:rPr>
                <w:sz w:val="20"/>
                <w:szCs w:val="20"/>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1"/>
        </w:trPr>
        <w:tc>
          <w:tcPr>
            <w:tcW w:w="8100" w:type="dxa"/>
            <w:vAlign w:val="bottom"/>
          </w:tcPr>
          <w:p>
            <w:pPr>
              <w:spacing w:after="0"/>
              <w:rPr>
                <w:sz w:val="20"/>
                <w:szCs w:val="20"/>
                <w:color w:val="auto"/>
              </w:rPr>
            </w:pPr>
            <w:r>
              <w:rPr>
                <w:rFonts w:ascii="Arial" w:cs="Arial" w:eastAsia="Arial" w:hAnsi="Arial"/>
                <w:sz w:val="14"/>
                <w:szCs w:val="14"/>
                <w:color w:val="auto"/>
              </w:rPr>
              <w:t>Impact to undistributed earnings allocated to our Series B Preferred Stock</w:t>
            </w:r>
          </w:p>
        </w:tc>
        <w:tc>
          <w:tcPr>
            <w:tcW w:w="280" w:type="dxa"/>
            <w:vAlign w:val="bottom"/>
          </w:tcPr>
          <w:p>
            <w:pPr>
              <w:spacing w:after="0"/>
              <w:rPr>
                <w:sz w:val="20"/>
                <w:szCs w:val="20"/>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30"/>
        </w:trPr>
        <w:tc>
          <w:tcPr>
            <w:tcW w:w="8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8100" w:type="dxa"/>
            <w:vAlign w:val="bottom"/>
          </w:tcPr>
          <w:p>
            <w:pPr>
              <w:spacing w:after="0"/>
              <w:rPr>
                <w:sz w:val="20"/>
                <w:szCs w:val="20"/>
                <w:color w:val="auto"/>
              </w:rPr>
            </w:pPr>
            <w:r>
              <w:rPr>
                <w:rFonts w:ascii="Arial" w:cs="Arial" w:eastAsia="Arial" w:hAnsi="Arial"/>
                <w:sz w:val="14"/>
                <w:szCs w:val="14"/>
                <w:b w:val="1"/>
                <w:bCs w:val="1"/>
                <w:color w:val="auto"/>
              </w:rPr>
              <w:t>Total impact to net income to common stockholders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1,161</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40"/>
          </w:cols>
          <w:pgMar w:left="240" w:top="533" w:right="219" w:bottom="1440" w:gutter="0" w:footer="0" w:header="0"/>
        </w:sectPr>
      </w:pPr>
    </w:p>
    <w:bookmarkStart w:id="9" w:name="page10"/>
    <w:bookmarkEnd w:id="9"/>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i w:val="1"/>
          <w:iCs w:val="1"/>
          <w:color w:val="auto"/>
        </w:rPr>
        <w:t>(Unaudited)</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impact of special items to EBIT-adjusted (in millions):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5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ind w:left="80"/>
              <w:spacing w:after="0"/>
              <w:rPr>
                <w:sz w:val="20"/>
                <w:szCs w:val="20"/>
                <w:color w:val="auto"/>
              </w:rPr>
            </w:pPr>
            <w:r>
              <w:rPr>
                <w:rFonts w:ascii="Arial" w:cs="Arial" w:eastAsia="Arial" w:hAnsi="Arial"/>
                <w:sz w:val="13"/>
                <w:szCs w:val="13"/>
                <w:b w:val="1"/>
                <w:bCs w:val="1"/>
                <w:color w:val="auto"/>
              </w:rPr>
              <w:t>Year Ended December 31, 2012</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233"/>
        </w:trPr>
        <w:tc>
          <w:tcPr>
            <w:tcW w:w="5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81"/>
              <w:spacing w:after="0"/>
              <w:rPr>
                <w:sz w:val="20"/>
                <w:szCs w:val="20"/>
                <w:color w:val="auto"/>
              </w:rPr>
            </w:pPr>
            <w:r>
              <w:rPr>
                <w:rFonts w:ascii="Arial" w:cs="Arial" w:eastAsia="Arial" w:hAnsi="Arial"/>
                <w:sz w:val="13"/>
                <w:szCs w:val="13"/>
                <w:b w:val="1"/>
                <w:bCs w:val="1"/>
                <w:color w:val="auto"/>
              </w:rPr>
              <w:t>GMNA</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GMSA</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w w:val="90"/>
              </w:rPr>
              <w:t>Corporate</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Total</w:t>
            </w:r>
          </w:p>
        </w:tc>
      </w:tr>
      <w:tr>
        <w:trPr>
          <w:trHeight w:val="214"/>
        </w:trPr>
        <w:tc>
          <w:tcPr>
            <w:tcW w:w="5360" w:type="dxa"/>
            <w:vAlign w:val="bottom"/>
          </w:tcPr>
          <w:p>
            <w:pPr>
              <w:spacing w:after="0"/>
              <w:rPr>
                <w:sz w:val="20"/>
                <w:szCs w:val="20"/>
                <w:color w:val="auto"/>
              </w:rPr>
            </w:pPr>
            <w:r>
              <w:rPr>
                <w:rFonts w:ascii="Arial" w:cs="Arial" w:eastAsia="Arial" w:hAnsi="Arial"/>
                <w:sz w:val="16"/>
                <w:szCs w:val="16"/>
                <w:color w:val="auto"/>
              </w:rPr>
              <w:t>Goodwill impairment charges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(26,399)</w:t>
            </w:r>
          </w:p>
        </w:tc>
        <w:tc>
          <w:tcPr>
            <w:tcW w:w="120" w:type="dxa"/>
            <w:vAlign w:val="bottom"/>
          </w:tcPr>
          <w:p>
            <w:pPr>
              <w:spacing w:after="0"/>
              <w:rPr>
                <w:sz w:val="18"/>
                <w:szCs w:val="18"/>
                <w:color w:val="auto"/>
              </w:rPr>
            </w:pP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(590)</w:t>
            </w:r>
          </w:p>
        </w:tc>
        <w:tc>
          <w:tcPr>
            <w:tcW w:w="120" w:type="dxa"/>
            <w:vAlign w:val="bottom"/>
          </w:tcPr>
          <w:p>
            <w:pPr>
              <w:spacing w:after="0"/>
              <w:rPr>
                <w:sz w:val="18"/>
                <w:szCs w:val="18"/>
                <w:color w:val="auto"/>
              </w:rPr>
            </w:pPr>
          </w:p>
        </w:tc>
        <w:tc>
          <w:tcPr>
            <w:tcW w:w="180" w:type="dxa"/>
            <w:vAlign w:val="bottom"/>
          </w:tcPr>
          <w:p>
            <w:pPr>
              <w:jc w:val="right"/>
              <w:ind w:right="5"/>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(27,121)</w:t>
            </w:r>
          </w:p>
        </w:tc>
      </w:tr>
      <w:tr>
        <w:trPr>
          <w:trHeight w:val="241"/>
        </w:trPr>
        <w:tc>
          <w:tcPr>
            <w:tcW w:w="5360" w:type="dxa"/>
            <w:vAlign w:val="bottom"/>
          </w:tcPr>
          <w:p>
            <w:pPr>
              <w:spacing w:after="0"/>
              <w:rPr>
                <w:sz w:val="20"/>
                <w:szCs w:val="20"/>
                <w:color w:val="auto"/>
              </w:rPr>
            </w:pPr>
            <w:r>
              <w:rPr>
                <w:rFonts w:ascii="Arial" w:cs="Arial" w:eastAsia="Arial" w:hAnsi="Arial"/>
                <w:sz w:val="16"/>
                <w:szCs w:val="16"/>
                <w:color w:val="auto"/>
              </w:rPr>
              <w:t>Impairment charges of property</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(3,714)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(3,714)</w:t>
            </w:r>
          </w:p>
        </w:tc>
      </w:tr>
      <w:tr>
        <w:trPr>
          <w:trHeight w:val="241"/>
        </w:trPr>
        <w:tc>
          <w:tcPr>
            <w:tcW w:w="5360" w:type="dxa"/>
            <w:vAlign w:val="bottom"/>
          </w:tcPr>
          <w:p>
            <w:pPr>
              <w:spacing w:after="0"/>
              <w:rPr>
                <w:sz w:val="20"/>
                <w:szCs w:val="20"/>
                <w:color w:val="auto"/>
              </w:rPr>
            </w:pPr>
            <w:r>
              <w:rPr>
                <w:rFonts w:ascii="Arial" w:cs="Arial" w:eastAsia="Arial" w:hAnsi="Arial"/>
                <w:sz w:val="16"/>
                <w:szCs w:val="16"/>
                <w:color w:val="auto"/>
              </w:rPr>
              <w:t>Impairment charges of intangible assets</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(1,755)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(1,755)</w:t>
            </w:r>
          </w:p>
        </w:tc>
      </w:tr>
      <w:tr>
        <w:trPr>
          <w:trHeight w:val="241"/>
        </w:trPr>
        <w:tc>
          <w:tcPr>
            <w:tcW w:w="5360" w:type="dxa"/>
            <w:vAlign w:val="bottom"/>
          </w:tcPr>
          <w:p>
            <w:pPr>
              <w:spacing w:after="0"/>
              <w:rPr>
                <w:sz w:val="20"/>
                <w:szCs w:val="20"/>
                <w:color w:val="auto"/>
              </w:rPr>
            </w:pPr>
            <w:r>
              <w:rPr>
                <w:rFonts w:ascii="Arial" w:cs="Arial" w:eastAsia="Arial" w:hAnsi="Arial"/>
                <w:sz w:val="16"/>
                <w:szCs w:val="16"/>
                <w:color w:val="auto"/>
              </w:rPr>
              <w:t>Pension settlement charges</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(2,662)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(2,662)</w:t>
            </w:r>
          </w:p>
        </w:tc>
      </w:tr>
      <w:tr>
        <w:trPr>
          <w:trHeight w:val="241"/>
        </w:trPr>
        <w:tc>
          <w:tcPr>
            <w:tcW w:w="5360" w:type="dxa"/>
            <w:vAlign w:val="bottom"/>
          </w:tcPr>
          <w:p>
            <w:pPr>
              <w:spacing w:after="0"/>
              <w:rPr>
                <w:sz w:val="20"/>
                <w:szCs w:val="20"/>
                <w:color w:val="auto"/>
              </w:rPr>
            </w:pPr>
            <w:r>
              <w:rPr>
                <w:rFonts w:ascii="Arial" w:cs="Arial" w:eastAsia="Arial" w:hAnsi="Arial"/>
                <w:sz w:val="16"/>
                <w:szCs w:val="16"/>
                <w:color w:val="auto"/>
              </w:rPr>
              <w:t>Premium paid to purchase our common stock from the UST</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(402)</w:t>
            </w:r>
          </w:p>
        </w:tc>
      </w:tr>
      <w:tr>
        <w:trPr>
          <w:trHeight w:val="241"/>
        </w:trPr>
        <w:tc>
          <w:tcPr>
            <w:tcW w:w="5360" w:type="dxa"/>
            <w:vAlign w:val="bottom"/>
          </w:tcPr>
          <w:p>
            <w:pPr>
              <w:spacing w:after="0"/>
              <w:rPr>
                <w:sz w:val="20"/>
                <w:szCs w:val="20"/>
                <w:color w:val="auto"/>
              </w:rPr>
            </w:pPr>
            <w:r>
              <w:rPr>
                <w:rFonts w:ascii="Arial" w:cs="Arial" w:eastAsia="Arial" w:hAnsi="Arial"/>
                <w:sz w:val="16"/>
                <w:szCs w:val="16"/>
                <w:color w:val="auto"/>
              </w:rPr>
              <w:t>GM Korea hourly wage litigation</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(336)</w:t>
            </w:r>
          </w:p>
        </w:tc>
      </w:tr>
      <w:tr>
        <w:trPr>
          <w:trHeight w:val="241"/>
        </w:trPr>
        <w:tc>
          <w:tcPr>
            <w:tcW w:w="5360" w:type="dxa"/>
            <w:vAlign w:val="bottom"/>
          </w:tcPr>
          <w:p>
            <w:pPr>
              <w:spacing w:after="0"/>
              <w:rPr>
                <w:sz w:val="20"/>
                <w:szCs w:val="20"/>
                <w:color w:val="auto"/>
              </w:rPr>
            </w:pPr>
            <w:r>
              <w:rPr>
                <w:rFonts w:ascii="Arial" w:cs="Arial" w:eastAsia="Arial" w:hAnsi="Arial"/>
                <w:sz w:val="16"/>
                <w:szCs w:val="16"/>
                <w:color w:val="auto"/>
              </w:rPr>
              <w:t>Impairment charge related to our investment in PSA</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241"/>
        </w:trPr>
        <w:tc>
          <w:tcPr>
            <w:tcW w:w="5360" w:type="dxa"/>
            <w:vAlign w:val="bottom"/>
          </w:tcPr>
          <w:p>
            <w:pPr>
              <w:spacing w:after="0"/>
              <w:rPr>
                <w:sz w:val="20"/>
                <w:szCs w:val="20"/>
                <w:color w:val="auto"/>
              </w:rPr>
            </w:pPr>
            <w:r>
              <w:rPr>
                <w:rFonts w:ascii="Arial" w:cs="Arial" w:eastAsia="Arial" w:hAnsi="Arial"/>
                <w:sz w:val="16"/>
                <w:szCs w:val="16"/>
                <w:color w:val="auto"/>
              </w:rPr>
              <w:t>Income related to insurance recoveries</w:t>
            </w:r>
          </w:p>
        </w:tc>
        <w:tc>
          <w:tcPr>
            <w:tcW w:w="180" w:type="dxa"/>
            <w:vAlign w:val="bottom"/>
          </w:tcPr>
          <w:p>
            <w:pPr>
              <w:spacing w:after="0"/>
              <w:rPr>
                <w:sz w:val="20"/>
                <w:szCs w:val="20"/>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ind w:left="46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155</w:t>
            </w:r>
          </w:p>
        </w:tc>
      </w:tr>
      <w:tr>
        <w:trPr>
          <w:trHeight w:val="229"/>
        </w:trPr>
        <w:tc>
          <w:tcPr>
            <w:tcW w:w="5360" w:type="dxa"/>
            <w:vAlign w:val="bottom"/>
          </w:tcPr>
          <w:p>
            <w:pPr>
              <w:spacing w:after="0"/>
              <w:rPr>
                <w:sz w:val="20"/>
                <w:szCs w:val="20"/>
                <w:color w:val="auto"/>
              </w:rPr>
            </w:pPr>
            <w:r>
              <w:rPr>
                <w:rFonts w:ascii="Arial" w:cs="Arial" w:eastAsia="Arial" w:hAnsi="Arial"/>
                <w:sz w:val="16"/>
                <w:szCs w:val="16"/>
                <w:color w:val="auto"/>
                <w:w w:val="91"/>
              </w:rPr>
              <w:t>Charge to record General Motors Strasbourg S.A.S. (GMS) assets and liabilities to</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5"/>
        </w:trPr>
        <w:tc>
          <w:tcPr>
            <w:tcW w:w="5360" w:type="dxa"/>
            <w:vAlign w:val="bottom"/>
          </w:tcPr>
          <w:p>
            <w:pPr>
              <w:ind w:left="140"/>
              <w:spacing w:after="0"/>
              <w:rPr>
                <w:sz w:val="20"/>
                <w:szCs w:val="20"/>
                <w:color w:val="auto"/>
              </w:rPr>
            </w:pPr>
            <w:r>
              <w:rPr>
                <w:rFonts w:ascii="Arial" w:cs="Arial" w:eastAsia="Arial" w:hAnsi="Arial"/>
                <w:sz w:val="16"/>
                <w:szCs w:val="16"/>
                <w:color w:val="auto"/>
              </w:rPr>
              <w:t>estimated fair value</w:t>
            </w:r>
          </w:p>
        </w:tc>
        <w:tc>
          <w:tcPr>
            <w:tcW w:w="18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29"/>
        </w:trPr>
        <w:tc>
          <w:tcPr>
            <w:tcW w:w="5360" w:type="dxa"/>
            <w:vAlign w:val="bottom"/>
          </w:tcPr>
          <w:p>
            <w:pPr>
              <w:spacing w:after="0"/>
              <w:rPr>
                <w:sz w:val="20"/>
                <w:szCs w:val="20"/>
                <w:color w:val="auto"/>
              </w:rPr>
            </w:pPr>
            <w:r>
              <w:rPr>
                <w:rFonts w:ascii="Arial" w:cs="Arial" w:eastAsia="Arial" w:hAnsi="Arial"/>
                <w:sz w:val="16"/>
                <w:szCs w:val="16"/>
                <w:color w:val="auto"/>
              </w:rPr>
              <w:t>Noncontrolling interests related to redemption of the GM Korea mandatorily</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5"/>
        </w:trPr>
        <w:tc>
          <w:tcPr>
            <w:tcW w:w="5360" w:type="dxa"/>
            <w:vAlign w:val="bottom"/>
          </w:tcPr>
          <w:p>
            <w:pPr>
              <w:ind w:left="140"/>
              <w:spacing w:after="0"/>
              <w:rPr>
                <w:sz w:val="20"/>
                <w:szCs w:val="20"/>
                <w:color w:val="auto"/>
              </w:rPr>
            </w:pPr>
            <w:r>
              <w:rPr>
                <w:rFonts w:ascii="Arial" w:cs="Arial" w:eastAsia="Arial" w:hAnsi="Arial"/>
                <w:sz w:val="16"/>
                <w:szCs w:val="16"/>
                <w:color w:val="auto"/>
              </w:rPr>
              <w:t>redeemable preferred shares</w:t>
            </w:r>
          </w:p>
        </w:tc>
        <w:tc>
          <w:tcPr>
            <w:tcW w:w="18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68</w:t>
            </w:r>
          </w:p>
        </w:tc>
      </w:tr>
      <w:tr>
        <w:trPr>
          <w:trHeight w:val="24"/>
        </w:trPr>
        <w:tc>
          <w:tcPr>
            <w:tcW w:w="5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7"/>
        </w:trPr>
        <w:tc>
          <w:tcPr>
            <w:tcW w:w="5360" w:type="dxa"/>
            <w:vAlign w:val="bottom"/>
          </w:tcPr>
          <w:p>
            <w:pPr>
              <w:spacing w:after="0"/>
              <w:rPr>
                <w:sz w:val="20"/>
                <w:szCs w:val="20"/>
                <w:color w:val="auto"/>
              </w:rPr>
            </w:pPr>
            <w:r>
              <w:rPr>
                <w:rFonts w:ascii="Arial" w:cs="Arial" w:eastAsia="Arial" w:hAnsi="Arial"/>
                <w:sz w:val="16"/>
                <w:szCs w:val="16"/>
                <w:color w:val="auto"/>
              </w:rPr>
              <w:t>Total adjustments to EBIT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(29,052)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(6,391)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(36,106)</w:t>
            </w: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532"/>
        </w:trPr>
        <w:tc>
          <w:tcPr>
            <w:tcW w:w="5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ind w:left="80"/>
              <w:spacing w:after="0"/>
              <w:rPr>
                <w:sz w:val="20"/>
                <w:szCs w:val="20"/>
                <w:color w:val="auto"/>
              </w:rPr>
            </w:pPr>
            <w:r>
              <w:rPr>
                <w:rFonts w:ascii="Arial" w:cs="Arial" w:eastAsia="Arial" w:hAnsi="Arial"/>
                <w:sz w:val="13"/>
                <w:szCs w:val="13"/>
                <w:b w:val="1"/>
                <w:bCs w:val="1"/>
                <w:color w:val="auto"/>
              </w:rPr>
              <w:t>Year Ended December 31, 2011</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233"/>
        </w:trPr>
        <w:tc>
          <w:tcPr>
            <w:tcW w:w="5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81"/>
              <w:spacing w:after="0"/>
              <w:rPr>
                <w:sz w:val="20"/>
                <w:szCs w:val="20"/>
                <w:color w:val="auto"/>
              </w:rPr>
            </w:pPr>
            <w:r>
              <w:rPr>
                <w:rFonts w:ascii="Arial" w:cs="Arial" w:eastAsia="Arial" w:hAnsi="Arial"/>
                <w:sz w:val="13"/>
                <w:szCs w:val="13"/>
                <w:b w:val="1"/>
                <w:bCs w:val="1"/>
                <w:color w:val="auto"/>
              </w:rPr>
              <w:t>GMNA</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GMSA</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w w:val="90"/>
              </w:rPr>
              <w:t>Corporate</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Total</w:t>
            </w:r>
          </w:p>
        </w:tc>
      </w:tr>
      <w:tr>
        <w:trPr>
          <w:trHeight w:val="214"/>
        </w:trPr>
        <w:tc>
          <w:tcPr>
            <w:tcW w:w="5360" w:type="dxa"/>
            <w:vAlign w:val="bottom"/>
          </w:tcPr>
          <w:p>
            <w:pPr>
              <w:spacing w:after="0"/>
              <w:rPr>
                <w:sz w:val="20"/>
                <w:szCs w:val="20"/>
                <w:color w:val="auto"/>
              </w:rPr>
            </w:pPr>
            <w:r>
              <w:rPr>
                <w:rFonts w:ascii="Arial" w:cs="Arial" w:eastAsia="Arial" w:hAnsi="Arial"/>
                <w:sz w:val="16"/>
                <w:szCs w:val="16"/>
                <w:color w:val="auto"/>
              </w:rPr>
              <w:t>Gain on sale of our New Delphi Class A Membership Interests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1,645</w:t>
            </w:r>
          </w:p>
        </w:tc>
        <w:tc>
          <w:tcPr>
            <w:tcW w:w="120" w:type="dxa"/>
            <w:vAlign w:val="bottom"/>
          </w:tcPr>
          <w:p>
            <w:pPr>
              <w:spacing w:after="0"/>
              <w:rPr>
                <w:sz w:val="18"/>
                <w:szCs w:val="18"/>
                <w:color w:val="auto"/>
              </w:rPr>
            </w:pP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5"/>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1,645</w:t>
            </w:r>
          </w:p>
        </w:tc>
      </w:tr>
      <w:tr>
        <w:trPr>
          <w:trHeight w:val="241"/>
        </w:trPr>
        <w:tc>
          <w:tcPr>
            <w:tcW w:w="5360" w:type="dxa"/>
            <w:vAlign w:val="bottom"/>
          </w:tcPr>
          <w:p>
            <w:pPr>
              <w:spacing w:after="0"/>
              <w:rPr>
                <w:sz w:val="20"/>
                <w:szCs w:val="20"/>
                <w:color w:val="auto"/>
              </w:rPr>
            </w:pPr>
            <w:r>
              <w:rPr>
                <w:rFonts w:ascii="Arial" w:cs="Arial" w:eastAsia="Arial" w:hAnsi="Arial"/>
                <w:sz w:val="16"/>
                <w:szCs w:val="16"/>
                <w:color w:val="auto"/>
              </w:rPr>
              <w:t>Goodwill impairment charges</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(1,016)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(1,274)</w:t>
            </w:r>
          </w:p>
        </w:tc>
      </w:tr>
      <w:tr>
        <w:trPr>
          <w:trHeight w:val="241"/>
        </w:trPr>
        <w:tc>
          <w:tcPr>
            <w:tcW w:w="5360" w:type="dxa"/>
            <w:vAlign w:val="bottom"/>
          </w:tcPr>
          <w:p>
            <w:pPr>
              <w:spacing w:after="0"/>
              <w:rPr>
                <w:sz w:val="20"/>
                <w:szCs w:val="20"/>
                <w:color w:val="auto"/>
              </w:rPr>
            </w:pPr>
            <w:r>
              <w:rPr>
                <w:rFonts w:ascii="Arial" w:cs="Arial" w:eastAsia="Arial" w:hAnsi="Arial"/>
                <w:sz w:val="16"/>
                <w:szCs w:val="16"/>
                <w:color w:val="auto"/>
              </w:rPr>
              <w:t>Gain related to HCT settlement</w:t>
            </w:r>
          </w:p>
        </w:tc>
        <w:tc>
          <w:tcPr>
            <w:tcW w:w="180" w:type="dxa"/>
            <w:vAlign w:val="bottom"/>
          </w:tcPr>
          <w:p>
            <w:pPr>
              <w:spacing w:after="0"/>
              <w:rPr>
                <w:sz w:val="20"/>
                <w:szCs w:val="20"/>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749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749</w:t>
            </w:r>
          </w:p>
        </w:tc>
      </w:tr>
      <w:tr>
        <w:trPr>
          <w:trHeight w:val="241"/>
        </w:trPr>
        <w:tc>
          <w:tcPr>
            <w:tcW w:w="5360" w:type="dxa"/>
            <w:vAlign w:val="bottom"/>
          </w:tcPr>
          <w:p>
            <w:pPr>
              <w:spacing w:after="0"/>
              <w:rPr>
                <w:sz w:val="20"/>
                <w:szCs w:val="20"/>
                <w:color w:val="auto"/>
              </w:rPr>
            </w:pPr>
            <w:r>
              <w:rPr>
                <w:rFonts w:ascii="Arial" w:cs="Arial" w:eastAsia="Arial" w:hAnsi="Arial"/>
                <w:sz w:val="16"/>
                <w:szCs w:val="16"/>
                <w:color w:val="auto"/>
              </w:rPr>
              <w:t>Impairment related to Ally Financial common stock</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(555)</w:t>
            </w:r>
          </w:p>
        </w:tc>
      </w:tr>
      <w:tr>
        <w:trPr>
          <w:trHeight w:val="241"/>
        </w:trPr>
        <w:tc>
          <w:tcPr>
            <w:tcW w:w="5360" w:type="dxa"/>
            <w:vAlign w:val="bottom"/>
          </w:tcPr>
          <w:p>
            <w:pPr>
              <w:spacing w:after="0"/>
              <w:rPr>
                <w:sz w:val="20"/>
                <w:szCs w:val="20"/>
                <w:color w:val="auto"/>
              </w:rPr>
            </w:pPr>
            <w:r>
              <w:rPr>
                <w:rFonts w:ascii="Arial" w:cs="Arial" w:eastAsia="Arial" w:hAnsi="Arial"/>
                <w:sz w:val="16"/>
                <w:szCs w:val="16"/>
                <w:color w:val="auto"/>
              </w:rPr>
              <w:t>Gain on sale of Ally Financial preferred stock</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339</w:t>
            </w:r>
          </w:p>
        </w:tc>
      </w:tr>
      <w:tr>
        <w:trPr>
          <w:trHeight w:val="241"/>
        </w:trPr>
        <w:tc>
          <w:tcPr>
            <w:tcW w:w="5360" w:type="dxa"/>
            <w:vAlign w:val="bottom"/>
          </w:tcPr>
          <w:p>
            <w:pPr>
              <w:spacing w:after="0"/>
              <w:rPr>
                <w:sz w:val="20"/>
                <w:szCs w:val="20"/>
                <w:color w:val="auto"/>
              </w:rPr>
            </w:pPr>
            <w:r>
              <w:rPr>
                <w:rFonts w:ascii="Arial" w:cs="Arial" w:eastAsia="Arial" w:hAnsi="Arial"/>
                <w:sz w:val="16"/>
                <w:szCs w:val="16"/>
                <w:color w:val="auto"/>
              </w:rPr>
              <w:t>Charges related to HKJV</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41"/>
        </w:trPr>
        <w:tc>
          <w:tcPr>
            <w:tcW w:w="5360" w:type="dxa"/>
            <w:vAlign w:val="bottom"/>
          </w:tcPr>
          <w:p>
            <w:pPr>
              <w:spacing w:after="0"/>
              <w:rPr>
                <w:sz w:val="20"/>
                <w:szCs w:val="20"/>
                <w:color w:val="auto"/>
              </w:rPr>
            </w:pPr>
            <w:r>
              <w:rPr>
                <w:rFonts w:ascii="Arial" w:cs="Arial" w:eastAsia="Arial" w:hAnsi="Arial"/>
                <w:sz w:val="16"/>
                <w:szCs w:val="16"/>
                <w:color w:val="auto"/>
              </w:rPr>
              <w:t>Gain on extinguishment of debt</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ind w:left="460"/>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63</w:t>
            </w:r>
          </w:p>
        </w:tc>
      </w:tr>
      <w:tr>
        <w:trPr>
          <w:trHeight w:val="24"/>
        </w:trPr>
        <w:tc>
          <w:tcPr>
            <w:tcW w:w="5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7"/>
        </w:trPr>
        <w:tc>
          <w:tcPr>
            <w:tcW w:w="5360" w:type="dxa"/>
            <w:vAlign w:val="bottom"/>
          </w:tcPr>
          <w:p>
            <w:pPr>
              <w:spacing w:after="0"/>
              <w:rPr>
                <w:sz w:val="20"/>
                <w:szCs w:val="20"/>
                <w:color w:val="auto"/>
              </w:rPr>
            </w:pPr>
            <w:r>
              <w:rPr>
                <w:rFonts w:ascii="Arial" w:cs="Arial" w:eastAsia="Arial" w:hAnsi="Arial"/>
                <w:sz w:val="16"/>
                <w:szCs w:val="16"/>
                <w:color w:val="auto"/>
              </w:rPr>
              <w:t>Total adjustments to EBIT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2,394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(1,016)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861</w:t>
            </w: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The following table summarizes the reconciliation of Automotive adjusted free cash flow to Automotive net cash provided by operating activities (dollars in millions):</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0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642"/>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842"/>
              <w:spacing w:after="0"/>
              <w:rPr>
                <w:sz w:val="20"/>
                <w:szCs w:val="20"/>
                <w:color w:val="auto"/>
              </w:rPr>
            </w:pPr>
            <w:r>
              <w:rPr>
                <w:rFonts w:ascii="Arial" w:cs="Arial" w:eastAsia="Arial" w:hAnsi="Arial"/>
                <w:sz w:val="14"/>
                <w:szCs w:val="14"/>
                <w:b w:val="1"/>
                <w:bCs w:val="1"/>
                <w:color w:val="auto"/>
              </w:rPr>
              <w:t>Year Ended</w:t>
            </w:r>
          </w:p>
        </w:tc>
      </w:tr>
      <w:tr>
        <w:trPr>
          <w:trHeight w:val="233"/>
        </w:trPr>
        <w:tc>
          <w:tcPr>
            <w:tcW w:w="6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3"/>
                <w:szCs w:val="13"/>
                <w:b w:val="1"/>
                <w:bCs w:val="1"/>
                <w:color w:val="auto"/>
              </w:rPr>
              <w:t>December 31, 2012</w:t>
            </w:r>
          </w:p>
        </w:tc>
        <w:tc>
          <w:tcPr>
            <w:tcW w:w="1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3"/>
                <w:szCs w:val="13"/>
                <w:b w:val="1"/>
                <w:bCs w:val="1"/>
                <w:color w:val="auto"/>
              </w:rPr>
              <w:t>December 31, 2011</w:t>
            </w:r>
          </w:p>
        </w:tc>
        <w:tc>
          <w:tcPr>
            <w:tcW w:w="134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w w:val="95"/>
              </w:rPr>
              <w:t>December 31, 2012</w:t>
            </w:r>
          </w:p>
        </w:tc>
        <w:tc>
          <w:tcPr>
            <w:tcW w:w="1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3"/>
                <w:szCs w:val="13"/>
                <w:b w:val="1"/>
                <w:bCs w:val="1"/>
                <w:color w:val="auto"/>
                <w:w w:val="85"/>
              </w:rPr>
              <w:t>December 31, 2011</w:t>
            </w:r>
          </w:p>
        </w:tc>
      </w:tr>
      <w:tr>
        <w:trPr>
          <w:trHeight w:val="214"/>
        </w:trPr>
        <w:tc>
          <w:tcPr>
            <w:tcW w:w="6040" w:type="dxa"/>
            <w:vAlign w:val="bottom"/>
          </w:tcPr>
          <w:p>
            <w:pPr>
              <w:spacing w:after="0"/>
              <w:rPr>
                <w:sz w:val="20"/>
                <w:szCs w:val="20"/>
                <w:color w:val="auto"/>
              </w:rPr>
            </w:pPr>
            <w:r>
              <w:rPr>
                <w:rFonts w:ascii="Arial" w:cs="Arial" w:eastAsia="Arial" w:hAnsi="Arial"/>
                <w:sz w:val="16"/>
                <w:szCs w:val="16"/>
                <w:color w:val="auto"/>
              </w:rPr>
              <w:t>Automotive adjusted free cash flow</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1,136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65"/>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4,288</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3,018</w:t>
            </w:r>
          </w:p>
        </w:tc>
      </w:tr>
      <w:tr>
        <w:trPr>
          <w:trHeight w:val="241"/>
        </w:trPr>
        <w:tc>
          <w:tcPr>
            <w:tcW w:w="6040" w:type="dxa"/>
            <w:vAlign w:val="bottom"/>
          </w:tcPr>
          <w:p>
            <w:pPr>
              <w:spacing w:after="0"/>
              <w:rPr>
                <w:sz w:val="20"/>
                <w:szCs w:val="20"/>
                <w:color w:val="auto"/>
              </w:rPr>
            </w:pPr>
            <w:r>
              <w:rPr>
                <w:rFonts w:ascii="Arial" w:cs="Arial" w:eastAsia="Arial" w:hAnsi="Arial"/>
                <w:sz w:val="16"/>
                <w:szCs w:val="16"/>
                <w:color w:val="auto"/>
              </w:rPr>
              <w:t>Less: Adjustments for voluntary management actions</w:t>
            </w:r>
          </w:p>
        </w:tc>
        <w:tc>
          <w:tcPr>
            <w:tcW w:w="120" w:type="dxa"/>
            <w:vAlign w:val="bottom"/>
          </w:tcPr>
          <w:p>
            <w:pPr>
              <w:spacing w:after="0"/>
              <w:rPr>
                <w:sz w:val="20"/>
                <w:szCs w:val="20"/>
                <w:color w:val="auto"/>
              </w:rPr>
            </w:pP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2,712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767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2,712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1,830</w:t>
            </w:r>
          </w:p>
        </w:tc>
      </w:tr>
      <w:tr>
        <w:trPr>
          <w:trHeight w:val="24"/>
        </w:trPr>
        <w:tc>
          <w:tcPr>
            <w:tcW w:w="6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6040" w:type="dxa"/>
            <w:vAlign w:val="bottom"/>
          </w:tcPr>
          <w:p>
            <w:pPr>
              <w:spacing w:after="0"/>
              <w:rPr>
                <w:sz w:val="20"/>
                <w:szCs w:val="20"/>
                <w:color w:val="auto"/>
              </w:rPr>
            </w:pPr>
            <w:r>
              <w:rPr>
                <w:rFonts w:ascii="Arial" w:cs="Arial" w:eastAsia="Arial" w:hAnsi="Arial"/>
                <w:sz w:val="16"/>
                <w:szCs w:val="16"/>
                <w:color w:val="auto"/>
              </w:rPr>
              <w:t>Automotive free cash flow</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(941)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1,576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1,188</w:t>
            </w:r>
          </w:p>
        </w:tc>
      </w:tr>
      <w:tr>
        <w:trPr>
          <w:trHeight w:val="241"/>
        </w:trPr>
        <w:tc>
          <w:tcPr>
            <w:tcW w:w="6040" w:type="dxa"/>
            <w:vAlign w:val="bottom"/>
          </w:tcPr>
          <w:p>
            <w:pPr>
              <w:spacing w:after="0"/>
              <w:rPr>
                <w:sz w:val="20"/>
                <w:szCs w:val="20"/>
                <w:color w:val="auto"/>
              </w:rPr>
            </w:pPr>
            <w:r>
              <w:rPr>
                <w:rFonts w:ascii="Arial" w:cs="Arial" w:eastAsia="Arial" w:hAnsi="Arial"/>
                <w:sz w:val="16"/>
                <w:szCs w:val="16"/>
                <w:color w:val="auto"/>
              </w:rPr>
              <w:t>Capital expenditures</w:t>
            </w:r>
          </w:p>
        </w:tc>
        <w:tc>
          <w:tcPr>
            <w:tcW w:w="120" w:type="dxa"/>
            <w:vAlign w:val="bottom"/>
          </w:tcPr>
          <w:p>
            <w:pPr>
              <w:spacing w:after="0"/>
              <w:rPr>
                <w:sz w:val="20"/>
                <w:szCs w:val="20"/>
                <w:color w:val="auto"/>
              </w:rPr>
            </w:pP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2,062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2,176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8,055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6,241</w:t>
            </w:r>
          </w:p>
        </w:tc>
      </w:tr>
      <w:tr>
        <w:trPr>
          <w:trHeight w:val="24"/>
        </w:trPr>
        <w:tc>
          <w:tcPr>
            <w:tcW w:w="6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7"/>
        </w:trPr>
        <w:tc>
          <w:tcPr>
            <w:tcW w:w="6040" w:type="dxa"/>
            <w:vAlign w:val="bottom"/>
          </w:tcPr>
          <w:p>
            <w:pPr>
              <w:spacing w:after="0"/>
              <w:rPr>
                <w:sz w:val="20"/>
                <w:szCs w:val="20"/>
                <w:color w:val="auto"/>
              </w:rPr>
            </w:pPr>
            <w:r>
              <w:rPr>
                <w:rFonts w:ascii="Arial" w:cs="Arial" w:eastAsia="Arial" w:hAnsi="Arial"/>
                <w:sz w:val="16"/>
                <w:szCs w:val="16"/>
                <w:b w:val="1"/>
                <w:bCs w:val="1"/>
                <w:color w:val="auto"/>
              </w:rPr>
              <w:t>Automotive net cash provided by operating activities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486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1,235</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65"/>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9,631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7,429</w:t>
            </w:r>
          </w:p>
        </w:tc>
      </w:tr>
      <w:tr>
        <w:trPr>
          <w:trHeight w:val="20"/>
        </w:trPr>
        <w:tc>
          <w:tcPr>
            <w:tcW w:w="6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right="20" w:firstLine="145"/>
        <w:spacing w:after="0" w:line="265" w:lineRule="auto"/>
        <w:rPr>
          <w:sz w:val="20"/>
          <w:szCs w:val="20"/>
          <w:color w:val="auto"/>
        </w:rPr>
      </w:pPr>
      <w:r>
        <w:rPr>
          <w:rFonts w:ascii="Arial" w:cs="Arial" w:eastAsia="Arial" w:hAnsi="Arial"/>
          <w:sz w:val="16"/>
          <w:szCs w:val="16"/>
          <w:color w:val="auto"/>
        </w:rPr>
        <w:t>Adjustments for voluntary management actions include the following items: voluntary contributions to the Retiree Plan of $2.3 billion for the purchase of annuity contracts and the premium paid to purchase our common stock from the UST of $0.4 billion in December 2012; termination of in-transit wholesale advance agreement in GMNA resulting in an increase to accounts receivable of $1.1 billion and OPEB payments relating to the HCT settlement of $0.8 billion in 2011.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40"/>
          </w:cols>
          <w:pgMar w:left="240" w:top="533" w:right="219" w:bottom="1440" w:gutter="0" w:footer="0" w:header="0"/>
        </w:sectPr>
      </w:pPr>
    </w:p>
    <w:bookmarkStart w:id="10" w:name="page11"/>
    <w:bookmarkEnd w:id="10"/>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Unaudited)</w:t>
      </w:r>
    </w:p>
    <w:p>
      <w:pPr>
        <w:spacing w:after="0" w:line="325" w:lineRule="exact"/>
        <w:rPr>
          <w:sz w:val="20"/>
          <w:szCs w:val="20"/>
          <w:color w:val="auto"/>
        </w:rPr>
      </w:pPr>
    </w:p>
    <w:tbl>
      <w:tblPr>
        <w:tblLayout w:type="fixed"/>
        <w:tblInd w:w="24" w:type="dxa"/>
        <w:tblCellMar>
          <w:top w:w="0" w:type="dxa"/>
          <w:left w:w="0" w:type="dxa"/>
          <w:bottom w:w="0" w:type="dxa"/>
          <w:right w:w="0" w:type="dxa"/>
        </w:tblCellMar>
      </w:tblPr>
      <w:tr>
        <w:trPr>
          <w:trHeight w:val="126"/>
        </w:trPr>
        <w:tc>
          <w:tcPr>
            <w:tcW w:w="2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Total</w:t>
            </w:r>
          </w:p>
        </w:tc>
        <w:tc>
          <w:tcPr>
            <w:tcW w:w="120" w:type="dxa"/>
            <w:vAlign w:val="bottom"/>
          </w:tcPr>
          <w:p>
            <w:pPr>
              <w:spacing w:after="0"/>
              <w:rPr>
                <w:sz w:val="10"/>
                <w:szCs w:val="10"/>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GM</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53"/>
        </w:trPr>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GME</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GMIO</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GMSA</w:t>
            </w:r>
          </w:p>
        </w:tc>
        <w:tc>
          <w:tcPr>
            <w:tcW w:w="12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Corporate</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Automotive</w:t>
            </w:r>
          </w:p>
        </w:tc>
        <w:tc>
          <w:tcPr>
            <w:tcW w:w="12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540" w:type="dxa"/>
            <w:vAlign w:val="bottom"/>
          </w:tcPr>
          <w:p>
            <w:pPr>
              <w:jc w:val="right"/>
              <w:ind w:right="164"/>
              <w:spacing w:after="0"/>
              <w:rPr>
                <w:sz w:val="20"/>
                <w:szCs w:val="20"/>
                <w:color w:val="auto"/>
              </w:rPr>
            </w:pPr>
            <w:r>
              <w:rPr>
                <w:rFonts w:ascii="Arial" w:cs="Arial" w:eastAsia="Arial" w:hAnsi="Arial"/>
                <w:sz w:val="11"/>
                <w:szCs w:val="11"/>
                <w:b w:val="1"/>
                <w:bCs w:val="1"/>
                <w:color w:val="auto"/>
              </w:rPr>
              <w:t>Total</w:t>
            </w:r>
          </w:p>
        </w:tc>
      </w:tr>
      <w:tr>
        <w:trPr>
          <w:trHeight w:val="117"/>
        </w:trPr>
        <w:tc>
          <w:tcPr>
            <w:tcW w:w="2260" w:type="dxa"/>
            <w:vAlign w:val="bottom"/>
          </w:tcPr>
          <w:p>
            <w:pPr>
              <w:spacing w:after="0" w:line="117" w:lineRule="exact"/>
              <w:rPr>
                <w:sz w:val="20"/>
                <w:szCs w:val="20"/>
                <w:color w:val="auto"/>
              </w:rPr>
            </w:pPr>
            <w:r>
              <w:rPr>
                <w:rFonts w:ascii="Arial" w:cs="Arial" w:eastAsia="Arial" w:hAnsi="Arial"/>
                <w:sz w:val="11"/>
                <w:szCs w:val="11"/>
                <w:b w:val="1"/>
                <w:bCs w:val="1"/>
                <w:color w:val="auto"/>
              </w:rPr>
              <w:t>Three Months Ended</w:t>
            </w: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r>
      <w:tr>
        <w:trPr>
          <w:trHeight w:val="144"/>
        </w:trPr>
        <w:tc>
          <w:tcPr>
            <w:tcW w:w="2260" w:type="dxa"/>
            <w:vAlign w:val="bottom"/>
          </w:tcPr>
          <w:p>
            <w:pPr>
              <w:spacing w:after="0"/>
              <w:rPr>
                <w:sz w:val="20"/>
                <w:szCs w:val="20"/>
                <w:color w:val="auto"/>
              </w:rPr>
            </w:pPr>
            <w:r>
              <w:rPr>
                <w:rFonts w:ascii="Arial" w:cs="Arial" w:eastAsia="Arial" w:hAnsi="Arial"/>
                <w:sz w:val="11"/>
                <w:szCs w:val="11"/>
                <w:b w:val="1"/>
                <w:bCs w:val="1"/>
                <w:color w:val="auto"/>
              </w:rPr>
              <w:t>December 31, 2012</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241"/>
        </w:trPr>
        <w:tc>
          <w:tcPr>
            <w:tcW w:w="2260" w:type="dxa"/>
            <w:vAlign w:val="bottom"/>
          </w:tcPr>
          <w:p>
            <w:pPr>
              <w:spacing w:after="0"/>
              <w:rPr>
                <w:sz w:val="20"/>
                <w:szCs w:val="20"/>
                <w:color w:val="auto"/>
              </w:rPr>
            </w:pPr>
            <w:r>
              <w:rPr>
                <w:rFonts w:ascii="Arial" w:cs="Arial" w:eastAsia="Arial" w:hAnsi="Arial"/>
                <w:sz w:val="11"/>
                <w:szCs w:val="11"/>
                <w:color w:val="auto"/>
              </w:rPr>
              <w:t>Total net sales and revenue</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24,175</w:t>
            </w:r>
          </w:p>
        </w:tc>
        <w:tc>
          <w:tcPr>
            <w:tcW w:w="120" w:type="dxa"/>
            <w:vAlign w:val="bottom"/>
          </w:tcPr>
          <w:p>
            <w:pPr>
              <w:spacing w:after="0"/>
              <w:rPr>
                <w:sz w:val="20"/>
                <w:szCs w:val="20"/>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5,580</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7,940</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4,491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24"/>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(3,408)</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38,777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529</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44"/>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39,307</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rPr>
              <w:t>Depreciation, amortization and impairment of</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21"/>
        </w:trPr>
        <w:tc>
          <w:tcPr>
            <w:tcW w:w="2260" w:type="dxa"/>
            <w:vAlign w:val="bottom"/>
          </w:tcPr>
          <w:p>
            <w:pPr>
              <w:ind w:left="140"/>
              <w:spacing w:after="0" w:line="121" w:lineRule="exact"/>
              <w:rPr>
                <w:sz w:val="20"/>
                <w:szCs w:val="20"/>
                <w:color w:val="auto"/>
              </w:rPr>
            </w:pPr>
            <w:r>
              <w:rPr>
                <w:rFonts w:ascii="Arial" w:cs="Arial" w:eastAsia="Arial" w:hAnsi="Arial"/>
                <w:sz w:val="11"/>
                <w:szCs w:val="11"/>
                <w:color w:val="auto"/>
              </w:rPr>
              <w:t>long-lived assets and finite-lived intangible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assets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940</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5,742</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197</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131</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12</w:t>
            </w:r>
          </w:p>
        </w:tc>
        <w:tc>
          <w:tcPr>
            <w:tcW w:w="14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7,022</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69</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7,088</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rPr>
              <w:t>Equity income, net of tax and gain on</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investments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419</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421</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421</w:t>
            </w:r>
          </w:p>
        </w:tc>
      </w:tr>
      <w:tr>
        <w:trPr>
          <w:trHeight w:val="254"/>
        </w:trPr>
        <w:tc>
          <w:tcPr>
            <w:tcW w:w="2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Total</w:t>
            </w:r>
          </w:p>
        </w:tc>
        <w:tc>
          <w:tcPr>
            <w:tcW w:w="120" w:type="dxa"/>
            <w:vAlign w:val="bottom"/>
          </w:tcPr>
          <w:p>
            <w:pPr>
              <w:spacing w:after="0"/>
              <w:rPr>
                <w:sz w:val="22"/>
                <w:szCs w:val="2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GM</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53"/>
        </w:trPr>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GME</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GMIO</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GMSA</w:t>
            </w:r>
          </w:p>
        </w:tc>
        <w:tc>
          <w:tcPr>
            <w:tcW w:w="12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Corporate</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Automotive</w:t>
            </w:r>
          </w:p>
        </w:tc>
        <w:tc>
          <w:tcPr>
            <w:tcW w:w="12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540" w:type="dxa"/>
            <w:vAlign w:val="bottom"/>
          </w:tcPr>
          <w:p>
            <w:pPr>
              <w:jc w:val="right"/>
              <w:ind w:right="164"/>
              <w:spacing w:after="0"/>
              <w:rPr>
                <w:sz w:val="20"/>
                <w:szCs w:val="20"/>
                <w:color w:val="auto"/>
              </w:rPr>
            </w:pPr>
            <w:r>
              <w:rPr>
                <w:rFonts w:ascii="Arial" w:cs="Arial" w:eastAsia="Arial" w:hAnsi="Arial"/>
                <w:sz w:val="11"/>
                <w:szCs w:val="11"/>
                <w:b w:val="1"/>
                <w:bCs w:val="1"/>
                <w:color w:val="auto"/>
              </w:rPr>
              <w:t>Total</w:t>
            </w:r>
          </w:p>
        </w:tc>
      </w:tr>
      <w:tr>
        <w:trPr>
          <w:trHeight w:val="117"/>
        </w:trPr>
        <w:tc>
          <w:tcPr>
            <w:tcW w:w="2260" w:type="dxa"/>
            <w:vAlign w:val="bottom"/>
          </w:tcPr>
          <w:p>
            <w:pPr>
              <w:spacing w:after="0" w:line="117" w:lineRule="exact"/>
              <w:rPr>
                <w:sz w:val="20"/>
                <w:szCs w:val="20"/>
                <w:color w:val="auto"/>
              </w:rPr>
            </w:pPr>
            <w:r>
              <w:rPr>
                <w:rFonts w:ascii="Arial" w:cs="Arial" w:eastAsia="Arial" w:hAnsi="Arial"/>
                <w:sz w:val="11"/>
                <w:szCs w:val="11"/>
                <w:b w:val="1"/>
                <w:bCs w:val="1"/>
                <w:color w:val="auto"/>
              </w:rPr>
              <w:t>Three Months Ended</w:t>
            </w: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r>
      <w:tr>
        <w:trPr>
          <w:trHeight w:val="144"/>
        </w:trPr>
        <w:tc>
          <w:tcPr>
            <w:tcW w:w="2260" w:type="dxa"/>
            <w:vAlign w:val="bottom"/>
          </w:tcPr>
          <w:p>
            <w:pPr>
              <w:spacing w:after="0"/>
              <w:rPr>
                <w:sz w:val="20"/>
                <w:szCs w:val="20"/>
                <w:color w:val="auto"/>
              </w:rPr>
            </w:pPr>
            <w:r>
              <w:rPr>
                <w:rFonts w:ascii="Arial" w:cs="Arial" w:eastAsia="Arial" w:hAnsi="Arial"/>
                <w:sz w:val="11"/>
                <w:szCs w:val="11"/>
                <w:b w:val="1"/>
                <w:bCs w:val="1"/>
                <w:color w:val="auto"/>
              </w:rPr>
              <w:t>December 31, 2011</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241"/>
        </w:trPr>
        <w:tc>
          <w:tcPr>
            <w:tcW w:w="2260" w:type="dxa"/>
            <w:vAlign w:val="bottom"/>
          </w:tcPr>
          <w:p>
            <w:pPr>
              <w:spacing w:after="0"/>
              <w:rPr>
                <w:sz w:val="20"/>
                <w:szCs w:val="20"/>
                <w:color w:val="auto"/>
              </w:rPr>
            </w:pPr>
            <w:r>
              <w:rPr>
                <w:rFonts w:ascii="Arial" w:cs="Arial" w:eastAsia="Arial" w:hAnsi="Arial"/>
                <w:sz w:val="11"/>
                <w:szCs w:val="11"/>
                <w:color w:val="auto"/>
              </w:rPr>
              <w:t>Total net sales and revenue</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23,111</w:t>
            </w:r>
          </w:p>
        </w:tc>
        <w:tc>
          <w:tcPr>
            <w:tcW w:w="120" w:type="dxa"/>
            <w:vAlign w:val="bottom"/>
          </w:tcPr>
          <w:p>
            <w:pPr>
              <w:spacing w:after="0"/>
              <w:rPr>
                <w:sz w:val="20"/>
                <w:szCs w:val="20"/>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6,277</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7,035</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4,200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11</w:t>
            </w:r>
          </w:p>
        </w:tc>
        <w:tc>
          <w:tcPr>
            <w:tcW w:w="14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(3,035)</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37,599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394</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37,990</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rPr>
              <w:t>Depreciation, amortization and impairment of</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21"/>
        </w:trPr>
        <w:tc>
          <w:tcPr>
            <w:tcW w:w="2260" w:type="dxa"/>
            <w:vAlign w:val="bottom"/>
          </w:tcPr>
          <w:p>
            <w:pPr>
              <w:ind w:left="140"/>
              <w:spacing w:after="0" w:line="121" w:lineRule="exact"/>
              <w:rPr>
                <w:sz w:val="20"/>
                <w:szCs w:val="20"/>
                <w:color w:val="auto"/>
              </w:rPr>
            </w:pPr>
            <w:r>
              <w:rPr>
                <w:rFonts w:ascii="Arial" w:cs="Arial" w:eastAsia="Arial" w:hAnsi="Arial"/>
                <w:sz w:val="11"/>
                <w:szCs w:val="11"/>
                <w:color w:val="auto"/>
              </w:rPr>
              <w:t>long-lived assets and finite-lived intangible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assets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844</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328</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137</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113</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13</w:t>
            </w:r>
          </w:p>
        </w:tc>
        <w:tc>
          <w:tcPr>
            <w:tcW w:w="14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1,434</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1,460</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rPr>
              <w:t>Equity income, net of tax and gain on</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investments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288</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289</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289</w:t>
            </w:r>
          </w:p>
        </w:tc>
      </w:tr>
      <w:tr>
        <w:trPr>
          <w:trHeight w:val="254"/>
        </w:trPr>
        <w:tc>
          <w:tcPr>
            <w:tcW w:w="2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Total</w:t>
            </w:r>
          </w:p>
        </w:tc>
        <w:tc>
          <w:tcPr>
            <w:tcW w:w="120" w:type="dxa"/>
            <w:vAlign w:val="bottom"/>
          </w:tcPr>
          <w:p>
            <w:pPr>
              <w:spacing w:after="0"/>
              <w:rPr>
                <w:sz w:val="22"/>
                <w:szCs w:val="2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GM</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53"/>
        </w:trPr>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GME</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GMIO</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GMSA</w:t>
            </w:r>
          </w:p>
        </w:tc>
        <w:tc>
          <w:tcPr>
            <w:tcW w:w="12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Corporate</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Automotive</w:t>
            </w:r>
          </w:p>
        </w:tc>
        <w:tc>
          <w:tcPr>
            <w:tcW w:w="12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540" w:type="dxa"/>
            <w:vAlign w:val="bottom"/>
          </w:tcPr>
          <w:p>
            <w:pPr>
              <w:jc w:val="right"/>
              <w:ind w:right="164"/>
              <w:spacing w:after="0"/>
              <w:rPr>
                <w:sz w:val="20"/>
                <w:szCs w:val="20"/>
                <w:color w:val="auto"/>
              </w:rPr>
            </w:pPr>
            <w:r>
              <w:rPr>
                <w:rFonts w:ascii="Arial" w:cs="Arial" w:eastAsia="Arial" w:hAnsi="Arial"/>
                <w:sz w:val="11"/>
                <w:szCs w:val="11"/>
                <w:b w:val="1"/>
                <w:bCs w:val="1"/>
                <w:color w:val="auto"/>
              </w:rPr>
              <w:t>Total</w:t>
            </w:r>
          </w:p>
        </w:tc>
      </w:tr>
      <w:tr>
        <w:trPr>
          <w:trHeight w:val="117"/>
        </w:trPr>
        <w:tc>
          <w:tcPr>
            <w:tcW w:w="2260" w:type="dxa"/>
            <w:vAlign w:val="bottom"/>
          </w:tcPr>
          <w:p>
            <w:pPr>
              <w:spacing w:after="0" w:line="117" w:lineRule="exact"/>
              <w:rPr>
                <w:sz w:val="20"/>
                <w:szCs w:val="20"/>
                <w:color w:val="auto"/>
              </w:rPr>
            </w:pPr>
            <w:r>
              <w:rPr>
                <w:rFonts w:ascii="Arial" w:cs="Arial" w:eastAsia="Arial" w:hAnsi="Arial"/>
                <w:sz w:val="11"/>
                <w:szCs w:val="11"/>
                <w:b w:val="1"/>
                <w:bCs w:val="1"/>
                <w:color w:val="auto"/>
              </w:rPr>
              <w:t>Year Ended</w:t>
            </w: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r>
      <w:tr>
        <w:trPr>
          <w:trHeight w:val="144"/>
        </w:trPr>
        <w:tc>
          <w:tcPr>
            <w:tcW w:w="2260" w:type="dxa"/>
            <w:vAlign w:val="bottom"/>
          </w:tcPr>
          <w:p>
            <w:pPr>
              <w:spacing w:after="0"/>
              <w:rPr>
                <w:sz w:val="20"/>
                <w:szCs w:val="20"/>
                <w:color w:val="auto"/>
              </w:rPr>
            </w:pPr>
            <w:r>
              <w:rPr>
                <w:rFonts w:ascii="Arial" w:cs="Arial" w:eastAsia="Arial" w:hAnsi="Arial"/>
                <w:sz w:val="11"/>
                <w:szCs w:val="11"/>
                <w:b w:val="1"/>
                <w:bCs w:val="1"/>
                <w:color w:val="auto"/>
              </w:rPr>
              <w:t>December 31, 2012</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241"/>
        </w:trPr>
        <w:tc>
          <w:tcPr>
            <w:tcW w:w="2260" w:type="dxa"/>
            <w:vAlign w:val="bottom"/>
          </w:tcPr>
          <w:p>
            <w:pPr>
              <w:spacing w:after="0"/>
              <w:rPr>
                <w:sz w:val="20"/>
                <w:szCs w:val="20"/>
                <w:color w:val="auto"/>
              </w:rPr>
            </w:pPr>
            <w:r>
              <w:rPr>
                <w:rFonts w:ascii="Arial" w:cs="Arial" w:eastAsia="Arial" w:hAnsi="Arial"/>
                <w:sz w:val="11"/>
                <w:szCs w:val="11"/>
                <w:color w:val="auto"/>
              </w:rPr>
              <w:t>Total net sales and revenue</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94,595</w:t>
            </w:r>
          </w:p>
        </w:tc>
        <w:tc>
          <w:tcPr>
            <w:tcW w:w="120" w:type="dxa"/>
            <w:vAlign w:val="bottom"/>
          </w:tcPr>
          <w:p>
            <w:pPr>
              <w:spacing w:after="0"/>
              <w:rPr>
                <w:sz w:val="20"/>
                <w:szCs w:val="20"/>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22,050</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27,690</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16,950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40</w:t>
            </w:r>
          </w:p>
        </w:tc>
        <w:tc>
          <w:tcPr>
            <w:tcW w:w="14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(11,032)</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150,293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1,961</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44"/>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152,256</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rPr>
              <w:t>Depreciation, amortization and impairment of</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21"/>
        </w:trPr>
        <w:tc>
          <w:tcPr>
            <w:tcW w:w="2260" w:type="dxa"/>
            <w:vAlign w:val="bottom"/>
          </w:tcPr>
          <w:p>
            <w:pPr>
              <w:ind w:left="140"/>
              <w:spacing w:after="0" w:line="121" w:lineRule="exact"/>
              <w:rPr>
                <w:sz w:val="20"/>
                <w:szCs w:val="20"/>
                <w:color w:val="auto"/>
              </w:rPr>
            </w:pPr>
            <w:r>
              <w:rPr>
                <w:rFonts w:ascii="Arial" w:cs="Arial" w:eastAsia="Arial" w:hAnsi="Arial"/>
                <w:sz w:val="11"/>
                <w:szCs w:val="11"/>
                <w:color w:val="auto"/>
              </w:rPr>
              <w:t>long-lived assets and finite-lived intangible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assets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3,663</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6,570</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638</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483</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49</w:t>
            </w:r>
          </w:p>
        </w:tc>
        <w:tc>
          <w:tcPr>
            <w:tcW w:w="14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11,402</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225</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11,617</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rPr>
              <w:t>Equity income, net of tax and gain on</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investments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1,552</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1,562</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1,562</w:t>
            </w:r>
          </w:p>
        </w:tc>
      </w:tr>
      <w:tr>
        <w:trPr>
          <w:trHeight w:val="254"/>
        </w:trPr>
        <w:tc>
          <w:tcPr>
            <w:tcW w:w="2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Total</w:t>
            </w:r>
          </w:p>
        </w:tc>
        <w:tc>
          <w:tcPr>
            <w:tcW w:w="120" w:type="dxa"/>
            <w:vAlign w:val="bottom"/>
          </w:tcPr>
          <w:p>
            <w:pPr>
              <w:spacing w:after="0"/>
              <w:rPr>
                <w:sz w:val="22"/>
                <w:szCs w:val="2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GM</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53"/>
        </w:trPr>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GME</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GMIO</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GMSA</w:t>
            </w:r>
          </w:p>
        </w:tc>
        <w:tc>
          <w:tcPr>
            <w:tcW w:w="12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Corporate</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Automotive</w:t>
            </w:r>
          </w:p>
        </w:tc>
        <w:tc>
          <w:tcPr>
            <w:tcW w:w="12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540" w:type="dxa"/>
            <w:vAlign w:val="bottom"/>
          </w:tcPr>
          <w:p>
            <w:pPr>
              <w:jc w:val="right"/>
              <w:ind w:right="164"/>
              <w:spacing w:after="0"/>
              <w:rPr>
                <w:sz w:val="20"/>
                <w:szCs w:val="20"/>
                <w:color w:val="auto"/>
              </w:rPr>
            </w:pPr>
            <w:r>
              <w:rPr>
                <w:rFonts w:ascii="Arial" w:cs="Arial" w:eastAsia="Arial" w:hAnsi="Arial"/>
                <w:sz w:val="11"/>
                <w:szCs w:val="11"/>
                <w:b w:val="1"/>
                <w:bCs w:val="1"/>
                <w:color w:val="auto"/>
              </w:rPr>
              <w:t>Total</w:t>
            </w:r>
          </w:p>
        </w:tc>
      </w:tr>
      <w:tr>
        <w:trPr>
          <w:trHeight w:val="117"/>
        </w:trPr>
        <w:tc>
          <w:tcPr>
            <w:tcW w:w="2260" w:type="dxa"/>
            <w:vAlign w:val="bottom"/>
          </w:tcPr>
          <w:p>
            <w:pPr>
              <w:spacing w:after="0" w:line="117" w:lineRule="exact"/>
              <w:rPr>
                <w:sz w:val="20"/>
                <w:szCs w:val="20"/>
                <w:color w:val="auto"/>
              </w:rPr>
            </w:pPr>
            <w:r>
              <w:rPr>
                <w:rFonts w:ascii="Arial" w:cs="Arial" w:eastAsia="Arial" w:hAnsi="Arial"/>
                <w:sz w:val="11"/>
                <w:szCs w:val="11"/>
                <w:b w:val="1"/>
                <w:bCs w:val="1"/>
                <w:color w:val="auto"/>
              </w:rPr>
              <w:t>Year Ended</w:t>
            </w: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r>
      <w:tr>
        <w:trPr>
          <w:trHeight w:val="144"/>
        </w:trPr>
        <w:tc>
          <w:tcPr>
            <w:tcW w:w="2260" w:type="dxa"/>
            <w:vAlign w:val="bottom"/>
          </w:tcPr>
          <w:p>
            <w:pPr>
              <w:spacing w:after="0"/>
              <w:rPr>
                <w:sz w:val="20"/>
                <w:szCs w:val="20"/>
                <w:color w:val="auto"/>
              </w:rPr>
            </w:pPr>
            <w:r>
              <w:rPr>
                <w:rFonts w:ascii="Arial" w:cs="Arial" w:eastAsia="Arial" w:hAnsi="Arial"/>
                <w:sz w:val="11"/>
                <w:szCs w:val="11"/>
                <w:b w:val="1"/>
                <w:bCs w:val="1"/>
                <w:color w:val="auto"/>
              </w:rPr>
              <w:t>December 31, 2011</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241"/>
        </w:trPr>
        <w:tc>
          <w:tcPr>
            <w:tcW w:w="2260" w:type="dxa"/>
            <w:vAlign w:val="bottom"/>
          </w:tcPr>
          <w:p>
            <w:pPr>
              <w:spacing w:after="0"/>
              <w:rPr>
                <w:sz w:val="20"/>
                <w:szCs w:val="20"/>
                <w:color w:val="auto"/>
              </w:rPr>
            </w:pPr>
            <w:r>
              <w:rPr>
                <w:rFonts w:ascii="Arial" w:cs="Arial" w:eastAsia="Arial" w:hAnsi="Arial"/>
                <w:sz w:val="11"/>
                <w:szCs w:val="11"/>
                <w:color w:val="auto"/>
              </w:rPr>
              <w:t>Total net sales and revenue</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90,233</w:t>
            </w:r>
          </w:p>
        </w:tc>
        <w:tc>
          <w:tcPr>
            <w:tcW w:w="120" w:type="dxa"/>
            <w:vAlign w:val="bottom"/>
          </w:tcPr>
          <w:p>
            <w:pPr>
              <w:spacing w:after="0"/>
              <w:rPr>
                <w:sz w:val="20"/>
                <w:szCs w:val="20"/>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26,757</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24,761</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16,877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61</w:t>
            </w:r>
          </w:p>
        </w:tc>
        <w:tc>
          <w:tcPr>
            <w:tcW w:w="14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(9,820)</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148,869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1,410</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150,276</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rPr>
              <w:t>Depreciation, amortization and impairment of</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21"/>
        </w:trPr>
        <w:tc>
          <w:tcPr>
            <w:tcW w:w="2260" w:type="dxa"/>
            <w:vAlign w:val="bottom"/>
          </w:tcPr>
          <w:p>
            <w:pPr>
              <w:ind w:left="140"/>
              <w:spacing w:after="0" w:line="121" w:lineRule="exact"/>
              <w:rPr>
                <w:sz w:val="20"/>
                <w:szCs w:val="20"/>
                <w:color w:val="auto"/>
              </w:rPr>
            </w:pPr>
            <w:r>
              <w:rPr>
                <w:rFonts w:ascii="Arial" w:cs="Arial" w:eastAsia="Arial" w:hAnsi="Arial"/>
                <w:sz w:val="11"/>
                <w:szCs w:val="11"/>
                <w:color w:val="auto"/>
              </w:rPr>
              <w:t>long-lived assets and finite-lived intangible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assets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3,693</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1,371</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491</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454</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50</w:t>
            </w:r>
          </w:p>
        </w:tc>
        <w:tc>
          <w:tcPr>
            <w:tcW w:w="14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6,058</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85</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6,141</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rPr>
              <w:t>Equity income, net of tax and gain on</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investments(a)</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1,733</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1,458</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3,192</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3,192</w:t>
            </w:r>
          </w:p>
        </w:tc>
      </w:tr>
    </w:tbl>
    <w:p>
      <w:pPr>
        <w:spacing w:after="0" w:line="4" w:lineRule="exact"/>
        <w:rPr>
          <w:sz w:val="20"/>
          <w:szCs w:val="20"/>
          <w:color w:val="auto"/>
        </w:rPr>
      </w:pPr>
    </w:p>
    <w:p>
      <w:pPr>
        <w:ind w:left="4"/>
        <w:spacing w:after="0"/>
        <w:rPr>
          <w:sz w:val="20"/>
          <w:szCs w:val="20"/>
          <w:color w:val="auto"/>
        </w:rPr>
      </w:pPr>
      <w:r>
        <w:rPr>
          <w:rFonts w:ascii="Arial" w:cs="Arial" w:eastAsia="Arial" w:hAnsi="Arial"/>
          <w:sz w:val="16"/>
          <w:szCs w:val="16"/>
          <w:color w:val="auto"/>
        </w:rPr>
        <w:t>__________</w:t>
      </w:r>
    </w:p>
    <w:p>
      <w:pPr>
        <w:spacing w:after="0" w:line="16" w:lineRule="exact"/>
        <w:rPr>
          <w:sz w:val="20"/>
          <w:szCs w:val="20"/>
          <w:color w:val="auto"/>
        </w:rPr>
      </w:pPr>
    </w:p>
    <w:p>
      <w:pPr>
        <w:ind w:left="284" w:hanging="284"/>
        <w:spacing w:after="0"/>
        <w:tabs>
          <w:tab w:leader="none" w:pos="284" w:val="left"/>
        </w:tabs>
        <w:numPr>
          <w:ilvl w:val="0"/>
          <w:numId w:val="5"/>
        </w:numPr>
        <w:rPr>
          <w:rFonts w:ascii="Arial" w:cs="Arial" w:eastAsia="Arial" w:hAnsi="Arial"/>
          <w:sz w:val="13"/>
          <w:szCs w:val="13"/>
          <w:color w:val="auto"/>
        </w:rPr>
      </w:pPr>
      <w:r>
        <w:rPr>
          <w:rFonts w:ascii="Arial" w:cs="Arial" w:eastAsia="Arial" w:hAnsi="Arial"/>
          <w:sz w:val="13"/>
          <w:szCs w:val="13"/>
          <w:color w:val="auto"/>
        </w:rPr>
        <w:t>Includes a gain of 1.6 billion recorded on the sale of GM's New Delphi Class A Membership Interests.</w:t>
      </w:r>
    </w:p>
    <w:p>
      <w:pPr>
        <w:spacing w:after="0" w:line="35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44"/>
          </w:cols>
          <w:pgMar w:left="236" w:top="533" w:right="219" w:bottom="1440" w:gutter="0" w:footer="0" w:header="0"/>
        </w:sectPr>
      </w:pPr>
    </w:p>
    <w:bookmarkStart w:id="11" w:name="page12"/>
    <w:bookmarkEnd w:id="11"/>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420" w:type="dxa"/>
            <w:vAlign w:val="bottom"/>
          </w:tcPr>
          <w:p>
            <w:pPr>
              <w:spacing w:after="0"/>
              <w:rPr>
                <w:sz w:val="14"/>
                <w:szCs w:val="14"/>
                <w:color w:val="auto"/>
              </w:rPr>
            </w:pPr>
          </w:p>
        </w:tc>
        <w:tc>
          <w:tcPr>
            <w:tcW w:w="1720" w:type="dxa"/>
            <w:vAlign w:val="bottom"/>
            <w:gridSpan w:val="2"/>
          </w:tcPr>
          <w:p>
            <w:pPr>
              <w:ind w:left="280"/>
              <w:spacing w:after="0"/>
              <w:rPr>
                <w:sz w:val="20"/>
                <w:szCs w:val="20"/>
                <w:color w:val="auto"/>
              </w:rPr>
            </w:pPr>
            <w:r>
              <w:rPr>
                <w:rFonts w:ascii="Arial" w:cs="Arial" w:eastAsia="Arial" w:hAnsi="Arial"/>
                <w:sz w:val="13"/>
                <w:szCs w:val="13"/>
                <w:b w:val="1"/>
                <w:bCs w:val="1"/>
                <w:color w:val="auto"/>
              </w:rPr>
              <w:t>December 31, 2012</w:t>
            </w:r>
          </w:p>
        </w:tc>
        <w:tc>
          <w:tcPr>
            <w:tcW w:w="1720" w:type="dxa"/>
            <w:vAlign w:val="bottom"/>
          </w:tcPr>
          <w:p>
            <w:pPr>
              <w:jc w:val="right"/>
              <w:ind w:right="321"/>
              <w:spacing w:after="0"/>
              <w:rPr>
                <w:sz w:val="20"/>
                <w:szCs w:val="20"/>
                <w:color w:val="auto"/>
              </w:rPr>
            </w:pPr>
            <w:r>
              <w:rPr>
                <w:rFonts w:ascii="Arial" w:cs="Arial" w:eastAsia="Arial" w:hAnsi="Arial"/>
                <w:sz w:val="13"/>
                <w:szCs w:val="13"/>
                <w:b w:val="1"/>
                <w:bCs w:val="1"/>
                <w:color w:val="auto"/>
              </w:rPr>
              <w:t>December 31, 2011</w:t>
            </w:r>
          </w:p>
        </w:tc>
        <w:tc>
          <w:tcPr>
            <w:tcW w:w="1580" w:type="dxa"/>
            <w:vAlign w:val="bottom"/>
          </w:tcPr>
          <w:p>
            <w:pPr>
              <w:jc w:val="right"/>
              <w:ind w:right="201"/>
              <w:spacing w:after="0"/>
              <w:rPr>
                <w:sz w:val="20"/>
                <w:szCs w:val="20"/>
                <w:color w:val="auto"/>
              </w:rPr>
            </w:pPr>
            <w:r>
              <w:rPr>
                <w:rFonts w:ascii="Arial" w:cs="Arial" w:eastAsia="Arial" w:hAnsi="Arial"/>
                <w:sz w:val="13"/>
                <w:szCs w:val="13"/>
                <w:b w:val="1"/>
                <w:bCs w:val="1"/>
                <w:color w:val="auto"/>
              </w:rPr>
              <w:t>December 31, 2010</w:t>
            </w:r>
          </w:p>
        </w:tc>
      </w:tr>
      <w:tr>
        <w:trPr>
          <w:trHeight w:val="217"/>
        </w:trPr>
        <w:tc>
          <w:tcPr>
            <w:tcW w:w="6420" w:type="dxa"/>
            <w:vAlign w:val="bottom"/>
          </w:tcPr>
          <w:p>
            <w:pPr>
              <w:ind w:left="20"/>
              <w:spacing w:after="0"/>
              <w:rPr>
                <w:sz w:val="20"/>
                <w:szCs w:val="20"/>
                <w:color w:val="auto"/>
              </w:rPr>
            </w:pPr>
            <w:r>
              <w:rPr>
                <w:rFonts w:ascii="Arial" w:cs="Arial" w:eastAsia="Arial" w:hAnsi="Arial"/>
                <w:sz w:val="16"/>
                <w:szCs w:val="16"/>
                <w:b w:val="1"/>
                <w:bCs w:val="1"/>
                <w:color w:val="auto"/>
              </w:rPr>
              <w:t>Worldwide Employment (thousands)</w:t>
            </w:r>
          </w:p>
        </w:tc>
        <w:tc>
          <w:tcPr>
            <w:tcW w:w="1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r>
      <w:tr>
        <w:trPr>
          <w:trHeight w:val="241"/>
        </w:trPr>
        <w:tc>
          <w:tcPr>
            <w:tcW w:w="6420" w:type="dxa"/>
            <w:vAlign w:val="bottom"/>
          </w:tcPr>
          <w:p>
            <w:pPr>
              <w:ind w:left="20"/>
              <w:spacing w:after="0"/>
              <w:rPr>
                <w:sz w:val="20"/>
                <w:szCs w:val="20"/>
                <w:color w:val="auto"/>
              </w:rPr>
            </w:pPr>
            <w:r>
              <w:rPr>
                <w:rFonts w:ascii="Arial" w:cs="Arial" w:eastAsia="Arial" w:hAnsi="Arial"/>
                <w:sz w:val="16"/>
                <w:szCs w:val="16"/>
                <w:color w:val="auto"/>
              </w:rPr>
              <w:t>GMNA</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1720" w:type="dxa"/>
            <w:vAlign w:val="bottom"/>
          </w:tcPr>
          <w:p>
            <w:pPr>
              <w:jc w:val="right"/>
              <w:ind w:right="161"/>
              <w:spacing w:after="0"/>
              <w:rPr>
                <w:sz w:val="20"/>
                <w:szCs w:val="20"/>
                <w:color w:val="auto"/>
              </w:rPr>
            </w:pPr>
            <w:r>
              <w:rPr>
                <w:rFonts w:ascii="Arial" w:cs="Arial" w:eastAsia="Arial" w:hAnsi="Arial"/>
                <w:sz w:val="16"/>
                <w:szCs w:val="16"/>
                <w:color w:val="auto"/>
              </w:rPr>
              <w:t>98</w:t>
            </w: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96</w:t>
            </w:r>
          </w:p>
        </w:tc>
      </w:tr>
      <w:tr>
        <w:trPr>
          <w:trHeight w:val="241"/>
        </w:trPr>
        <w:tc>
          <w:tcPr>
            <w:tcW w:w="6420" w:type="dxa"/>
            <w:vAlign w:val="bottom"/>
          </w:tcPr>
          <w:p>
            <w:pPr>
              <w:ind w:left="20"/>
              <w:spacing w:after="0"/>
              <w:rPr>
                <w:sz w:val="20"/>
                <w:szCs w:val="20"/>
                <w:color w:val="auto"/>
              </w:rPr>
            </w:pPr>
            <w:r>
              <w:rPr>
                <w:rFonts w:ascii="Arial" w:cs="Arial" w:eastAsia="Arial" w:hAnsi="Arial"/>
                <w:sz w:val="16"/>
                <w:szCs w:val="16"/>
                <w:color w:val="auto"/>
              </w:rPr>
              <w:t>GME</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720" w:type="dxa"/>
            <w:vAlign w:val="bottom"/>
          </w:tcPr>
          <w:p>
            <w:pPr>
              <w:jc w:val="right"/>
              <w:ind w:right="161"/>
              <w:spacing w:after="0"/>
              <w:rPr>
                <w:sz w:val="20"/>
                <w:szCs w:val="20"/>
                <w:color w:val="auto"/>
              </w:rPr>
            </w:pPr>
            <w:r>
              <w:rPr>
                <w:rFonts w:ascii="Arial" w:cs="Arial" w:eastAsia="Arial" w:hAnsi="Arial"/>
                <w:sz w:val="16"/>
                <w:szCs w:val="16"/>
                <w:color w:val="auto"/>
              </w:rPr>
              <w:t>39</w:t>
            </w: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40</w:t>
            </w:r>
          </w:p>
        </w:tc>
      </w:tr>
      <w:tr>
        <w:trPr>
          <w:trHeight w:val="241"/>
        </w:trPr>
        <w:tc>
          <w:tcPr>
            <w:tcW w:w="6420" w:type="dxa"/>
            <w:vAlign w:val="bottom"/>
          </w:tcPr>
          <w:p>
            <w:pPr>
              <w:ind w:left="20"/>
              <w:spacing w:after="0"/>
              <w:rPr>
                <w:sz w:val="20"/>
                <w:szCs w:val="20"/>
                <w:color w:val="auto"/>
              </w:rPr>
            </w:pPr>
            <w:r>
              <w:rPr>
                <w:rFonts w:ascii="Arial" w:cs="Arial" w:eastAsia="Arial" w:hAnsi="Arial"/>
                <w:sz w:val="16"/>
                <w:szCs w:val="16"/>
                <w:color w:val="auto"/>
              </w:rPr>
              <w:t>GMIO(a)</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720" w:type="dxa"/>
            <w:vAlign w:val="bottom"/>
          </w:tcPr>
          <w:p>
            <w:pPr>
              <w:jc w:val="right"/>
              <w:ind w:right="161"/>
              <w:spacing w:after="0"/>
              <w:rPr>
                <w:sz w:val="20"/>
                <w:szCs w:val="20"/>
                <w:color w:val="auto"/>
              </w:rPr>
            </w:pPr>
            <w:r>
              <w:rPr>
                <w:rFonts w:ascii="Arial" w:cs="Arial" w:eastAsia="Arial" w:hAnsi="Arial"/>
                <w:sz w:val="16"/>
                <w:szCs w:val="16"/>
                <w:color w:val="auto"/>
              </w:rPr>
              <w:t>34</w:t>
            </w: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32</w:t>
            </w:r>
          </w:p>
        </w:tc>
      </w:tr>
      <w:tr>
        <w:trPr>
          <w:trHeight w:val="241"/>
        </w:trPr>
        <w:tc>
          <w:tcPr>
            <w:tcW w:w="6420" w:type="dxa"/>
            <w:vAlign w:val="bottom"/>
          </w:tcPr>
          <w:p>
            <w:pPr>
              <w:ind w:left="20"/>
              <w:spacing w:after="0"/>
              <w:rPr>
                <w:sz w:val="20"/>
                <w:szCs w:val="20"/>
                <w:color w:val="auto"/>
              </w:rPr>
            </w:pPr>
            <w:r>
              <w:rPr>
                <w:rFonts w:ascii="Arial" w:cs="Arial" w:eastAsia="Arial" w:hAnsi="Arial"/>
                <w:sz w:val="16"/>
                <w:szCs w:val="16"/>
                <w:color w:val="auto"/>
              </w:rPr>
              <w:t>GMSA</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720" w:type="dxa"/>
            <w:vAlign w:val="bottom"/>
          </w:tcPr>
          <w:p>
            <w:pPr>
              <w:jc w:val="right"/>
              <w:ind w:right="161"/>
              <w:spacing w:after="0"/>
              <w:rPr>
                <w:sz w:val="20"/>
                <w:szCs w:val="20"/>
                <w:color w:val="auto"/>
              </w:rPr>
            </w:pPr>
            <w:r>
              <w:rPr>
                <w:rFonts w:ascii="Arial" w:cs="Arial" w:eastAsia="Arial" w:hAnsi="Arial"/>
                <w:sz w:val="16"/>
                <w:szCs w:val="16"/>
                <w:color w:val="auto"/>
              </w:rPr>
              <w:t>33</w:t>
            </w: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31</w:t>
            </w:r>
          </w:p>
        </w:tc>
      </w:tr>
      <w:tr>
        <w:trPr>
          <w:trHeight w:val="241"/>
        </w:trPr>
        <w:tc>
          <w:tcPr>
            <w:tcW w:w="6420" w:type="dxa"/>
            <w:vAlign w:val="bottom"/>
          </w:tcPr>
          <w:p>
            <w:pPr>
              <w:ind w:left="20"/>
              <w:spacing w:after="0"/>
              <w:rPr>
                <w:sz w:val="20"/>
                <w:szCs w:val="20"/>
                <w:color w:val="auto"/>
              </w:rPr>
            </w:pPr>
            <w:r>
              <w:rPr>
                <w:rFonts w:ascii="Arial" w:cs="Arial" w:eastAsia="Arial" w:hAnsi="Arial"/>
                <w:sz w:val="16"/>
                <w:szCs w:val="16"/>
                <w:color w:val="auto"/>
              </w:rPr>
              <w:t>GM Financial</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720" w:type="dxa"/>
            <w:vAlign w:val="bottom"/>
          </w:tcPr>
          <w:p>
            <w:pPr>
              <w:jc w:val="right"/>
              <w:ind w:right="161"/>
              <w:spacing w:after="0"/>
              <w:rPr>
                <w:sz w:val="20"/>
                <w:szCs w:val="20"/>
                <w:color w:val="auto"/>
              </w:rPr>
            </w:pPr>
            <w:r>
              <w:rPr>
                <w:rFonts w:ascii="Arial" w:cs="Arial" w:eastAsia="Arial" w:hAnsi="Arial"/>
                <w:sz w:val="16"/>
                <w:szCs w:val="16"/>
                <w:color w:val="auto"/>
              </w:rPr>
              <w:t>3</w:t>
            </w: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3</w:t>
            </w:r>
          </w:p>
        </w:tc>
      </w:tr>
      <w:tr>
        <w:trPr>
          <w:trHeight w:val="24"/>
        </w:trPr>
        <w:tc>
          <w:tcPr>
            <w:tcW w:w="64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7"/>
        </w:trPr>
        <w:tc>
          <w:tcPr>
            <w:tcW w:w="6420" w:type="dxa"/>
            <w:vAlign w:val="bottom"/>
          </w:tcPr>
          <w:p>
            <w:pPr>
              <w:ind w:left="20"/>
              <w:spacing w:after="0"/>
              <w:rPr>
                <w:sz w:val="20"/>
                <w:szCs w:val="20"/>
                <w:color w:val="auto"/>
              </w:rPr>
            </w:pPr>
            <w:r>
              <w:rPr>
                <w:rFonts w:ascii="Arial" w:cs="Arial" w:eastAsia="Arial" w:hAnsi="Arial"/>
                <w:sz w:val="16"/>
                <w:szCs w:val="16"/>
                <w:b w:val="1"/>
                <w:bCs w:val="1"/>
                <w:color w:val="auto"/>
              </w:rPr>
              <w:t>Total Worldwide</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213</w:t>
            </w:r>
          </w:p>
        </w:tc>
        <w:tc>
          <w:tcPr>
            <w:tcW w:w="120" w:type="dxa"/>
            <w:vAlign w:val="bottom"/>
          </w:tcPr>
          <w:p>
            <w:pPr>
              <w:spacing w:after="0"/>
              <w:rPr>
                <w:sz w:val="19"/>
                <w:szCs w:val="19"/>
                <w:color w:val="auto"/>
              </w:rPr>
            </w:pPr>
          </w:p>
        </w:tc>
        <w:tc>
          <w:tcPr>
            <w:tcW w:w="17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207</w:t>
            </w:r>
          </w:p>
        </w:tc>
        <w:tc>
          <w:tcPr>
            <w:tcW w:w="15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202</w:t>
            </w:r>
          </w:p>
        </w:tc>
      </w:tr>
      <w:tr>
        <w:trPr>
          <w:trHeight w:val="20"/>
        </w:trPr>
        <w:tc>
          <w:tcPr>
            <w:tcW w:w="64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440"/>
        </w:trPr>
        <w:tc>
          <w:tcPr>
            <w:tcW w:w="6420" w:type="dxa"/>
            <w:vAlign w:val="bottom"/>
          </w:tcPr>
          <w:p>
            <w:pPr>
              <w:ind w:left="20"/>
              <w:spacing w:after="0"/>
              <w:rPr>
                <w:sz w:val="20"/>
                <w:szCs w:val="20"/>
                <w:color w:val="auto"/>
              </w:rPr>
            </w:pPr>
            <w:r>
              <w:rPr>
                <w:rFonts w:ascii="Arial" w:cs="Arial" w:eastAsia="Arial" w:hAnsi="Arial"/>
                <w:sz w:val="16"/>
                <w:szCs w:val="16"/>
                <w:color w:val="auto"/>
              </w:rPr>
              <w:t>U.S. - Salaried</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4"/>
                <w:szCs w:val="24"/>
                <w:color w:val="auto"/>
              </w:rPr>
            </w:pPr>
          </w:p>
        </w:tc>
        <w:tc>
          <w:tcPr>
            <w:tcW w:w="1720" w:type="dxa"/>
            <w:vAlign w:val="bottom"/>
          </w:tcPr>
          <w:p>
            <w:pPr>
              <w:jc w:val="right"/>
              <w:ind w:right="161"/>
              <w:spacing w:after="0"/>
              <w:rPr>
                <w:sz w:val="20"/>
                <w:szCs w:val="20"/>
                <w:color w:val="auto"/>
              </w:rPr>
            </w:pPr>
            <w:r>
              <w:rPr>
                <w:rFonts w:ascii="Arial" w:cs="Arial" w:eastAsia="Arial" w:hAnsi="Arial"/>
                <w:sz w:val="16"/>
                <w:szCs w:val="16"/>
                <w:color w:val="auto"/>
              </w:rPr>
              <w:t>29</w:t>
            </w: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28</w:t>
            </w:r>
          </w:p>
        </w:tc>
      </w:tr>
      <w:tr>
        <w:trPr>
          <w:trHeight w:val="241"/>
        </w:trPr>
        <w:tc>
          <w:tcPr>
            <w:tcW w:w="6420" w:type="dxa"/>
            <w:vAlign w:val="bottom"/>
          </w:tcPr>
          <w:p>
            <w:pPr>
              <w:ind w:left="20"/>
              <w:spacing w:after="0"/>
              <w:rPr>
                <w:sz w:val="20"/>
                <w:szCs w:val="20"/>
                <w:color w:val="auto"/>
              </w:rPr>
            </w:pPr>
            <w:r>
              <w:rPr>
                <w:rFonts w:ascii="Arial" w:cs="Arial" w:eastAsia="Arial" w:hAnsi="Arial"/>
                <w:sz w:val="16"/>
                <w:szCs w:val="16"/>
                <w:color w:val="auto"/>
              </w:rPr>
              <w:t>U.S. - Hourly</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720" w:type="dxa"/>
            <w:vAlign w:val="bottom"/>
          </w:tcPr>
          <w:p>
            <w:pPr>
              <w:jc w:val="right"/>
              <w:ind w:right="161"/>
              <w:spacing w:after="0"/>
              <w:rPr>
                <w:sz w:val="20"/>
                <w:szCs w:val="20"/>
                <w:color w:val="auto"/>
              </w:rPr>
            </w:pPr>
            <w:r>
              <w:rPr>
                <w:rFonts w:ascii="Arial" w:cs="Arial" w:eastAsia="Arial" w:hAnsi="Arial"/>
                <w:sz w:val="16"/>
                <w:szCs w:val="16"/>
                <w:color w:val="auto"/>
              </w:rPr>
              <w:t>48</w:t>
            </w: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49</w:t>
            </w:r>
          </w:p>
        </w:tc>
      </w:tr>
      <w:tr>
        <w:trPr>
          <w:trHeight w:val="217"/>
        </w:trPr>
        <w:tc>
          <w:tcPr>
            <w:tcW w:w="6420" w:type="dxa"/>
            <w:vAlign w:val="bottom"/>
          </w:tcPr>
          <w:p>
            <w:pPr>
              <w:spacing w:after="0"/>
              <w:rPr>
                <w:sz w:val="20"/>
                <w:szCs w:val="20"/>
                <w:color w:val="auto"/>
              </w:rPr>
            </w:pPr>
            <w:r>
              <w:rPr>
                <w:rFonts w:ascii="Arial" w:cs="Arial" w:eastAsia="Arial" w:hAnsi="Arial"/>
                <w:sz w:val="16"/>
                <w:szCs w:val="16"/>
                <w:color w:val="auto"/>
              </w:rPr>
              <w:t>______</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80" w:type="dxa"/>
            <w:vAlign w:val="bottom"/>
          </w:tcPr>
          <w:p>
            <w:pPr>
              <w:spacing w:after="0"/>
              <w:rPr>
                <w:sz w:val="18"/>
                <w:szCs w:val="18"/>
                <w:color w:val="auto"/>
              </w:rPr>
            </w:pPr>
          </w:p>
        </w:tc>
      </w:tr>
    </w:tbl>
    <w:p>
      <w:pPr>
        <w:spacing w:after="0"/>
        <w:tabs>
          <w:tab w:leader="none" w:pos="26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Increase in GMIO includes an increase of 4,000 employees due to the acquisition of HKJV.</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40"/>
          </w:cols>
          <w:pgMar w:left="240" w:top="726" w:right="219" w:bottom="1440" w:gutter="0" w:footer="0" w:header="0"/>
        </w:sectPr>
      </w:pPr>
    </w:p>
    <w:bookmarkStart w:id="12" w:name="page13"/>
    <w:bookmarkEnd w:id="12"/>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Unaudited)</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5600" w:type="dxa"/>
            <w:vAlign w:val="bottom"/>
          </w:tcPr>
          <w:p>
            <w:pPr>
              <w:spacing w:after="0"/>
              <w:rPr>
                <w:sz w:val="14"/>
                <w:szCs w:val="14"/>
                <w:color w:val="auto"/>
              </w:rPr>
            </w:pPr>
          </w:p>
        </w:tc>
        <w:tc>
          <w:tcPr>
            <w:tcW w:w="2860" w:type="dxa"/>
            <w:vAlign w:val="bottom"/>
            <w:tcBorders>
              <w:bottom w:val="single" w:sz="8" w:color="auto"/>
            </w:tcBorders>
            <w:gridSpan w:val="3"/>
          </w:tcPr>
          <w:p>
            <w:pPr>
              <w:jc w:val="right"/>
              <w:ind w:right="741"/>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4"/>
                <w:szCs w:val="14"/>
                <w:color w:val="auto"/>
              </w:rPr>
            </w:pPr>
          </w:p>
        </w:tc>
        <w:tc>
          <w:tcPr>
            <w:tcW w:w="2800" w:type="dxa"/>
            <w:vAlign w:val="bottom"/>
            <w:tcBorders>
              <w:bottom w:val="single" w:sz="8" w:color="auto"/>
            </w:tcBorders>
            <w:gridSpan w:val="3"/>
          </w:tcPr>
          <w:p>
            <w:pPr>
              <w:jc w:val="right"/>
              <w:ind w:right="981"/>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1500" w:type="dxa"/>
            <w:vAlign w:val="bottom"/>
            <w:gridSpan w:val="2"/>
          </w:tcPr>
          <w:p>
            <w:pPr>
              <w:ind w:left="180"/>
              <w:spacing w:after="0"/>
              <w:rPr>
                <w:sz w:val="20"/>
                <w:szCs w:val="20"/>
                <w:color w:val="auto"/>
              </w:rPr>
            </w:pPr>
            <w:r>
              <w:rPr>
                <w:rFonts w:ascii="Arial" w:cs="Arial" w:eastAsia="Arial" w:hAnsi="Arial"/>
                <w:sz w:val="13"/>
                <w:szCs w:val="13"/>
                <w:b w:val="1"/>
                <w:bCs w:val="1"/>
                <w:color w:val="auto"/>
              </w:rPr>
              <w:t>December 31, 2012</w:t>
            </w:r>
          </w:p>
        </w:tc>
        <w:tc>
          <w:tcPr>
            <w:tcW w:w="1480" w:type="dxa"/>
            <w:vAlign w:val="bottom"/>
            <w:gridSpan w:val="2"/>
          </w:tcPr>
          <w:p>
            <w:pPr>
              <w:ind w:left="160"/>
              <w:spacing w:after="0"/>
              <w:rPr>
                <w:sz w:val="20"/>
                <w:szCs w:val="20"/>
                <w:color w:val="auto"/>
              </w:rPr>
            </w:pPr>
            <w:r>
              <w:rPr>
                <w:rFonts w:ascii="Arial" w:cs="Arial" w:eastAsia="Arial" w:hAnsi="Arial"/>
                <w:sz w:val="13"/>
                <w:szCs w:val="13"/>
                <w:b w:val="1"/>
                <w:bCs w:val="1"/>
                <w:color w:val="auto"/>
              </w:rPr>
              <w:t>December 31, 2011</w:t>
            </w:r>
          </w:p>
        </w:tc>
        <w:tc>
          <w:tcPr>
            <w:tcW w:w="1460" w:type="dxa"/>
            <w:vAlign w:val="bottom"/>
            <w:gridSpan w:val="2"/>
          </w:tcPr>
          <w:p>
            <w:pPr>
              <w:ind w:left="140"/>
              <w:spacing w:after="0"/>
              <w:rPr>
                <w:sz w:val="20"/>
                <w:szCs w:val="20"/>
                <w:color w:val="auto"/>
              </w:rPr>
            </w:pPr>
            <w:r>
              <w:rPr>
                <w:rFonts w:ascii="Arial" w:cs="Arial" w:eastAsia="Arial" w:hAnsi="Arial"/>
                <w:sz w:val="13"/>
                <w:szCs w:val="13"/>
                <w:b w:val="1"/>
                <w:bCs w:val="1"/>
                <w:color w:val="auto"/>
              </w:rPr>
              <w:t>December 31, 2012</w:t>
            </w:r>
          </w:p>
        </w:tc>
        <w:tc>
          <w:tcPr>
            <w:tcW w:w="1340" w:type="dxa"/>
            <w:vAlign w:val="bottom"/>
          </w:tcPr>
          <w:p>
            <w:pPr>
              <w:jc w:val="right"/>
              <w:ind w:right="81"/>
              <w:spacing w:after="0"/>
              <w:rPr>
                <w:sz w:val="20"/>
                <w:szCs w:val="20"/>
                <w:color w:val="auto"/>
              </w:rPr>
            </w:pPr>
            <w:r>
              <w:rPr>
                <w:rFonts w:ascii="Arial" w:cs="Arial" w:eastAsia="Arial" w:hAnsi="Arial"/>
                <w:sz w:val="13"/>
                <w:szCs w:val="13"/>
                <w:b w:val="1"/>
                <w:bCs w:val="1"/>
                <w:color w:val="auto"/>
                <w:w w:val="99"/>
              </w:rPr>
              <w:t>December 31, 2011</w:t>
            </w:r>
          </w:p>
        </w:tc>
        <w:tc>
          <w:tcPr>
            <w:tcW w:w="0" w:type="dxa"/>
            <w:vAlign w:val="bottom"/>
          </w:tcPr>
          <w:p>
            <w:pPr>
              <w:spacing w:after="0"/>
              <w:rPr>
                <w:sz w:val="1"/>
                <w:szCs w:val="1"/>
                <w:color w:val="auto"/>
              </w:rPr>
            </w:pPr>
          </w:p>
        </w:tc>
      </w:tr>
      <w:tr>
        <w:trPr>
          <w:trHeight w:val="217"/>
        </w:trPr>
        <w:tc>
          <w:tcPr>
            <w:tcW w:w="5600" w:type="dxa"/>
            <w:vAlign w:val="bottom"/>
          </w:tcPr>
          <w:p>
            <w:pPr>
              <w:ind w:left="60"/>
              <w:spacing w:after="0"/>
              <w:rPr>
                <w:sz w:val="20"/>
                <w:szCs w:val="20"/>
                <w:color w:val="auto"/>
              </w:rPr>
            </w:pPr>
            <w:r>
              <w:rPr>
                <w:rFonts w:ascii="Arial" w:cs="Arial" w:eastAsia="Arial" w:hAnsi="Arial"/>
                <w:sz w:val="16"/>
                <w:szCs w:val="16"/>
                <w:b w:val="1"/>
                <w:bCs w:val="1"/>
                <w:color w:val="auto"/>
              </w:rPr>
              <w:t>Production Volume (units in thousands)(a)</w:t>
            </w: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600" w:type="dxa"/>
            <w:vAlign w:val="bottom"/>
          </w:tcPr>
          <w:p>
            <w:pPr>
              <w:ind w:left="60"/>
              <w:spacing w:after="0"/>
              <w:rPr>
                <w:sz w:val="20"/>
                <w:szCs w:val="20"/>
                <w:color w:val="auto"/>
              </w:rPr>
            </w:pPr>
            <w:r>
              <w:rPr>
                <w:rFonts w:ascii="Arial" w:cs="Arial" w:eastAsia="Arial" w:hAnsi="Arial"/>
                <w:sz w:val="16"/>
                <w:szCs w:val="16"/>
                <w:color w:val="auto"/>
              </w:rPr>
              <w:t>GMNA - Cars</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20"/>
                <w:szCs w:val="20"/>
                <w:color w:val="auto"/>
              </w:rPr>
            </w:pP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1,270</w:t>
            </w:r>
          </w:p>
        </w:tc>
        <w:tc>
          <w:tcPr>
            <w:tcW w:w="120" w:type="dxa"/>
            <w:vAlign w:val="bottom"/>
          </w:tcPr>
          <w:p>
            <w:pPr>
              <w:spacing w:after="0"/>
              <w:rPr>
                <w:sz w:val="20"/>
                <w:szCs w:val="20"/>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1,145</w:t>
            </w:r>
          </w:p>
        </w:tc>
        <w:tc>
          <w:tcPr>
            <w:tcW w:w="0" w:type="dxa"/>
            <w:vAlign w:val="bottom"/>
          </w:tcPr>
          <w:p>
            <w:pPr>
              <w:spacing w:after="0"/>
              <w:rPr>
                <w:sz w:val="1"/>
                <w:szCs w:val="1"/>
                <w:color w:val="auto"/>
              </w:rPr>
            </w:pPr>
          </w:p>
        </w:tc>
      </w:tr>
      <w:tr>
        <w:trPr>
          <w:trHeight w:val="241"/>
        </w:trPr>
        <w:tc>
          <w:tcPr>
            <w:tcW w:w="5600" w:type="dxa"/>
            <w:vAlign w:val="bottom"/>
          </w:tcPr>
          <w:p>
            <w:pPr>
              <w:ind w:left="60"/>
              <w:spacing w:after="0"/>
              <w:rPr>
                <w:sz w:val="20"/>
                <w:szCs w:val="20"/>
                <w:color w:val="auto"/>
              </w:rPr>
            </w:pPr>
            <w:r>
              <w:rPr>
                <w:rFonts w:ascii="Arial" w:cs="Arial" w:eastAsia="Arial" w:hAnsi="Arial"/>
                <w:sz w:val="16"/>
                <w:szCs w:val="16"/>
                <w:color w:val="auto"/>
              </w:rPr>
              <w:t>GMNA - Trucks</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470</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454</w:t>
            </w:r>
          </w:p>
        </w:tc>
        <w:tc>
          <w:tcPr>
            <w:tcW w:w="120" w:type="dxa"/>
            <w:vAlign w:val="bottom"/>
          </w:tcPr>
          <w:p>
            <w:pPr>
              <w:spacing w:after="0"/>
              <w:rPr>
                <w:sz w:val="20"/>
                <w:szCs w:val="20"/>
                <w:color w:val="auto"/>
              </w:rPr>
            </w:pP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1,967</w:t>
            </w:r>
          </w:p>
        </w:tc>
        <w:tc>
          <w:tcPr>
            <w:tcW w:w="120" w:type="dxa"/>
            <w:vAlign w:val="bottom"/>
          </w:tcPr>
          <w:p>
            <w:pPr>
              <w:spacing w:after="0"/>
              <w:rPr>
                <w:sz w:val="20"/>
                <w:szCs w:val="20"/>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1,944</w:t>
            </w:r>
          </w:p>
        </w:tc>
        <w:tc>
          <w:tcPr>
            <w:tcW w:w="0" w:type="dxa"/>
            <w:vAlign w:val="bottom"/>
          </w:tcPr>
          <w:p>
            <w:pPr>
              <w:spacing w:after="0"/>
              <w:rPr>
                <w:sz w:val="1"/>
                <w:szCs w:val="1"/>
                <w:color w:val="auto"/>
              </w:rPr>
            </w:pPr>
          </w:p>
        </w:tc>
      </w:tr>
      <w:tr>
        <w:trPr>
          <w:trHeight w:val="24"/>
        </w:trPr>
        <w:tc>
          <w:tcPr>
            <w:tcW w:w="56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tcPr>
          <w:p>
            <w:pPr>
              <w:ind w:left="60"/>
              <w:spacing w:after="0"/>
              <w:rPr>
                <w:sz w:val="20"/>
                <w:szCs w:val="20"/>
                <w:color w:val="auto"/>
              </w:rPr>
            </w:pPr>
            <w:r>
              <w:rPr>
                <w:rFonts w:ascii="Arial" w:cs="Arial" w:eastAsia="Arial" w:hAnsi="Arial"/>
                <w:sz w:val="16"/>
                <w:szCs w:val="16"/>
                <w:color w:val="auto"/>
              </w:rPr>
              <w:t>Total GMNA</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775</w:t>
            </w:r>
          </w:p>
        </w:tc>
        <w:tc>
          <w:tcPr>
            <w:tcW w:w="120" w:type="dxa"/>
            <w:vAlign w:val="bottom"/>
          </w:tcPr>
          <w:p>
            <w:pPr>
              <w:spacing w:after="0"/>
              <w:rPr>
                <w:sz w:val="18"/>
                <w:szCs w:val="18"/>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739</w:t>
            </w:r>
          </w:p>
        </w:tc>
        <w:tc>
          <w:tcPr>
            <w:tcW w:w="120" w:type="dxa"/>
            <w:vAlign w:val="bottom"/>
          </w:tcPr>
          <w:p>
            <w:pPr>
              <w:spacing w:after="0"/>
              <w:rPr>
                <w:sz w:val="18"/>
                <w:szCs w:val="18"/>
                <w:color w:val="auto"/>
              </w:rPr>
            </w:pP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3,237</w:t>
            </w:r>
          </w:p>
        </w:tc>
        <w:tc>
          <w:tcPr>
            <w:tcW w:w="120" w:type="dxa"/>
            <w:vAlign w:val="bottom"/>
          </w:tcPr>
          <w:p>
            <w:pPr>
              <w:spacing w:after="0"/>
              <w:rPr>
                <w:sz w:val="18"/>
                <w:szCs w:val="18"/>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3,089</w:t>
            </w:r>
          </w:p>
        </w:tc>
        <w:tc>
          <w:tcPr>
            <w:tcW w:w="0" w:type="dxa"/>
            <w:vAlign w:val="bottom"/>
          </w:tcPr>
          <w:p>
            <w:pPr>
              <w:spacing w:after="0"/>
              <w:rPr>
                <w:sz w:val="1"/>
                <w:szCs w:val="1"/>
                <w:color w:val="auto"/>
              </w:rPr>
            </w:pPr>
          </w:p>
        </w:tc>
      </w:tr>
      <w:tr>
        <w:trPr>
          <w:trHeight w:val="241"/>
        </w:trPr>
        <w:tc>
          <w:tcPr>
            <w:tcW w:w="5600" w:type="dxa"/>
            <w:vAlign w:val="bottom"/>
          </w:tcPr>
          <w:p>
            <w:pPr>
              <w:ind w:left="60"/>
              <w:spacing w:after="0"/>
              <w:rPr>
                <w:sz w:val="20"/>
                <w:szCs w:val="20"/>
                <w:color w:val="auto"/>
              </w:rPr>
            </w:pPr>
            <w:r>
              <w:rPr>
                <w:rFonts w:ascii="Arial" w:cs="Arial" w:eastAsia="Arial" w:hAnsi="Arial"/>
                <w:sz w:val="16"/>
                <w:szCs w:val="16"/>
                <w:color w:val="auto"/>
              </w:rPr>
              <w:t>GME</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20"/>
                <w:szCs w:val="20"/>
                <w:color w:val="auto"/>
              </w:rPr>
            </w:pP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927</w:t>
            </w:r>
          </w:p>
        </w:tc>
        <w:tc>
          <w:tcPr>
            <w:tcW w:w="120" w:type="dxa"/>
            <w:vAlign w:val="bottom"/>
          </w:tcPr>
          <w:p>
            <w:pPr>
              <w:spacing w:after="0"/>
              <w:rPr>
                <w:sz w:val="20"/>
                <w:szCs w:val="20"/>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1,189</w:t>
            </w:r>
          </w:p>
        </w:tc>
        <w:tc>
          <w:tcPr>
            <w:tcW w:w="0" w:type="dxa"/>
            <w:vAlign w:val="bottom"/>
          </w:tcPr>
          <w:p>
            <w:pPr>
              <w:spacing w:after="0"/>
              <w:rPr>
                <w:sz w:val="1"/>
                <w:szCs w:val="1"/>
                <w:color w:val="auto"/>
              </w:rPr>
            </w:pPr>
          </w:p>
        </w:tc>
      </w:tr>
      <w:tr>
        <w:trPr>
          <w:trHeight w:val="241"/>
        </w:trPr>
        <w:tc>
          <w:tcPr>
            <w:tcW w:w="5600" w:type="dxa"/>
            <w:vAlign w:val="bottom"/>
          </w:tcPr>
          <w:p>
            <w:pPr>
              <w:ind w:left="60"/>
              <w:spacing w:after="0"/>
              <w:rPr>
                <w:sz w:val="20"/>
                <w:szCs w:val="20"/>
                <w:color w:val="auto"/>
              </w:rPr>
            </w:pPr>
            <w:r>
              <w:rPr>
                <w:rFonts w:ascii="Arial" w:cs="Arial" w:eastAsia="Arial" w:hAnsi="Arial"/>
                <w:sz w:val="16"/>
                <w:szCs w:val="16"/>
                <w:color w:val="auto"/>
              </w:rPr>
              <w:t>GMIO - Consolidated Entities</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342</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20"/>
                <w:szCs w:val="20"/>
                <w:color w:val="auto"/>
              </w:rPr>
            </w:pP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1,208</w:t>
            </w:r>
          </w:p>
        </w:tc>
        <w:tc>
          <w:tcPr>
            <w:tcW w:w="120" w:type="dxa"/>
            <w:vAlign w:val="bottom"/>
          </w:tcPr>
          <w:p>
            <w:pPr>
              <w:spacing w:after="0"/>
              <w:rPr>
                <w:sz w:val="20"/>
                <w:szCs w:val="20"/>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r>
        <w:trPr>
          <w:trHeight w:val="241"/>
        </w:trPr>
        <w:tc>
          <w:tcPr>
            <w:tcW w:w="5600" w:type="dxa"/>
            <w:vAlign w:val="bottom"/>
          </w:tcPr>
          <w:p>
            <w:pPr>
              <w:ind w:left="60"/>
              <w:spacing w:after="0"/>
              <w:rPr>
                <w:sz w:val="20"/>
                <w:szCs w:val="20"/>
                <w:color w:val="auto"/>
              </w:rPr>
            </w:pPr>
            <w:r>
              <w:rPr>
                <w:rFonts w:ascii="Arial" w:cs="Arial" w:eastAsia="Arial" w:hAnsi="Arial"/>
                <w:sz w:val="16"/>
                <w:szCs w:val="16"/>
                <w:color w:val="auto"/>
              </w:rPr>
              <w:t>GMIO - Joint Ventures(b)</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886</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810</w:t>
            </w:r>
          </w:p>
        </w:tc>
        <w:tc>
          <w:tcPr>
            <w:tcW w:w="120" w:type="dxa"/>
            <w:vAlign w:val="bottom"/>
          </w:tcPr>
          <w:p>
            <w:pPr>
              <w:spacing w:after="0"/>
              <w:rPr>
                <w:sz w:val="20"/>
                <w:szCs w:val="20"/>
                <w:color w:val="auto"/>
              </w:rPr>
            </w:pP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3,238</w:t>
            </w:r>
          </w:p>
        </w:tc>
        <w:tc>
          <w:tcPr>
            <w:tcW w:w="120" w:type="dxa"/>
            <w:vAlign w:val="bottom"/>
          </w:tcPr>
          <w:p>
            <w:pPr>
              <w:spacing w:after="0"/>
              <w:rPr>
                <w:sz w:val="20"/>
                <w:szCs w:val="20"/>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2,927</w:t>
            </w:r>
          </w:p>
        </w:tc>
        <w:tc>
          <w:tcPr>
            <w:tcW w:w="0" w:type="dxa"/>
            <w:vAlign w:val="bottom"/>
          </w:tcPr>
          <w:p>
            <w:pPr>
              <w:spacing w:after="0"/>
              <w:rPr>
                <w:sz w:val="1"/>
                <w:szCs w:val="1"/>
                <w:color w:val="auto"/>
              </w:rPr>
            </w:pPr>
          </w:p>
        </w:tc>
      </w:tr>
      <w:tr>
        <w:trPr>
          <w:trHeight w:val="24"/>
        </w:trPr>
        <w:tc>
          <w:tcPr>
            <w:tcW w:w="56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tcPr>
          <w:p>
            <w:pPr>
              <w:ind w:left="60"/>
              <w:spacing w:after="0"/>
              <w:rPr>
                <w:sz w:val="20"/>
                <w:szCs w:val="20"/>
                <w:color w:val="auto"/>
              </w:rPr>
            </w:pPr>
            <w:r>
              <w:rPr>
                <w:rFonts w:ascii="Arial" w:cs="Arial" w:eastAsia="Arial" w:hAnsi="Arial"/>
                <w:sz w:val="16"/>
                <w:szCs w:val="16"/>
                <w:color w:val="auto"/>
              </w:rPr>
              <w:t>Total GMIO</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1,228</w:t>
            </w:r>
          </w:p>
        </w:tc>
        <w:tc>
          <w:tcPr>
            <w:tcW w:w="120" w:type="dxa"/>
            <w:vAlign w:val="bottom"/>
          </w:tcPr>
          <w:p>
            <w:pPr>
              <w:spacing w:after="0"/>
              <w:rPr>
                <w:sz w:val="18"/>
                <w:szCs w:val="18"/>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1,104</w:t>
            </w:r>
          </w:p>
        </w:tc>
        <w:tc>
          <w:tcPr>
            <w:tcW w:w="120" w:type="dxa"/>
            <w:vAlign w:val="bottom"/>
          </w:tcPr>
          <w:p>
            <w:pPr>
              <w:spacing w:after="0"/>
              <w:rPr>
                <w:sz w:val="18"/>
                <w:szCs w:val="18"/>
                <w:color w:val="auto"/>
              </w:rPr>
            </w:pP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4,446</w:t>
            </w:r>
          </w:p>
        </w:tc>
        <w:tc>
          <w:tcPr>
            <w:tcW w:w="120" w:type="dxa"/>
            <w:vAlign w:val="bottom"/>
          </w:tcPr>
          <w:p>
            <w:pPr>
              <w:spacing w:after="0"/>
              <w:rPr>
                <w:sz w:val="18"/>
                <w:szCs w:val="18"/>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4,041</w:t>
            </w:r>
          </w:p>
        </w:tc>
        <w:tc>
          <w:tcPr>
            <w:tcW w:w="0" w:type="dxa"/>
            <w:vAlign w:val="bottom"/>
          </w:tcPr>
          <w:p>
            <w:pPr>
              <w:spacing w:after="0"/>
              <w:rPr>
                <w:sz w:val="1"/>
                <w:szCs w:val="1"/>
                <w:color w:val="auto"/>
              </w:rPr>
            </w:pPr>
          </w:p>
        </w:tc>
      </w:tr>
      <w:tr>
        <w:trPr>
          <w:trHeight w:val="241"/>
        </w:trPr>
        <w:tc>
          <w:tcPr>
            <w:tcW w:w="5600" w:type="dxa"/>
            <w:vAlign w:val="bottom"/>
          </w:tcPr>
          <w:p>
            <w:pPr>
              <w:ind w:left="60"/>
              <w:spacing w:after="0"/>
              <w:rPr>
                <w:sz w:val="20"/>
                <w:szCs w:val="20"/>
                <w:color w:val="auto"/>
              </w:rPr>
            </w:pPr>
            <w:r>
              <w:rPr>
                <w:rFonts w:ascii="Arial" w:cs="Arial" w:eastAsia="Arial" w:hAnsi="Arial"/>
                <w:sz w:val="16"/>
                <w:szCs w:val="16"/>
                <w:color w:val="auto"/>
              </w:rPr>
              <w:t>GMSA</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20"/>
                <w:szCs w:val="20"/>
                <w:color w:val="auto"/>
              </w:rPr>
            </w:pP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879</w:t>
            </w:r>
          </w:p>
        </w:tc>
        <w:tc>
          <w:tcPr>
            <w:tcW w:w="120" w:type="dxa"/>
            <w:vAlign w:val="bottom"/>
          </w:tcPr>
          <w:p>
            <w:pPr>
              <w:spacing w:after="0"/>
              <w:rPr>
                <w:sz w:val="20"/>
                <w:szCs w:val="20"/>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948</w:t>
            </w:r>
          </w:p>
        </w:tc>
        <w:tc>
          <w:tcPr>
            <w:tcW w:w="0" w:type="dxa"/>
            <w:vAlign w:val="bottom"/>
          </w:tcPr>
          <w:p>
            <w:pPr>
              <w:spacing w:after="0"/>
              <w:rPr>
                <w:sz w:val="1"/>
                <w:szCs w:val="1"/>
                <w:color w:val="auto"/>
              </w:rPr>
            </w:pPr>
          </w:p>
        </w:tc>
      </w:tr>
      <w:tr>
        <w:trPr>
          <w:trHeight w:val="24"/>
        </w:trPr>
        <w:tc>
          <w:tcPr>
            <w:tcW w:w="56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600" w:type="dxa"/>
            <w:vAlign w:val="bottom"/>
          </w:tcPr>
          <w:p>
            <w:pPr>
              <w:ind w:left="60"/>
              <w:spacing w:after="0"/>
              <w:rPr>
                <w:sz w:val="20"/>
                <w:szCs w:val="20"/>
                <w:color w:val="auto"/>
              </w:rPr>
            </w:pPr>
            <w:r>
              <w:rPr>
                <w:rFonts w:ascii="Arial" w:cs="Arial" w:eastAsia="Arial" w:hAnsi="Arial"/>
                <w:sz w:val="16"/>
                <w:szCs w:val="16"/>
                <w:b w:val="1"/>
                <w:bCs w:val="1"/>
                <w:color w:val="auto"/>
              </w:rPr>
              <w:t>Total Worldwide</w:t>
            </w:r>
          </w:p>
        </w:tc>
        <w:tc>
          <w:tcPr>
            <w:tcW w:w="13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2,435</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2,319</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9,489</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9,267</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60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284" w:hanging="284"/>
        <w:spacing w:after="0" w:line="232" w:lineRule="auto"/>
        <w:tabs>
          <w:tab w:leader="none" w:pos="284" w:val="left"/>
        </w:tabs>
        <w:numPr>
          <w:ilvl w:val="0"/>
          <w:numId w:val="6"/>
        </w:numPr>
        <w:rPr>
          <w:rFonts w:ascii="Arial" w:cs="Arial" w:eastAsia="Arial" w:hAnsi="Arial"/>
          <w:sz w:val="13"/>
          <w:szCs w:val="13"/>
          <w:color w:val="auto"/>
        </w:rPr>
      </w:pPr>
      <w:r>
        <w:rPr>
          <w:rFonts w:ascii="Arial" w:cs="Arial" w:eastAsia="Arial" w:hAnsi="Arial"/>
          <w:sz w:val="13"/>
          <w:szCs w:val="13"/>
          <w:color w:val="auto"/>
        </w:rPr>
        <w:t>Production volume includes vehicles produced by certain joint ventures.</w:t>
      </w:r>
    </w:p>
    <w:p>
      <w:pPr>
        <w:ind w:left="284" w:hanging="284"/>
        <w:spacing w:after="0"/>
        <w:tabs>
          <w:tab w:leader="none" w:pos="284"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joint venture agreements with SGMW and FAW-GM allow for significant rights as a member as well as the contractual right to report SGMW and FAW-GM joint venture production in China.</w:t>
      </w:r>
    </w:p>
    <w:p>
      <w:pPr>
        <w:spacing w:after="0" w:line="200" w:lineRule="exact"/>
        <w:rPr>
          <w:sz w:val="20"/>
          <w:szCs w:val="20"/>
          <w:color w:val="auto"/>
        </w:rPr>
      </w:pPr>
    </w:p>
    <w:p>
      <w:pPr>
        <w:spacing w:after="0" w:line="392" w:lineRule="exact"/>
        <w:rPr>
          <w:sz w:val="20"/>
          <w:szCs w:val="20"/>
          <w:color w:val="auto"/>
        </w:rPr>
      </w:pPr>
    </w:p>
    <w:p>
      <w:pPr>
        <w:jc w:val="center"/>
        <w:ind w:right="-43"/>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384"/>
          </w:cols>
          <w:pgMar w:left="236" w:top="726" w:right="279" w:bottom="1440" w:gutter="0" w:footer="0" w:header="0"/>
        </w:sectPr>
      </w:pPr>
    </w:p>
    <w:bookmarkStart w:id="13" w:name="page14"/>
    <w:bookmarkEnd w:id="13"/>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Unaudited)</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5600" w:type="dxa"/>
            <w:vAlign w:val="bottom"/>
          </w:tcPr>
          <w:p>
            <w:pPr>
              <w:spacing w:after="0"/>
              <w:rPr>
                <w:sz w:val="14"/>
                <w:szCs w:val="14"/>
                <w:color w:val="auto"/>
              </w:rPr>
            </w:pPr>
          </w:p>
        </w:tc>
        <w:tc>
          <w:tcPr>
            <w:tcW w:w="288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4"/>
                <w:szCs w:val="14"/>
                <w:color w:val="auto"/>
              </w:rPr>
            </w:pPr>
          </w:p>
        </w:tc>
        <w:tc>
          <w:tcPr>
            <w:tcW w:w="2840" w:type="dxa"/>
            <w:vAlign w:val="bottom"/>
            <w:tcBorders>
              <w:bottom w:val="single" w:sz="8" w:color="auto"/>
            </w:tcBorders>
            <w:gridSpan w:val="3"/>
          </w:tcPr>
          <w:p>
            <w:pPr>
              <w:jc w:val="right"/>
              <w:ind w:right="102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1520" w:type="dxa"/>
            <w:vAlign w:val="bottom"/>
            <w:gridSpan w:val="2"/>
          </w:tcPr>
          <w:p>
            <w:pPr>
              <w:ind w:left="180"/>
              <w:spacing w:after="0"/>
              <w:rPr>
                <w:sz w:val="20"/>
                <w:szCs w:val="20"/>
                <w:color w:val="auto"/>
              </w:rPr>
            </w:pPr>
            <w:r>
              <w:rPr>
                <w:rFonts w:ascii="Arial" w:cs="Arial" w:eastAsia="Arial" w:hAnsi="Arial"/>
                <w:sz w:val="13"/>
                <w:szCs w:val="13"/>
                <w:b w:val="1"/>
                <w:bCs w:val="1"/>
                <w:color w:val="auto"/>
              </w:rPr>
              <w:t>December 31, 2012</w:t>
            </w:r>
          </w:p>
        </w:tc>
        <w:tc>
          <w:tcPr>
            <w:tcW w:w="1480" w:type="dxa"/>
            <w:vAlign w:val="bottom"/>
            <w:gridSpan w:val="2"/>
          </w:tcPr>
          <w:p>
            <w:pPr>
              <w:ind w:left="160"/>
              <w:spacing w:after="0"/>
              <w:rPr>
                <w:sz w:val="20"/>
                <w:szCs w:val="20"/>
                <w:color w:val="auto"/>
              </w:rPr>
            </w:pPr>
            <w:r>
              <w:rPr>
                <w:rFonts w:ascii="Arial" w:cs="Arial" w:eastAsia="Arial" w:hAnsi="Arial"/>
                <w:sz w:val="13"/>
                <w:szCs w:val="13"/>
                <w:b w:val="1"/>
                <w:bCs w:val="1"/>
                <w:color w:val="auto"/>
              </w:rPr>
              <w:t>December 31, 2011</w:t>
            </w:r>
          </w:p>
        </w:tc>
        <w:tc>
          <w:tcPr>
            <w:tcW w:w="1460" w:type="dxa"/>
            <w:vAlign w:val="bottom"/>
            <w:gridSpan w:val="2"/>
          </w:tcPr>
          <w:p>
            <w:pPr>
              <w:ind w:left="160"/>
              <w:spacing w:after="0"/>
              <w:rPr>
                <w:sz w:val="20"/>
                <w:szCs w:val="20"/>
                <w:color w:val="auto"/>
              </w:rPr>
            </w:pPr>
            <w:r>
              <w:rPr>
                <w:rFonts w:ascii="Arial" w:cs="Arial" w:eastAsia="Arial" w:hAnsi="Arial"/>
                <w:sz w:val="13"/>
                <w:szCs w:val="13"/>
                <w:b w:val="1"/>
                <w:bCs w:val="1"/>
                <w:color w:val="auto"/>
              </w:rPr>
              <w:t>December 31, 2012</w:t>
            </w:r>
          </w:p>
        </w:tc>
        <w:tc>
          <w:tcPr>
            <w:tcW w:w="1380" w:type="dxa"/>
            <w:vAlign w:val="bottom"/>
          </w:tcPr>
          <w:p>
            <w:pPr>
              <w:jc w:val="right"/>
              <w:ind w:right="100"/>
              <w:spacing w:after="0"/>
              <w:rPr>
                <w:sz w:val="20"/>
                <w:szCs w:val="20"/>
                <w:color w:val="auto"/>
              </w:rPr>
            </w:pPr>
            <w:r>
              <w:rPr>
                <w:rFonts w:ascii="Arial" w:cs="Arial" w:eastAsia="Arial" w:hAnsi="Arial"/>
                <w:sz w:val="13"/>
                <w:szCs w:val="13"/>
                <w:b w:val="1"/>
                <w:bCs w:val="1"/>
                <w:color w:val="auto"/>
              </w:rPr>
              <w:t>December 31, 2011</w:t>
            </w:r>
          </w:p>
        </w:tc>
        <w:tc>
          <w:tcPr>
            <w:tcW w:w="0" w:type="dxa"/>
            <w:vAlign w:val="bottom"/>
          </w:tcPr>
          <w:p>
            <w:pPr>
              <w:spacing w:after="0"/>
              <w:rPr>
                <w:sz w:val="1"/>
                <w:szCs w:val="1"/>
                <w:color w:val="auto"/>
              </w:rPr>
            </w:pPr>
          </w:p>
        </w:tc>
      </w:tr>
      <w:tr>
        <w:trPr>
          <w:trHeight w:val="217"/>
        </w:trPr>
        <w:tc>
          <w:tcPr>
            <w:tcW w:w="5600" w:type="dxa"/>
            <w:vAlign w:val="bottom"/>
          </w:tcPr>
          <w:p>
            <w:pPr>
              <w:ind w:left="20"/>
              <w:spacing w:after="0"/>
              <w:rPr>
                <w:sz w:val="20"/>
                <w:szCs w:val="20"/>
                <w:color w:val="auto"/>
              </w:rPr>
            </w:pPr>
            <w:r>
              <w:rPr>
                <w:rFonts w:ascii="Arial" w:cs="Arial" w:eastAsia="Arial" w:hAnsi="Arial"/>
                <w:sz w:val="16"/>
                <w:szCs w:val="16"/>
                <w:b w:val="1"/>
                <w:bCs w:val="1"/>
                <w:color w:val="auto"/>
              </w:rPr>
              <w:t>Vehicle Sales (units in thousands)(a)(b)(c)</w:t>
            </w: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600" w:type="dxa"/>
            <w:vAlign w:val="bottom"/>
          </w:tcPr>
          <w:p>
            <w:pPr>
              <w:ind w:left="20"/>
              <w:spacing w:after="0"/>
              <w:rPr>
                <w:sz w:val="20"/>
                <w:szCs w:val="20"/>
                <w:color w:val="auto"/>
              </w:rPr>
            </w:pPr>
            <w:r>
              <w:rPr>
                <w:rFonts w:ascii="Arial" w:cs="Arial" w:eastAsia="Arial" w:hAnsi="Arial"/>
                <w:sz w:val="16"/>
                <w:szCs w:val="16"/>
                <w:color w:val="auto"/>
              </w:rPr>
              <w:t>United States</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600" w:type="dxa"/>
            <w:vAlign w:val="bottom"/>
          </w:tcPr>
          <w:p>
            <w:pPr>
              <w:ind w:left="160"/>
              <w:spacing w:after="0"/>
              <w:rPr>
                <w:sz w:val="20"/>
                <w:szCs w:val="20"/>
                <w:color w:val="auto"/>
              </w:rPr>
            </w:pPr>
            <w:r>
              <w:rPr>
                <w:rFonts w:ascii="Arial" w:cs="Arial" w:eastAsia="Arial" w:hAnsi="Arial"/>
                <w:sz w:val="16"/>
                <w:szCs w:val="16"/>
                <w:color w:val="auto"/>
              </w:rPr>
              <w:t>Chevrolet - Cars</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837</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763</w:t>
            </w:r>
          </w:p>
        </w:tc>
        <w:tc>
          <w:tcPr>
            <w:tcW w:w="0" w:type="dxa"/>
            <w:vAlign w:val="bottom"/>
          </w:tcPr>
          <w:p>
            <w:pPr>
              <w:spacing w:after="0"/>
              <w:rPr>
                <w:sz w:val="1"/>
                <w:szCs w:val="1"/>
                <w:color w:val="auto"/>
              </w:rPr>
            </w:pPr>
          </w:p>
        </w:tc>
      </w:tr>
      <w:tr>
        <w:trPr>
          <w:trHeight w:val="241"/>
        </w:trPr>
        <w:tc>
          <w:tcPr>
            <w:tcW w:w="5600" w:type="dxa"/>
            <w:vAlign w:val="bottom"/>
          </w:tcPr>
          <w:p>
            <w:pPr>
              <w:ind w:left="160"/>
              <w:spacing w:after="0"/>
              <w:rPr>
                <w:sz w:val="20"/>
                <w:szCs w:val="20"/>
                <w:color w:val="auto"/>
              </w:rPr>
            </w:pPr>
            <w:r>
              <w:rPr>
                <w:rFonts w:ascii="Arial" w:cs="Arial" w:eastAsia="Arial" w:hAnsi="Arial"/>
                <w:sz w:val="16"/>
                <w:szCs w:val="16"/>
                <w:color w:val="auto"/>
              </w:rPr>
              <w:t>Chevrolet - Trucks</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668</w:t>
            </w:r>
          </w:p>
        </w:tc>
        <w:tc>
          <w:tcPr>
            <w:tcW w:w="0" w:type="dxa"/>
            <w:vAlign w:val="bottom"/>
          </w:tcPr>
          <w:p>
            <w:pPr>
              <w:spacing w:after="0"/>
              <w:rPr>
                <w:sz w:val="1"/>
                <w:szCs w:val="1"/>
                <w:color w:val="auto"/>
              </w:rPr>
            </w:pPr>
          </w:p>
        </w:tc>
      </w:tr>
      <w:tr>
        <w:trPr>
          <w:trHeight w:val="241"/>
        </w:trPr>
        <w:tc>
          <w:tcPr>
            <w:tcW w:w="5600" w:type="dxa"/>
            <w:vAlign w:val="bottom"/>
          </w:tcPr>
          <w:p>
            <w:pPr>
              <w:ind w:left="160"/>
              <w:spacing w:after="0"/>
              <w:rPr>
                <w:sz w:val="20"/>
                <w:szCs w:val="20"/>
                <w:color w:val="auto"/>
              </w:rPr>
            </w:pPr>
            <w:r>
              <w:rPr>
                <w:rFonts w:ascii="Arial" w:cs="Arial" w:eastAsia="Arial" w:hAnsi="Arial"/>
                <w:sz w:val="16"/>
                <w:szCs w:val="16"/>
                <w:color w:val="auto"/>
              </w:rPr>
              <w:t>Chevrolet - Crossovers</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41"/>
        </w:trPr>
        <w:tc>
          <w:tcPr>
            <w:tcW w:w="5600" w:type="dxa"/>
            <w:vAlign w:val="bottom"/>
          </w:tcPr>
          <w:p>
            <w:pPr>
              <w:ind w:left="160"/>
              <w:spacing w:after="0"/>
              <w:rPr>
                <w:sz w:val="20"/>
                <w:szCs w:val="20"/>
                <w:color w:val="auto"/>
              </w:rPr>
            </w:pPr>
            <w:r>
              <w:rPr>
                <w:rFonts w:ascii="Arial" w:cs="Arial" w:eastAsia="Arial" w:hAnsi="Arial"/>
                <w:sz w:val="16"/>
                <w:szCs w:val="16"/>
                <w:color w:val="auto"/>
              </w:rPr>
              <w:t>Cadillac</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41"/>
        </w:trPr>
        <w:tc>
          <w:tcPr>
            <w:tcW w:w="5600" w:type="dxa"/>
            <w:vAlign w:val="bottom"/>
          </w:tcPr>
          <w:p>
            <w:pPr>
              <w:ind w:left="160"/>
              <w:spacing w:after="0"/>
              <w:rPr>
                <w:sz w:val="20"/>
                <w:szCs w:val="20"/>
                <w:color w:val="auto"/>
              </w:rPr>
            </w:pPr>
            <w:r>
              <w:rPr>
                <w:rFonts w:ascii="Arial" w:cs="Arial" w:eastAsia="Arial" w:hAnsi="Arial"/>
                <w:sz w:val="16"/>
                <w:szCs w:val="16"/>
                <w:color w:val="auto"/>
              </w:rPr>
              <w:t>Buick</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41"/>
        </w:trPr>
        <w:tc>
          <w:tcPr>
            <w:tcW w:w="5600" w:type="dxa"/>
            <w:vAlign w:val="bottom"/>
          </w:tcPr>
          <w:p>
            <w:pPr>
              <w:ind w:left="160"/>
              <w:spacing w:after="0"/>
              <w:rPr>
                <w:sz w:val="20"/>
                <w:szCs w:val="20"/>
                <w:color w:val="auto"/>
              </w:rPr>
            </w:pPr>
            <w:r>
              <w:rPr>
                <w:rFonts w:ascii="Arial" w:cs="Arial" w:eastAsia="Arial" w:hAnsi="Arial"/>
                <w:sz w:val="16"/>
                <w:szCs w:val="16"/>
                <w:color w:val="auto"/>
              </w:rPr>
              <w:t>GMC</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4"/>
        </w:trPr>
        <w:tc>
          <w:tcPr>
            <w:tcW w:w="56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tcPr>
          <w:p>
            <w:pPr>
              <w:ind w:left="160"/>
              <w:spacing w:after="0"/>
              <w:rPr>
                <w:sz w:val="20"/>
                <w:szCs w:val="20"/>
                <w:color w:val="auto"/>
              </w:rPr>
            </w:pPr>
            <w:r>
              <w:rPr>
                <w:rFonts w:ascii="Arial" w:cs="Arial" w:eastAsia="Arial" w:hAnsi="Arial"/>
                <w:sz w:val="16"/>
                <w:szCs w:val="16"/>
                <w:b w:val="1"/>
                <w:bCs w:val="1"/>
                <w:color w:val="auto"/>
              </w:rPr>
              <w:t>Total United States</w:t>
            </w:r>
          </w:p>
        </w:tc>
        <w:tc>
          <w:tcPr>
            <w:tcW w:w="1400" w:type="dxa"/>
            <w:vAlign w:val="bottom"/>
          </w:tcPr>
          <w:p>
            <w:pPr>
              <w:jc w:val="right"/>
              <w:ind w:right="41"/>
              <w:spacing w:after="0"/>
              <w:rPr>
                <w:sz w:val="20"/>
                <w:szCs w:val="20"/>
                <w:color w:val="auto"/>
              </w:rPr>
            </w:pPr>
            <w:r>
              <w:rPr>
                <w:rFonts w:ascii="Arial" w:cs="Arial" w:eastAsia="Arial" w:hAnsi="Arial"/>
                <w:sz w:val="16"/>
                <w:szCs w:val="16"/>
                <w:b w:val="1"/>
                <w:bCs w:val="1"/>
                <w:color w:val="auto"/>
              </w:rPr>
              <w:t>628</w:t>
            </w:r>
          </w:p>
        </w:tc>
        <w:tc>
          <w:tcPr>
            <w:tcW w:w="120" w:type="dxa"/>
            <w:vAlign w:val="bottom"/>
          </w:tcPr>
          <w:p>
            <w:pPr>
              <w:spacing w:after="0"/>
              <w:rPr>
                <w:sz w:val="18"/>
                <w:szCs w:val="18"/>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b w:val="1"/>
                <w:bCs w:val="1"/>
                <w:color w:val="auto"/>
              </w:rPr>
              <w:t>602</w:t>
            </w:r>
          </w:p>
        </w:tc>
        <w:tc>
          <w:tcPr>
            <w:tcW w:w="120" w:type="dxa"/>
            <w:vAlign w:val="bottom"/>
          </w:tcPr>
          <w:p>
            <w:pPr>
              <w:spacing w:after="0"/>
              <w:rPr>
                <w:sz w:val="18"/>
                <w:szCs w:val="18"/>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b w:val="1"/>
                <w:bCs w:val="1"/>
                <w:color w:val="auto"/>
              </w:rPr>
              <w:t>2,596</w:t>
            </w:r>
          </w:p>
        </w:tc>
        <w:tc>
          <w:tcPr>
            <w:tcW w:w="100" w:type="dxa"/>
            <w:vAlign w:val="bottom"/>
          </w:tcPr>
          <w:p>
            <w:pPr>
              <w:spacing w:after="0"/>
              <w:rPr>
                <w:sz w:val="18"/>
                <w:szCs w:val="18"/>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b w:val="1"/>
                <w:bCs w:val="1"/>
                <w:color w:val="auto"/>
              </w:rPr>
              <w:t>2,504</w:t>
            </w:r>
          </w:p>
        </w:tc>
        <w:tc>
          <w:tcPr>
            <w:tcW w:w="0" w:type="dxa"/>
            <w:vAlign w:val="bottom"/>
          </w:tcPr>
          <w:p>
            <w:pPr>
              <w:spacing w:after="0"/>
              <w:rPr>
                <w:sz w:val="1"/>
                <w:szCs w:val="1"/>
                <w:color w:val="auto"/>
              </w:rPr>
            </w:pPr>
          </w:p>
        </w:tc>
      </w:tr>
      <w:tr>
        <w:trPr>
          <w:trHeight w:val="241"/>
        </w:trPr>
        <w:tc>
          <w:tcPr>
            <w:tcW w:w="5600" w:type="dxa"/>
            <w:vAlign w:val="bottom"/>
          </w:tcPr>
          <w:p>
            <w:pPr>
              <w:ind w:left="160"/>
              <w:spacing w:after="0"/>
              <w:rPr>
                <w:sz w:val="20"/>
                <w:szCs w:val="20"/>
                <w:color w:val="auto"/>
              </w:rPr>
            </w:pPr>
            <w:r>
              <w:rPr>
                <w:rFonts w:ascii="Arial" w:cs="Arial" w:eastAsia="Arial" w:hAnsi="Arial"/>
                <w:sz w:val="16"/>
                <w:szCs w:val="16"/>
                <w:color w:val="auto"/>
              </w:rPr>
              <w:t>Canada, Mexico and Other</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24"/>
        </w:trPr>
        <w:tc>
          <w:tcPr>
            <w:tcW w:w="56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tcPr>
          <w:p>
            <w:pPr>
              <w:ind w:left="160"/>
              <w:spacing w:after="0"/>
              <w:rPr>
                <w:sz w:val="20"/>
                <w:szCs w:val="20"/>
                <w:color w:val="auto"/>
              </w:rPr>
            </w:pPr>
            <w:r>
              <w:rPr>
                <w:rFonts w:ascii="Arial" w:cs="Arial" w:eastAsia="Arial" w:hAnsi="Arial"/>
                <w:sz w:val="16"/>
                <w:szCs w:val="16"/>
                <w:b w:val="1"/>
                <w:bCs w:val="1"/>
                <w:color w:val="auto"/>
              </w:rPr>
              <w:t>Total GMNA</w:t>
            </w:r>
          </w:p>
        </w:tc>
        <w:tc>
          <w:tcPr>
            <w:tcW w:w="1400" w:type="dxa"/>
            <w:vAlign w:val="bottom"/>
          </w:tcPr>
          <w:p>
            <w:pPr>
              <w:jc w:val="right"/>
              <w:ind w:right="41"/>
              <w:spacing w:after="0"/>
              <w:rPr>
                <w:sz w:val="20"/>
                <w:szCs w:val="20"/>
                <w:color w:val="auto"/>
              </w:rPr>
            </w:pPr>
            <w:r>
              <w:rPr>
                <w:rFonts w:ascii="Arial" w:cs="Arial" w:eastAsia="Arial" w:hAnsi="Arial"/>
                <w:sz w:val="16"/>
                <w:szCs w:val="16"/>
                <w:b w:val="1"/>
                <w:bCs w:val="1"/>
                <w:color w:val="auto"/>
              </w:rPr>
              <w:t>735</w:t>
            </w:r>
          </w:p>
        </w:tc>
        <w:tc>
          <w:tcPr>
            <w:tcW w:w="120" w:type="dxa"/>
            <w:vAlign w:val="bottom"/>
          </w:tcPr>
          <w:p>
            <w:pPr>
              <w:spacing w:after="0"/>
              <w:rPr>
                <w:sz w:val="18"/>
                <w:szCs w:val="18"/>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b w:val="1"/>
                <w:bCs w:val="1"/>
                <w:color w:val="auto"/>
              </w:rPr>
              <w:t>712</w:t>
            </w:r>
          </w:p>
        </w:tc>
        <w:tc>
          <w:tcPr>
            <w:tcW w:w="120" w:type="dxa"/>
            <w:vAlign w:val="bottom"/>
          </w:tcPr>
          <w:p>
            <w:pPr>
              <w:spacing w:after="0"/>
              <w:rPr>
                <w:sz w:val="18"/>
                <w:szCs w:val="18"/>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b w:val="1"/>
                <w:bCs w:val="1"/>
                <w:color w:val="auto"/>
              </w:rPr>
              <w:t>3,019</w:t>
            </w:r>
          </w:p>
        </w:tc>
        <w:tc>
          <w:tcPr>
            <w:tcW w:w="100" w:type="dxa"/>
            <w:vAlign w:val="bottom"/>
          </w:tcPr>
          <w:p>
            <w:pPr>
              <w:spacing w:after="0"/>
              <w:rPr>
                <w:sz w:val="18"/>
                <w:szCs w:val="18"/>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b w:val="1"/>
                <w:bCs w:val="1"/>
                <w:color w:val="auto"/>
              </w:rPr>
              <w:t>2,925</w:t>
            </w:r>
          </w:p>
        </w:tc>
        <w:tc>
          <w:tcPr>
            <w:tcW w:w="0" w:type="dxa"/>
            <w:vAlign w:val="bottom"/>
          </w:tcPr>
          <w:p>
            <w:pPr>
              <w:spacing w:after="0"/>
              <w:rPr>
                <w:sz w:val="1"/>
                <w:szCs w:val="1"/>
                <w:color w:val="auto"/>
              </w:rPr>
            </w:pPr>
          </w:p>
        </w:tc>
      </w:tr>
      <w:tr>
        <w:trPr>
          <w:trHeight w:val="24"/>
        </w:trPr>
        <w:tc>
          <w:tcPr>
            <w:tcW w:w="5600" w:type="dxa"/>
            <w:vAlign w:val="bottom"/>
            <w:vMerge w:val="restart"/>
          </w:tcPr>
          <w:p>
            <w:pPr>
              <w:ind w:left="20"/>
              <w:spacing w:after="0"/>
              <w:rPr>
                <w:sz w:val="20"/>
                <w:szCs w:val="20"/>
                <w:color w:val="auto"/>
              </w:rPr>
            </w:pPr>
            <w:r>
              <w:rPr>
                <w:rFonts w:ascii="Arial" w:cs="Arial" w:eastAsia="Arial" w:hAnsi="Arial"/>
                <w:sz w:val="16"/>
                <w:szCs w:val="16"/>
                <w:color w:val="auto"/>
              </w:rPr>
              <w:t>GME</w:t>
            </w: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600" w:type="dxa"/>
            <w:vAlign w:val="bottom"/>
          </w:tcPr>
          <w:p>
            <w:pPr>
              <w:ind w:left="160"/>
              <w:spacing w:after="0"/>
              <w:rPr>
                <w:sz w:val="20"/>
                <w:szCs w:val="20"/>
                <w:color w:val="auto"/>
              </w:rPr>
            </w:pPr>
            <w:r>
              <w:rPr>
                <w:rFonts w:ascii="Arial" w:cs="Arial" w:eastAsia="Arial" w:hAnsi="Arial"/>
                <w:sz w:val="16"/>
                <w:szCs w:val="16"/>
                <w:color w:val="auto"/>
              </w:rPr>
              <w:t>Opel/Vauxhall</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1,054</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1,218</w:t>
            </w:r>
          </w:p>
        </w:tc>
        <w:tc>
          <w:tcPr>
            <w:tcW w:w="0" w:type="dxa"/>
            <w:vAlign w:val="bottom"/>
          </w:tcPr>
          <w:p>
            <w:pPr>
              <w:spacing w:after="0"/>
              <w:rPr>
                <w:sz w:val="1"/>
                <w:szCs w:val="1"/>
                <w:color w:val="auto"/>
              </w:rPr>
            </w:pPr>
          </w:p>
        </w:tc>
      </w:tr>
      <w:tr>
        <w:trPr>
          <w:trHeight w:val="241"/>
        </w:trPr>
        <w:tc>
          <w:tcPr>
            <w:tcW w:w="5600" w:type="dxa"/>
            <w:vAlign w:val="bottom"/>
          </w:tcPr>
          <w:p>
            <w:pPr>
              <w:ind w:left="160"/>
              <w:spacing w:after="0"/>
              <w:rPr>
                <w:sz w:val="20"/>
                <w:szCs w:val="20"/>
                <w:color w:val="auto"/>
              </w:rPr>
            </w:pPr>
            <w:r>
              <w:rPr>
                <w:rFonts w:ascii="Arial" w:cs="Arial" w:eastAsia="Arial" w:hAnsi="Arial"/>
                <w:sz w:val="16"/>
                <w:szCs w:val="16"/>
                <w:color w:val="auto"/>
              </w:rPr>
              <w:t>Chevrolet</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241"/>
        </w:trPr>
        <w:tc>
          <w:tcPr>
            <w:tcW w:w="5600" w:type="dxa"/>
            <w:vAlign w:val="bottom"/>
          </w:tcPr>
          <w:p>
            <w:pPr>
              <w:ind w:left="160"/>
              <w:spacing w:after="0"/>
              <w:rPr>
                <w:sz w:val="20"/>
                <w:szCs w:val="20"/>
                <w:color w:val="auto"/>
              </w:rPr>
            </w:pPr>
            <w:r>
              <w:rPr>
                <w:rFonts w:ascii="Arial" w:cs="Arial" w:eastAsia="Arial" w:hAnsi="Arial"/>
                <w:sz w:val="16"/>
                <w:szCs w:val="16"/>
                <w:color w:val="auto"/>
              </w:rPr>
              <w:t>Other</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4"/>
        </w:trPr>
        <w:tc>
          <w:tcPr>
            <w:tcW w:w="56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tcPr>
          <w:p>
            <w:pPr>
              <w:ind w:left="160"/>
              <w:spacing w:after="0"/>
              <w:rPr>
                <w:sz w:val="20"/>
                <w:szCs w:val="20"/>
                <w:color w:val="auto"/>
              </w:rPr>
            </w:pPr>
            <w:r>
              <w:rPr>
                <w:rFonts w:ascii="Arial" w:cs="Arial" w:eastAsia="Arial" w:hAnsi="Arial"/>
                <w:sz w:val="16"/>
                <w:szCs w:val="16"/>
                <w:b w:val="1"/>
                <w:bCs w:val="1"/>
                <w:color w:val="auto"/>
              </w:rPr>
              <w:t>Total GME</w:t>
            </w:r>
          </w:p>
        </w:tc>
        <w:tc>
          <w:tcPr>
            <w:tcW w:w="1400" w:type="dxa"/>
            <w:vAlign w:val="bottom"/>
          </w:tcPr>
          <w:p>
            <w:pPr>
              <w:jc w:val="right"/>
              <w:ind w:right="41"/>
              <w:spacing w:after="0"/>
              <w:rPr>
                <w:sz w:val="20"/>
                <w:szCs w:val="20"/>
                <w:color w:val="auto"/>
              </w:rPr>
            </w:pPr>
            <w:r>
              <w:rPr>
                <w:rFonts w:ascii="Arial" w:cs="Arial" w:eastAsia="Arial" w:hAnsi="Arial"/>
                <w:sz w:val="16"/>
                <w:szCs w:val="16"/>
                <w:b w:val="1"/>
                <w:bCs w:val="1"/>
                <w:color w:val="auto"/>
              </w:rPr>
              <w:t>372</w:t>
            </w:r>
          </w:p>
        </w:tc>
        <w:tc>
          <w:tcPr>
            <w:tcW w:w="120" w:type="dxa"/>
            <w:vAlign w:val="bottom"/>
          </w:tcPr>
          <w:p>
            <w:pPr>
              <w:spacing w:after="0"/>
              <w:rPr>
                <w:sz w:val="18"/>
                <w:szCs w:val="18"/>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b w:val="1"/>
                <w:bCs w:val="1"/>
                <w:color w:val="auto"/>
              </w:rPr>
              <w:t>417</w:t>
            </w:r>
          </w:p>
        </w:tc>
        <w:tc>
          <w:tcPr>
            <w:tcW w:w="120" w:type="dxa"/>
            <w:vAlign w:val="bottom"/>
          </w:tcPr>
          <w:p>
            <w:pPr>
              <w:spacing w:after="0"/>
              <w:rPr>
                <w:sz w:val="18"/>
                <w:szCs w:val="18"/>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b w:val="1"/>
                <w:bCs w:val="1"/>
                <w:color w:val="auto"/>
              </w:rPr>
              <w:t>1,607</w:t>
            </w:r>
          </w:p>
        </w:tc>
        <w:tc>
          <w:tcPr>
            <w:tcW w:w="100" w:type="dxa"/>
            <w:vAlign w:val="bottom"/>
          </w:tcPr>
          <w:p>
            <w:pPr>
              <w:spacing w:after="0"/>
              <w:rPr>
                <w:sz w:val="18"/>
                <w:szCs w:val="18"/>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b w:val="1"/>
                <w:bCs w:val="1"/>
                <w:color w:val="auto"/>
              </w:rPr>
              <w:t>1,751</w:t>
            </w:r>
          </w:p>
        </w:tc>
        <w:tc>
          <w:tcPr>
            <w:tcW w:w="0" w:type="dxa"/>
            <w:vAlign w:val="bottom"/>
          </w:tcPr>
          <w:p>
            <w:pPr>
              <w:spacing w:after="0"/>
              <w:rPr>
                <w:sz w:val="1"/>
                <w:szCs w:val="1"/>
                <w:color w:val="auto"/>
              </w:rPr>
            </w:pPr>
          </w:p>
        </w:tc>
      </w:tr>
      <w:tr>
        <w:trPr>
          <w:trHeight w:val="24"/>
        </w:trPr>
        <w:tc>
          <w:tcPr>
            <w:tcW w:w="5600" w:type="dxa"/>
            <w:vAlign w:val="bottom"/>
            <w:vMerge w:val="restart"/>
          </w:tcPr>
          <w:p>
            <w:pPr>
              <w:ind w:left="20"/>
              <w:spacing w:after="0"/>
              <w:rPr>
                <w:sz w:val="20"/>
                <w:szCs w:val="20"/>
                <w:color w:val="auto"/>
              </w:rPr>
            </w:pPr>
            <w:r>
              <w:rPr>
                <w:rFonts w:ascii="Arial" w:cs="Arial" w:eastAsia="Arial" w:hAnsi="Arial"/>
                <w:sz w:val="16"/>
                <w:szCs w:val="16"/>
                <w:color w:val="auto"/>
              </w:rPr>
              <w:t>GMIO</w:t>
            </w: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600" w:type="dxa"/>
            <w:vAlign w:val="bottom"/>
          </w:tcPr>
          <w:p>
            <w:pPr>
              <w:ind w:left="160"/>
              <w:spacing w:after="0"/>
              <w:rPr>
                <w:sz w:val="20"/>
                <w:szCs w:val="20"/>
                <w:color w:val="auto"/>
              </w:rPr>
            </w:pPr>
            <w:r>
              <w:rPr>
                <w:rFonts w:ascii="Arial" w:cs="Arial" w:eastAsia="Arial" w:hAnsi="Arial"/>
                <w:sz w:val="16"/>
                <w:szCs w:val="16"/>
                <w:color w:val="auto"/>
              </w:rPr>
              <w:t>Chevrolet</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329</w:t>
            </w:r>
          </w:p>
        </w:tc>
        <w:tc>
          <w:tcPr>
            <w:tcW w:w="1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1,186</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1,087</w:t>
            </w:r>
          </w:p>
        </w:tc>
        <w:tc>
          <w:tcPr>
            <w:tcW w:w="0" w:type="dxa"/>
            <w:vAlign w:val="bottom"/>
          </w:tcPr>
          <w:p>
            <w:pPr>
              <w:spacing w:after="0"/>
              <w:rPr>
                <w:sz w:val="1"/>
                <w:szCs w:val="1"/>
                <w:color w:val="auto"/>
              </w:rPr>
            </w:pPr>
          </w:p>
        </w:tc>
      </w:tr>
      <w:tr>
        <w:trPr>
          <w:trHeight w:val="241"/>
        </w:trPr>
        <w:tc>
          <w:tcPr>
            <w:tcW w:w="5600" w:type="dxa"/>
            <w:vAlign w:val="bottom"/>
          </w:tcPr>
          <w:p>
            <w:pPr>
              <w:ind w:left="160"/>
              <w:spacing w:after="0"/>
              <w:rPr>
                <w:sz w:val="20"/>
                <w:szCs w:val="20"/>
                <w:color w:val="auto"/>
              </w:rPr>
            </w:pPr>
            <w:r>
              <w:rPr>
                <w:rFonts w:ascii="Arial" w:cs="Arial" w:eastAsia="Arial" w:hAnsi="Arial"/>
                <w:sz w:val="16"/>
                <w:szCs w:val="16"/>
                <w:color w:val="auto"/>
              </w:rPr>
              <w:t>Wuling</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1,335</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1,194</w:t>
            </w:r>
          </w:p>
        </w:tc>
        <w:tc>
          <w:tcPr>
            <w:tcW w:w="0" w:type="dxa"/>
            <w:vAlign w:val="bottom"/>
          </w:tcPr>
          <w:p>
            <w:pPr>
              <w:spacing w:after="0"/>
              <w:rPr>
                <w:sz w:val="1"/>
                <w:szCs w:val="1"/>
                <w:color w:val="auto"/>
              </w:rPr>
            </w:pPr>
          </w:p>
        </w:tc>
      </w:tr>
      <w:tr>
        <w:trPr>
          <w:trHeight w:val="241"/>
        </w:trPr>
        <w:tc>
          <w:tcPr>
            <w:tcW w:w="5600" w:type="dxa"/>
            <w:vAlign w:val="bottom"/>
          </w:tcPr>
          <w:p>
            <w:pPr>
              <w:ind w:left="160"/>
              <w:spacing w:after="0"/>
              <w:rPr>
                <w:sz w:val="20"/>
                <w:szCs w:val="20"/>
                <w:color w:val="auto"/>
              </w:rPr>
            </w:pPr>
            <w:r>
              <w:rPr>
                <w:rFonts w:ascii="Arial" w:cs="Arial" w:eastAsia="Arial" w:hAnsi="Arial"/>
                <w:sz w:val="16"/>
                <w:szCs w:val="16"/>
                <w:color w:val="auto"/>
              </w:rPr>
              <w:t>Buick</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241"/>
        </w:trPr>
        <w:tc>
          <w:tcPr>
            <w:tcW w:w="5600" w:type="dxa"/>
            <w:vAlign w:val="bottom"/>
          </w:tcPr>
          <w:p>
            <w:pPr>
              <w:ind w:left="160"/>
              <w:spacing w:after="0"/>
              <w:rPr>
                <w:sz w:val="20"/>
                <w:szCs w:val="20"/>
                <w:color w:val="auto"/>
              </w:rPr>
            </w:pPr>
            <w:r>
              <w:rPr>
                <w:rFonts w:ascii="Arial" w:cs="Arial" w:eastAsia="Arial" w:hAnsi="Arial"/>
                <w:sz w:val="16"/>
                <w:szCs w:val="16"/>
                <w:color w:val="auto"/>
              </w:rPr>
              <w:t>GM Daewoo</w:t>
            </w: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41"/>
        </w:trPr>
        <w:tc>
          <w:tcPr>
            <w:tcW w:w="5600" w:type="dxa"/>
            <w:vAlign w:val="bottom"/>
          </w:tcPr>
          <w:p>
            <w:pPr>
              <w:ind w:left="160"/>
              <w:spacing w:after="0"/>
              <w:rPr>
                <w:sz w:val="20"/>
                <w:szCs w:val="20"/>
                <w:color w:val="auto"/>
              </w:rPr>
            </w:pPr>
            <w:r>
              <w:rPr>
                <w:rFonts w:ascii="Arial" w:cs="Arial" w:eastAsia="Arial" w:hAnsi="Arial"/>
                <w:sz w:val="16"/>
                <w:szCs w:val="16"/>
                <w:color w:val="auto"/>
              </w:rPr>
              <w:t>Holden</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41"/>
        </w:trPr>
        <w:tc>
          <w:tcPr>
            <w:tcW w:w="5600" w:type="dxa"/>
            <w:vAlign w:val="bottom"/>
          </w:tcPr>
          <w:p>
            <w:pPr>
              <w:ind w:left="160"/>
              <w:spacing w:after="0"/>
              <w:rPr>
                <w:sz w:val="20"/>
                <w:szCs w:val="20"/>
                <w:color w:val="auto"/>
              </w:rPr>
            </w:pPr>
            <w:r>
              <w:rPr>
                <w:rFonts w:ascii="Arial" w:cs="Arial" w:eastAsia="Arial" w:hAnsi="Arial"/>
                <w:sz w:val="16"/>
                <w:szCs w:val="16"/>
                <w:color w:val="auto"/>
              </w:rPr>
              <w:t>GMC</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41"/>
        </w:trPr>
        <w:tc>
          <w:tcPr>
            <w:tcW w:w="5600" w:type="dxa"/>
            <w:vAlign w:val="bottom"/>
          </w:tcPr>
          <w:p>
            <w:pPr>
              <w:ind w:left="160"/>
              <w:spacing w:after="0"/>
              <w:rPr>
                <w:sz w:val="20"/>
                <w:szCs w:val="20"/>
                <w:color w:val="auto"/>
              </w:rPr>
            </w:pPr>
            <w:r>
              <w:rPr>
                <w:rFonts w:ascii="Arial" w:cs="Arial" w:eastAsia="Arial" w:hAnsi="Arial"/>
                <w:sz w:val="16"/>
                <w:szCs w:val="16"/>
                <w:color w:val="auto"/>
              </w:rPr>
              <w:t>Cadillac</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41"/>
        </w:trPr>
        <w:tc>
          <w:tcPr>
            <w:tcW w:w="5600" w:type="dxa"/>
            <w:vAlign w:val="bottom"/>
          </w:tcPr>
          <w:p>
            <w:pPr>
              <w:ind w:left="160"/>
              <w:spacing w:after="0"/>
              <w:rPr>
                <w:sz w:val="20"/>
                <w:szCs w:val="20"/>
                <w:color w:val="auto"/>
              </w:rPr>
            </w:pPr>
            <w:r>
              <w:rPr>
                <w:rFonts w:ascii="Arial" w:cs="Arial" w:eastAsia="Arial" w:hAnsi="Arial"/>
                <w:sz w:val="16"/>
                <w:szCs w:val="16"/>
                <w:color w:val="auto"/>
              </w:rPr>
              <w:t>Other</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4"/>
        </w:trPr>
        <w:tc>
          <w:tcPr>
            <w:tcW w:w="56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tcPr>
          <w:p>
            <w:pPr>
              <w:ind w:left="160"/>
              <w:spacing w:after="0"/>
              <w:rPr>
                <w:sz w:val="20"/>
                <w:szCs w:val="20"/>
                <w:color w:val="auto"/>
              </w:rPr>
            </w:pPr>
            <w:r>
              <w:rPr>
                <w:rFonts w:ascii="Arial" w:cs="Arial" w:eastAsia="Arial" w:hAnsi="Arial"/>
                <w:sz w:val="16"/>
                <w:szCs w:val="16"/>
                <w:b w:val="1"/>
                <w:bCs w:val="1"/>
                <w:color w:val="auto"/>
              </w:rPr>
              <w:t>Total GMIO(d)</w:t>
            </w:r>
          </w:p>
        </w:tc>
        <w:tc>
          <w:tcPr>
            <w:tcW w:w="1400" w:type="dxa"/>
            <w:vAlign w:val="bottom"/>
          </w:tcPr>
          <w:p>
            <w:pPr>
              <w:jc w:val="right"/>
              <w:ind w:right="41"/>
              <w:spacing w:after="0"/>
              <w:rPr>
                <w:sz w:val="20"/>
                <w:szCs w:val="20"/>
                <w:color w:val="auto"/>
              </w:rPr>
            </w:pPr>
            <w:r>
              <w:rPr>
                <w:rFonts w:ascii="Arial" w:cs="Arial" w:eastAsia="Arial" w:hAnsi="Arial"/>
                <w:sz w:val="16"/>
                <w:szCs w:val="16"/>
                <w:b w:val="1"/>
                <w:bCs w:val="1"/>
                <w:color w:val="auto"/>
              </w:rPr>
              <w:t>968</w:t>
            </w:r>
          </w:p>
        </w:tc>
        <w:tc>
          <w:tcPr>
            <w:tcW w:w="120" w:type="dxa"/>
            <w:vAlign w:val="bottom"/>
          </w:tcPr>
          <w:p>
            <w:pPr>
              <w:spacing w:after="0"/>
              <w:rPr>
                <w:sz w:val="18"/>
                <w:szCs w:val="18"/>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b w:val="1"/>
                <w:bCs w:val="1"/>
                <w:color w:val="auto"/>
              </w:rPr>
              <w:t>844</w:t>
            </w:r>
          </w:p>
        </w:tc>
        <w:tc>
          <w:tcPr>
            <w:tcW w:w="120" w:type="dxa"/>
            <w:vAlign w:val="bottom"/>
          </w:tcPr>
          <w:p>
            <w:pPr>
              <w:spacing w:after="0"/>
              <w:rPr>
                <w:sz w:val="18"/>
                <w:szCs w:val="18"/>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b w:val="1"/>
                <w:bCs w:val="1"/>
                <w:color w:val="auto"/>
              </w:rPr>
              <w:t>3,616</w:t>
            </w:r>
          </w:p>
        </w:tc>
        <w:tc>
          <w:tcPr>
            <w:tcW w:w="100" w:type="dxa"/>
            <w:vAlign w:val="bottom"/>
          </w:tcPr>
          <w:p>
            <w:pPr>
              <w:spacing w:after="0"/>
              <w:rPr>
                <w:sz w:val="18"/>
                <w:szCs w:val="18"/>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b w:val="1"/>
                <w:bCs w:val="1"/>
                <w:color w:val="auto"/>
              </w:rPr>
              <w:t>3,281</w:t>
            </w:r>
          </w:p>
        </w:tc>
        <w:tc>
          <w:tcPr>
            <w:tcW w:w="0" w:type="dxa"/>
            <w:vAlign w:val="bottom"/>
          </w:tcPr>
          <w:p>
            <w:pPr>
              <w:spacing w:after="0"/>
              <w:rPr>
                <w:sz w:val="1"/>
                <w:szCs w:val="1"/>
                <w:color w:val="auto"/>
              </w:rPr>
            </w:pPr>
          </w:p>
        </w:tc>
      </w:tr>
      <w:tr>
        <w:trPr>
          <w:trHeight w:val="24"/>
        </w:trPr>
        <w:tc>
          <w:tcPr>
            <w:tcW w:w="5600" w:type="dxa"/>
            <w:vAlign w:val="bottom"/>
            <w:vMerge w:val="restart"/>
          </w:tcPr>
          <w:p>
            <w:pPr>
              <w:ind w:left="20"/>
              <w:spacing w:after="0"/>
              <w:rPr>
                <w:sz w:val="20"/>
                <w:szCs w:val="20"/>
                <w:color w:val="auto"/>
              </w:rPr>
            </w:pPr>
            <w:r>
              <w:rPr>
                <w:rFonts w:ascii="Arial" w:cs="Arial" w:eastAsia="Arial" w:hAnsi="Arial"/>
                <w:sz w:val="16"/>
                <w:szCs w:val="16"/>
                <w:color w:val="auto"/>
              </w:rPr>
              <w:t>GMSA</w:t>
            </w: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600" w:type="dxa"/>
            <w:vAlign w:val="bottom"/>
          </w:tcPr>
          <w:p>
            <w:pPr>
              <w:ind w:left="160"/>
              <w:spacing w:after="0"/>
              <w:rPr>
                <w:sz w:val="20"/>
                <w:szCs w:val="20"/>
                <w:color w:val="auto"/>
              </w:rPr>
            </w:pPr>
            <w:r>
              <w:rPr>
                <w:rFonts w:ascii="Arial" w:cs="Arial" w:eastAsia="Arial" w:hAnsi="Arial"/>
                <w:sz w:val="16"/>
                <w:szCs w:val="16"/>
                <w:color w:val="auto"/>
              </w:rPr>
              <w:t>Chevrolet</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1,041</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1,057</w:t>
            </w:r>
          </w:p>
        </w:tc>
        <w:tc>
          <w:tcPr>
            <w:tcW w:w="0" w:type="dxa"/>
            <w:vAlign w:val="bottom"/>
          </w:tcPr>
          <w:p>
            <w:pPr>
              <w:spacing w:after="0"/>
              <w:rPr>
                <w:sz w:val="1"/>
                <w:szCs w:val="1"/>
                <w:color w:val="auto"/>
              </w:rPr>
            </w:pPr>
          </w:p>
        </w:tc>
      </w:tr>
      <w:tr>
        <w:trPr>
          <w:trHeight w:val="241"/>
        </w:trPr>
        <w:tc>
          <w:tcPr>
            <w:tcW w:w="5600" w:type="dxa"/>
            <w:vAlign w:val="bottom"/>
          </w:tcPr>
          <w:p>
            <w:pPr>
              <w:ind w:left="160"/>
              <w:spacing w:after="0"/>
              <w:rPr>
                <w:sz w:val="20"/>
                <w:szCs w:val="20"/>
                <w:color w:val="auto"/>
              </w:rPr>
            </w:pPr>
            <w:r>
              <w:rPr>
                <w:rFonts w:ascii="Arial" w:cs="Arial" w:eastAsia="Arial" w:hAnsi="Arial"/>
                <w:sz w:val="16"/>
                <w:szCs w:val="16"/>
                <w:color w:val="auto"/>
              </w:rPr>
              <w:t>Other</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4"/>
        </w:trPr>
        <w:tc>
          <w:tcPr>
            <w:tcW w:w="56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tcPr>
          <w:p>
            <w:pPr>
              <w:ind w:left="160"/>
              <w:spacing w:after="0"/>
              <w:rPr>
                <w:sz w:val="20"/>
                <w:szCs w:val="20"/>
                <w:color w:val="auto"/>
              </w:rPr>
            </w:pPr>
            <w:r>
              <w:rPr>
                <w:rFonts w:ascii="Arial" w:cs="Arial" w:eastAsia="Arial" w:hAnsi="Arial"/>
                <w:sz w:val="16"/>
                <w:szCs w:val="16"/>
                <w:b w:val="1"/>
                <w:bCs w:val="1"/>
                <w:color w:val="auto"/>
              </w:rPr>
              <w:t>Total GMSA</w:t>
            </w:r>
          </w:p>
        </w:tc>
        <w:tc>
          <w:tcPr>
            <w:tcW w:w="1400" w:type="dxa"/>
            <w:vAlign w:val="bottom"/>
          </w:tcPr>
          <w:p>
            <w:pPr>
              <w:jc w:val="right"/>
              <w:ind w:right="41"/>
              <w:spacing w:after="0"/>
              <w:rPr>
                <w:sz w:val="20"/>
                <w:szCs w:val="20"/>
                <w:color w:val="auto"/>
              </w:rPr>
            </w:pPr>
            <w:r>
              <w:rPr>
                <w:rFonts w:ascii="Arial" w:cs="Arial" w:eastAsia="Arial" w:hAnsi="Arial"/>
                <w:sz w:val="16"/>
                <w:szCs w:val="16"/>
                <w:b w:val="1"/>
                <w:bCs w:val="1"/>
                <w:color w:val="auto"/>
              </w:rPr>
              <w:t>260</w:t>
            </w:r>
          </w:p>
        </w:tc>
        <w:tc>
          <w:tcPr>
            <w:tcW w:w="120" w:type="dxa"/>
            <w:vAlign w:val="bottom"/>
          </w:tcPr>
          <w:p>
            <w:pPr>
              <w:spacing w:after="0"/>
              <w:rPr>
                <w:sz w:val="18"/>
                <w:szCs w:val="18"/>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b w:val="1"/>
                <w:bCs w:val="1"/>
                <w:color w:val="auto"/>
              </w:rPr>
              <w:t>267</w:t>
            </w:r>
          </w:p>
        </w:tc>
        <w:tc>
          <w:tcPr>
            <w:tcW w:w="120" w:type="dxa"/>
            <w:vAlign w:val="bottom"/>
          </w:tcPr>
          <w:p>
            <w:pPr>
              <w:spacing w:after="0"/>
              <w:rPr>
                <w:sz w:val="18"/>
                <w:szCs w:val="18"/>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b w:val="1"/>
                <w:bCs w:val="1"/>
                <w:color w:val="auto"/>
              </w:rPr>
              <w:t>1,047</w:t>
            </w:r>
          </w:p>
        </w:tc>
        <w:tc>
          <w:tcPr>
            <w:tcW w:w="100" w:type="dxa"/>
            <w:vAlign w:val="bottom"/>
          </w:tcPr>
          <w:p>
            <w:pPr>
              <w:spacing w:after="0"/>
              <w:rPr>
                <w:sz w:val="18"/>
                <w:szCs w:val="18"/>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b w:val="1"/>
                <w:bCs w:val="1"/>
                <w:color w:val="auto"/>
              </w:rPr>
              <w:t>1,066</w:t>
            </w:r>
          </w:p>
        </w:tc>
        <w:tc>
          <w:tcPr>
            <w:tcW w:w="0" w:type="dxa"/>
            <w:vAlign w:val="bottom"/>
          </w:tcPr>
          <w:p>
            <w:pPr>
              <w:spacing w:after="0"/>
              <w:rPr>
                <w:sz w:val="1"/>
                <w:szCs w:val="1"/>
                <w:color w:val="auto"/>
              </w:rPr>
            </w:pPr>
          </w:p>
        </w:tc>
      </w:tr>
      <w:tr>
        <w:trPr>
          <w:trHeight w:val="24"/>
        </w:trPr>
        <w:tc>
          <w:tcPr>
            <w:tcW w:w="56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Arial" w:cs="Arial" w:eastAsia="Arial" w:hAnsi="Arial"/>
                <w:sz w:val="16"/>
                <w:szCs w:val="16"/>
                <w:b w:val="1"/>
                <w:bCs w:val="1"/>
                <w:color w:val="auto"/>
              </w:rPr>
              <w:t>Total Worldwide</w:t>
            </w:r>
          </w:p>
        </w:tc>
        <w:tc>
          <w:tcPr>
            <w:tcW w:w="14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2,334</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2,240</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9,288</w:t>
            </w: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9,024</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600" w:type="dxa"/>
            <w:vAlign w:val="bottom"/>
            <w:vMerge w:val="continue"/>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284" w:right="20" w:hanging="284"/>
        <w:spacing w:after="0" w:line="232" w:lineRule="auto"/>
        <w:tabs>
          <w:tab w:leader="none" w:pos="284" w:val="left"/>
        </w:tabs>
        <w:numPr>
          <w:ilvl w:val="0"/>
          <w:numId w:val="7"/>
        </w:numPr>
        <w:rPr>
          <w:rFonts w:ascii="Arial" w:cs="Arial" w:eastAsia="Arial" w:hAnsi="Arial"/>
          <w:sz w:val="13"/>
          <w:szCs w:val="13"/>
          <w:color w:val="auto"/>
        </w:rPr>
      </w:pPr>
      <w:r>
        <w:rPr>
          <w:rFonts w:ascii="Arial" w:cs="Arial" w:eastAsia="Arial" w:hAnsi="Arial"/>
          <w:sz w:val="13"/>
          <w:szCs w:val="13"/>
          <w:color w:val="auto"/>
        </w:rPr>
        <w:t>GMNA vehicle sales primarily represent sales to the end customer. GME, GMIO and GMSA vehicle sales primarily represent estimated sales to the end customer. In countries where end customer data is not readily available other data sources, such as wholesale or forecast volumes, are used to estimate vehicle sales.</w:t>
      </w:r>
    </w:p>
    <w:p>
      <w:pPr>
        <w:ind w:left="284" w:hanging="284"/>
        <w:spacing w:after="0" w:line="232" w:lineRule="auto"/>
        <w:tabs>
          <w:tab w:leader="none" w:pos="284" w:val="left"/>
        </w:tabs>
        <w:numPr>
          <w:ilvl w:val="0"/>
          <w:numId w:val="7"/>
        </w:numPr>
        <w:rPr>
          <w:rFonts w:ascii="Arial" w:cs="Arial" w:eastAsia="Arial" w:hAnsi="Arial"/>
          <w:sz w:val="13"/>
          <w:szCs w:val="13"/>
          <w:color w:val="auto"/>
        </w:rPr>
      </w:pPr>
      <w:r>
        <w:rPr>
          <w:rFonts w:ascii="Arial" w:cs="Arial" w:eastAsia="Arial" w:hAnsi="Arial"/>
          <w:sz w:val="13"/>
          <w:szCs w:val="13"/>
          <w:color w:val="auto"/>
        </w:rPr>
        <w:t>Certain fleet sales that are accounted for as operating leases are included in vehicle sales at the time of delivery to the daily rental car companies.</w:t>
      </w:r>
    </w:p>
    <w:p>
      <w:pPr>
        <w:ind w:left="284" w:hanging="284"/>
        <w:spacing w:after="0" w:line="232" w:lineRule="auto"/>
        <w:tabs>
          <w:tab w:leader="none" w:pos="284" w:val="left"/>
        </w:tabs>
        <w:numPr>
          <w:ilvl w:val="0"/>
          <w:numId w:val="7"/>
        </w:numPr>
        <w:rPr>
          <w:rFonts w:ascii="Arial" w:cs="Arial" w:eastAsia="Arial" w:hAnsi="Arial"/>
          <w:sz w:val="13"/>
          <w:szCs w:val="13"/>
          <w:color w:val="auto"/>
        </w:rPr>
      </w:pPr>
      <w:r>
        <w:rPr>
          <w:rFonts w:ascii="Arial" w:cs="Arial" w:eastAsia="Arial" w:hAnsi="Arial"/>
          <w:sz w:val="13"/>
          <w:szCs w:val="13"/>
          <w:color w:val="auto"/>
        </w:rPr>
        <w:t>Vehicle sales data may include rounding differences.</w:t>
      </w:r>
    </w:p>
    <w:p>
      <w:pPr>
        <w:ind w:left="284" w:right="140" w:hanging="284"/>
        <w:spacing w:after="0" w:line="238" w:lineRule="auto"/>
        <w:tabs>
          <w:tab w:leader="none" w:pos="284"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Includes the following joint venture sales. Vehicle sales for SAIC GM Investment Limited, General Motors India Private Limited and Chevrolet Sales India Private Limited (collectively HKJV) are included through August 31, 2012:</w:t>
      </w:r>
    </w:p>
    <w:p>
      <w:pPr>
        <w:spacing w:after="0" w:line="184" w:lineRule="exact"/>
        <w:rPr>
          <w:sz w:val="20"/>
          <w:szCs w:val="20"/>
          <w:color w:val="auto"/>
        </w:rPr>
      </w:pPr>
    </w:p>
    <w:p>
      <w:pPr>
        <w:ind w:left="7924"/>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4396740</wp:posOffset>
            </wp:positionH>
            <wp:positionV relativeFrom="paragraph">
              <wp:posOffset>17145</wp:posOffset>
            </wp:positionV>
            <wp:extent cx="215201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52015" cy="7620"/>
                    </a:xfrm>
                    <a:prstGeom prst="rect">
                      <a:avLst/>
                    </a:prstGeom>
                    <a:noFill/>
                  </pic:spPr>
                </pic:pic>
              </a:graphicData>
            </a:graphic>
          </wp:anchor>
        </w:drawing>
      </w:r>
    </w:p>
    <w:p>
      <w:pPr>
        <w:spacing w:after="0" w:line="84" w:lineRule="exact"/>
        <w:rPr>
          <w:sz w:val="20"/>
          <w:szCs w:val="20"/>
          <w:color w:val="auto"/>
        </w:rPr>
      </w:pPr>
    </w:p>
    <w:tbl>
      <w:tblPr>
        <w:tblLayout w:type="fixed"/>
        <w:tblInd w:w="1144" w:type="dxa"/>
        <w:tblCellMar>
          <w:top w:w="0" w:type="dxa"/>
          <w:left w:w="0" w:type="dxa"/>
          <w:bottom w:w="0" w:type="dxa"/>
          <w:right w:w="0" w:type="dxa"/>
        </w:tblCellMar>
      </w:tblPr>
      <w:tr>
        <w:trPr>
          <w:trHeight w:val="172"/>
        </w:trPr>
        <w:tc>
          <w:tcPr>
            <w:tcW w:w="5780" w:type="dxa"/>
            <w:vAlign w:val="bottom"/>
          </w:tcPr>
          <w:p>
            <w:pPr>
              <w:spacing w:after="0"/>
              <w:rPr>
                <w:sz w:val="14"/>
                <w:szCs w:val="14"/>
                <w:color w:val="auto"/>
              </w:rPr>
            </w:pP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2012</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2011</w:t>
            </w:r>
          </w:p>
        </w:tc>
      </w:tr>
      <w:tr>
        <w:trPr>
          <w:trHeight w:val="228"/>
        </w:trPr>
        <w:tc>
          <w:tcPr>
            <w:tcW w:w="6900" w:type="dxa"/>
            <w:vAlign w:val="bottom"/>
            <w:gridSpan w:val="2"/>
          </w:tcPr>
          <w:p>
            <w:pPr>
              <w:spacing w:after="0"/>
              <w:rPr>
                <w:sz w:val="20"/>
                <w:szCs w:val="20"/>
                <w:color w:val="auto"/>
              </w:rPr>
            </w:pPr>
            <w:r>
              <w:rPr>
                <w:rFonts w:ascii="Arial" w:cs="Arial" w:eastAsia="Arial" w:hAnsi="Arial"/>
                <w:sz w:val="13"/>
                <w:szCs w:val="13"/>
                <w:color w:val="auto"/>
              </w:rPr>
              <w:t>Joint venture sales in China</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41"/>
        </w:trPr>
        <w:tc>
          <w:tcPr>
            <w:tcW w:w="6900" w:type="dxa"/>
            <w:vAlign w:val="bottom"/>
            <w:gridSpan w:val="2"/>
          </w:tcPr>
          <w:p>
            <w:pPr>
              <w:ind w:left="140"/>
              <w:spacing w:after="0"/>
              <w:rPr>
                <w:sz w:val="20"/>
                <w:szCs w:val="20"/>
                <w:color w:val="auto"/>
              </w:rPr>
            </w:pPr>
            <w:r>
              <w:rPr>
                <w:rFonts w:ascii="Arial" w:cs="Arial" w:eastAsia="Arial" w:hAnsi="Arial"/>
                <w:sz w:val="13"/>
                <w:szCs w:val="13"/>
                <w:color w:val="auto"/>
              </w:rPr>
              <w:t>SGM</w:t>
            </w: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40" w:type="dxa"/>
            <w:vAlign w:val="bottom"/>
          </w:tcPr>
          <w:p>
            <w:pPr>
              <w:jc w:val="right"/>
              <w:ind w:right="16"/>
              <w:spacing w:after="0"/>
              <w:rPr>
                <w:sz w:val="20"/>
                <w:szCs w:val="20"/>
                <w:color w:val="auto"/>
              </w:rPr>
            </w:pPr>
            <w:r>
              <w:rPr>
                <w:rFonts w:ascii="Arial" w:cs="Arial" w:eastAsia="Arial" w:hAnsi="Arial"/>
                <w:sz w:val="13"/>
                <w:szCs w:val="13"/>
                <w:color w:val="auto"/>
              </w:rPr>
              <w:t>1,200</w:t>
            </w:r>
          </w:p>
        </w:tc>
      </w:tr>
      <w:tr>
        <w:trPr>
          <w:trHeight w:val="241"/>
        </w:trPr>
        <w:tc>
          <w:tcPr>
            <w:tcW w:w="6900" w:type="dxa"/>
            <w:vAlign w:val="bottom"/>
            <w:gridSpan w:val="2"/>
          </w:tcPr>
          <w:p>
            <w:pPr>
              <w:ind w:left="140"/>
              <w:spacing w:after="0"/>
              <w:rPr>
                <w:sz w:val="20"/>
                <w:szCs w:val="20"/>
                <w:color w:val="auto"/>
              </w:rPr>
            </w:pPr>
            <w:r>
              <w:rPr>
                <w:rFonts w:ascii="Arial" w:cs="Arial" w:eastAsia="Arial" w:hAnsi="Arial"/>
                <w:sz w:val="13"/>
                <w:szCs w:val="13"/>
                <w:color w:val="auto"/>
              </w:rPr>
              <w:t>SGMS</w:t>
            </w: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1,331</w:t>
            </w:r>
          </w:p>
        </w:tc>
        <w:tc>
          <w:tcPr>
            <w:tcW w:w="80" w:type="dxa"/>
            <w:vAlign w:val="bottom"/>
          </w:tcPr>
          <w:p>
            <w:pPr>
              <w:spacing w:after="0"/>
              <w:rPr>
                <w:sz w:val="20"/>
                <w:szCs w:val="20"/>
                <w:color w:val="auto"/>
              </w:rPr>
            </w:pPr>
          </w:p>
        </w:tc>
        <w:tc>
          <w:tcPr>
            <w:tcW w:w="1640" w:type="dxa"/>
            <w:vAlign w:val="bottom"/>
          </w:tcPr>
          <w:p>
            <w:pPr>
              <w:jc w:val="right"/>
              <w:ind w:right="16"/>
              <w:spacing w:after="0"/>
              <w:rPr>
                <w:sz w:val="20"/>
                <w:szCs w:val="20"/>
                <w:color w:val="auto"/>
              </w:rPr>
            </w:pPr>
            <w:r>
              <w:rPr>
                <w:rFonts w:ascii="Arial" w:cs="Arial" w:eastAsia="Arial" w:hAnsi="Arial"/>
                <w:sz w:val="13"/>
                <w:szCs w:val="13"/>
                <w:color w:val="auto"/>
              </w:rPr>
              <w:t>—</w:t>
            </w:r>
          </w:p>
        </w:tc>
      </w:tr>
      <w:tr>
        <w:trPr>
          <w:trHeight w:val="241"/>
        </w:trPr>
        <w:tc>
          <w:tcPr>
            <w:tcW w:w="6900" w:type="dxa"/>
            <w:vAlign w:val="bottom"/>
            <w:gridSpan w:val="2"/>
          </w:tcPr>
          <w:p>
            <w:pPr>
              <w:ind w:left="140"/>
              <w:spacing w:after="0"/>
              <w:rPr>
                <w:sz w:val="20"/>
                <w:szCs w:val="20"/>
                <w:color w:val="auto"/>
              </w:rPr>
            </w:pPr>
            <w:r>
              <w:rPr>
                <w:rFonts w:ascii="Arial" w:cs="Arial" w:eastAsia="Arial" w:hAnsi="Arial"/>
                <w:sz w:val="13"/>
                <w:szCs w:val="13"/>
                <w:color w:val="auto"/>
              </w:rPr>
              <w:t>SGMW and FAW-GM</w:t>
            </w: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1,501</w:t>
            </w:r>
          </w:p>
        </w:tc>
        <w:tc>
          <w:tcPr>
            <w:tcW w:w="80" w:type="dxa"/>
            <w:vAlign w:val="bottom"/>
          </w:tcPr>
          <w:p>
            <w:pPr>
              <w:spacing w:after="0"/>
              <w:rPr>
                <w:sz w:val="20"/>
                <w:szCs w:val="20"/>
                <w:color w:val="auto"/>
              </w:rPr>
            </w:pPr>
          </w:p>
        </w:tc>
        <w:tc>
          <w:tcPr>
            <w:tcW w:w="1640" w:type="dxa"/>
            <w:vAlign w:val="bottom"/>
          </w:tcPr>
          <w:p>
            <w:pPr>
              <w:jc w:val="right"/>
              <w:ind w:right="16"/>
              <w:spacing w:after="0"/>
              <w:rPr>
                <w:sz w:val="20"/>
                <w:szCs w:val="20"/>
                <w:color w:val="auto"/>
              </w:rPr>
            </w:pPr>
            <w:r>
              <w:rPr>
                <w:rFonts w:ascii="Arial" w:cs="Arial" w:eastAsia="Arial" w:hAnsi="Arial"/>
                <w:sz w:val="13"/>
                <w:szCs w:val="13"/>
                <w:color w:val="auto"/>
              </w:rPr>
              <w:t>1,342</w:t>
            </w:r>
          </w:p>
        </w:tc>
      </w:tr>
      <w:tr>
        <w:trPr>
          <w:trHeight w:val="241"/>
        </w:trPr>
        <w:tc>
          <w:tcPr>
            <w:tcW w:w="6900" w:type="dxa"/>
            <w:vAlign w:val="bottom"/>
            <w:gridSpan w:val="2"/>
          </w:tcPr>
          <w:p>
            <w:pPr>
              <w:spacing w:after="0"/>
              <w:rPr>
                <w:sz w:val="20"/>
                <w:szCs w:val="20"/>
                <w:color w:val="auto"/>
              </w:rPr>
            </w:pPr>
            <w:r>
              <w:rPr>
                <w:rFonts w:ascii="Arial" w:cs="Arial" w:eastAsia="Arial" w:hAnsi="Arial"/>
                <w:sz w:val="13"/>
                <w:szCs w:val="13"/>
                <w:color w:val="auto"/>
              </w:rPr>
              <w:t>Joint venture sales in India</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41"/>
        </w:trPr>
        <w:tc>
          <w:tcPr>
            <w:tcW w:w="6900" w:type="dxa"/>
            <w:vAlign w:val="bottom"/>
            <w:gridSpan w:val="2"/>
          </w:tcPr>
          <w:p>
            <w:pPr>
              <w:ind w:left="140"/>
              <w:spacing w:after="0"/>
              <w:rPr>
                <w:sz w:val="20"/>
                <w:szCs w:val="20"/>
                <w:color w:val="auto"/>
              </w:rPr>
            </w:pPr>
            <w:r>
              <w:rPr>
                <w:rFonts w:ascii="Arial" w:cs="Arial" w:eastAsia="Arial" w:hAnsi="Arial"/>
                <w:sz w:val="13"/>
                <w:szCs w:val="13"/>
                <w:color w:val="auto"/>
              </w:rPr>
              <w:t>HKJV</w:t>
            </w:r>
          </w:p>
        </w:tc>
        <w:tc>
          <w:tcPr>
            <w:tcW w:w="540" w:type="dxa"/>
            <w:vAlign w:val="bottom"/>
          </w:tcPr>
          <w:p>
            <w:pPr>
              <w:jc w:val="right"/>
              <w:ind w:right="36"/>
              <w:spacing w:after="0"/>
              <w:rPr>
                <w:sz w:val="20"/>
                <w:szCs w:val="20"/>
                <w:color w:val="auto"/>
              </w:rPr>
            </w:pPr>
            <w:r>
              <w:rPr>
                <w:rFonts w:ascii="Arial" w:cs="Arial" w:eastAsia="Arial" w:hAnsi="Arial"/>
                <w:sz w:val="13"/>
                <w:szCs w:val="13"/>
                <w:color w:val="auto"/>
              </w:rPr>
              <w:t>64</w:t>
            </w:r>
          </w:p>
        </w:tc>
        <w:tc>
          <w:tcPr>
            <w:tcW w:w="80" w:type="dxa"/>
            <w:vAlign w:val="bottom"/>
          </w:tcPr>
          <w:p>
            <w:pPr>
              <w:spacing w:after="0"/>
              <w:rPr>
                <w:sz w:val="20"/>
                <w:szCs w:val="20"/>
                <w:color w:val="auto"/>
              </w:rPr>
            </w:pPr>
          </w:p>
        </w:tc>
        <w:tc>
          <w:tcPr>
            <w:tcW w:w="1640" w:type="dxa"/>
            <w:vAlign w:val="bottom"/>
          </w:tcPr>
          <w:p>
            <w:pPr>
              <w:jc w:val="right"/>
              <w:ind w:right="16"/>
              <w:spacing w:after="0"/>
              <w:rPr>
                <w:sz w:val="20"/>
                <w:szCs w:val="20"/>
                <w:color w:val="auto"/>
              </w:rPr>
            </w:pPr>
            <w:r>
              <w:rPr>
                <w:rFonts w:ascii="Arial" w:cs="Arial" w:eastAsia="Arial" w:hAnsi="Arial"/>
                <w:sz w:val="13"/>
                <w:szCs w:val="13"/>
                <w:color w:val="auto"/>
              </w:rPr>
              <w:t>111</w:t>
            </w:r>
          </w:p>
        </w:tc>
      </w:tr>
    </w:tbl>
    <w:p>
      <w:pPr>
        <w:spacing w:after="0" w:line="21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44"/>
          </w:cols>
          <w:pgMar w:left="236" w:top="533" w:right="219" w:bottom="1440" w:gutter="0" w:footer="0" w:header="0"/>
        </w:sectPr>
      </w:pPr>
    </w:p>
    <w:bookmarkStart w:id="14" w:name="page15"/>
    <w:bookmarkEnd w:id="14"/>
    <w:p>
      <w:pPr>
        <w:jc w:val="center"/>
        <w:ind w:left="440"/>
        <w:spacing w:after="0"/>
        <w:rPr>
          <w:sz w:val="20"/>
          <w:szCs w:val="20"/>
          <w:color w:val="auto"/>
        </w:rPr>
      </w:pPr>
      <w:r>
        <w:rPr>
          <w:rFonts w:ascii="Arial" w:cs="Arial" w:eastAsia="Arial" w:hAnsi="Arial"/>
          <w:sz w:val="14"/>
          <w:szCs w:val="14"/>
          <w:b w:val="1"/>
          <w:bCs w:val="1"/>
          <w:color w:val="auto"/>
        </w:rPr>
        <w:t>General Motors Company and Subsidiaries</w:t>
      </w:r>
    </w:p>
    <w:p>
      <w:pPr>
        <w:spacing w:after="0" w:line="48"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440"/>
        <w:spacing w:after="0"/>
        <w:rPr>
          <w:sz w:val="20"/>
          <w:szCs w:val="20"/>
          <w:color w:val="auto"/>
        </w:rPr>
      </w:pPr>
      <w:r>
        <w:rPr>
          <w:rFonts w:ascii="Arial" w:cs="Arial" w:eastAsia="Arial" w:hAnsi="Arial"/>
          <w:sz w:val="16"/>
          <w:szCs w:val="16"/>
          <w:i w:val="1"/>
          <w:iCs w:val="1"/>
          <w:color w:val="auto"/>
        </w:rPr>
        <w:t>(Unaudited)</w:t>
      </w:r>
    </w:p>
    <w:p>
      <w:pPr>
        <w:sectPr>
          <w:pgSz w:w="11900" w:h="16838" w:orient="portrait"/>
          <w:cols w:equalWidth="0" w:num="1">
            <w:col w:w="11424"/>
          </w:cols>
          <w:pgMar w:left="236" w:top="726" w:right="239" w:bottom="1440" w:gutter="0" w:footer="0" w:header="0"/>
        </w:sectPr>
      </w:pPr>
    </w:p>
    <w:p>
      <w:pPr>
        <w:spacing w:after="0" w:line="194" w:lineRule="exact"/>
        <w:rPr>
          <w:sz w:val="20"/>
          <w:szCs w:val="20"/>
          <w:color w:val="auto"/>
        </w:rPr>
      </w:pPr>
    </w:p>
    <w:p>
      <w:pPr>
        <w:jc w:val="center"/>
        <w:ind w:left="4984"/>
        <w:spacing w:after="0"/>
        <w:rPr>
          <w:sz w:val="20"/>
          <w:szCs w:val="20"/>
          <w:color w:val="auto"/>
        </w:rPr>
      </w:pPr>
      <w:r>
        <w:rPr>
          <w:rFonts w:ascii="Arial" w:cs="Arial" w:eastAsia="Arial" w:hAnsi="Arial"/>
          <w:sz w:val="13"/>
          <w:szCs w:val="13"/>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17145</wp:posOffset>
            </wp:positionV>
            <wp:extent cx="211391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13915" cy="7620"/>
                    </a:xfrm>
                    <a:prstGeom prst="rect">
                      <a:avLst/>
                    </a:prstGeom>
                    <a:noFill/>
                  </pic:spPr>
                </pic:pic>
              </a:graphicData>
            </a:graphic>
          </wp:anchor>
        </w:drawing>
      </w:r>
    </w:p>
    <w:p>
      <w:pPr>
        <w:spacing w:after="0" w:line="84" w:lineRule="exact"/>
        <w:rPr>
          <w:sz w:val="20"/>
          <w:szCs w:val="20"/>
          <w:color w:val="auto"/>
        </w:rPr>
      </w:pPr>
    </w:p>
    <w:p>
      <w:pPr>
        <w:ind w:left="4984"/>
        <w:spacing w:after="0"/>
        <w:tabs>
          <w:tab w:leader="none" w:pos="6683" w:val="left"/>
        </w:tabs>
        <w:rPr>
          <w:sz w:val="20"/>
          <w:szCs w:val="20"/>
          <w:color w:val="auto"/>
        </w:rPr>
      </w:pPr>
      <w:r>
        <w:rPr>
          <w:rFonts w:ascii="Arial" w:cs="Arial" w:eastAsia="Arial" w:hAnsi="Arial"/>
          <w:sz w:val="13"/>
          <w:szCs w:val="13"/>
          <w:b w:val="1"/>
          <w:bCs w:val="1"/>
          <w:color w:val="auto"/>
        </w:rPr>
        <w:t>December 31, 2012</w:t>
      </w:r>
      <w:r>
        <w:rPr>
          <w:sz w:val="20"/>
          <w:szCs w:val="20"/>
          <w:color w:val="auto"/>
        </w:rPr>
        <w:tab/>
      </w:r>
      <w:r>
        <w:rPr>
          <w:rFonts w:ascii="Arial" w:cs="Arial" w:eastAsia="Arial" w:hAnsi="Arial"/>
          <w:sz w:val="11"/>
          <w:szCs w:val="11"/>
          <w:b w:val="1"/>
          <w:bCs w:val="1"/>
          <w:color w:val="auto"/>
        </w:rPr>
        <w:t>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17145</wp:posOffset>
            </wp:positionV>
            <wp:extent cx="211391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1391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260"/>
        <w:spacing w:after="0"/>
        <w:rPr>
          <w:sz w:val="20"/>
          <w:szCs w:val="20"/>
          <w:color w:val="auto"/>
        </w:rPr>
      </w:pPr>
      <w:r>
        <w:rPr>
          <w:rFonts w:ascii="Arial" w:cs="Arial" w:eastAsia="Arial" w:hAnsi="Arial"/>
          <w:sz w:val="13"/>
          <w:szCs w:val="13"/>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17145</wp:posOffset>
            </wp:positionV>
            <wp:extent cx="20910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91055" cy="7620"/>
                    </a:xfrm>
                    <a:prstGeom prst="rect">
                      <a:avLst/>
                    </a:prstGeom>
                    <a:noFill/>
                  </pic:spPr>
                </pic:pic>
              </a:graphicData>
            </a:graphic>
          </wp:anchor>
        </w:drawing>
      </w:r>
    </w:p>
    <w:p>
      <w:pPr>
        <w:spacing w:after="0" w:line="84" w:lineRule="exact"/>
        <w:rPr>
          <w:sz w:val="20"/>
          <w:szCs w:val="20"/>
          <w:color w:val="auto"/>
        </w:rPr>
      </w:pPr>
    </w:p>
    <w:p>
      <w:pPr>
        <w:spacing w:after="0"/>
        <w:tabs>
          <w:tab w:leader="none" w:pos="1680" w:val="left"/>
        </w:tabs>
        <w:rPr>
          <w:sz w:val="20"/>
          <w:szCs w:val="20"/>
          <w:color w:val="auto"/>
        </w:rPr>
      </w:pPr>
      <w:r>
        <w:rPr>
          <w:rFonts w:ascii="Arial" w:cs="Arial" w:eastAsia="Arial" w:hAnsi="Arial"/>
          <w:sz w:val="13"/>
          <w:szCs w:val="13"/>
          <w:b w:val="1"/>
          <w:bCs w:val="1"/>
          <w:color w:val="auto"/>
        </w:rPr>
        <w:t>December 31, 2012</w:t>
      </w:r>
      <w:r>
        <w:rPr>
          <w:sz w:val="20"/>
          <w:szCs w:val="20"/>
          <w:color w:val="auto"/>
        </w:rPr>
        <w:tab/>
      </w:r>
      <w:r>
        <w:rPr>
          <w:rFonts w:ascii="Arial" w:cs="Arial" w:eastAsia="Arial" w:hAnsi="Arial"/>
          <w:sz w:val="11"/>
          <w:szCs w:val="11"/>
          <w:b w:val="1"/>
          <w:bCs w:val="1"/>
          <w:color w:val="auto"/>
        </w:rPr>
        <w:t>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17145</wp:posOffset>
            </wp:positionV>
            <wp:extent cx="209105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91055" cy="7620"/>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7744" w:space="680"/>
            <w:col w:w="3000"/>
          </w:cols>
          <w:pgMar w:left="236" w:top="726" w:right="239" w:bottom="1440" w:gutter="0" w:footer="0" w:header="0"/>
          <w:type w:val="continuous"/>
        </w:sectPr>
      </w:pPr>
    </w:p>
    <w:tbl>
      <w:tblPr>
        <w:tblLayout w:type="fixed"/>
        <w:tblInd w:w="4" w:type="dxa"/>
        <w:tblCellMar>
          <w:top w:w="0" w:type="dxa"/>
          <w:left w:w="0" w:type="dxa"/>
          <w:bottom w:w="0" w:type="dxa"/>
          <w:right w:w="0" w:type="dxa"/>
        </w:tblCellMar>
      </w:tblPr>
      <w:tr>
        <w:trPr>
          <w:trHeight w:val="209"/>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Market Share(a)(b)</w:t>
            </w:r>
          </w:p>
        </w:tc>
        <w:tc>
          <w:tcPr>
            <w:tcW w:w="2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1"/>
        </w:trPr>
        <w:tc>
          <w:tcPr>
            <w:tcW w:w="3580" w:type="dxa"/>
            <w:vAlign w:val="bottom"/>
          </w:tcPr>
          <w:p>
            <w:pPr>
              <w:ind w:left="160"/>
              <w:spacing w:after="0"/>
              <w:rPr>
                <w:sz w:val="20"/>
                <w:szCs w:val="20"/>
                <w:color w:val="auto"/>
              </w:rPr>
            </w:pPr>
            <w:r>
              <w:rPr>
                <w:rFonts w:ascii="Arial" w:cs="Arial" w:eastAsia="Arial" w:hAnsi="Arial"/>
                <w:sz w:val="16"/>
                <w:szCs w:val="16"/>
                <w:color w:val="auto"/>
              </w:rPr>
              <w:t>United States - Cars</w:t>
            </w:r>
          </w:p>
        </w:tc>
        <w:tc>
          <w:tcPr>
            <w:tcW w:w="2780" w:type="dxa"/>
            <w:vAlign w:val="bottom"/>
          </w:tcPr>
          <w:p>
            <w:pPr>
              <w:jc w:val="center"/>
              <w:ind w:left="960"/>
              <w:spacing w:after="0"/>
              <w:rPr>
                <w:sz w:val="20"/>
                <w:szCs w:val="20"/>
                <w:color w:val="auto"/>
              </w:rPr>
            </w:pPr>
            <w:r>
              <w:rPr>
                <w:rFonts w:ascii="Arial" w:cs="Arial" w:eastAsia="Arial" w:hAnsi="Arial"/>
                <w:sz w:val="16"/>
                <w:szCs w:val="16"/>
                <w:color w:val="auto"/>
                <w:w w:val="92"/>
              </w:rPr>
              <w:t>12.8%</w:t>
            </w: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12.8%</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14.3%</w:t>
            </w:r>
          </w:p>
        </w:tc>
        <w:tc>
          <w:tcPr>
            <w:tcW w:w="1080" w:type="dxa"/>
            <w:vAlign w:val="bottom"/>
          </w:tcPr>
          <w:p>
            <w:pPr>
              <w:jc w:val="center"/>
              <w:ind w:left="540"/>
              <w:spacing w:after="0"/>
              <w:rPr>
                <w:sz w:val="20"/>
                <w:szCs w:val="20"/>
                <w:color w:val="auto"/>
              </w:rPr>
            </w:pPr>
            <w:r>
              <w:rPr>
                <w:rFonts w:ascii="Arial" w:cs="Arial" w:eastAsia="Arial" w:hAnsi="Arial"/>
                <w:sz w:val="16"/>
                <w:szCs w:val="16"/>
                <w:color w:val="auto"/>
                <w:w w:val="92"/>
              </w:rPr>
              <w:t>15.7%</w:t>
            </w:r>
          </w:p>
        </w:tc>
      </w:tr>
      <w:tr>
        <w:trPr>
          <w:trHeight w:val="241"/>
        </w:trPr>
        <w:tc>
          <w:tcPr>
            <w:tcW w:w="3580" w:type="dxa"/>
            <w:vAlign w:val="bottom"/>
          </w:tcPr>
          <w:p>
            <w:pPr>
              <w:ind w:left="160"/>
              <w:spacing w:after="0"/>
              <w:rPr>
                <w:sz w:val="20"/>
                <w:szCs w:val="20"/>
                <w:color w:val="auto"/>
              </w:rPr>
            </w:pPr>
            <w:r>
              <w:rPr>
                <w:rFonts w:ascii="Arial" w:cs="Arial" w:eastAsia="Arial" w:hAnsi="Arial"/>
                <w:sz w:val="16"/>
                <w:szCs w:val="16"/>
                <w:color w:val="auto"/>
              </w:rPr>
              <w:t>United States - Trucks</w:t>
            </w:r>
          </w:p>
        </w:tc>
        <w:tc>
          <w:tcPr>
            <w:tcW w:w="2780" w:type="dxa"/>
            <w:vAlign w:val="bottom"/>
          </w:tcPr>
          <w:p>
            <w:pPr>
              <w:jc w:val="center"/>
              <w:ind w:left="960"/>
              <w:spacing w:after="0"/>
              <w:rPr>
                <w:sz w:val="20"/>
                <w:szCs w:val="20"/>
                <w:color w:val="auto"/>
              </w:rPr>
            </w:pPr>
            <w:r>
              <w:rPr>
                <w:rFonts w:ascii="Arial" w:cs="Arial" w:eastAsia="Arial" w:hAnsi="Arial"/>
                <w:sz w:val="16"/>
                <w:szCs w:val="16"/>
                <w:color w:val="auto"/>
                <w:w w:val="92"/>
              </w:rPr>
              <w:t>24.9%</w:t>
            </w: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26.1%</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23.7%</w:t>
            </w:r>
          </w:p>
        </w:tc>
        <w:tc>
          <w:tcPr>
            <w:tcW w:w="1080" w:type="dxa"/>
            <w:vAlign w:val="bottom"/>
          </w:tcPr>
          <w:p>
            <w:pPr>
              <w:jc w:val="center"/>
              <w:ind w:left="540"/>
              <w:spacing w:after="0"/>
              <w:rPr>
                <w:sz w:val="20"/>
                <w:szCs w:val="20"/>
                <w:color w:val="auto"/>
              </w:rPr>
            </w:pPr>
            <w:r>
              <w:rPr>
                <w:rFonts w:ascii="Arial" w:cs="Arial" w:eastAsia="Arial" w:hAnsi="Arial"/>
                <w:sz w:val="16"/>
                <w:szCs w:val="16"/>
                <w:color w:val="auto"/>
                <w:w w:val="92"/>
              </w:rPr>
              <w:t>25.2%</w:t>
            </w:r>
          </w:p>
        </w:tc>
      </w:tr>
      <w:tr>
        <w:trPr>
          <w:trHeight w:val="241"/>
        </w:trPr>
        <w:tc>
          <w:tcPr>
            <w:tcW w:w="3580" w:type="dxa"/>
            <w:vAlign w:val="bottom"/>
          </w:tcPr>
          <w:p>
            <w:pPr>
              <w:ind w:left="160"/>
              <w:spacing w:after="0"/>
              <w:rPr>
                <w:sz w:val="20"/>
                <w:szCs w:val="20"/>
                <w:color w:val="auto"/>
              </w:rPr>
            </w:pPr>
            <w:r>
              <w:rPr>
                <w:rFonts w:ascii="Arial" w:cs="Arial" w:eastAsia="Arial" w:hAnsi="Arial"/>
                <w:sz w:val="16"/>
                <w:szCs w:val="16"/>
                <w:color w:val="auto"/>
              </w:rPr>
              <w:t>United States - Crossovers</w:t>
            </w:r>
          </w:p>
        </w:tc>
        <w:tc>
          <w:tcPr>
            <w:tcW w:w="2780" w:type="dxa"/>
            <w:vAlign w:val="bottom"/>
          </w:tcPr>
          <w:p>
            <w:pPr>
              <w:jc w:val="center"/>
              <w:ind w:left="960"/>
              <w:spacing w:after="0"/>
              <w:rPr>
                <w:sz w:val="20"/>
                <w:szCs w:val="20"/>
                <w:color w:val="auto"/>
              </w:rPr>
            </w:pPr>
            <w:r>
              <w:rPr>
                <w:rFonts w:ascii="Arial" w:cs="Arial" w:eastAsia="Arial" w:hAnsi="Arial"/>
                <w:sz w:val="16"/>
                <w:szCs w:val="16"/>
                <w:color w:val="auto"/>
                <w:w w:val="92"/>
              </w:rPr>
              <w:t>16.5%</w:t>
            </w: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17.3%</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17.3%</w:t>
            </w:r>
          </w:p>
        </w:tc>
        <w:tc>
          <w:tcPr>
            <w:tcW w:w="1080" w:type="dxa"/>
            <w:vAlign w:val="bottom"/>
          </w:tcPr>
          <w:p>
            <w:pPr>
              <w:jc w:val="center"/>
              <w:ind w:left="540"/>
              <w:spacing w:after="0"/>
              <w:rPr>
                <w:sz w:val="20"/>
                <w:szCs w:val="20"/>
                <w:color w:val="auto"/>
              </w:rPr>
            </w:pPr>
            <w:r>
              <w:rPr>
                <w:rFonts w:ascii="Arial" w:cs="Arial" w:eastAsia="Arial" w:hAnsi="Arial"/>
                <w:sz w:val="16"/>
                <w:szCs w:val="16"/>
                <w:color w:val="auto"/>
                <w:w w:val="92"/>
              </w:rPr>
              <w:t>18.8%</w:t>
            </w:r>
          </w:p>
        </w:tc>
      </w:tr>
      <w:tr>
        <w:trPr>
          <w:trHeight w:val="241"/>
        </w:trPr>
        <w:tc>
          <w:tcPr>
            <w:tcW w:w="3580" w:type="dxa"/>
            <w:vAlign w:val="bottom"/>
          </w:tcPr>
          <w:p>
            <w:pPr>
              <w:ind w:left="160"/>
              <w:spacing w:after="0"/>
              <w:rPr>
                <w:sz w:val="20"/>
                <w:szCs w:val="20"/>
                <w:color w:val="auto"/>
              </w:rPr>
            </w:pPr>
            <w:r>
              <w:rPr>
                <w:rFonts w:ascii="Arial" w:cs="Arial" w:eastAsia="Arial" w:hAnsi="Arial"/>
                <w:sz w:val="16"/>
                <w:szCs w:val="16"/>
                <w:color w:val="auto"/>
              </w:rPr>
              <w:t>Total United States</w:t>
            </w:r>
          </w:p>
        </w:tc>
        <w:tc>
          <w:tcPr>
            <w:tcW w:w="2780" w:type="dxa"/>
            <w:vAlign w:val="bottom"/>
          </w:tcPr>
          <w:p>
            <w:pPr>
              <w:jc w:val="center"/>
              <w:ind w:left="960"/>
              <w:spacing w:after="0"/>
              <w:rPr>
                <w:sz w:val="20"/>
                <w:szCs w:val="20"/>
                <w:color w:val="auto"/>
              </w:rPr>
            </w:pPr>
            <w:r>
              <w:rPr>
                <w:rFonts w:ascii="Arial" w:cs="Arial" w:eastAsia="Arial" w:hAnsi="Arial"/>
                <w:sz w:val="16"/>
                <w:szCs w:val="16"/>
                <w:color w:val="auto"/>
                <w:w w:val="92"/>
              </w:rPr>
              <w:t>17.1%</w:t>
            </w: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18.0%</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17.5%</w:t>
            </w:r>
          </w:p>
        </w:tc>
        <w:tc>
          <w:tcPr>
            <w:tcW w:w="1080" w:type="dxa"/>
            <w:vAlign w:val="bottom"/>
          </w:tcPr>
          <w:p>
            <w:pPr>
              <w:jc w:val="center"/>
              <w:ind w:left="540"/>
              <w:spacing w:after="0"/>
              <w:rPr>
                <w:sz w:val="20"/>
                <w:szCs w:val="20"/>
                <w:color w:val="auto"/>
              </w:rPr>
            </w:pPr>
            <w:r>
              <w:rPr>
                <w:rFonts w:ascii="Arial" w:cs="Arial" w:eastAsia="Arial" w:hAnsi="Arial"/>
                <w:sz w:val="16"/>
                <w:szCs w:val="16"/>
                <w:color w:val="auto"/>
                <w:w w:val="92"/>
              </w:rPr>
              <w:t>19.2%</w:t>
            </w:r>
          </w:p>
        </w:tc>
      </w:tr>
      <w:tr>
        <w:trPr>
          <w:trHeight w:val="241"/>
        </w:trPr>
        <w:tc>
          <w:tcPr>
            <w:tcW w:w="3580" w:type="dxa"/>
            <w:vAlign w:val="bottom"/>
          </w:tcPr>
          <w:p>
            <w:pPr>
              <w:ind w:left="160"/>
              <w:spacing w:after="0"/>
              <w:rPr>
                <w:sz w:val="20"/>
                <w:szCs w:val="20"/>
                <w:color w:val="auto"/>
              </w:rPr>
            </w:pPr>
            <w:r>
              <w:rPr>
                <w:rFonts w:ascii="Arial" w:cs="Arial" w:eastAsia="Arial" w:hAnsi="Arial"/>
                <w:sz w:val="16"/>
                <w:szCs w:val="16"/>
                <w:color w:val="auto"/>
              </w:rPr>
              <w:t>Total GMNA</w:t>
            </w:r>
          </w:p>
        </w:tc>
        <w:tc>
          <w:tcPr>
            <w:tcW w:w="2780" w:type="dxa"/>
            <w:vAlign w:val="bottom"/>
          </w:tcPr>
          <w:p>
            <w:pPr>
              <w:jc w:val="center"/>
              <w:ind w:left="960"/>
              <w:spacing w:after="0"/>
              <w:rPr>
                <w:sz w:val="20"/>
                <w:szCs w:val="20"/>
                <w:color w:val="auto"/>
              </w:rPr>
            </w:pPr>
            <w:r>
              <w:rPr>
                <w:rFonts w:ascii="Arial" w:cs="Arial" w:eastAsia="Arial" w:hAnsi="Arial"/>
                <w:sz w:val="16"/>
                <w:szCs w:val="16"/>
                <w:color w:val="auto"/>
                <w:w w:val="92"/>
              </w:rPr>
              <w:t>16.6%</w:t>
            </w: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17.5%</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16.9%</w:t>
            </w:r>
          </w:p>
        </w:tc>
        <w:tc>
          <w:tcPr>
            <w:tcW w:w="1080" w:type="dxa"/>
            <w:vAlign w:val="bottom"/>
          </w:tcPr>
          <w:p>
            <w:pPr>
              <w:jc w:val="center"/>
              <w:ind w:left="540"/>
              <w:spacing w:after="0"/>
              <w:rPr>
                <w:sz w:val="20"/>
                <w:szCs w:val="20"/>
                <w:color w:val="auto"/>
              </w:rPr>
            </w:pPr>
            <w:r>
              <w:rPr>
                <w:rFonts w:ascii="Arial" w:cs="Arial" w:eastAsia="Arial" w:hAnsi="Arial"/>
                <w:sz w:val="16"/>
                <w:szCs w:val="16"/>
                <w:color w:val="auto"/>
                <w:w w:val="92"/>
              </w:rPr>
              <w:t>18.4%</w:t>
            </w:r>
          </w:p>
        </w:tc>
      </w:tr>
      <w:tr>
        <w:trPr>
          <w:trHeight w:val="241"/>
        </w:trPr>
        <w:tc>
          <w:tcPr>
            <w:tcW w:w="3580" w:type="dxa"/>
            <w:vAlign w:val="bottom"/>
          </w:tcPr>
          <w:p>
            <w:pPr>
              <w:ind w:left="160"/>
              <w:spacing w:after="0"/>
              <w:rPr>
                <w:sz w:val="20"/>
                <w:szCs w:val="20"/>
                <w:color w:val="auto"/>
              </w:rPr>
            </w:pPr>
            <w:r>
              <w:rPr>
                <w:rFonts w:ascii="Arial" w:cs="Arial" w:eastAsia="Arial" w:hAnsi="Arial"/>
                <w:sz w:val="16"/>
                <w:szCs w:val="16"/>
                <w:color w:val="auto"/>
              </w:rPr>
              <w:t>Total GME</w:t>
            </w:r>
          </w:p>
        </w:tc>
        <w:tc>
          <w:tcPr>
            <w:tcW w:w="2780" w:type="dxa"/>
            <w:vAlign w:val="bottom"/>
          </w:tcPr>
          <w:p>
            <w:pPr>
              <w:jc w:val="center"/>
              <w:ind w:left="960"/>
              <w:spacing w:after="0"/>
              <w:rPr>
                <w:sz w:val="20"/>
                <w:szCs w:val="20"/>
                <w:color w:val="auto"/>
              </w:rPr>
            </w:pPr>
            <w:r>
              <w:rPr>
                <w:rFonts w:ascii="Arial" w:cs="Arial" w:eastAsia="Arial" w:hAnsi="Arial"/>
                <w:sz w:val="16"/>
                <w:szCs w:val="16"/>
                <w:color w:val="auto"/>
                <w:w w:val="93"/>
              </w:rPr>
              <w:t>8.3%</w:t>
            </w: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8.6%</w:t>
            </w: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8.5%</w:t>
            </w:r>
          </w:p>
        </w:tc>
        <w:tc>
          <w:tcPr>
            <w:tcW w:w="1080" w:type="dxa"/>
            <w:vAlign w:val="bottom"/>
          </w:tcPr>
          <w:p>
            <w:pPr>
              <w:jc w:val="center"/>
              <w:ind w:left="540"/>
              <w:spacing w:after="0"/>
              <w:rPr>
                <w:sz w:val="20"/>
                <w:szCs w:val="20"/>
                <w:color w:val="auto"/>
              </w:rPr>
            </w:pPr>
            <w:r>
              <w:rPr>
                <w:rFonts w:ascii="Arial" w:cs="Arial" w:eastAsia="Arial" w:hAnsi="Arial"/>
                <w:sz w:val="16"/>
                <w:szCs w:val="16"/>
                <w:color w:val="auto"/>
                <w:w w:val="93"/>
              </w:rPr>
              <w:t>8.7%</w:t>
            </w:r>
          </w:p>
        </w:tc>
      </w:tr>
      <w:tr>
        <w:trPr>
          <w:trHeight w:val="241"/>
        </w:trPr>
        <w:tc>
          <w:tcPr>
            <w:tcW w:w="3580" w:type="dxa"/>
            <w:vAlign w:val="bottom"/>
          </w:tcPr>
          <w:p>
            <w:pPr>
              <w:ind w:left="160"/>
              <w:spacing w:after="0"/>
              <w:rPr>
                <w:sz w:val="20"/>
                <w:szCs w:val="20"/>
                <w:color w:val="auto"/>
              </w:rPr>
            </w:pPr>
            <w:r>
              <w:rPr>
                <w:rFonts w:ascii="Arial" w:cs="Arial" w:eastAsia="Arial" w:hAnsi="Arial"/>
                <w:sz w:val="16"/>
                <w:szCs w:val="16"/>
                <w:color w:val="auto"/>
              </w:rPr>
              <w:t>Total GMIO(c)</w:t>
            </w:r>
          </w:p>
        </w:tc>
        <w:tc>
          <w:tcPr>
            <w:tcW w:w="2780" w:type="dxa"/>
            <w:vAlign w:val="bottom"/>
          </w:tcPr>
          <w:p>
            <w:pPr>
              <w:jc w:val="center"/>
              <w:ind w:left="960"/>
              <w:spacing w:after="0"/>
              <w:rPr>
                <w:sz w:val="20"/>
                <w:szCs w:val="20"/>
                <w:color w:val="auto"/>
              </w:rPr>
            </w:pPr>
            <w:r>
              <w:rPr>
                <w:rFonts w:ascii="Arial" w:cs="Arial" w:eastAsia="Arial" w:hAnsi="Arial"/>
                <w:sz w:val="16"/>
                <w:szCs w:val="16"/>
                <w:color w:val="auto"/>
                <w:w w:val="93"/>
              </w:rPr>
              <w:t>9.8%</w:t>
            </w: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9.5%</w:t>
            </w: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9.5%</w:t>
            </w:r>
          </w:p>
        </w:tc>
        <w:tc>
          <w:tcPr>
            <w:tcW w:w="1080" w:type="dxa"/>
            <w:vAlign w:val="bottom"/>
          </w:tcPr>
          <w:p>
            <w:pPr>
              <w:jc w:val="center"/>
              <w:ind w:left="540"/>
              <w:spacing w:after="0"/>
              <w:rPr>
                <w:sz w:val="20"/>
                <w:szCs w:val="20"/>
                <w:color w:val="auto"/>
              </w:rPr>
            </w:pPr>
            <w:r>
              <w:rPr>
                <w:rFonts w:ascii="Arial" w:cs="Arial" w:eastAsia="Arial" w:hAnsi="Arial"/>
                <w:sz w:val="16"/>
                <w:szCs w:val="16"/>
                <w:color w:val="auto"/>
                <w:w w:val="93"/>
              </w:rPr>
              <w:t>9.5%</w:t>
            </w:r>
          </w:p>
        </w:tc>
      </w:tr>
      <w:tr>
        <w:trPr>
          <w:trHeight w:val="241"/>
        </w:trPr>
        <w:tc>
          <w:tcPr>
            <w:tcW w:w="3580" w:type="dxa"/>
            <w:vAlign w:val="bottom"/>
          </w:tcPr>
          <w:p>
            <w:pPr>
              <w:ind w:left="160"/>
              <w:spacing w:after="0"/>
              <w:rPr>
                <w:sz w:val="20"/>
                <w:szCs w:val="20"/>
                <w:color w:val="auto"/>
              </w:rPr>
            </w:pPr>
            <w:r>
              <w:rPr>
                <w:rFonts w:ascii="Arial" w:cs="Arial" w:eastAsia="Arial" w:hAnsi="Arial"/>
                <w:sz w:val="16"/>
                <w:szCs w:val="16"/>
                <w:color w:val="auto"/>
              </w:rPr>
              <w:t>Total GMSA</w:t>
            </w:r>
          </w:p>
        </w:tc>
        <w:tc>
          <w:tcPr>
            <w:tcW w:w="2780" w:type="dxa"/>
            <w:vAlign w:val="bottom"/>
          </w:tcPr>
          <w:p>
            <w:pPr>
              <w:jc w:val="center"/>
              <w:ind w:left="960"/>
              <w:spacing w:after="0"/>
              <w:rPr>
                <w:sz w:val="20"/>
                <w:szCs w:val="20"/>
                <w:color w:val="auto"/>
              </w:rPr>
            </w:pPr>
            <w:r>
              <w:rPr>
                <w:rFonts w:ascii="Arial" w:cs="Arial" w:eastAsia="Arial" w:hAnsi="Arial"/>
                <w:sz w:val="16"/>
                <w:szCs w:val="16"/>
                <w:color w:val="auto"/>
                <w:w w:val="92"/>
              </w:rPr>
              <w:t>17.7%</w:t>
            </w: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18.4%</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18.0%</w:t>
            </w:r>
          </w:p>
        </w:tc>
        <w:tc>
          <w:tcPr>
            <w:tcW w:w="1080" w:type="dxa"/>
            <w:vAlign w:val="bottom"/>
          </w:tcPr>
          <w:p>
            <w:pPr>
              <w:jc w:val="center"/>
              <w:ind w:left="540"/>
              <w:spacing w:after="0"/>
              <w:rPr>
                <w:sz w:val="20"/>
                <w:szCs w:val="20"/>
                <w:color w:val="auto"/>
              </w:rPr>
            </w:pPr>
            <w:r>
              <w:rPr>
                <w:rFonts w:ascii="Arial" w:cs="Arial" w:eastAsia="Arial" w:hAnsi="Arial"/>
                <w:sz w:val="16"/>
                <w:szCs w:val="16"/>
                <w:color w:val="auto"/>
                <w:w w:val="92"/>
              </w:rPr>
              <w:t>18.8%</w:t>
            </w:r>
          </w:p>
        </w:tc>
      </w:tr>
      <w:tr>
        <w:trPr>
          <w:trHeight w:val="241"/>
        </w:trPr>
        <w:tc>
          <w:tcPr>
            <w:tcW w:w="3580" w:type="dxa"/>
            <w:vAlign w:val="bottom"/>
          </w:tcPr>
          <w:p>
            <w:pPr>
              <w:ind w:left="160"/>
              <w:spacing w:after="0"/>
              <w:rPr>
                <w:sz w:val="20"/>
                <w:szCs w:val="20"/>
                <w:color w:val="auto"/>
              </w:rPr>
            </w:pPr>
            <w:r>
              <w:rPr>
                <w:rFonts w:ascii="Arial" w:cs="Arial" w:eastAsia="Arial" w:hAnsi="Arial"/>
                <w:sz w:val="16"/>
                <w:szCs w:val="16"/>
                <w:b w:val="1"/>
                <w:bCs w:val="1"/>
                <w:color w:val="auto"/>
              </w:rPr>
              <w:t>Total Worldwide</w:t>
            </w:r>
          </w:p>
        </w:tc>
        <w:tc>
          <w:tcPr>
            <w:tcW w:w="2780" w:type="dxa"/>
            <w:vAlign w:val="bottom"/>
          </w:tcPr>
          <w:p>
            <w:pPr>
              <w:jc w:val="center"/>
              <w:ind w:left="960"/>
              <w:spacing w:after="0"/>
              <w:rPr>
                <w:sz w:val="20"/>
                <w:szCs w:val="20"/>
                <w:color w:val="auto"/>
              </w:rPr>
            </w:pPr>
            <w:r>
              <w:rPr>
                <w:rFonts w:ascii="Arial" w:cs="Arial" w:eastAsia="Arial" w:hAnsi="Arial"/>
                <w:sz w:val="16"/>
                <w:szCs w:val="16"/>
                <w:b w:val="1"/>
                <w:bCs w:val="1"/>
                <w:color w:val="auto"/>
                <w:w w:val="92"/>
              </w:rPr>
              <w:t>11.5%</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6"/>
              </w:rPr>
              <w:t>11.6%</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6"/>
              </w:rPr>
              <w:t>11.5%</w:t>
            </w:r>
          </w:p>
        </w:tc>
        <w:tc>
          <w:tcPr>
            <w:tcW w:w="1080" w:type="dxa"/>
            <w:vAlign w:val="bottom"/>
          </w:tcPr>
          <w:p>
            <w:pPr>
              <w:jc w:val="center"/>
              <w:ind w:left="560"/>
              <w:spacing w:after="0"/>
              <w:rPr>
                <w:sz w:val="20"/>
                <w:szCs w:val="20"/>
                <w:color w:val="auto"/>
              </w:rPr>
            </w:pPr>
            <w:r>
              <w:rPr>
                <w:rFonts w:ascii="Arial" w:cs="Arial" w:eastAsia="Arial" w:hAnsi="Arial"/>
                <w:sz w:val="16"/>
                <w:szCs w:val="16"/>
                <w:b w:val="1"/>
                <w:bCs w:val="1"/>
                <w:color w:val="auto"/>
                <w:w w:val="96"/>
              </w:rPr>
              <w:t>11.9%</w:t>
            </w:r>
          </w:p>
        </w:tc>
      </w:tr>
      <w:tr>
        <w:trPr>
          <w:trHeight w:val="482"/>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U.S. Retail/Fleet Mix</w:t>
            </w:r>
          </w:p>
        </w:tc>
        <w:tc>
          <w:tcPr>
            <w:tcW w:w="2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1"/>
        </w:trPr>
        <w:tc>
          <w:tcPr>
            <w:tcW w:w="3580" w:type="dxa"/>
            <w:vAlign w:val="bottom"/>
          </w:tcPr>
          <w:p>
            <w:pPr>
              <w:ind w:left="160"/>
              <w:spacing w:after="0"/>
              <w:rPr>
                <w:sz w:val="20"/>
                <w:szCs w:val="20"/>
                <w:color w:val="auto"/>
              </w:rPr>
            </w:pPr>
            <w:r>
              <w:rPr>
                <w:rFonts w:ascii="Arial" w:cs="Arial" w:eastAsia="Arial" w:hAnsi="Arial"/>
                <w:sz w:val="16"/>
                <w:szCs w:val="16"/>
                <w:color w:val="auto"/>
              </w:rPr>
              <w:t>% Fleet Sales - Cars</w:t>
            </w:r>
          </w:p>
        </w:tc>
        <w:tc>
          <w:tcPr>
            <w:tcW w:w="2780" w:type="dxa"/>
            <w:vAlign w:val="bottom"/>
          </w:tcPr>
          <w:p>
            <w:pPr>
              <w:jc w:val="center"/>
              <w:ind w:left="960"/>
              <w:spacing w:after="0"/>
              <w:rPr>
                <w:sz w:val="20"/>
                <w:szCs w:val="20"/>
                <w:color w:val="auto"/>
              </w:rPr>
            </w:pPr>
            <w:r>
              <w:rPr>
                <w:rFonts w:ascii="Arial" w:cs="Arial" w:eastAsia="Arial" w:hAnsi="Arial"/>
                <w:sz w:val="16"/>
                <w:szCs w:val="16"/>
                <w:color w:val="auto"/>
                <w:w w:val="92"/>
              </w:rPr>
              <w:t>27.9%</w:t>
            </w: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24.4%</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30.6%</w:t>
            </w:r>
          </w:p>
        </w:tc>
        <w:tc>
          <w:tcPr>
            <w:tcW w:w="1080" w:type="dxa"/>
            <w:vAlign w:val="bottom"/>
          </w:tcPr>
          <w:p>
            <w:pPr>
              <w:jc w:val="center"/>
              <w:ind w:left="540"/>
              <w:spacing w:after="0"/>
              <w:rPr>
                <w:sz w:val="20"/>
                <w:szCs w:val="20"/>
                <w:color w:val="auto"/>
              </w:rPr>
            </w:pPr>
            <w:r>
              <w:rPr>
                <w:rFonts w:ascii="Arial" w:cs="Arial" w:eastAsia="Arial" w:hAnsi="Arial"/>
                <w:sz w:val="16"/>
                <w:szCs w:val="16"/>
                <w:color w:val="auto"/>
                <w:w w:val="92"/>
              </w:rPr>
              <w:t>31.3%</w:t>
            </w:r>
          </w:p>
        </w:tc>
      </w:tr>
      <w:tr>
        <w:trPr>
          <w:trHeight w:val="241"/>
        </w:trPr>
        <w:tc>
          <w:tcPr>
            <w:tcW w:w="3580" w:type="dxa"/>
            <w:vAlign w:val="bottom"/>
          </w:tcPr>
          <w:p>
            <w:pPr>
              <w:ind w:left="160"/>
              <w:spacing w:after="0"/>
              <w:rPr>
                <w:sz w:val="20"/>
                <w:szCs w:val="20"/>
                <w:color w:val="auto"/>
              </w:rPr>
            </w:pPr>
            <w:r>
              <w:rPr>
                <w:rFonts w:ascii="Arial" w:cs="Arial" w:eastAsia="Arial" w:hAnsi="Arial"/>
                <w:sz w:val="16"/>
                <w:szCs w:val="16"/>
                <w:color w:val="auto"/>
              </w:rPr>
              <w:t>% Fleet Sales - Trucks</w:t>
            </w:r>
          </w:p>
        </w:tc>
        <w:tc>
          <w:tcPr>
            <w:tcW w:w="2780" w:type="dxa"/>
            <w:vAlign w:val="bottom"/>
          </w:tcPr>
          <w:p>
            <w:pPr>
              <w:jc w:val="center"/>
              <w:ind w:left="960"/>
              <w:spacing w:after="0"/>
              <w:rPr>
                <w:sz w:val="20"/>
                <w:szCs w:val="20"/>
                <w:color w:val="auto"/>
              </w:rPr>
            </w:pPr>
            <w:r>
              <w:rPr>
                <w:rFonts w:ascii="Arial" w:cs="Arial" w:eastAsia="Arial" w:hAnsi="Arial"/>
                <w:sz w:val="16"/>
                <w:szCs w:val="16"/>
                <w:color w:val="auto"/>
                <w:w w:val="92"/>
              </w:rPr>
              <w:t>21.8%</w:t>
            </w: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21.8%</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25.3%</w:t>
            </w:r>
          </w:p>
        </w:tc>
        <w:tc>
          <w:tcPr>
            <w:tcW w:w="1080" w:type="dxa"/>
            <w:vAlign w:val="bottom"/>
          </w:tcPr>
          <w:p>
            <w:pPr>
              <w:jc w:val="center"/>
              <w:ind w:left="540"/>
              <w:spacing w:after="0"/>
              <w:rPr>
                <w:sz w:val="20"/>
                <w:szCs w:val="20"/>
                <w:color w:val="auto"/>
              </w:rPr>
            </w:pPr>
            <w:r>
              <w:rPr>
                <w:rFonts w:ascii="Arial" w:cs="Arial" w:eastAsia="Arial" w:hAnsi="Arial"/>
                <w:sz w:val="16"/>
                <w:szCs w:val="16"/>
                <w:color w:val="auto"/>
                <w:w w:val="92"/>
              </w:rPr>
              <w:t>24.2%</w:t>
            </w:r>
          </w:p>
        </w:tc>
      </w:tr>
      <w:tr>
        <w:trPr>
          <w:trHeight w:val="241"/>
        </w:trPr>
        <w:tc>
          <w:tcPr>
            <w:tcW w:w="3580" w:type="dxa"/>
            <w:vAlign w:val="bottom"/>
          </w:tcPr>
          <w:p>
            <w:pPr>
              <w:ind w:left="160"/>
              <w:spacing w:after="0"/>
              <w:rPr>
                <w:sz w:val="20"/>
                <w:szCs w:val="20"/>
                <w:color w:val="auto"/>
              </w:rPr>
            </w:pPr>
            <w:r>
              <w:rPr>
                <w:rFonts w:ascii="Arial" w:cs="Arial" w:eastAsia="Arial" w:hAnsi="Arial"/>
                <w:sz w:val="16"/>
                <w:szCs w:val="16"/>
                <w:color w:val="auto"/>
              </w:rPr>
              <w:t>% Fleet Sales - Crossovers</w:t>
            </w:r>
          </w:p>
        </w:tc>
        <w:tc>
          <w:tcPr>
            <w:tcW w:w="2780" w:type="dxa"/>
            <w:vAlign w:val="bottom"/>
          </w:tcPr>
          <w:p>
            <w:pPr>
              <w:jc w:val="center"/>
              <w:ind w:left="960"/>
              <w:spacing w:after="0"/>
              <w:rPr>
                <w:sz w:val="20"/>
                <w:szCs w:val="20"/>
                <w:color w:val="auto"/>
              </w:rPr>
            </w:pPr>
            <w:r>
              <w:rPr>
                <w:rFonts w:ascii="Arial" w:cs="Arial" w:eastAsia="Arial" w:hAnsi="Arial"/>
                <w:sz w:val="16"/>
                <w:szCs w:val="16"/>
                <w:color w:val="auto"/>
                <w:w w:val="92"/>
              </w:rPr>
              <w:t>16.7%</w:t>
            </w: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16.6%</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19.2%</w:t>
            </w:r>
          </w:p>
        </w:tc>
        <w:tc>
          <w:tcPr>
            <w:tcW w:w="1080" w:type="dxa"/>
            <w:vAlign w:val="bottom"/>
          </w:tcPr>
          <w:p>
            <w:pPr>
              <w:jc w:val="center"/>
              <w:ind w:left="540"/>
              <w:spacing w:after="0"/>
              <w:rPr>
                <w:sz w:val="20"/>
                <w:szCs w:val="20"/>
                <w:color w:val="auto"/>
              </w:rPr>
            </w:pPr>
            <w:r>
              <w:rPr>
                <w:rFonts w:ascii="Arial" w:cs="Arial" w:eastAsia="Arial" w:hAnsi="Arial"/>
                <w:sz w:val="16"/>
                <w:szCs w:val="16"/>
                <w:color w:val="auto"/>
                <w:w w:val="92"/>
              </w:rPr>
              <w:t>18.8%</w:t>
            </w:r>
          </w:p>
        </w:tc>
      </w:tr>
      <w:tr>
        <w:trPr>
          <w:trHeight w:val="241"/>
        </w:trPr>
        <w:tc>
          <w:tcPr>
            <w:tcW w:w="3580" w:type="dxa"/>
            <w:vAlign w:val="bottom"/>
          </w:tcPr>
          <w:p>
            <w:pPr>
              <w:ind w:left="160"/>
              <w:spacing w:after="0"/>
              <w:rPr>
                <w:sz w:val="20"/>
                <w:szCs w:val="20"/>
                <w:color w:val="auto"/>
              </w:rPr>
            </w:pPr>
            <w:r>
              <w:rPr>
                <w:rFonts w:ascii="Arial" w:cs="Arial" w:eastAsia="Arial" w:hAnsi="Arial"/>
                <w:sz w:val="16"/>
                <w:szCs w:val="16"/>
                <w:b w:val="1"/>
                <w:bCs w:val="1"/>
                <w:color w:val="auto"/>
              </w:rPr>
              <w:t>Total Vehicles</w:t>
            </w:r>
          </w:p>
        </w:tc>
        <w:tc>
          <w:tcPr>
            <w:tcW w:w="2780" w:type="dxa"/>
            <w:vAlign w:val="bottom"/>
          </w:tcPr>
          <w:p>
            <w:pPr>
              <w:jc w:val="center"/>
              <w:ind w:left="960"/>
              <w:spacing w:after="0"/>
              <w:rPr>
                <w:sz w:val="20"/>
                <w:szCs w:val="20"/>
                <w:color w:val="auto"/>
              </w:rPr>
            </w:pPr>
            <w:r>
              <w:rPr>
                <w:rFonts w:ascii="Arial" w:cs="Arial" w:eastAsia="Arial" w:hAnsi="Arial"/>
                <w:sz w:val="16"/>
                <w:szCs w:val="16"/>
                <w:b w:val="1"/>
                <w:bCs w:val="1"/>
                <w:color w:val="auto"/>
              </w:rPr>
              <w:t>22.7%</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6"/>
              </w:rPr>
              <w:t>21.4%</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6"/>
              </w:rPr>
              <w:t>25.9%</w:t>
            </w:r>
          </w:p>
        </w:tc>
        <w:tc>
          <w:tcPr>
            <w:tcW w:w="1080" w:type="dxa"/>
            <w:vAlign w:val="bottom"/>
          </w:tcPr>
          <w:p>
            <w:pPr>
              <w:jc w:val="center"/>
              <w:ind w:left="560"/>
              <w:spacing w:after="0"/>
              <w:rPr>
                <w:sz w:val="20"/>
                <w:szCs w:val="20"/>
                <w:color w:val="auto"/>
              </w:rPr>
            </w:pPr>
            <w:r>
              <w:rPr>
                <w:rFonts w:ascii="Arial" w:cs="Arial" w:eastAsia="Arial" w:hAnsi="Arial"/>
                <w:sz w:val="16"/>
                <w:szCs w:val="16"/>
                <w:b w:val="1"/>
                <w:bCs w:val="1"/>
                <w:color w:val="auto"/>
                <w:w w:val="96"/>
              </w:rPr>
              <w:t>25.5%</w:t>
            </w:r>
          </w:p>
        </w:tc>
      </w:tr>
      <w:tr>
        <w:trPr>
          <w:trHeight w:val="482"/>
        </w:trPr>
        <w:tc>
          <w:tcPr>
            <w:tcW w:w="3580" w:type="dxa"/>
            <w:vAlign w:val="bottom"/>
          </w:tcPr>
          <w:p>
            <w:pPr>
              <w:ind w:left="20"/>
              <w:spacing w:after="0"/>
              <w:rPr>
                <w:sz w:val="20"/>
                <w:szCs w:val="20"/>
                <w:color w:val="auto"/>
              </w:rPr>
            </w:pPr>
            <w:r>
              <w:rPr>
                <w:rFonts w:ascii="Arial" w:cs="Arial" w:eastAsia="Arial" w:hAnsi="Arial"/>
                <w:sz w:val="16"/>
                <w:szCs w:val="16"/>
                <w:color w:val="auto"/>
              </w:rPr>
              <w:t>GMNA Capacity Utilization</w:t>
            </w:r>
          </w:p>
        </w:tc>
        <w:tc>
          <w:tcPr>
            <w:tcW w:w="2780" w:type="dxa"/>
            <w:vAlign w:val="bottom"/>
          </w:tcPr>
          <w:p>
            <w:pPr>
              <w:jc w:val="center"/>
              <w:ind w:left="960"/>
              <w:spacing w:after="0"/>
              <w:rPr>
                <w:sz w:val="20"/>
                <w:szCs w:val="20"/>
                <w:color w:val="auto"/>
              </w:rPr>
            </w:pPr>
            <w:r>
              <w:rPr>
                <w:rFonts w:ascii="Arial" w:cs="Arial" w:eastAsia="Arial" w:hAnsi="Arial"/>
                <w:sz w:val="16"/>
                <w:szCs w:val="16"/>
                <w:color w:val="auto"/>
                <w:w w:val="92"/>
              </w:rPr>
              <w:t>93.4%</w:t>
            </w: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91.5%</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97.5%</w:t>
            </w:r>
          </w:p>
        </w:tc>
        <w:tc>
          <w:tcPr>
            <w:tcW w:w="1080" w:type="dxa"/>
            <w:vAlign w:val="bottom"/>
          </w:tcPr>
          <w:p>
            <w:pPr>
              <w:jc w:val="center"/>
              <w:ind w:left="540"/>
              <w:spacing w:after="0"/>
              <w:rPr>
                <w:sz w:val="20"/>
                <w:szCs w:val="20"/>
                <w:color w:val="auto"/>
              </w:rPr>
            </w:pPr>
            <w:r>
              <w:rPr>
                <w:rFonts w:ascii="Arial" w:cs="Arial" w:eastAsia="Arial" w:hAnsi="Arial"/>
                <w:sz w:val="16"/>
                <w:szCs w:val="16"/>
                <w:color w:val="auto"/>
                <w:w w:val="92"/>
              </w:rPr>
              <w:t>95.6%</w:t>
            </w:r>
          </w:p>
        </w:tc>
      </w:tr>
      <w:tr>
        <w:trPr>
          <w:trHeight w:val="211"/>
        </w:trPr>
        <w:tc>
          <w:tcPr>
            <w:tcW w:w="3580" w:type="dxa"/>
            <w:vAlign w:val="bottom"/>
          </w:tcPr>
          <w:p>
            <w:pPr>
              <w:spacing w:after="0"/>
              <w:rPr>
                <w:sz w:val="20"/>
                <w:szCs w:val="20"/>
                <w:color w:val="auto"/>
              </w:rPr>
            </w:pPr>
            <w:r>
              <w:rPr>
                <w:rFonts w:ascii="Arial" w:cs="Arial" w:eastAsia="Arial" w:hAnsi="Arial"/>
                <w:sz w:val="16"/>
                <w:szCs w:val="16"/>
                <w:color w:val="auto"/>
              </w:rPr>
              <w:t>__________</w:t>
            </w:r>
          </w:p>
        </w:tc>
        <w:tc>
          <w:tcPr>
            <w:tcW w:w="2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80" w:type="dxa"/>
            <w:vAlign w:val="bottom"/>
          </w:tcPr>
          <w:p>
            <w:pPr>
              <w:spacing w:after="0"/>
              <w:rPr>
                <w:sz w:val="18"/>
                <w:szCs w:val="18"/>
                <w:color w:val="auto"/>
              </w:rPr>
            </w:pPr>
          </w:p>
        </w:tc>
      </w:tr>
    </w:tbl>
    <w:p>
      <w:pPr>
        <w:ind w:left="284" w:hanging="284"/>
        <w:spacing w:after="0" w:line="232" w:lineRule="auto"/>
        <w:tabs>
          <w:tab w:leader="none" w:pos="284" w:val="left"/>
        </w:tabs>
        <w:numPr>
          <w:ilvl w:val="0"/>
          <w:numId w:val="8"/>
        </w:numPr>
        <w:rPr>
          <w:rFonts w:ascii="Arial" w:cs="Arial" w:eastAsia="Arial" w:hAnsi="Arial"/>
          <w:sz w:val="13"/>
          <w:szCs w:val="13"/>
          <w:color w:val="auto"/>
        </w:rPr>
      </w:pPr>
      <w:r>
        <w:rPr>
          <w:rFonts w:ascii="Arial" w:cs="Arial" w:eastAsia="Arial" w:hAnsi="Arial"/>
          <w:sz w:val="13"/>
          <w:szCs w:val="13"/>
          <w:color w:val="auto"/>
        </w:rPr>
        <w:t>Market share information is based on vehicle sales volume.</w:t>
      </w:r>
    </w:p>
    <w:p>
      <w:pPr>
        <w:ind w:left="284" w:right="120" w:hanging="284"/>
        <w:spacing w:after="0" w:line="232" w:lineRule="auto"/>
        <w:tabs>
          <w:tab w:leader="none" w:pos="284" w:val="left"/>
        </w:tabs>
        <w:numPr>
          <w:ilvl w:val="0"/>
          <w:numId w:val="8"/>
        </w:numPr>
        <w:rPr>
          <w:rFonts w:ascii="Arial" w:cs="Arial" w:eastAsia="Arial" w:hAnsi="Arial"/>
          <w:sz w:val="13"/>
          <w:szCs w:val="13"/>
          <w:color w:val="auto"/>
        </w:rPr>
      </w:pPr>
      <w:r>
        <w:rPr>
          <w:rFonts w:ascii="Arial" w:cs="Arial" w:eastAsia="Arial" w:hAnsi="Arial"/>
          <w:sz w:val="13"/>
          <w:szCs w:val="13"/>
          <w:color w:val="auto"/>
        </w:rPr>
        <w:t>GMNA vehicle sales primarily represent sales to the end customer. GME, GMIO and GMSA vehicle sales primarily represent estimated sales to the end customer. In countries where end customer data is not readily available other data sources, such as wholesale or forecast volumes, are used to estimate vehicle sales.</w:t>
      </w:r>
    </w:p>
    <w:p>
      <w:pPr>
        <w:ind w:left="284" w:hanging="284"/>
        <w:spacing w:after="0" w:line="238" w:lineRule="auto"/>
        <w:tabs>
          <w:tab w:leader="none" w:pos="284"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Includes the following joint venture sales. Vehicle sales for SAIC GM Investment Limited, General Motors India Private Limited and Chevrolet Sales India Private Limited (collectively HKJV) are included through August 31, 2012:</w:t>
      </w:r>
    </w:p>
    <w:p>
      <w:pPr>
        <w:spacing w:after="0" w:line="184" w:lineRule="exact"/>
        <w:rPr>
          <w:sz w:val="20"/>
          <w:szCs w:val="20"/>
          <w:color w:val="auto"/>
        </w:rPr>
      </w:pPr>
    </w:p>
    <w:tbl>
      <w:tblPr>
        <w:tblLayout w:type="fixed"/>
        <w:tblInd w:w="2824" w:type="dxa"/>
        <w:tblCellMar>
          <w:top w:w="0" w:type="dxa"/>
          <w:left w:w="0" w:type="dxa"/>
          <w:bottom w:w="0" w:type="dxa"/>
          <w:right w:w="0" w:type="dxa"/>
        </w:tblCellMar>
      </w:tblPr>
      <w:tr>
        <w:trPr>
          <w:trHeight w:val="172"/>
        </w:trPr>
        <w:tc>
          <w:tcPr>
            <w:tcW w:w="3380" w:type="dxa"/>
            <w:vAlign w:val="bottom"/>
          </w:tcPr>
          <w:p>
            <w:pPr>
              <w:spacing w:after="0"/>
              <w:rPr>
                <w:sz w:val="14"/>
                <w:szCs w:val="14"/>
                <w:color w:val="auto"/>
              </w:rPr>
            </w:pPr>
          </w:p>
        </w:tc>
        <w:tc>
          <w:tcPr>
            <w:tcW w:w="2440" w:type="dxa"/>
            <w:vAlign w:val="bottom"/>
            <w:tcBorders>
              <w:bottom w:val="single" w:sz="8" w:color="auto"/>
            </w:tcBorders>
            <w:gridSpan w:val="3"/>
          </w:tcPr>
          <w:p>
            <w:pPr>
              <w:jc w:val="right"/>
              <w:ind w:right="816"/>
              <w:spacing w:after="0"/>
              <w:rPr>
                <w:sz w:val="20"/>
                <w:szCs w:val="20"/>
                <w:color w:val="auto"/>
              </w:rPr>
            </w:pPr>
            <w:r>
              <w:rPr>
                <w:rFonts w:ascii="Arial" w:cs="Arial" w:eastAsia="Arial" w:hAnsi="Arial"/>
                <w:sz w:val="13"/>
                <w:szCs w:val="13"/>
                <w:b w:val="1"/>
                <w:bCs w:val="1"/>
                <w:color w:val="auto"/>
              </w:rPr>
              <w:t>Year Ended</w:t>
            </w:r>
          </w:p>
        </w:tc>
      </w:tr>
      <w:tr>
        <w:trPr>
          <w:trHeight w:val="230"/>
        </w:trPr>
        <w:tc>
          <w:tcPr>
            <w:tcW w:w="338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 2012</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w w:val="92"/>
              </w:rPr>
              <w:t>December 31, 2011</w:t>
            </w:r>
          </w:p>
        </w:tc>
      </w:tr>
      <w:tr>
        <w:trPr>
          <w:trHeight w:val="231"/>
        </w:trPr>
        <w:tc>
          <w:tcPr>
            <w:tcW w:w="3380" w:type="dxa"/>
            <w:vAlign w:val="bottom"/>
          </w:tcPr>
          <w:p>
            <w:pPr>
              <w:spacing w:after="0"/>
              <w:rPr>
                <w:sz w:val="20"/>
                <w:szCs w:val="20"/>
                <w:color w:val="auto"/>
              </w:rPr>
            </w:pPr>
            <w:r>
              <w:rPr>
                <w:rFonts w:ascii="Arial" w:cs="Arial" w:eastAsia="Arial" w:hAnsi="Arial"/>
                <w:sz w:val="13"/>
                <w:szCs w:val="13"/>
                <w:color w:val="auto"/>
              </w:rPr>
              <w:t>Joint venture sales in China</w:t>
            </w: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41"/>
        </w:trPr>
        <w:tc>
          <w:tcPr>
            <w:tcW w:w="3380" w:type="dxa"/>
            <w:vAlign w:val="bottom"/>
          </w:tcPr>
          <w:p>
            <w:pPr>
              <w:ind w:left="140"/>
              <w:spacing w:after="0"/>
              <w:rPr>
                <w:sz w:val="20"/>
                <w:szCs w:val="20"/>
                <w:color w:val="auto"/>
              </w:rPr>
            </w:pPr>
            <w:r>
              <w:rPr>
                <w:rFonts w:ascii="Arial" w:cs="Arial" w:eastAsia="Arial" w:hAnsi="Arial"/>
                <w:sz w:val="13"/>
                <w:szCs w:val="13"/>
                <w:color w:val="auto"/>
              </w:rPr>
              <w:t>SGM</w:t>
            </w:r>
          </w:p>
        </w:tc>
        <w:tc>
          <w:tcPr>
            <w:tcW w:w="12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1,200</w:t>
            </w:r>
          </w:p>
        </w:tc>
      </w:tr>
      <w:tr>
        <w:trPr>
          <w:trHeight w:val="241"/>
        </w:trPr>
        <w:tc>
          <w:tcPr>
            <w:tcW w:w="3380" w:type="dxa"/>
            <w:vAlign w:val="bottom"/>
          </w:tcPr>
          <w:p>
            <w:pPr>
              <w:ind w:left="140"/>
              <w:spacing w:after="0"/>
              <w:rPr>
                <w:sz w:val="20"/>
                <w:szCs w:val="20"/>
                <w:color w:val="auto"/>
              </w:rPr>
            </w:pPr>
            <w:r>
              <w:rPr>
                <w:rFonts w:ascii="Arial" w:cs="Arial" w:eastAsia="Arial" w:hAnsi="Arial"/>
                <w:sz w:val="13"/>
                <w:szCs w:val="13"/>
                <w:color w:val="auto"/>
              </w:rPr>
              <w:t>SGMS</w:t>
            </w:r>
          </w:p>
        </w:tc>
        <w:tc>
          <w:tcPr>
            <w:tcW w:w="1180" w:type="dxa"/>
            <w:vAlign w:val="bottom"/>
          </w:tcPr>
          <w:p>
            <w:pPr>
              <w:jc w:val="right"/>
              <w:spacing w:after="0"/>
              <w:rPr>
                <w:sz w:val="20"/>
                <w:szCs w:val="20"/>
                <w:color w:val="auto"/>
              </w:rPr>
            </w:pPr>
            <w:r>
              <w:rPr>
                <w:rFonts w:ascii="Arial" w:cs="Arial" w:eastAsia="Arial" w:hAnsi="Arial"/>
                <w:sz w:val="13"/>
                <w:szCs w:val="13"/>
                <w:color w:val="auto"/>
              </w:rPr>
              <w:t>1,331</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41"/>
        </w:trPr>
        <w:tc>
          <w:tcPr>
            <w:tcW w:w="3380" w:type="dxa"/>
            <w:vAlign w:val="bottom"/>
          </w:tcPr>
          <w:p>
            <w:pPr>
              <w:ind w:left="140"/>
              <w:spacing w:after="0"/>
              <w:rPr>
                <w:sz w:val="20"/>
                <w:szCs w:val="20"/>
                <w:color w:val="auto"/>
              </w:rPr>
            </w:pPr>
            <w:r>
              <w:rPr>
                <w:rFonts w:ascii="Arial" w:cs="Arial" w:eastAsia="Arial" w:hAnsi="Arial"/>
                <w:sz w:val="13"/>
                <w:szCs w:val="13"/>
                <w:color w:val="auto"/>
              </w:rPr>
              <w:t>SGMW and FAW-GM</w:t>
            </w:r>
          </w:p>
        </w:tc>
        <w:tc>
          <w:tcPr>
            <w:tcW w:w="1180" w:type="dxa"/>
            <w:vAlign w:val="bottom"/>
          </w:tcPr>
          <w:p>
            <w:pPr>
              <w:jc w:val="right"/>
              <w:spacing w:after="0"/>
              <w:rPr>
                <w:sz w:val="20"/>
                <w:szCs w:val="20"/>
                <w:color w:val="auto"/>
              </w:rPr>
            </w:pPr>
            <w:r>
              <w:rPr>
                <w:rFonts w:ascii="Arial" w:cs="Arial" w:eastAsia="Arial" w:hAnsi="Arial"/>
                <w:sz w:val="13"/>
                <w:szCs w:val="13"/>
                <w:color w:val="auto"/>
              </w:rPr>
              <w:t>1,501</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1,342</w:t>
            </w:r>
          </w:p>
        </w:tc>
      </w:tr>
      <w:tr>
        <w:trPr>
          <w:trHeight w:val="241"/>
        </w:trPr>
        <w:tc>
          <w:tcPr>
            <w:tcW w:w="3380" w:type="dxa"/>
            <w:vAlign w:val="bottom"/>
          </w:tcPr>
          <w:p>
            <w:pPr>
              <w:spacing w:after="0"/>
              <w:rPr>
                <w:sz w:val="20"/>
                <w:szCs w:val="20"/>
                <w:color w:val="auto"/>
              </w:rPr>
            </w:pPr>
            <w:r>
              <w:rPr>
                <w:rFonts w:ascii="Arial" w:cs="Arial" w:eastAsia="Arial" w:hAnsi="Arial"/>
                <w:sz w:val="13"/>
                <w:szCs w:val="13"/>
                <w:color w:val="auto"/>
              </w:rPr>
              <w:t>Joint venture sales in India</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1"/>
        </w:trPr>
        <w:tc>
          <w:tcPr>
            <w:tcW w:w="3380" w:type="dxa"/>
            <w:vAlign w:val="bottom"/>
          </w:tcPr>
          <w:p>
            <w:pPr>
              <w:ind w:left="140"/>
              <w:spacing w:after="0"/>
              <w:rPr>
                <w:sz w:val="20"/>
                <w:szCs w:val="20"/>
                <w:color w:val="auto"/>
              </w:rPr>
            </w:pPr>
            <w:r>
              <w:rPr>
                <w:rFonts w:ascii="Arial" w:cs="Arial" w:eastAsia="Arial" w:hAnsi="Arial"/>
                <w:sz w:val="13"/>
                <w:szCs w:val="13"/>
                <w:color w:val="auto"/>
              </w:rPr>
              <w:t>HKJV</w:t>
            </w:r>
          </w:p>
        </w:tc>
        <w:tc>
          <w:tcPr>
            <w:tcW w:w="1180" w:type="dxa"/>
            <w:vAlign w:val="bottom"/>
          </w:tcPr>
          <w:p>
            <w:pPr>
              <w:jc w:val="right"/>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111</w:t>
            </w:r>
          </w:p>
        </w:tc>
      </w:tr>
    </w:tbl>
    <w:p>
      <w:pPr>
        <w:spacing w:after="0" w:line="36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4"/>
          </w:cols>
          <w:pgMar w:left="236" w:top="726" w:right="239" w:bottom="1440" w:gutter="0" w:footer="0" w:header="0"/>
          <w:type w:val="continuous"/>
        </w:sectPr>
      </w:pPr>
    </w:p>
    <w:bookmarkStart w:id="15" w:name="page16"/>
    <w:bookmarkEnd w:id="15"/>
    <w:p>
      <w:pPr>
        <w:jc w:val="center"/>
        <w:ind w:left="44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auto"/>
        </w:rPr>
        <w:t>Consolidated Income Statements</w:t>
      </w:r>
    </w:p>
    <w:p>
      <w:pPr>
        <w:spacing w:after="0" w:line="9" w:lineRule="exact"/>
        <w:rPr>
          <w:sz w:val="20"/>
          <w:szCs w:val="20"/>
          <w:color w:val="auto"/>
        </w:rPr>
      </w:pPr>
    </w:p>
    <w:p>
      <w:pPr>
        <w:jc w:val="center"/>
        <w:ind w:left="440"/>
        <w:spacing w:after="0"/>
        <w:rPr>
          <w:sz w:val="20"/>
          <w:szCs w:val="20"/>
          <w:color w:val="auto"/>
        </w:rPr>
      </w:pPr>
      <w:r>
        <w:rPr>
          <w:rFonts w:ascii="Arial" w:cs="Arial" w:eastAsia="Arial" w:hAnsi="Arial"/>
          <w:sz w:val="16"/>
          <w:szCs w:val="16"/>
          <w:i w:val="1"/>
          <w:iCs w:val="1"/>
          <w:color w:val="auto"/>
        </w:rPr>
        <w:t>(In millions, except per share amounts)</w:t>
      </w:r>
    </w:p>
    <w:p>
      <w:pPr>
        <w:spacing w:after="0" w:line="9" w:lineRule="exact"/>
        <w:rPr>
          <w:sz w:val="20"/>
          <w:szCs w:val="20"/>
          <w:color w:val="auto"/>
        </w:rPr>
      </w:pPr>
    </w:p>
    <w:p>
      <w:pPr>
        <w:jc w:val="center"/>
        <w:ind w:left="440"/>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87"/>
              </w:rPr>
              <w:t>Years Ended December 31,</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4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b w:val="1"/>
                <w:bCs w:val="1"/>
                <w:color w:val="auto"/>
              </w:rPr>
              <w:t>2012</w:t>
            </w: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2010</w:t>
            </w:r>
          </w:p>
        </w:tc>
        <w:tc>
          <w:tcPr>
            <w:tcW w:w="0" w:type="dxa"/>
            <w:vAlign w:val="bottom"/>
          </w:tcPr>
          <w:p>
            <w:pPr>
              <w:spacing w:after="0"/>
              <w:rPr>
                <w:sz w:val="1"/>
                <w:szCs w:val="1"/>
                <w:color w:val="auto"/>
              </w:rPr>
            </w:pPr>
          </w:p>
        </w:tc>
      </w:tr>
      <w:tr>
        <w:trPr>
          <w:trHeight w:val="217"/>
        </w:trPr>
        <w:tc>
          <w:tcPr>
            <w:tcW w:w="7420" w:type="dxa"/>
            <w:vAlign w:val="bottom"/>
          </w:tcPr>
          <w:p>
            <w:pPr>
              <w:spacing w:after="0"/>
              <w:rPr>
                <w:sz w:val="20"/>
                <w:szCs w:val="20"/>
                <w:color w:val="auto"/>
              </w:rPr>
            </w:pPr>
            <w:r>
              <w:rPr>
                <w:rFonts w:ascii="Arial" w:cs="Arial" w:eastAsia="Arial" w:hAnsi="Arial"/>
                <w:sz w:val="16"/>
                <w:szCs w:val="16"/>
                <w:b w:val="1"/>
                <w:bCs w:val="1"/>
                <w:color w:val="auto"/>
              </w:rPr>
              <w:t>Net sales and revenue</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420" w:type="dxa"/>
            <w:vAlign w:val="bottom"/>
          </w:tcPr>
          <w:p>
            <w:pPr>
              <w:ind w:left="140"/>
              <w:spacing w:after="0"/>
              <w:rPr>
                <w:sz w:val="20"/>
                <w:szCs w:val="20"/>
                <w:color w:val="auto"/>
              </w:rPr>
            </w:pPr>
            <w:r>
              <w:rPr>
                <w:rFonts w:ascii="Arial" w:cs="Arial" w:eastAsia="Arial" w:hAnsi="Arial"/>
                <w:sz w:val="16"/>
                <w:szCs w:val="16"/>
                <w:color w:val="auto"/>
              </w:rPr>
              <w:t>Automotive sales and revenue</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150,295</w:t>
            </w:r>
          </w:p>
        </w:tc>
        <w:tc>
          <w:tcPr>
            <w:tcW w:w="4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148,866</w:t>
            </w:r>
          </w:p>
        </w:tc>
        <w:tc>
          <w:tcPr>
            <w:tcW w:w="100" w:type="dxa"/>
            <w:vAlign w:val="bottom"/>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135,311</w:t>
            </w:r>
          </w:p>
        </w:tc>
        <w:tc>
          <w:tcPr>
            <w:tcW w:w="0" w:type="dxa"/>
            <w:vAlign w:val="bottom"/>
          </w:tcPr>
          <w:p>
            <w:pPr>
              <w:spacing w:after="0"/>
              <w:rPr>
                <w:sz w:val="1"/>
                <w:szCs w:val="1"/>
                <w:color w:val="auto"/>
              </w:rPr>
            </w:pPr>
          </w:p>
        </w:tc>
      </w:tr>
      <w:tr>
        <w:trPr>
          <w:trHeight w:val="241"/>
        </w:trPr>
        <w:tc>
          <w:tcPr>
            <w:tcW w:w="7420" w:type="dxa"/>
            <w:vAlign w:val="bottom"/>
          </w:tcPr>
          <w:p>
            <w:pPr>
              <w:ind w:left="140"/>
              <w:spacing w:after="0"/>
              <w:rPr>
                <w:sz w:val="20"/>
                <w:szCs w:val="20"/>
                <w:color w:val="auto"/>
              </w:rPr>
            </w:pPr>
            <w:r>
              <w:rPr>
                <w:rFonts w:ascii="Arial" w:cs="Arial" w:eastAsia="Arial" w:hAnsi="Arial"/>
                <w:sz w:val="16"/>
                <w:szCs w:val="16"/>
                <w:color w:val="auto"/>
              </w:rPr>
              <w:t>GM Financial revenue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1,961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1,410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4"/>
        </w:trPr>
        <w:tc>
          <w:tcPr>
            <w:tcW w:w="7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20" w:type="dxa"/>
            <w:vAlign w:val="bottom"/>
          </w:tcPr>
          <w:p>
            <w:pPr>
              <w:ind w:left="140"/>
              <w:spacing w:after="0"/>
              <w:rPr>
                <w:sz w:val="20"/>
                <w:szCs w:val="20"/>
                <w:color w:val="auto"/>
              </w:rPr>
            </w:pPr>
            <w:r>
              <w:rPr>
                <w:rFonts w:ascii="Arial" w:cs="Arial" w:eastAsia="Arial" w:hAnsi="Arial"/>
                <w:sz w:val="16"/>
                <w:szCs w:val="16"/>
                <w:color w:val="auto"/>
              </w:rPr>
              <w:t>Total net sales and revenue</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152,256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150,276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135,592</w:t>
            </w:r>
          </w:p>
        </w:tc>
        <w:tc>
          <w:tcPr>
            <w:tcW w:w="0" w:type="dxa"/>
            <w:vAlign w:val="bottom"/>
          </w:tcPr>
          <w:p>
            <w:pPr>
              <w:spacing w:after="0"/>
              <w:rPr>
                <w:sz w:val="1"/>
                <w:szCs w:val="1"/>
                <w:color w:val="auto"/>
              </w:rPr>
            </w:pPr>
          </w:p>
        </w:tc>
      </w:tr>
      <w:tr>
        <w:trPr>
          <w:trHeight w:val="24"/>
        </w:trPr>
        <w:tc>
          <w:tcPr>
            <w:tcW w:w="7420" w:type="dxa"/>
            <w:vAlign w:val="bottom"/>
            <w:vMerge w:val="restart"/>
          </w:tcPr>
          <w:p>
            <w:pPr>
              <w:spacing w:after="0"/>
              <w:rPr>
                <w:sz w:val="20"/>
                <w:szCs w:val="20"/>
                <w:color w:val="auto"/>
              </w:rPr>
            </w:pPr>
            <w:r>
              <w:rPr>
                <w:rFonts w:ascii="Arial" w:cs="Arial" w:eastAsia="Arial" w:hAnsi="Arial"/>
                <w:sz w:val="16"/>
                <w:szCs w:val="16"/>
                <w:b w:val="1"/>
                <w:bCs w:val="1"/>
                <w:color w:val="auto"/>
              </w:rPr>
              <w:t>Costs and expenses</w:t>
            </w: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420" w:type="dxa"/>
            <w:vAlign w:val="bottom"/>
          </w:tcPr>
          <w:p>
            <w:pPr>
              <w:ind w:left="140"/>
              <w:spacing w:after="0"/>
              <w:rPr>
                <w:sz w:val="20"/>
                <w:szCs w:val="20"/>
                <w:color w:val="auto"/>
              </w:rPr>
            </w:pPr>
            <w:r>
              <w:rPr>
                <w:rFonts w:ascii="Arial" w:cs="Arial" w:eastAsia="Arial" w:hAnsi="Arial"/>
                <w:sz w:val="16"/>
                <w:szCs w:val="16"/>
                <w:color w:val="auto"/>
              </w:rPr>
              <w:t>Automotive cost of sales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140,236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130,386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118,768</w:t>
            </w:r>
          </w:p>
        </w:tc>
        <w:tc>
          <w:tcPr>
            <w:tcW w:w="0" w:type="dxa"/>
            <w:vAlign w:val="bottom"/>
          </w:tcPr>
          <w:p>
            <w:pPr>
              <w:spacing w:after="0"/>
              <w:rPr>
                <w:sz w:val="1"/>
                <w:szCs w:val="1"/>
                <w:color w:val="auto"/>
              </w:rPr>
            </w:pPr>
          </w:p>
        </w:tc>
      </w:tr>
      <w:tr>
        <w:trPr>
          <w:trHeight w:val="241"/>
        </w:trPr>
        <w:tc>
          <w:tcPr>
            <w:tcW w:w="7420" w:type="dxa"/>
            <w:vAlign w:val="bottom"/>
          </w:tcPr>
          <w:p>
            <w:pPr>
              <w:ind w:left="140"/>
              <w:spacing w:after="0"/>
              <w:rPr>
                <w:sz w:val="20"/>
                <w:szCs w:val="20"/>
                <w:color w:val="auto"/>
              </w:rPr>
            </w:pPr>
            <w:r>
              <w:rPr>
                <w:rFonts w:ascii="Arial" w:cs="Arial" w:eastAsia="Arial" w:hAnsi="Arial"/>
                <w:sz w:val="16"/>
                <w:szCs w:val="16"/>
                <w:color w:val="auto"/>
              </w:rPr>
              <w:t>GM Financial operating and other expenses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1,207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785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41"/>
        </w:trPr>
        <w:tc>
          <w:tcPr>
            <w:tcW w:w="7420" w:type="dxa"/>
            <w:vAlign w:val="bottom"/>
          </w:tcPr>
          <w:p>
            <w:pPr>
              <w:ind w:left="140"/>
              <w:spacing w:after="0"/>
              <w:rPr>
                <w:sz w:val="20"/>
                <w:szCs w:val="20"/>
                <w:color w:val="auto"/>
              </w:rPr>
            </w:pPr>
            <w:r>
              <w:rPr>
                <w:rFonts w:ascii="Arial" w:cs="Arial" w:eastAsia="Arial" w:hAnsi="Arial"/>
                <w:sz w:val="16"/>
                <w:szCs w:val="16"/>
                <w:color w:val="auto"/>
              </w:rPr>
              <w:t>Automotive selling, general and administrative expense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13,593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12,105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11,446</w:t>
            </w:r>
          </w:p>
        </w:tc>
        <w:tc>
          <w:tcPr>
            <w:tcW w:w="0" w:type="dxa"/>
            <w:vAlign w:val="bottom"/>
          </w:tcPr>
          <w:p>
            <w:pPr>
              <w:spacing w:after="0"/>
              <w:rPr>
                <w:sz w:val="1"/>
                <w:szCs w:val="1"/>
                <w:color w:val="auto"/>
              </w:rPr>
            </w:pPr>
          </w:p>
        </w:tc>
      </w:tr>
      <w:tr>
        <w:trPr>
          <w:trHeight w:val="241"/>
        </w:trPr>
        <w:tc>
          <w:tcPr>
            <w:tcW w:w="7420" w:type="dxa"/>
            <w:vAlign w:val="bottom"/>
          </w:tcPr>
          <w:p>
            <w:pPr>
              <w:ind w:left="140"/>
              <w:spacing w:after="0"/>
              <w:rPr>
                <w:sz w:val="20"/>
                <w:szCs w:val="20"/>
                <w:color w:val="auto"/>
              </w:rPr>
            </w:pPr>
            <w:r>
              <w:rPr>
                <w:rFonts w:ascii="Arial" w:cs="Arial" w:eastAsia="Arial" w:hAnsi="Arial"/>
                <w:sz w:val="16"/>
                <w:szCs w:val="16"/>
                <w:color w:val="auto"/>
              </w:rPr>
              <w:t>Other automotive expenses, net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41"/>
        </w:trPr>
        <w:tc>
          <w:tcPr>
            <w:tcW w:w="7420" w:type="dxa"/>
            <w:vAlign w:val="bottom"/>
          </w:tcPr>
          <w:p>
            <w:pPr>
              <w:ind w:left="140"/>
              <w:spacing w:after="0"/>
              <w:rPr>
                <w:sz w:val="20"/>
                <w:szCs w:val="20"/>
                <w:color w:val="auto"/>
              </w:rPr>
            </w:pPr>
            <w:r>
              <w:rPr>
                <w:rFonts w:ascii="Arial" w:cs="Arial" w:eastAsia="Arial" w:hAnsi="Arial"/>
                <w:sz w:val="16"/>
                <w:szCs w:val="16"/>
                <w:color w:val="auto"/>
              </w:rPr>
              <w:t>Goodwill impairment charges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27,145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1,286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7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20" w:type="dxa"/>
            <w:vAlign w:val="bottom"/>
          </w:tcPr>
          <w:p>
            <w:pPr>
              <w:ind w:left="140"/>
              <w:spacing w:after="0"/>
              <w:rPr>
                <w:sz w:val="20"/>
                <w:szCs w:val="20"/>
                <w:color w:val="auto"/>
              </w:rPr>
            </w:pPr>
            <w:r>
              <w:rPr>
                <w:rFonts w:ascii="Arial" w:cs="Arial" w:eastAsia="Arial" w:hAnsi="Arial"/>
                <w:sz w:val="16"/>
                <w:szCs w:val="16"/>
                <w:color w:val="auto"/>
              </w:rPr>
              <w:t>Total costs and expenses</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182,619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144,620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130,484</w:t>
            </w:r>
          </w:p>
        </w:tc>
        <w:tc>
          <w:tcPr>
            <w:tcW w:w="0" w:type="dxa"/>
            <w:vAlign w:val="bottom"/>
          </w:tcPr>
          <w:p>
            <w:pPr>
              <w:spacing w:after="0"/>
              <w:rPr>
                <w:sz w:val="1"/>
                <w:szCs w:val="1"/>
                <w:color w:val="auto"/>
              </w:rPr>
            </w:pPr>
          </w:p>
        </w:tc>
      </w:tr>
      <w:tr>
        <w:trPr>
          <w:trHeight w:val="24"/>
        </w:trPr>
        <w:tc>
          <w:tcPr>
            <w:tcW w:w="7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20" w:type="dxa"/>
            <w:vAlign w:val="bottom"/>
          </w:tcPr>
          <w:p>
            <w:pPr>
              <w:ind w:left="300"/>
              <w:spacing w:after="0"/>
              <w:rPr>
                <w:sz w:val="20"/>
                <w:szCs w:val="20"/>
                <w:color w:val="auto"/>
              </w:rPr>
            </w:pPr>
            <w:r>
              <w:rPr>
                <w:rFonts w:ascii="Arial" w:cs="Arial" w:eastAsia="Arial" w:hAnsi="Arial"/>
                <w:sz w:val="16"/>
                <w:szCs w:val="16"/>
                <w:color w:val="auto"/>
              </w:rPr>
              <w:t>Operating income (loss)</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(30,363)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5,656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5,108</w:t>
            </w:r>
          </w:p>
        </w:tc>
        <w:tc>
          <w:tcPr>
            <w:tcW w:w="0" w:type="dxa"/>
            <w:vAlign w:val="bottom"/>
          </w:tcPr>
          <w:p>
            <w:pPr>
              <w:spacing w:after="0"/>
              <w:rPr>
                <w:sz w:val="1"/>
                <w:szCs w:val="1"/>
                <w:color w:val="auto"/>
              </w:rPr>
            </w:pPr>
          </w:p>
        </w:tc>
      </w:tr>
      <w:tr>
        <w:trPr>
          <w:trHeight w:val="241"/>
        </w:trPr>
        <w:tc>
          <w:tcPr>
            <w:tcW w:w="7420" w:type="dxa"/>
            <w:vAlign w:val="bottom"/>
          </w:tcPr>
          <w:p>
            <w:pPr>
              <w:spacing w:after="0"/>
              <w:rPr>
                <w:sz w:val="20"/>
                <w:szCs w:val="20"/>
                <w:color w:val="auto"/>
              </w:rPr>
            </w:pPr>
            <w:r>
              <w:rPr>
                <w:rFonts w:ascii="Arial" w:cs="Arial" w:eastAsia="Arial" w:hAnsi="Arial"/>
                <w:sz w:val="16"/>
                <w:szCs w:val="16"/>
                <w:color w:val="auto"/>
              </w:rPr>
              <w:t>Automotive interest expense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540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1,098</w:t>
            </w:r>
          </w:p>
        </w:tc>
        <w:tc>
          <w:tcPr>
            <w:tcW w:w="0" w:type="dxa"/>
            <w:vAlign w:val="bottom"/>
          </w:tcPr>
          <w:p>
            <w:pPr>
              <w:spacing w:after="0"/>
              <w:rPr>
                <w:sz w:val="1"/>
                <w:szCs w:val="1"/>
                <w:color w:val="auto"/>
              </w:rPr>
            </w:pPr>
          </w:p>
        </w:tc>
      </w:tr>
      <w:tr>
        <w:trPr>
          <w:trHeight w:val="241"/>
        </w:trPr>
        <w:tc>
          <w:tcPr>
            <w:tcW w:w="7420" w:type="dxa"/>
            <w:vAlign w:val="bottom"/>
          </w:tcPr>
          <w:p>
            <w:pPr>
              <w:spacing w:after="0"/>
              <w:rPr>
                <w:sz w:val="20"/>
                <w:szCs w:val="20"/>
                <w:color w:val="auto"/>
              </w:rPr>
            </w:pPr>
            <w:r>
              <w:rPr>
                <w:rFonts w:ascii="Arial" w:cs="Arial" w:eastAsia="Arial" w:hAnsi="Arial"/>
                <w:sz w:val="16"/>
                <w:szCs w:val="16"/>
                <w:color w:val="auto"/>
              </w:rPr>
              <w:t>Interest income and other non-operating income, net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845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851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1,531</w:t>
            </w:r>
          </w:p>
        </w:tc>
        <w:tc>
          <w:tcPr>
            <w:tcW w:w="0" w:type="dxa"/>
            <w:vAlign w:val="bottom"/>
          </w:tcPr>
          <w:p>
            <w:pPr>
              <w:spacing w:after="0"/>
              <w:rPr>
                <w:sz w:val="1"/>
                <w:szCs w:val="1"/>
                <w:color w:val="auto"/>
              </w:rPr>
            </w:pPr>
          </w:p>
        </w:tc>
      </w:tr>
      <w:tr>
        <w:trPr>
          <w:trHeight w:val="241"/>
        </w:trPr>
        <w:tc>
          <w:tcPr>
            <w:tcW w:w="7420" w:type="dxa"/>
            <w:vAlign w:val="bottom"/>
          </w:tcPr>
          <w:p>
            <w:pPr>
              <w:spacing w:after="0"/>
              <w:rPr>
                <w:sz w:val="20"/>
                <w:szCs w:val="20"/>
                <w:color w:val="auto"/>
              </w:rPr>
            </w:pPr>
            <w:r>
              <w:rPr>
                <w:rFonts w:ascii="Arial" w:cs="Arial" w:eastAsia="Arial" w:hAnsi="Arial"/>
                <w:sz w:val="16"/>
                <w:szCs w:val="16"/>
                <w:color w:val="auto"/>
              </w:rPr>
              <w:t>Gains (losses) on extinguishment of debt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4"/>
        </w:trPr>
        <w:tc>
          <w:tcPr>
            <w:tcW w:w="7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20" w:type="dxa"/>
            <w:vAlign w:val="bottom"/>
          </w:tcPr>
          <w:p>
            <w:pPr>
              <w:spacing w:after="0"/>
              <w:rPr>
                <w:sz w:val="20"/>
                <w:szCs w:val="20"/>
                <w:color w:val="auto"/>
              </w:rPr>
            </w:pPr>
            <w:r>
              <w:rPr>
                <w:rFonts w:ascii="Arial" w:cs="Arial" w:eastAsia="Arial" w:hAnsi="Arial"/>
                <w:sz w:val="16"/>
                <w:szCs w:val="16"/>
                <w:color w:val="auto"/>
              </w:rPr>
              <w:t>Income (loss) before income taxes and equity income</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(30,257)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5,985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5,737</w:t>
            </w:r>
          </w:p>
        </w:tc>
        <w:tc>
          <w:tcPr>
            <w:tcW w:w="0" w:type="dxa"/>
            <w:vAlign w:val="bottom"/>
          </w:tcPr>
          <w:p>
            <w:pPr>
              <w:spacing w:after="0"/>
              <w:rPr>
                <w:sz w:val="1"/>
                <w:szCs w:val="1"/>
                <w:color w:val="auto"/>
              </w:rPr>
            </w:pPr>
          </w:p>
        </w:tc>
      </w:tr>
      <w:tr>
        <w:trPr>
          <w:trHeight w:val="241"/>
        </w:trPr>
        <w:tc>
          <w:tcPr>
            <w:tcW w:w="742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(34,831)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41"/>
        </w:trPr>
        <w:tc>
          <w:tcPr>
            <w:tcW w:w="7420" w:type="dxa"/>
            <w:vAlign w:val="bottom"/>
          </w:tcPr>
          <w:p>
            <w:pPr>
              <w:spacing w:after="0"/>
              <w:rPr>
                <w:sz w:val="20"/>
                <w:szCs w:val="20"/>
                <w:color w:val="auto"/>
              </w:rPr>
            </w:pPr>
            <w:r>
              <w:rPr>
                <w:rFonts w:ascii="Arial" w:cs="Arial" w:eastAsia="Arial" w:hAnsi="Arial"/>
                <w:sz w:val="16"/>
                <w:szCs w:val="16"/>
                <w:color w:val="auto"/>
              </w:rPr>
              <w:t>Equity income, net of tax and gain on investments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1,562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3,192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1,438</w:t>
            </w:r>
          </w:p>
        </w:tc>
        <w:tc>
          <w:tcPr>
            <w:tcW w:w="0" w:type="dxa"/>
            <w:vAlign w:val="bottom"/>
          </w:tcPr>
          <w:p>
            <w:pPr>
              <w:spacing w:after="0"/>
              <w:rPr>
                <w:sz w:val="1"/>
                <w:szCs w:val="1"/>
                <w:color w:val="auto"/>
              </w:rPr>
            </w:pPr>
          </w:p>
        </w:tc>
      </w:tr>
      <w:tr>
        <w:trPr>
          <w:trHeight w:val="24"/>
        </w:trPr>
        <w:tc>
          <w:tcPr>
            <w:tcW w:w="7420" w:type="dxa"/>
            <w:vAlign w:val="bottom"/>
            <w:vMerge w:val="restart"/>
          </w:tcPr>
          <w:p>
            <w:pPr>
              <w:spacing w:after="0"/>
              <w:rPr>
                <w:sz w:val="20"/>
                <w:szCs w:val="20"/>
                <w:color w:val="auto"/>
              </w:rPr>
            </w:pPr>
            <w:r>
              <w:rPr>
                <w:rFonts w:ascii="Arial" w:cs="Arial" w:eastAsia="Arial" w:hAnsi="Arial"/>
                <w:sz w:val="16"/>
                <w:szCs w:val="16"/>
                <w:b w:val="1"/>
                <w:bCs w:val="1"/>
                <w:color w:val="auto"/>
              </w:rPr>
              <w:t>Net income</w:t>
            </w: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6,136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9,287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6,503</w:t>
            </w:r>
          </w:p>
        </w:tc>
        <w:tc>
          <w:tcPr>
            <w:tcW w:w="0" w:type="dxa"/>
            <w:vAlign w:val="bottom"/>
          </w:tcPr>
          <w:p>
            <w:pPr>
              <w:spacing w:after="0"/>
              <w:rPr>
                <w:sz w:val="1"/>
                <w:szCs w:val="1"/>
                <w:color w:val="auto"/>
              </w:rPr>
            </w:pPr>
          </w:p>
        </w:tc>
      </w:tr>
      <w:tr>
        <w:trPr>
          <w:trHeight w:val="241"/>
        </w:trPr>
        <w:tc>
          <w:tcPr>
            <w:tcW w:w="7420" w:type="dxa"/>
            <w:vAlign w:val="bottom"/>
          </w:tcPr>
          <w:p>
            <w:pPr>
              <w:spacing w:after="0"/>
              <w:rPr>
                <w:sz w:val="20"/>
                <w:szCs w:val="20"/>
                <w:color w:val="auto"/>
              </w:rPr>
            </w:pPr>
            <w:r>
              <w:rPr>
                <w:rFonts w:ascii="Arial" w:cs="Arial" w:eastAsia="Arial" w:hAnsi="Arial"/>
                <w:sz w:val="16"/>
                <w:szCs w:val="16"/>
                <w:color w:val="auto"/>
              </w:rPr>
              <w:t>Net (income) loss attributable to noncontrolling interests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4"/>
        </w:trPr>
        <w:tc>
          <w:tcPr>
            <w:tcW w:w="7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7420" w:type="dxa"/>
            <w:vAlign w:val="bottom"/>
          </w:tcPr>
          <w:p>
            <w:pPr>
              <w:spacing w:after="0"/>
              <w:rPr>
                <w:sz w:val="20"/>
                <w:szCs w:val="20"/>
                <w:color w:val="auto"/>
              </w:rPr>
            </w:pPr>
            <w:r>
              <w:rPr>
                <w:rFonts w:ascii="Arial" w:cs="Arial" w:eastAsia="Arial" w:hAnsi="Arial"/>
                <w:sz w:val="16"/>
                <w:szCs w:val="16"/>
                <w:b w:val="1"/>
                <w:bCs w:val="1"/>
                <w:color w:val="auto"/>
              </w:rPr>
              <w:t>Net income attributable to stockholders</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6,188</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9,190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6,172</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6"/>
                <w:szCs w:val="16"/>
                <w:b w:val="1"/>
                <w:bCs w:val="1"/>
                <w:color w:val="auto"/>
              </w:rPr>
              <w:t>Net income attributable to common stockholders</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4,859</w:t>
            </w:r>
          </w:p>
        </w:tc>
        <w:tc>
          <w:tcPr>
            <w:tcW w:w="4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7,585</w:t>
            </w:r>
          </w:p>
        </w:tc>
        <w:tc>
          <w:tcPr>
            <w:tcW w:w="100" w:type="dxa"/>
            <w:vAlign w:val="bottom"/>
          </w:tcPr>
          <w:p>
            <w:pPr>
              <w:spacing w:after="0"/>
              <w:rPr>
                <w:sz w:val="18"/>
                <w:szCs w:val="18"/>
                <w:color w:val="auto"/>
              </w:rPr>
            </w:pP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4,668</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6"/>
                <w:szCs w:val="16"/>
                <w:b w:val="1"/>
                <w:bCs w:val="1"/>
                <w:color w:val="auto"/>
              </w:rPr>
              <w:t>Earnings per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4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7420" w:type="dxa"/>
            <w:vAlign w:val="bottom"/>
          </w:tcPr>
          <w:p>
            <w:pPr>
              <w:spacing w:after="0"/>
              <w:rPr>
                <w:sz w:val="20"/>
                <w:szCs w:val="20"/>
                <w:color w:val="auto"/>
              </w:rPr>
            </w:pPr>
            <w:r>
              <w:rPr>
                <w:rFonts w:ascii="Arial" w:cs="Arial" w:eastAsia="Arial" w:hAnsi="Arial"/>
                <w:sz w:val="16"/>
                <w:szCs w:val="16"/>
                <w:b w:val="1"/>
                <w:bCs w:val="1"/>
                <w:color w:val="auto"/>
              </w:rPr>
              <w:t>Basic</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420" w:type="dxa"/>
            <w:vAlign w:val="bottom"/>
          </w:tcPr>
          <w:p>
            <w:pPr>
              <w:ind w:left="140"/>
              <w:spacing w:after="0"/>
              <w:rPr>
                <w:sz w:val="20"/>
                <w:szCs w:val="20"/>
                <w:color w:val="auto"/>
              </w:rPr>
            </w:pPr>
            <w:r>
              <w:rPr>
                <w:rFonts w:ascii="Arial" w:cs="Arial" w:eastAsia="Arial" w:hAnsi="Arial"/>
                <w:sz w:val="16"/>
                <w:szCs w:val="16"/>
                <w:color w:val="auto"/>
              </w:rPr>
              <w:t>Basic earnings per common share</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3.10</w:t>
            </w:r>
          </w:p>
        </w:tc>
        <w:tc>
          <w:tcPr>
            <w:tcW w:w="4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41"/>
        </w:trPr>
        <w:tc>
          <w:tcPr>
            <w:tcW w:w="7420" w:type="dxa"/>
            <w:vAlign w:val="bottom"/>
          </w:tcPr>
          <w:p>
            <w:pPr>
              <w:ind w:left="140"/>
              <w:spacing w:after="0"/>
              <w:rPr>
                <w:sz w:val="20"/>
                <w:szCs w:val="20"/>
                <w:color w:val="auto"/>
              </w:rPr>
            </w:pPr>
            <w:r>
              <w:rPr>
                <w:rFonts w:ascii="Arial" w:cs="Arial" w:eastAsia="Arial" w:hAnsi="Arial"/>
                <w:sz w:val="16"/>
                <w:szCs w:val="16"/>
                <w:color w:val="auto"/>
              </w:rPr>
              <w:t>Weighted-average common shares outstanding</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1,566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1,536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41"/>
        </w:trPr>
        <w:tc>
          <w:tcPr>
            <w:tcW w:w="7420" w:type="dxa"/>
            <w:vAlign w:val="bottom"/>
          </w:tcPr>
          <w:p>
            <w:pPr>
              <w:spacing w:after="0"/>
              <w:rPr>
                <w:sz w:val="20"/>
                <w:szCs w:val="20"/>
                <w:color w:val="auto"/>
              </w:rPr>
            </w:pPr>
            <w:r>
              <w:rPr>
                <w:rFonts w:ascii="Arial" w:cs="Arial" w:eastAsia="Arial" w:hAnsi="Arial"/>
                <w:sz w:val="16"/>
                <w:szCs w:val="16"/>
                <w:b w:val="1"/>
                <w:bCs w:val="1"/>
                <w:color w:val="auto"/>
              </w:rPr>
              <w:t>Diluted</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420" w:type="dxa"/>
            <w:vAlign w:val="bottom"/>
          </w:tcPr>
          <w:p>
            <w:pPr>
              <w:ind w:left="140"/>
              <w:spacing w:after="0"/>
              <w:rPr>
                <w:sz w:val="20"/>
                <w:szCs w:val="20"/>
                <w:color w:val="auto"/>
              </w:rPr>
            </w:pPr>
            <w:r>
              <w:rPr>
                <w:rFonts w:ascii="Arial" w:cs="Arial" w:eastAsia="Arial" w:hAnsi="Arial"/>
                <w:sz w:val="16"/>
                <w:szCs w:val="16"/>
                <w:color w:val="auto"/>
              </w:rPr>
              <w:t>Diluted earnings per common share</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2.92</w:t>
            </w:r>
          </w:p>
        </w:tc>
        <w:tc>
          <w:tcPr>
            <w:tcW w:w="4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41"/>
        </w:trPr>
        <w:tc>
          <w:tcPr>
            <w:tcW w:w="7420" w:type="dxa"/>
            <w:vAlign w:val="bottom"/>
          </w:tcPr>
          <w:p>
            <w:pPr>
              <w:ind w:left="140"/>
              <w:spacing w:after="0"/>
              <w:rPr>
                <w:sz w:val="20"/>
                <w:szCs w:val="20"/>
                <w:color w:val="auto"/>
              </w:rPr>
            </w:pPr>
            <w:r>
              <w:rPr>
                <w:rFonts w:ascii="Arial" w:cs="Arial" w:eastAsia="Arial" w:hAnsi="Arial"/>
                <w:sz w:val="16"/>
                <w:szCs w:val="16"/>
                <w:color w:val="auto"/>
              </w:rPr>
              <w:t>Weighted-average common shares outstanding</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1,675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1,668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1,624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60" w:top="726" w:right="219" w:bottom="1440" w:gutter="0" w:footer="0" w:header="0"/>
        </w:sectPr>
      </w:pPr>
    </w:p>
    <w:bookmarkStart w:id="16" w:name="page17"/>
    <w:bookmarkEnd w:id="16"/>
    <w:p>
      <w:pPr>
        <w:jc w:val="center"/>
        <w:ind w:left="44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auto"/>
        </w:rPr>
        <w:t>Basic and Diluted Earnings per Share</w:t>
      </w:r>
    </w:p>
    <w:p>
      <w:pPr>
        <w:spacing w:after="0" w:line="9" w:lineRule="exact"/>
        <w:rPr>
          <w:sz w:val="20"/>
          <w:szCs w:val="20"/>
          <w:color w:val="auto"/>
        </w:rPr>
      </w:pPr>
    </w:p>
    <w:p>
      <w:pPr>
        <w:jc w:val="center"/>
        <w:ind w:left="440"/>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p>
      <w:pPr>
        <w:ind w:left="4" w:right="140" w:firstLine="145"/>
        <w:spacing w:after="0" w:line="284" w:lineRule="auto"/>
        <w:rPr>
          <w:sz w:val="20"/>
          <w:szCs w:val="20"/>
          <w:color w:val="auto"/>
        </w:rPr>
      </w:pPr>
      <w:r>
        <w:rPr>
          <w:rFonts w:ascii="Arial" w:cs="Arial" w:eastAsia="Arial" w:hAnsi="Arial"/>
          <w:sz w:val="14"/>
          <w:szCs w:val="14"/>
          <w:color w:val="auto"/>
        </w:rPr>
        <w:t>In the three months and year ended December 31, 2012 GM was required to use the two-class method for calculating earnings per share as the applicable market value of its common stock was below $33.00 per common share in the period ended December 31, 2012.</w:t>
      </w:r>
    </w:p>
    <w:p>
      <w:pPr>
        <w:spacing w:after="0" w:line="150" w:lineRule="exact"/>
        <w:rPr>
          <w:sz w:val="20"/>
          <w:szCs w:val="20"/>
          <w:color w:val="auto"/>
        </w:rPr>
      </w:pPr>
    </w:p>
    <w:p>
      <w:pPr>
        <w:ind w:left="144"/>
        <w:spacing w:after="0"/>
        <w:rPr>
          <w:sz w:val="20"/>
          <w:szCs w:val="20"/>
          <w:color w:val="auto"/>
        </w:rPr>
      </w:pPr>
      <w:r>
        <w:rPr>
          <w:rFonts w:ascii="Arial" w:cs="Arial" w:eastAsia="Arial" w:hAnsi="Arial"/>
          <w:sz w:val="14"/>
          <w:szCs w:val="14"/>
          <w:color w:val="auto"/>
        </w:rPr>
        <w:t>The following table summarizes basic and diluted earnings per share for the three months and years ended December 31, 2012 and 2011 (in millions, except per share amounts):</w:t>
      </w:r>
    </w:p>
    <w:p>
      <w:pPr>
        <w:spacing w:after="0" w:line="201" w:lineRule="exact"/>
        <w:rPr>
          <w:sz w:val="20"/>
          <w:szCs w:val="20"/>
          <w:color w:val="auto"/>
        </w:rPr>
      </w:pPr>
    </w:p>
    <w:tbl>
      <w:tblPr>
        <w:tblLayout w:type="fixed"/>
        <w:tblInd w:w="64" w:type="dxa"/>
        <w:tblCellMar>
          <w:top w:w="0" w:type="dxa"/>
          <w:left w:w="0" w:type="dxa"/>
          <w:bottom w:w="0" w:type="dxa"/>
          <w:right w:w="0" w:type="dxa"/>
        </w:tblCellMar>
      </w:tblPr>
      <w:tr>
        <w:trPr>
          <w:trHeight w:val="172"/>
        </w:trPr>
        <w:tc>
          <w:tcPr>
            <w:tcW w:w="64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02"/>
              <w:spacing w:after="0"/>
              <w:rPr>
                <w:sz w:val="20"/>
                <w:szCs w:val="20"/>
                <w:color w:val="auto"/>
              </w:rPr>
            </w:pPr>
            <w:r>
              <w:rPr>
                <w:rFonts w:ascii="Arial" w:cs="Arial" w:eastAsia="Arial" w:hAnsi="Arial"/>
                <w:sz w:val="13"/>
                <w:szCs w:val="13"/>
                <w:b w:val="1"/>
                <w:bCs w:val="1"/>
                <w:color w:val="auto"/>
              </w:rPr>
              <w:t>Year Ended</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p>
        </w:tc>
        <w:tc>
          <w:tcPr>
            <w:tcW w:w="1260" w:type="dxa"/>
            <w:vAlign w:val="bottom"/>
            <w:gridSpan w:val="3"/>
          </w:tcPr>
          <w:p>
            <w:pPr>
              <w:ind w:left="40"/>
              <w:spacing w:after="0"/>
              <w:rPr>
                <w:sz w:val="20"/>
                <w:szCs w:val="20"/>
                <w:color w:val="auto"/>
              </w:rPr>
            </w:pPr>
            <w:r>
              <w:rPr>
                <w:rFonts w:ascii="Arial" w:cs="Arial" w:eastAsia="Arial" w:hAnsi="Arial"/>
                <w:sz w:val="13"/>
                <w:szCs w:val="13"/>
                <w:b w:val="1"/>
                <w:bCs w:val="1"/>
                <w:color w:val="auto"/>
              </w:rPr>
              <w:t>December 31, 2012</w:t>
            </w:r>
          </w:p>
        </w:tc>
        <w:tc>
          <w:tcPr>
            <w:tcW w:w="1260" w:type="dxa"/>
            <w:vAlign w:val="bottom"/>
            <w:gridSpan w:val="3"/>
          </w:tcPr>
          <w:p>
            <w:pPr>
              <w:ind w:left="60"/>
              <w:spacing w:after="0"/>
              <w:rPr>
                <w:sz w:val="20"/>
                <w:szCs w:val="20"/>
                <w:color w:val="auto"/>
              </w:rPr>
            </w:pPr>
            <w:r>
              <w:rPr>
                <w:rFonts w:ascii="Arial" w:cs="Arial" w:eastAsia="Arial" w:hAnsi="Arial"/>
                <w:sz w:val="13"/>
                <w:szCs w:val="13"/>
                <w:b w:val="1"/>
                <w:bCs w:val="1"/>
                <w:color w:val="auto"/>
              </w:rPr>
              <w:t>December 31, 2011</w:t>
            </w:r>
          </w:p>
        </w:tc>
        <w:tc>
          <w:tcPr>
            <w:tcW w:w="1220" w:type="dxa"/>
            <w:vAlign w:val="bottom"/>
            <w:gridSpan w:val="3"/>
          </w:tcPr>
          <w:p>
            <w:pPr>
              <w:ind w:left="40"/>
              <w:spacing w:after="0"/>
              <w:rPr>
                <w:sz w:val="20"/>
                <w:szCs w:val="20"/>
                <w:color w:val="auto"/>
              </w:rPr>
            </w:pPr>
            <w:r>
              <w:rPr>
                <w:rFonts w:ascii="Arial" w:cs="Arial" w:eastAsia="Arial" w:hAnsi="Arial"/>
                <w:sz w:val="13"/>
                <w:szCs w:val="13"/>
                <w:b w:val="1"/>
                <w:bCs w:val="1"/>
                <w:color w:val="auto"/>
                <w:w w:val="99"/>
              </w:rPr>
              <w:t>December 31, 2012</w:t>
            </w:r>
          </w:p>
        </w:tc>
        <w:tc>
          <w:tcPr>
            <w:tcW w:w="1120" w:type="dxa"/>
            <w:vAlign w:val="bottom"/>
            <w:gridSpan w:val="2"/>
          </w:tcPr>
          <w:p>
            <w:pPr>
              <w:jc w:val="right"/>
              <w:spacing w:after="0"/>
              <w:rPr>
                <w:sz w:val="20"/>
                <w:szCs w:val="20"/>
                <w:color w:val="auto"/>
              </w:rPr>
            </w:pPr>
            <w:r>
              <w:rPr>
                <w:rFonts w:ascii="Arial" w:cs="Arial" w:eastAsia="Arial" w:hAnsi="Arial"/>
                <w:sz w:val="13"/>
                <w:szCs w:val="13"/>
                <w:b w:val="1"/>
                <w:bCs w:val="1"/>
                <w:color w:val="auto"/>
                <w:w w:val="90"/>
              </w:rPr>
              <w:t>December 31, 2011</w:t>
            </w:r>
          </w:p>
        </w:tc>
        <w:tc>
          <w:tcPr>
            <w:tcW w:w="0" w:type="dxa"/>
            <w:vAlign w:val="bottom"/>
          </w:tcPr>
          <w:p>
            <w:pPr>
              <w:spacing w:after="0"/>
              <w:rPr>
                <w:sz w:val="1"/>
                <w:szCs w:val="1"/>
                <w:color w:val="auto"/>
              </w:rPr>
            </w:pPr>
          </w:p>
        </w:tc>
      </w:tr>
      <w:tr>
        <w:trPr>
          <w:trHeight w:val="217"/>
        </w:trPr>
        <w:tc>
          <w:tcPr>
            <w:tcW w:w="6460" w:type="dxa"/>
            <w:vAlign w:val="bottom"/>
          </w:tcPr>
          <w:p>
            <w:pPr>
              <w:spacing w:after="0"/>
              <w:rPr>
                <w:sz w:val="20"/>
                <w:szCs w:val="20"/>
                <w:color w:val="auto"/>
              </w:rPr>
            </w:pPr>
            <w:r>
              <w:rPr>
                <w:rFonts w:ascii="Arial" w:cs="Arial" w:eastAsia="Arial" w:hAnsi="Arial"/>
                <w:sz w:val="16"/>
                <w:szCs w:val="16"/>
                <w:b w:val="1"/>
                <w:bCs w:val="1"/>
                <w:color w:val="auto"/>
              </w:rPr>
              <w:t>Basic earnings (loss) per share</w:t>
            </w: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460" w:type="dxa"/>
            <w:vAlign w:val="bottom"/>
          </w:tcPr>
          <w:p>
            <w:pPr>
              <w:spacing w:after="0"/>
              <w:rPr>
                <w:sz w:val="20"/>
                <w:szCs w:val="20"/>
                <w:color w:val="auto"/>
              </w:rPr>
            </w:pPr>
            <w:r>
              <w:rPr>
                <w:rFonts w:ascii="Arial" w:cs="Arial" w:eastAsia="Arial" w:hAnsi="Arial"/>
                <w:sz w:val="16"/>
                <w:szCs w:val="16"/>
                <w:color w:val="auto"/>
              </w:rPr>
              <w:t>Net income (loss) attributable to stockholders</w:t>
            </w: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1,194</w:t>
            </w:r>
          </w:p>
        </w:tc>
        <w:tc>
          <w:tcPr>
            <w:tcW w:w="120" w:type="dxa"/>
            <w:vAlign w:val="bottom"/>
          </w:tcPr>
          <w:p>
            <w:pPr>
              <w:spacing w:after="0"/>
              <w:rPr>
                <w:sz w:val="20"/>
                <w:szCs w:val="20"/>
                <w:color w:val="auto"/>
              </w:rPr>
            </w:pPr>
          </w:p>
        </w:tc>
        <w:tc>
          <w:tcPr>
            <w:tcW w:w="600" w:type="dxa"/>
            <w:vAlign w:val="bottom"/>
          </w:tcPr>
          <w:p>
            <w:pPr>
              <w:jc w:val="right"/>
              <w:ind w:right="40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725</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6,188</w:t>
            </w:r>
          </w:p>
        </w:tc>
        <w:tc>
          <w:tcPr>
            <w:tcW w:w="100" w:type="dxa"/>
            <w:vAlign w:val="bottom"/>
          </w:tcPr>
          <w:p>
            <w:pPr>
              <w:spacing w:after="0"/>
              <w:rPr>
                <w:sz w:val="20"/>
                <w:szCs w:val="20"/>
                <w:color w:val="auto"/>
              </w:rPr>
            </w:pPr>
          </w:p>
        </w:tc>
        <w:tc>
          <w:tcPr>
            <w:tcW w:w="460" w:type="dxa"/>
            <w:vAlign w:val="bottom"/>
          </w:tcPr>
          <w:p>
            <w:pPr>
              <w:jc w:val="right"/>
              <w:ind w:right="282"/>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9,190</w:t>
            </w:r>
          </w:p>
        </w:tc>
        <w:tc>
          <w:tcPr>
            <w:tcW w:w="0" w:type="dxa"/>
            <w:vAlign w:val="bottom"/>
          </w:tcPr>
          <w:p>
            <w:pPr>
              <w:spacing w:after="0"/>
              <w:rPr>
                <w:sz w:val="1"/>
                <w:szCs w:val="1"/>
                <w:color w:val="auto"/>
              </w:rPr>
            </w:pPr>
          </w:p>
        </w:tc>
      </w:tr>
      <w:tr>
        <w:trPr>
          <w:trHeight w:val="229"/>
        </w:trPr>
        <w:tc>
          <w:tcPr>
            <w:tcW w:w="6460" w:type="dxa"/>
            <w:vAlign w:val="bottom"/>
          </w:tcPr>
          <w:p>
            <w:pPr>
              <w:spacing w:after="0"/>
              <w:rPr>
                <w:sz w:val="20"/>
                <w:szCs w:val="20"/>
                <w:color w:val="auto"/>
              </w:rPr>
            </w:pPr>
            <w:r>
              <w:rPr>
                <w:rFonts w:ascii="Arial" w:cs="Arial" w:eastAsia="Arial" w:hAnsi="Arial"/>
                <w:sz w:val="16"/>
                <w:szCs w:val="16"/>
                <w:color w:val="auto"/>
                <w:w w:val="96"/>
              </w:rPr>
              <w:t>Less: cumulative dividends on preferred stock and undistributed earnings allocated to Series B</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460" w:type="dxa"/>
            <w:vAlign w:val="bottom"/>
          </w:tcPr>
          <w:p>
            <w:pPr>
              <w:ind w:left="160"/>
              <w:spacing w:after="0"/>
              <w:rPr>
                <w:sz w:val="20"/>
                <w:szCs w:val="20"/>
                <w:color w:val="auto"/>
              </w:rPr>
            </w:pPr>
            <w:r>
              <w:rPr>
                <w:rFonts w:ascii="Arial" w:cs="Arial" w:eastAsia="Arial" w:hAnsi="Arial"/>
                <w:sz w:val="16"/>
                <w:szCs w:val="16"/>
                <w:color w:val="auto"/>
              </w:rPr>
              <w:t>Preferred Stock participating security(a)(b)</w:t>
            </w:r>
          </w:p>
        </w:tc>
        <w:tc>
          <w:tcPr>
            <w:tcW w:w="360" w:type="dxa"/>
            <w:vAlign w:val="bottom"/>
          </w:tcPr>
          <w:p>
            <w:pPr>
              <w:spacing w:after="0"/>
              <w:rPr>
                <w:sz w:val="17"/>
                <w:szCs w:val="17"/>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1,329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1,605</w:t>
            </w:r>
          </w:p>
        </w:tc>
        <w:tc>
          <w:tcPr>
            <w:tcW w:w="0" w:type="dxa"/>
            <w:vAlign w:val="bottom"/>
          </w:tcPr>
          <w:p>
            <w:pPr>
              <w:spacing w:after="0"/>
              <w:rPr>
                <w:sz w:val="1"/>
                <w:szCs w:val="1"/>
                <w:color w:val="auto"/>
              </w:rPr>
            </w:pPr>
          </w:p>
        </w:tc>
      </w:tr>
      <w:tr>
        <w:trPr>
          <w:trHeight w:val="24"/>
        </w:trPr>
        <w:tc>
          <w:tcPr>
            <w:tcW w:w="6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460" w:type="dxa"/>
            <w:vAlign w:val="bottom"/>
          </w:tcPr>
          <w:p>
            <w:pPr>
              <w:spacing w:after="0"/>
              <w:rPr>
                <w:sz w:val="20"/>
                <w:szCs w:val="20"/>
                <w:color w:val="auto"/>
              </w:rPr>
            </w:pPr>
            <w:r>
              <w:rPr>
                <w:rFonts w:ascii="Arial" w:cs="Arial" w:eastAsia="Arial" w:hAnsi="Arial"/>
                <w:sz w:val="16"/>
                <w:szCs w:val="16"/>
                <w:color w:val="auto"/>
              </w:rPr>
              <w:t>Net income (loss) attributable to common stockholders</w:t>
            </w: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892</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472</w:t>
            </w:r>
          </w:p>
        </w:tc>
        <w:tc>
          <w:tcPr>
            <w:tcW w:w="12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4,859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7,585</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6"/>
                <w:szCs w:val="16"/>
                <w:b w:val="1"/>
                <w:bCs w:val="1"/>
                <w:color w:val="auto"/>
              </w:rPr>
              <w:t>Weighted-average common shares outstanding - basic</w:t>
            </w: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4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1,551</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1,571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1,566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1,536</w:t>
            </w:r>
          </w:p>
        </w:tc>
        <w:tc>
          <w:tcPr>
            <w:tcW w:w="0" w:type="dxa"/>
            <w:vAlign w:val="bottom"/>
          </w:tcPr>
          <w:p>
            <w:pPr>
              <w:spacing w:after="0"/>
              <w:rPr>
                <w:sz w:val="1"/>
                <w:szCs w:val="1"/>
                <w:color w:val="auto"/>
              </w:rPr>
            </w:pPr>
          </w:p>
        </w:tc>
      </w:tr>
      <w:tr>
        <w:trPr>
          <w:trHeight w:val="241"/>
        </w:trPr>
        <w:tc>
          <w:tcPr>
            <w:tcW w:w="6460" w:type="dxa"/>
            <w:vAlign w:val="bottom"/>
          </w:tcPr>
          <w:p>
            <w:pPr>
              <w:spacing w:after="0"/>
              <w:rPr>
                <w:sz w:val="20"/>
                <w:szCs w:val="20"/>
                <w:color w:val="auto"/>
              </w:rPr>
            </w:pPr>
            <w:r>
              <w:rPr>
                <w:rFonts w:ascii="Arial" w:cs="Arial" w:eastAsia="Arial" w:hAnsi="Arial"/>
                <w:sz w:val="16"/>
                <w:szCs w:val="16"/>
                <w:color w:val="auto"/>
              </w:rPr>
              <w:t>Basic earnings (loss) per common share</w:t>
            </w: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0.58</w:t>
            </w:r>
          </w:p>
        </w:tc>
        <w:tc>
          <w:tcPr>
            <w:tcW w:w="120" w:type="dxa"/>
            <w:vAlign w:val="bottom"/>
          </w:tcPr>
          <w:p>
            <w:pPr>
              <w:spacing w:after="0"/>
              <w:rPr>
                <w:sz w:val="20"/>
                <w:szCs w:val="20"/>
                <w:color w:val="auto"/>
              </w:rPr>
            </w:pPr>
          </w:p>
        </w:tc>
        <w:tc>
          <w:tcPr>
            <w:tcW w:w="600" w:type="dxa"/>
            <w:vAlign w:val="bottom"/>
          </w:tcPr>
          <w:p>
            <w:pPr>
              <w:jc w:val="right"/>
              <w:ind w:right="40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0"/>
                <w:szCs w:val="20"/>
                <w:color w:val="auto"/>
              </w:rPr>
            </w:pPr>
          </w:p>
        </w:tc>
        <w:tc>
          <w:tcPr>
            <w:tcW w:w="460" w:type="dxa"/>
            <w:vAlign w:val="bottom"/>
          </w:tcPr>
          <w:p>
            <w:pPr>
              <w:jc w:val="right"/>
              <w:ind w:right="282"/>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241"/>
        </w:trPr>
        <w:tc>
          <w:tcPr>
            <w:tcW w:w="6460" w:type="dxa"/>
            <w:vAlign w:val="bottom"/>
          </w:tcPr>
          <w:p>
            <w:pPr>
              <w:spacing w:after="0"/>
              <w:rPr>
                <w:sz w:val="20"/>
                <w:szCs w:val="20"/>
                <w:color w:val="auto"/>
              </w:rPr>
            </w:pPr>
            <w:r>
              <w:rPr>
                <w:rFonts w:ascii="Arial" w:cs="Arial" w:eastAsia="Arial" w:hAnsi="Arial"/>
                <w:sz w:val="16"/>
                <w:szCs w:val="16"/>
                <w:b w:val="1"/>
                <w:bCs w:val="1"/>
                <w:color w:val="auto"/>
              </w:rPr>
              <w:t>Diluted earnings (loss) per share</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460" w:type="dxa"/>
            <w:vAlign w:val="bottom"/>
          </w:tcPr>
          <w:p>
            <w:pPr>
              <w:spacing w:after="0"/>
              <w:rPr>
                <w:sz w:val="20"/>
                <w:szCs w:val="20"/>
                <w:color w:val="auto"/>
              </w:rPr>
            </w:pPr>
            <w:r>
              <w:rPr>
                <w:rFonts w:ascii="Arial" w:cs="Arial" w:eastAsia="Arial" w:hAnsi="Arial"/>
                <w:sz w:val="16"/>
                <w:szCs w:val="16"/>
                <w:color w:val="auto"/>
              </w:rPr>
              <w:t>Net income (loss) attributable to stockholders</w:t>
            </w: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1,194</w:t>
            </w:r>
          </w:p>
        </w:tc>
        <w:tc>
          <w:tcPr>
            <w:tcW w:w="120" w:type="dxa"/>
            <w:vAlign w:val="bottom"/>
          </w:tcPr>
          <w:p>
            <w:pPr>
              <w:spacing w:after="0"/>
              <w:rPr>
                <w:sz w:val="20"/>
                <w:szCs w:val="20"/>
                <w:color w:val="auto"/>
              </w:rPr>
            </w:pPr>
          </w:p>
        </w:tc>
        <w:tc>
          <w:tcPr>
            <w:tcW w:w="600" w:type="dxa"/>
            <w:vAlign w:val="bottom"/>
          </w:tcPr>
          <w:p>
            <w:pPr>
              <w:jc w:val="right"/>
              <w:ind w:right="40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725</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6,188</w:t>
            </w:r>
          </w:p>
        </w:tc>
        <w:tc>
          <w:tcPr>
            <w:tcW w:w="100" w:type="dxa"/>
            <w:vAlign w:val="bottom"/>
          </w:tcPr>
          <w:p>
            <w:pPr>
              <w:spacing w:after="0"/>
              <w:rPr>
                <w:sz w:val="20"/>
                <w:szCs w:val="20"/>
                <w:color w:val="auto"/>
              </w:rPr>
            </w:pPr>
          </w:p>
        </w:tc>
        <w:tc>
          <w:tcPr>
            <w:tcW w:w="460" w:type="dxa"/>
            <w:vAlign w:val="bottom"/>
          </w:tcPr>
          <w:p>
            <w:pPr>
              <w:jc w:val="right"/>
              <w:ind w:right="282"/>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9,190</w:t>
            </w:r>
          </w:p>
        </w:tc>
        <w:tc>
          <w:tcPr>
            <w:tcW w:w="0" w:type="dxa"/>
            <w:vAlign w:val="bottom"/>
          </w:tcPr>
          <w:p>
            <w:pPr>
              <w:spacing w:after="0"/>
              <w:rPr>
                <w:sz w:val="1"/>
                <w:szCs w:val="1"/>
                <w:color w:val="auto"/>
              </w:rPr>
            </w:pPr>
          </w:p>
        </w:tc>
      </w:tr>
      <w:tr>
        <w:trPr>
          <w:trHeight w:val="229"/>
        </w:trPr>
        <w:tc>
          <w:tcPr>
            <w:tcW w:w="6460" w:type="dxa"/>
            <w:vAlign w:val="bottom"/>
          </w:tcPr>
          <w:p>
            <w:pPr>
              <w:spacing w:after="0"/>
              <w:rPr>
                <w:sz w:val="20"/>
                <w:szCs w:val="20"/>
                <w:color w:val="auto"/>
              </w:rPr>
            </w:pPr>
            <w:r>
              <w:rPr>
                <w:rFonts w:ascii="Arial" w:cs="Arial" w:eastAsia="Arial" w:hAnsi="Arial"/>
                <w:sz w:val="16"/>
                <w:szCs w:val="16"/>
                <w:color w:val="auto"/>
                <w:w w:val="96"/>
              </w:rPr>
              <w:t>Less: cumulative dividends on preferred stock and undistributed earnings allocated to Series B</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460" w:type="dxa"/>
            <w:vAlign w:val="bottom"/>
          </w:tcPr>
          <w:p>
            <w:pPr>
              <w:ind w:left="160"/>
              <w:spacing w:after="0"/>
              <w:rPr>
                <w:sz w:val="20"/>
                <w:szCs w:val="20"/>
                <w:color w:val="auto"/>
              </w:rPr>
            </w:pPr>
            <w:r>
              <w:rPr>
                <w:rFonts w:ascii="Arial" w:cs="Arial" w:eastAsia="Arial" w:hAnsi="Arial"/>
                <w:sz w:val="16"/>
                <w:szCs w:val="16"/>
                <w:color w:val="auto"/>
              </w:rPr>
              <w:t>Preferred Stock participating security(a)(c)</w:t>
            </w:r>
          </w:p>
        </w:tc>
        <w:tc>
          <w:tcPr>
            <w:tcW w:w="360" w:type="dxa"/>
            <w:vAlign w:val="bottom"/>
          </w:tcPr>
          <w:p>
            <w:pPr>
              <w:spacing w:after="0"/>
              <w:rPr>
                <w:sz w:val="17"/>
                <w:szCs w:val="17"/>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1,301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1,552</w:t>
            </w:r>
          </w:p>
        </w:tc>
        <w:tc>
          <w:tcPr>
            <w:tcW w:w="0" w:type="dxa"/>
            <w:vAlign w:val="bottom"/>
          </w:tcPr>
          <w:p>
            <w:pPr>
              <w:spacing w:after="0"/>
              <w:rPr>
                <w:sz w:val="1"/>
                <w:szCs w:val="1"/>
                <w:color w:val="auto"/>
              </w:rPr>
            </w:pPr>
          </w:p>
        </w:tc>
      </w:tr>
      <w:tr>
        <w:trPr>
          <w:trHeight w:val="24"/>
        </w:trPr>
        <w:tc>
          <w:tcPr>
            <w:tcW w:w="6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460" w:type="dxa"/>
            <w:vAlign w:val="bottom"/>
          </w:tcPr>
          <w:p>
            <w:pPr>
              <w:spacing w:after="0"/>
              <w:rPr>
                <w:sz w:val="20"/>
                <w:szCs w:val="20"/>
                <w:color w:val="auto"/>
              </w:rPr>
            </w:pPr>
            <w:r>
              <w:rPr>
                <w:rFonts w:ascii="Arial" w:cs="Arial" w:eastAsia="Arial" w:hAnsi="Arial"/>
                <w:sz w:val="16"/>
                <w:szCs w:val="16"/>
                <w:color w:val="auto"/>
              </w:rPr>
              <w:t>Net income attributable to common stockholders</w:t>
            </w: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898</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468</w:t>
            </w:r>
          </w:p>
        </w:tc>
        <w:tc>
          <w:tcPr>
            <w:tcW w:w="12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4,887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7,638</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6"/>
                <w:szCs w:val="16"/>
                <w:b w:val="1"/>
                <w:bCs w:val="1"/>
                <w:color w:val="auto"/>
              </w:rPr>
              <w:t>Weighted-average shares outstanding - diluted</w:t>
            </w: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4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460" w:type="dxa"/>
            <w:vAlign w:val="bottom"/>
          </w:tcPr>
          <w:p>
            <w:pPr>
              <w:spacing w:after="0"/>
              <w:rPr>
                <w:sz w:val="20"/>
                <w:szCs w:val="20"/>
                <w:color w:val="auto"/>
              </w:rPr>
            </w:pPr>
            <w:r>
              <w:rPr>
                <w:rFonts w:ascii="Arial" w:cs="Arial" w:eastAsia="Arial" w:hAnsi="Arial"/>
                <w:sz w:val="16"/>
                <w:szCs w:val="16"/>
                <w:color w:val="auto"/>
              </w:rPr>
              <w:t>Weighted-average common shares outstanding - basic</w:t>
            </w:r>
          </w:p>
        </w:tc>
        <w:tc>
          <w:tcPr>
            <w:tcW w:w="36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1,551</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1,571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1,566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1,536</w:t>
            </w:r>
          </w:p>
        </w:tc>
        <w:tc>
          <w:tcPr>
            <w:tcW w:w="0" w:type="dxa"/>
            <w:vAlign w:val="bottom"/>
          </w:tcPr>
          <w:p>
            <w:pPr>
              <w:spacing w:after="0"/>
              <w:rPr>
                <w:sz w:val="1"/>
                <w:szCs w:val="1"/>
                <w:color w:val="auto"/>
              </w:rPr>
            </w:pPr>
          </w:p>
        </w:tc>
      </w:tr>
      <w:tr>
        <w:trPr>
          <w:trHeight w:val="241"/>
        </w:trPr>
        <w:tc>
          <w:tcPr>
            <w:tcW w:w="6460" w:type="dxa"/>
            <w:vAlign w:val="bottom"/>
          </w:tcPr>
          <w:p>
            <w:pPr>
              <w:spacing w:after="0"/>
              <w:rPr>
                <w:sz w:val="20"/>
                <w:szCs w:val="20"/>
                <w:color w:val="auto"/>
              </w:rPr>
            </w:pPr>
            <w:r>
              <w:rPr>
                <w:rFonts w:ascii="Arial" w:cs="Arial" w:eastAsia="Arial" w:hAnsi="Arial"/>
                <w:sz w:val="16"/>
                <w:szCs w:val="16"/>
                <w:color w:val="auto"/>
              </w:rPr>
              <w:t>Dilutive effect of warrants</w:t>
            </w:r>
          </w:p>
        </w:tc>
        <w:tc>
          <w:tcPr>
            <w:tcW w:w="36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41"/>
        </w:trPr>
        <w:tc>
          <w:tcPr>
            <w:tcW w:w="6460" w:type="dxa"/>
            <w:vAlign w:val="bottom"/>
          </w:tcPr>
          <w:p>
            <w:pPr>
              <w:spacing w:after="0"/>
              <w:rPr>
                <w:sz w:val="20"/>
                <w:szCs w:val="20"/>
                <w:color w:val="auto"/>
              </w:rPr>
            </w:pPr>
            <w:r>
              <w:rPr>
                <w:rFonts w:ascii="Arial" w:cs="Arial" w:eastAsia="Arial" w:hAnsi="Arial"/>
                <w:sz w:val="16"/>
                <w:szCs w:val="16"/>
                <w:color w:val="auto"/>
              </w:rPr>
              <w:t>Dilutive effect of restricted stock units (RSUs)</w:t>
            </w:r>
          </w:p>
        </w:tc>
        <w:tc>
          <w:tcPr>
            <w:tcW w:w="36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4"/>
        </w:trPr>
        <w:tc>
          <w:tcPr>
            <w:tcW w:w="6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460" w:type="dxa"/>
            <w:vAlign w:val="bottom"/>
          </w:tcPr>
          <w:p>
            <w:pPr>
              <w:spacing w:after="0"/>
              <w:rPr>
                <w:sz w:val="20"/>
                <w:szCs w:val="20"/>
                <w:color w:val="auto"/>
              </w:rPr>
            </w:pPr>
            <w:r>
              <w:rPr>
                <w:rFonts w:ascii="Arial" w:cs="Arial" w:eastAsia="Arial" w:hAnsi="Arial"/>
                <w:sz w:val="16"/>
                <w:szCs w:val="16"/>
                <w:color w:val="auto"/>
              </w:rPr>
              <w:t>Weighted-average common shares outstanding - diluted</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1,674</w:t>
            </w:r>
          </w:p>
        </w:tc>
        <w:tc>
          <w:tcPr>
            <w:tcW w:w="1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1,668</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1,675</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1,668</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460" w:type="dxa"/>
            <w:vAlign w:val="bottom"/>
          </w:tcPr>
          <w:p>
            <w:pPr>
              <w:spacing w:after="0"/>
              <w:rPr>
                <w:sz w:val="20"/>
                <w:szCs w:val="20"/>
                <w:color w:val="auto"/>
              </w:rPr>
            </w:pPr>
            <w:r>
              <w:rPr>
                <w:rFonts w:ascii="Arial" w:cs="Arial" w:eastAsia="Arial" w:hAnsi="Arial"/>
                <w:sz w:val="16"/>
                <w:szCs w:val="16"/>
                <w:color w:val="auto"/>
              </w:rPr>
              <w:t>Diluted earnings (loss) per common share</w:t>
            </w: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0.54</w:t>
            </w:r>
          </w:p>
        </w:tc>
        <w:tc>
          <w:tcPr>
            <w:tcW w:w="120" w:type="dxa"/>
            <w:vAlign w:val="bottom"/>
          </w:tcPr>
          <w:p>
            <w:pPr>
              <w:spacing w:after="0"/>
              <w:rPr>
                <w:sz w:val="17"/>
                <w:szCs w:val="17"/>
                <w:color w:val="auto"/>
              </w:rPr>
            </w:pPr>
          </w:p>
        </w:tc>
        <w:tc>
          <w:tcPr>
            <w:tcW w:w="600" w:type="dxa"/>
            <w:vAlign w:val="bottom"/>
          </w:tcPr>
          <w:p>
            <w:pPr>
              <w:jc w:val="right"/>
              <w:ind w:right="40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0.28</w:t>
            </w:r>
          </w:p>
        </w:tc>
        <w:tc>
          <w:tcPr>
            <w:tcW w:w="120" w:type="dxa"/>
            <w:vAlign w:val="bottom"/>
          </w:tcPr>
          <w:p>
            <w:pPr>
              <w:spacing w:after="0"/>
              <w:rPr>
                <w:sz w:val="17"/>
                <w:szCs w:val="17"/>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17"/>
                <w:szCs w:val="17"/>
                <w:color w:val="auto"/>
              </w:rPr>
            </w:pPr>
          </w:p>
        </w:tc>
        <w:tc>
          <w:tcPr>
            <w:tcW w:w="460" w:type="dxa"/>
            <w:vAlign w:val="bottom"/>
          </w:tcPr>
          <w:p>
            <w:pPr>
              <w:jc w:val="right"/>
              <w:ind w:right="282"/>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4"/>
        <w:spacing w:after="0"/>
        <w:rPr>
          <w:sz w:val="20"/>
          <w:szCs w:val="20"/>
          <w:color w:val="auto"/>
        </w:rPr>
      </w:pPr>
      <w:r>
        <w:rPr>
          <w:rFonts w:ascii="Arial" w:cs="Arial" w:eastAsia="Arial" w:hAnsi="Arial"/>
          <w:sz w:val="13"/>
          <w:szCs w:val="13"/>
          <w:color w:val="auto"/>
        </w:rPr>
        <w:t>___________</w:t>
      </w:r>
    </w:p>
    <w:p>
      <w:pPr>
        <w:spacing w:after="0" w:line="1" w:lineRule="exact"/>
        <w:rPr>
          <w:sz w:val="20"/>
          <w:szCs w:val="20"/>
          <w:color w:val="auto"/>
        </w:rPr>
      </w:pPr>
    </w:p>
    <w:p>
      <w:pPr>
        <w:ind w:left="284" w:hanging="284"/>
        <w:spacing w:after="0"/>
        <w:tabs>
          <w:tab w:leader="none" w:pos="284"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earned but undeclared dividends of $26 million on our Series A Preferred Stock and $20 million on our Series B Preferred Stock in the years ended December 31, 2012 and 2011.</w:t>
      </w:r>
    </w:p>
    <w:p>
      <w:pPr>
        <w:jc w:val="both"/>
        <w:ind w:left="284" w:hanging="284"/>
        <w:spacing w:after="0" w:line="251" w:lineRule="auto"/>
        <w:tabs>
          <w:tab w:leader="none" w:pos="284" w:val="left"/>
        </w:tabs>
        <w:numPr>
          <w:ilvl w:val="0"/>
          <w:numId w:val="9"/>
        </w:numPr>
        <w:rPr>
          <w:rFonts w:ascii="Arial" w:cs="Arial" w:eastAsia="Arial" w:hAnsi="Arial"/>
          <w:sz w:val="12"/>
          <w:szCs w:val="12"/>
          <w:color w:val="auto"/>
        </w:rPr>
      </w:pPr>
      <w:r>
        <w:rPr>
          <w:rFonts w:ascii="Arial" w:cs="Arial" w:eastAsia="Arial" w:hAnsi="Arial"/>
          <w:sz w:val="12"/>
          <w:szCs w:val="12"/>
          <w:color w:val="auto"/>
        </w:rPr>
        <w:t>Includes cumulative dividends on preferred stock of $215 million and earnings of $87 million that have been allocated to the Series B Preferred Stock holders in the three months ended December 31, 2012; and includes cumulative dividends on preferred stock of $215 million and earnings of $38 million that have been allocated to the Series B Preferred Stock holders in the three months ended December 31, 2011. Includes cumulative dividends on preferred stock of $859 million and earnings of $470 million that have been allocated to the Series B Preferred Stock holders in the year ended December 31, 2012; and includes cumulative dividends on preferred stock of $859 million and earnings of $746 million that have been allocated to the Series B Preferred Stock holders in the year ended December 31, 2011.</w:t>
      </w:r>
    </w:p>
    <w:p>
      <w:pPr>
        <w:spacing w:after="0" w:line="1" w:lineRule="exact"/>
        <w:rPr>
          <w:rFonts w:ascii="Arial" w:cs="Arial" w:eastAsia="Arial" w:hAnsi="Arial"/>
          <w:sz w:val="12"/>
          <w:szCs w:val="12"/>
          <w:color w:val="auto"/>
        </w:rPr>
      </w:pPr>
    </w:p>
    <w:p>
      <w:pPr>
        <w:jc w:val="both"/>
        <w:ind w:left="284" w:hanging="284"/>
        <w:spacing w:after="0" w:line="260" w:lineRule="auto"/>
        <w:tabs>
          <w:tab w:leader="none" w:pos="284" w:val="left"/>
        </w:tabs>
        <w:numPr>
          <w:ilvl w:val="0"/>
          <w:numId w:val="9"/>
        </w:numPr>
        <w:rPr>
          <w:rFonts w:ascii="Arial" w:cs="Arial" w:eastAsia="Arial" w:hAnsi="Arial"/>
          <w:sz w:val="12"/>
          <w:szCs w:val="12"/>
          <w:color w:val="auto"/>
        </w:rPr>
      </w:pPr>
      <w:r>
        <w:rPr>
          <w:rFonts w:ascii="Arial" w:cs="Arial" w:eastAsia="Arial" w:hAnsi="Arial"/>
          <w:sz w:val="12"/>
          <w:szCs w:val="12"/>
          <w:color w:val="auto"/>
        </w:rPr>
        <w:t>Includes cumulative dividends on preferred stock of $215 million and earnings of $81 million that have been allocated to the Series B Preferred Stock holders in the three months ended December 31, 2012; and includes cumulative dividends on preferred stock of $215 million and earnings of $42 million that have been allocated to the Series B Preferred Stock holders in the three months ended December 31, 2011. Includes cumulative dividends on preferred stock of $859 million and earnings of $442 million that have been allocated to the Series B Preferred Stock holders in the year ended December 31, 2012; and includes cumulative dividends on preferred stock of $859 million and earnings of $693 million that have been allocated to the Series B Preferred Stock holders in the year ended December 31, 2011.</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4"/>
          </w:cols>
          <w:pgMar w:left="236" w:top="726" w:right="239" w:bottom="1440" w:gutter="0" w:footer="0" w:header="0"/>
        </w:sectPr>
      </w:pPr>
    </w:p>
    <w:bookmarkStart w:id="17" w:name="page18"/>
    <w:bookmarkEnd w:id="17"/>
    <w:p>
      <w:pPr>
        <w:jc w:val="center"/>
        <w:ind w:left="37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3780"/>
        <w:spacing w:after="0"/>
        <w:rPr>
          <w:sz w:val="20"/>
          <w:szCs w:val="20"/>
          <w:color w:val="auto"/>
        </w:rPr>
      </w:pPr>
      <w:r>
        <w:rPr>
          <w:rFonts w:ascii="Arial" w:cs="Arial" w:eastAsia="Arial" w:hAnsi="Arial"/>
          <w:sz w:val="16"/>
          <w:szCs w:val="16"/>
          <w:b w:val="1"/>
          <w:bCs w:val="1"/>
          <w:color w:val="auto"/>
        </w:rPr>
        <w:t>Consolidated Balance Sheets</w:t>
      </w:r>
    </w:p>
    <w:p>
      <w:pPr>
        <w:spacing w:after="0" w:line="9" w:lineRule="exact"/>
        <w:rPr>
          <w:sz w:val="20"/>
          <w:szCs w:val="20"/>
          <w:color w:val="auto"/>
        </w:rPr>
      </w:pPr>
    </w:p>
    <w:p>
      <w:pPr>
        <w:jc w:val="center"/>
        <w:ind w:left="3780"/>
        <w:spacing w:after="0"/>
        <w:rPr>
          <w:sz w:val="20"/>
          <w:szCs w:val="20"/>
          <w:color w:val="auto"/>
        </w:rPr>
      </w:pPr>
      <w:r>
        <w:rPr>
          <w:rFonts w:ascii="Arial" w:cs="Arial" w:eastAsia="Arial" w:hAnsi="Arial"/>
          <w:sz w:val="16"/>
          <w:szCs w:val="16"/>
          <w:i w:val="1"/>
          <w:iCs w:val="1"/>
          <w:color w:val="auto"/>
        </w:rPr>
        <w:t>(In millions, except share amounts)</w:t>
      </w:r>
    </w:p>
    <w:p>
      <w:pPr>
        <w:spacing w:after="0" w:line="9" w:lineRule="exact"/>
        <w:rPr>
          <w:sz w:val="20"/>
          <w:szCs w:val="20"/>
          <w:color w:val="auto"/>
        </w:rPr>
      </w:pPr>
    </w:p>
    <w:p>
      <w:pPr>
        <w:jc w:val="center"/>
        <w:ind w:left="3780"/>
        <w:spacing w:after="0"/>
        <w:rPr>
          <w:sz w:val="20"/>
          <w:szCs w:val="20"/>
          <w:color w:val="auto"/>
        </w:rPr>
      </w:pPr>
      <w:r>
        <w:rPr>
          <w:rFonts w:ascii="Arial" w:cs="Arial" w:eastAsia="Arial" w:hAnsi="Arial"/>
          <w:sz w:val="16"/>
          <w:szCs w:val="16"/>
          <w:i w:val="1"/>
          <w:iCs w:val="1"/>
          <w:color w:val="auto"/>
        </w:rPr>
        <w:t>(Unaudited)</w:t>
      </w:r>
    </w:p>
    <w:p>
      <w:pPr>
        <w:spacing w:after="0" w:line="379" w:lineRule="exact"/>
        <w:rPr>
          <w:sz w:val="20"/>
          <w:szCs w:val="20"/>
          <w:color w:val="auto"/>
        </w:rPr>
      </w:pPr>
    </w:p>
    <w:p>
      <w:pPr>
        <w:jc w:val="center"/>
        <w:ind w:left="720"/>
        <w:spacing w:after="0"/>
        <w:rPr>
          <w:sz w:val="20"/>
          <w:szCs w:val="20"/>
          <w:color w:val="auto"/>
        </w:rPr>
      </w:pPr>
      <w:r>
        <w:rPr>
          <w:rFonts w:ascii="Arial" w:cs="Arial" w:eastAsia="Arial" w:hAnsi="Arial"/>
          <w:sz w:val="11"/>
          <w:szCs w:val="11"/>
          <w:b w:val="1"/>
          <w:bCs w:val="1"/>
          <w:color w:val="auto"/>
        </w:rPr>
        <w:t>ASSETS</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Current Assets</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Cash and cash equivalents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Marketable securities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Restricted cash and marketable securities</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Accounts and notes receivable (net of allowance of $311 and $331)</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GM Financial finance receivables, net (including gross consumer finance receivables transferred to SPEs of $3,444 and $3,295)</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1"/>
          <w:szCs w:val="11"/>
          <w:color w:val="auto"/>
        </w:rPr>
        <w:t>Inventories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Equipment on operating leases, net</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Deferred income taxes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Other current assets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Total current assets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Non-current Assets</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Restricted cash and marketable securities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GM Financial finance receivables, net (including gross consumer finance receivables transferred to SPEs of $6,458 and $5,773)</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Equity in net assets of nonconsolidated affiliates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Property, net</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Goodwill</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Intangible assets, net</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GM Financial equipment on operating leases, net (including assets transferred to SPEs of $540 and $274)</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Deferred income taxes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Other assets and deferred income taxes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Total non-current assets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Total Assets</w:t>
      </w:r>
    </w:p>
    <w:p>
      <w:pPr>
        <w:spacing w:after="0" w:line="115" w:lineRule="exact"/>
        <w:rPr>
          <w:sz w:val="20"/>
          <w:szCs w:val="20"/>
          <w:color w:val="auto"/>
        </w:rPr>
      </w:pPr>
    </w:p>
    <w:p>
      <w:pPr>
        <w:jc w:val="center"/>
        <w:ind w:left="720"/>
        <w:spacing w:after="0"/>
        <w:rPr>
          <w:sz w:val="20"/>
          <w:szCs w:val="20"/>
          <w:color w:val="auto"/>
        </w:rPr>
      </w:pPr>
      <w:r>
        <w:rPr>
          <w:rFonts w:ascii="Arial" w:cs="Arial" w:eastAsia="Arial" w:hAnsi="Arial"/>
          <w:sz w:val="11"/>
          <w:szCs w:val="11"/>
          <w:b w:val="1"/>
          <w:bCs w:val="1"/>
          <w:color w:val="auto"/>
        </w:rPr>
        <w:t>LIABILITIES AND EQUITY</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Current Liabilities</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Accounts payable (principally trade)</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Short-term debt and current portion of long-term debt</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1"/>
          <w:szCs w:val="11"/>
          <w:color w:val="auto"/>
        </w:rPr>
        <w:t>Automotive (including certain debt at VIEs of $228 and $171)</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1"/>
          <w:szCs w:val="11"/>
          <w:color w:val="auto"/>
        </w:rPr>
        <w:t>GM Financial</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Accrued liabilities (including derivative liabilities at VIEs of $18 and $44)</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Total current liabilities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Non-current Liabilities</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Long-term debt</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1"/>
          <w:szCs w:val="11"/>
          <w:color w:val="auto"/>
        </w:rPr>
        <w:t>Automotive (including certain debt at VIEs of $122 and $7)</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1"/>
          <w:szCs w:val="11"/>
          <w:color w:val="auto"/>
        </w:rPr>
        <w:t>GM Financial</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Postretirement benefits other than pensions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Pensions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Other liabilities and deferred income taxes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Total non-current liabilities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Total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1"/>
          <w:szCs w:val="11"/>
          <w:color w:val="auto"/>
        </w:rPr>
        <w:t>Commitments and contingencies</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Equity</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1"/>
          <w:szCs w:val="11"/>
          <w:color w:val="auto"/>
        </w:rPr>
        <w:t>Preferred stock, $0.01 par value, 2,000,000,000 shares authorized:</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Series A (276,101,695 shares issued and outstanding (each with a $25.00 liquidation preference) at December 31, 2012 and 2011)</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Series B (99,988,796 and 100,000,000 shares issued and outstanding (each with a $50.00 liquidation preference) at December 31, 2012 and 2011)</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0"/>
          <w:szCs w:val="10"/>
          <w:color w:val="auto"/>
        </w:rPr>
        <w:t>Common stock, $0.01 par value (5,000,000,000 shares authorized and 1,366,373,526 shares and 1,564,727,289 shares issued and outstanding at December 31, 2012 and 2011)</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11"/>
          <w:szCs w:val="11"/>
          <w:color w:val="auto"/>
        </w:rPr>
        <w:t>Capital surplus (principally additional paid-in capital)</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1"/>
          <w:szCs w:val="11"/>
          <w:color w:val="auto"/>
        </w:rPr>
        <w:t>Retained earnings</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1"/>
          <w:szCs w:val="11"/>
          <w:color w:val="auto"/>
        </w:rPr>
        <w:t>Accumulated other comprehensive loss</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1"/>
          <w:szCs w:val="11"/>
          <w:color w:val="auto"/>
        </w:rPr>
        <w:t>Total stockholders’ equity</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1"/>
          <w:szCs w:val="11"/>
          <w:color w:val="auto"/>
        </w:rPr>
        <w:t>Noncontrolling interests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Total Equity</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Total Liabilities and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4"/>
        </w:trPr>
        <w:tc>
          <w:tcPr>
            <w:tcW w:w="160" w:type="dxa"/>
            <w:vAlign w:val="bottom"/>
          </w:tcPr>
          <w:p>
            <w:pPr>
              <w:spacing w:after="0"/>
              <w:rPr>
                <w:sz w:val="10"/>
                <w:szCs w:val="10"/>
                <w:color w:val="auto"/>
              </w:rPr>
            </w:pPr>
          </w:p>
        </w:tc>
        <w:tc>
          <w:tcPr>
            <w:tcW w:w="1220" w:type="dxa"/>
            <w:vAlign w:val="bottom"/>
            <w:gridSpan w:val="2"/>
          </w:tcPr>
          <w:p>
            <w:pPr>
              <w:ind w:left="100"/>
              <w:spacing w:after="0"/>
              <w:rPr>
                <w:sz w:val="20"/>
                <w:szCs w:val="20"/>
                <w:color w:val="auto"/>
              </w:rPr>
            </w:pPr>
            <w:r>
              <w:rPr>
                <w:rFonts w:ascii="Arial" w:cs="Arial" w:eastAsia="Arial" w:hAnsi="Arial"/>
                <w:sz w:val="10"/>
                <w:szCs w:val="10"/>
                <w:b w:val="1"/>
                <w:bCs w:val="1"/>
                <w:color w:val="auto"/>
              </w:rPr>
              <w:t>December 31, 2012</w:t>
            </w:r>
          </w:p>
        </w:tc>
        <w:tc>
          <w:tcPr>
            <w:tcW w:w="160" w:type="dxa"/>
            <w:vAlign w:val="bottom"/>
          </w:tcPr>
          <w:p>
            <w:pPr>
              <w:spacing w:after="0"/>
              <w:rPr>
                <w:sz w:val="10"/>
                <w:szCs w:val="10"/>
                <w:color w:val="auto"/>
              </w:rPr>
            </w:pPr>
          </w:p>
        </w:tc>
        <w:tc>
          <w:tcPr>
            <w:tcW w:w="1100" w:type="dxa"/>
            <w:vAlign w:val="bottom"/>
          </w:tcPr>
          <w:p>
            <w:pPr>
              <w:jc w:val="right"/>
              <w:ind w:right="184"/>
              <w:spacing w:after="0"/>
              <w:rPr>
                <w:sz w:val="20"/>
                <w:szCs w:val="20"/>
                <w:color w:val="auto"/>
              </w:rPr>
            </w:pPr>
            <w:r>
              <w:rPr>
                <w:rFonts w:ascii="Arial" w:cs="Arial" w:eastAsia="Arial" w:hAnsi="Arial"/>
                <w:sz w:val="10"/>
                <w:szCs w:val="10"/>
                <w:b w:val="1"/>
                <w:bCs w:val="1"/>
                <w:color w:val="auto"/>
                <w:w w:val="93"/>
              </w:rPr>
              <w:t>December 31, 2011</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00"/>
        </w:trPr>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18,422</w:t>
            </w:r>
          </w:p>
        </w:tc>
        <w:tc>
          <w:tcPr>
            <w:tcW w:w="100" w:type="dxa"/>
            <w:vAlign w:val="bottom"/>
          </w:tcPr>
          <w:p>
            <w:pPr>
              <w:spacing w:after="0"/>
              <w:rPr>
                <w:sz w:val="24"/>
                <w:szCs w:val="24"/>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16,071</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8,988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16,148</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686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1,005</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10,395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9,964</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4,044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3,251</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14,714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14,324</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1,782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2,464</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9,429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527</w:t>
            </w:r>
          </w:p>
        </w:tc>
      </w:tr>
      <w:tr>
        <w:trPr>
          <w:trHeight w:val="250"/>
        </w:trPr>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1,536</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1,169</w:t>
            </w:r>
          </w:p>
        </w:tc>
      </w:tr>
      <w:tr>
        <w:trPr>
          <w:trHeight w:val="213"/>
        </w:trPr>
        <w:tc>
          <w:tcPr>
            <w:tcW w:w="160" w:type="dxa"/>
            <w:vAlign w:val="bottom"/>
          </w:tcPr>
          <w:p>
            <w:pPr>
              <w:spacing w:after="0"/>
              <w:rPr>
                <w:sz w:val="18"/>
                <w:szCs w:val="18"/>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69,996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64,923</w:t>
            </w:r>
          </w:p>
        </w:tc>
      </w:tr>
      <w:tr>
        <w:trPr>
          <w:trHeight w:val="482"/>
        </w:trPr>
        <w:tc>
          <w:tcPr>
            <w:tcW w:w="160" w:type="dxa"/>
            <w:vAlign w:val="bottom"/>
          </w:tcPr>
          <w:p>
            <w:pPr>
              <w:spacing w:after="0"/>
              <w:rPr>
                <w:sz w:val="24"/>
                <w:szCs w:val="24"/>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682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1,228</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6,954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5,911</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6,883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6,790</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24,196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23,005</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1,973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29,019</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6,809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10,014</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1,649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785</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27,922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512</w:t>
            </w:r>
          </w:p>
        </w:tc>
      </w:tr>
      <w:tr>
        <w:trPr>
          <w:trHeight w:val="250"/>
        </w:trPr>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2,358</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2,416</w:t>
            </w:r>
          </w:p>
        </w:tc>
      </w:tr>
      <w:tr>
        <w:trPr>
          <w:trHeight w:val="221"/>
        </w:trPr>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79,426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79,680</w:t>
            </w:r>
          </w:p>
        </w:tc>
      </w:tr>
      <w:tr>
        <w:trPr>
          <w:trHeight w:val="209"/>
        </w:trPr>
        <w:tc>
          <w:tcPr>
            <w:tcW w:w="16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149,422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144,603</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92"/>
        </w:trPr>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25,166</w:t>
            </w:r>
          </w:p>
        </w:tc>
        <w:tc>
          <w:tcPr>
            <w:tcW w:w="100" w:type="dxa"/>
            <w:vAlign w:val="bottom"/>
          </w:tcPr>
          <w:p>
            <w:pPr>
              <w:spacing w:after="0"/>
              <w:rPr>
                <w:sz w:val="24"/>
                <w:szCs w:val="24"/>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24,551</w:t>
            </w:r>
          </w:p>
        </w:tc>
      </w:tr>
      <w:tr>
        <w:trPr>
          <w:trHeight w:val="482"/>
        </w:trPr>
        <w:tc>
          <w:tcPr>
            <w:tcW w:w="160" w:type="dxa"/>
            <w:vAlign w:val="bottom"/>
          </w:tcPr>
          <w:p>
            <w:pPr>
              <w:spacing w:after="0"/>
              <w:rPr>
                <w:sz w:val="24"/>
                <w:szCs w:val="24"/>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1,748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1,682</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3,770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4,118</w:t>
            </w:r>
          </w:p>
        </w:tc>
      </w:tr>
      <w:tr>
        <w:trPr>
          <w:trHeight w:val="250"/>
        </w:trPr>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23,308</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22,875</w:t>
            </w:r>
          </w:p>
        </w:tc>
      </w:tr>
      <w:tr>
        <w:trPr>
          <w:trHeight w:val="213"/>
        </w:trPr>
        <w:tc>
          <w:tcPr>
            <w:tcW w:w="160" w:type="dxa"/>
            <w:vAlign w:val="bottom"/>
          </w:tcPr>
          <w:p>
            <w:pPr>
              <w:spacing w:after="0"/>
              <w:rPr>
                <w:sz w:val="18"/>
                <w:szCs w:val="18"/>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53,992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53,226</w:t>
            </w:r>
          </w:p>
        </w:tc>
      </w:tr>
      <w:tr>
        <w:trPr>
          <w:trHeight w:val="724"/>
        </w:trPr>
        <w:tc>
          <w:tcPr>
            <w:tcW w:w="160" w:type="dxa"/>
            <w:vAlign w:val="bottom"/>
          </w:tcPr>
          <w:p>
            <w:pPr>
              <w:spacing w:after="0"/>
              <w:rPr>
                <w:sz w:val="24"/>
                <w:szCs w:val="24"/>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3,424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3,613</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7,108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4,420</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7,309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6,836</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27,420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25,075</w:t>
            </w:r>
          </w:p>
        </w:tc>
      </w:tr>
      <w:tr>
        <w:trPr>
          <w:trHeight w:val="250"/>
        </w:trPr>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13,169</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12,442</w:t>
            </w:r>
          </w:p>
        </w:tc>
      </w:tr>
      <w:tr>
        <w:trPr>
          <w:trHeight w:val="221"/>
        </w:trPr>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58,430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52,386</w:t>
            </w:r>
          </w:p>
        </w:tc>
      </w:tr>
      <w:tr>
        <w:trPr>
          <w:trHeight w:val="213"/>
        </w:trPr>
        <w:tc>
          <w:tcPr>
            <w:tcW w:w="160" w:type="dxa"/>
            <w:vAlign w:val="bottom"/>
          </w:tcPr>
          <w:p>
            <w:pPr>
              <w:spacing w:after="0"/>
              <w:rPr>
                <w:sz w:val="18"/>
                <w:szCs w:val="18"/>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112,422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105,612</w:t>
            </w:r>
          </w:p>
        </w:tc>
      </w:tr>
      <w:tr>
        <w:trPr>
          <w:trHeight w:val="965"/>
        </w:trPr>
        <w:tc>
          <w:tcPr>
            <w:tcW w:w="160" w:type="dxa"/>
            <w:vAlign w:val="bottom"/>
          </w:tcPr>
          <w:p>
            <w:pPr>
              <w:spacing w:after="0"/>
              <w:rPr>
                <w:sz w:val="24"/>
                <w:szCs w:val="24"/>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5,536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5,536</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4,855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4,855</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16</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23,834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26,391</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10,057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7,183</w:t>
            </w:r>
          </w:p>
        </w:tc>
      </w:tr>
      <w:tr>
        <w:trPr>
          <w:trHeight w:val="250"/>
        </w:trPr>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(8,052)</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(5,861)</w:t>
            </w:r>
          </w:p>
        </w:tc>
      </w:tr>
      <w:tr>
        <w:trPr>
          <w:trHeight w:val="213"/>
        </w:trPr>
        <w:tc>
          <w:tcPr>
            <w:tcW w:w="160" w:type="dxa"/>
            <w:vAlign w:val="bottom"/>
          </w:tcPr>
          <w:p>
            <w:pPr>
              <w:spacing w:after="0"/>
              <w:rPr>
                <w:sz w:val="18"/>
                <w:szCs w:val="18"/>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36,244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38,120</w:t>
            </w:r>
          </w:p>
        </w:tc>
      </w:tr>
      <w:tr>
        <w:trPr>
          <w:trHeight w:val="250"/>
        </w:trPr>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756</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871</w:t>
            </w:r>
          </w:p>
        </w:tc>
      </w:tr>
      <w:tr>
        <w:trPr>
          <w:trHeight w:val="221"/>
        </w:trPr>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37,000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38,991</w:t>
            </w:r>
          </w:p>
        </w:tc>
      </w:tr>
      <w:tr>
        <w:trPr>
          <w:trHeight w:val="209"/>
        </w:trPr>
        <w:tc>
          <w:tcPr>
            <w:tcW w:w="16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149,422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144,603</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80" w:space="720"/>
            <w:col w:w="2640"/>
          </w:cols>
          <w:pgMar w:left="240" w:top="726" w:right="219" w:bottom="799"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40"/>
          </w:cols>
          <w:pgMar w:left="240" w:top="726" w:right="219" w:bottom="799" w:gutter="0" w:footer="0" w:header="0"/>
          <w:type w:val="continuous"/>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2019-12-07T20:25:46Z</dcterms:created>
  <dcterms:modified xsi:type="dcterms:W3CDTF">2019-12-07T20:25:46Z</dcterms:modified>
</cp:coreProperties>
</file>