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798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ind w:left="7980"/>
        <w:spacing w:after="0"/>
        <w:rPr>
          <w:sz w:val="20"/>
          <w:szCs w:val="20"/>
          <w:color w:val="auto"/>
        </w:rPr>
      </w:pPr>
      <w:r>
        <w:rPr>
          <w:rFonts w:ascii="Arial" w:cs="Arial" w:eastAsia="Arial" w:hAnsi="Arial"/>
          <w:sz w:val="18"/>
          <w:szCs w:val="18"/>
          <w:b w:val="1"/>
          <w:bCs w:val="1"/>
          <w:color w:val="auto"/>
        </w:rPr>
        <w:t>Registration No. 333-236276</w:t>
      </w:r>
    </w:p>
    <w:p>
      <w:pPr>
        <w:spacing w:after="0" w:line="122" w:lineRule="exact"/>
        <w:rPr>
          <w:sz w:val="24"/>
          <w:szCs w:val="24"/>
          <w:color w:val="auto"/>
        </w:rPr>
      </w:pPr>
    </w:p>
    <w:p>
      <w:pPr>
        <w:ind w:right="28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or jurisdiction where the offer or sale is not permitted.</w:t>
      </w:r>
    </w:p>
    <w:p>
      <w:pPr>
        <w:spacing w:after="0" w:line="112"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DE1A1E"/>
        </w:rPr>
        <w:t>SUBJECT TO COMPLETION, DATED MAY 7, 2020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5, 2020)</w:t>
      </w:r>
    </w:p>
    <w:p>
      <w:pPr>
        <w:spacing w:after="0" w:line="37" w:lineRule="exact"/>
        <w:rPr>
          <w:sz w:val="24"/>
          <w:szCs w:val="24"/>
          <w:color w:val="auto"/>
        </w:rPr>
      </w:pPr>
    </w:p>
    <w:p>
      <w:pPr>
        <w:ind w:left="500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158115</wp:posOffset>
            </wp:positionV>
            <wp:extent cx="305181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51810" cy="1631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2840"/>
        <w:spacing w:after="0"/>
        <w:rPr>
          <w:sz w:val="20"/>
          <w:szCs w:val="20"/>
          <w:color w:val="auto"/>
        </w:rPr>
      </w:pPr>
      <w:r>
        <w:rPr>
          <w:rFonts w:ascii="Arial" w:cs="Arial" w:eastAsia="Arial" w:hAnsi="Arial"/>
          <w:sz w:val="32"/>
          <w:szCs w:val="32"/>
          <w:b w:val="1"/>
          <w:bCs w:val="1"/>
          <w:color w:val="auto"/>
        </w:rPr>
        <w:t>$</w:t>
      </w:r>
    </w:p>
    <w:p>
      <w:pPr>
        <w:spacing w:after="0" w:line="50" w:lineRule="exact"/>
        <w:rPr>
          <w:sz w:val="24"/>
          <w:szCs w:val="24"/>
          <w:color w:val="auto"/>
        </w:rPr>
      </w:pPr>
    </w:p>
    <w:p>
      <w:pPr>
        <w:ind w:left="2840"/>
        <w:spacing w:after="0"/>
        <w:rPr>
          <w:sz w:val="20"/>
          <w:szCs w:val="20"/>
          <w:color w:val="auto"/>
        </w:rPr>
      </w:pPr>
      <w:r>
        <w:rPr>
          <w:rFonts w:ascii="Arial" w:cs="Arial" w:eastAsia="Arial" w:hAnsi="Arial"/>
          <w:sz w:val="32"/>
          <w:szCs w:val="32"/>
          <w:b w:val="1"/>
          <w:bCs w:val="1"/>
          <w:color w:val="auto"/>
        </w:rPr>
        <w:t>$</w:t>
      </w:r>
    </w:p>
    <w:p>
      <w:pPr>
        <w:spacing w:after="0" w:line="10" w:lineRule="exact"/>
        <w:rPr>
          <w:sz w:val="24"/>
          <w:szCs w:val="24"/>
          <w:color w:val="auto"/>
        </w:rPr>
      </w:pPr>
    </w:p>
    <w:p>
      <w:pPr>
        <w:ind w:left="28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 Senior Notes due 20</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 Senior Notes due 20</w:t>
      </w:r>
    </w:p>
    <w:p>
      <w:pPr>
        <w:spacing w:after="0" w:line="1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wp:posOffset>
            </wp:positionH>
            <wp:positionV relativeFrom="paragraph">
              <wp:posOffset>115570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840" w:space="720"/>
            <w:col w:w="6680"/>
          </w:cols>
          <w:pgMar w:left="320" w:top="230" w:right="339" w:bottom="1440" w:gutter="0" w:footer="0" w:header="0"/>
          <w:type w:val="continuous"/>
        </w:sectPr>
      </w:pPr>
    </w:p>
    <w:p>
      <w:pPr>
        <w:spacing w:after="0" w:line="75" w:lineRule="exact"/>
        <w:rPr>
          <w:sz w:val="24"/>
          <w:szCs w:val="24"/>
          <w:color w:val="auto"/>
        </w:rPr>
      </w:pPr>
    </w:p>
    <w:p>
      <w:pPr>
        <w:ind w:left="460"/>
        <w:spacing w:after="0"/>
        <w:tabs>
          <w:tab w:leader="none" w:pos="4040" w:val="left"/>
          <w:tab w:leader="none" w:pos="6780" w:val="left"/>
          <w:tab w:leader="none" w:pos="8840" w:val="left"/>
          <w:tab w:leader="none" w:pos="9680" w:val="left"/>
        </w:tabs>
        <w:rPr>
          <w:sz w:val="20"/>
          <w:szCs w:val="20"/>
          <w:color w:val="auto"/>
        </w:rPr>
      </w:pPr>
      <w:r>
        <w:rPr>
          <w:rFonts w:ascii="Arial" w:cs="Arial" w:eastAsia="Arial" w:hAnsi="Arial"/>
          <w:sz w:val="18"/>
          <w:szCs w:val="18"/>
          <w:color w:val="auto"/>
        </w:rPr>
        <w:t>General Motors Company is offering $</w:t>
      </w:r>
      <w:r>
        <w:rPr>
          <w:sz w:val="20"/>
          <w:szCs w:val="20"/>
          <w:color w:val="auto"/>
        </w:rPr>
        <w:tab/>
      </w:r>
      <w:r>
        <w:rPr>
          <w:rFonts w:ascii="Arial" w:cs="Arial" w:eastAsia="Arial" w:hAnsi="Arial"/>
          <w:sz w:val="18"/>
          <w:szCs w:val="18"/>
          <w:color w:val="auto"/>
        </w:rPr>
        <w:t>in aggregate principal amount of</w:t>
        <w:tab/>
        <w:t>% Senior Notes due 20</w:t>
        <w:tab/>
        <w:t>(the “20</w:t>
      </w:r>
      <w:r>
        <w:rPr>
          <w:sz w:val="20"/>
          <w:szCs w:val="20"/>
          <w:color w:val="auto"/>
        </w:rPr>
        <w:tab/>
      </w:r>
      <w:r>
        <w:rPr>
          <w:rFonts w:ascii="Arial" w:cs="Arial" w:eastAsia="Arial" w:hAnsi="Arial"/>
          <w:sz w:val="16"/>
          <w:szCs w:val="16"/>
          <w:color w:val="auto"/>
        </w:rPr>
        <w:t>Notes”), $</w:t>
      </w:r>
    </w:p>
    <w:p>
      <w:pPr>
        <w:spacing w:after="0"/>
        <w:tabs>
          <w:tab w:leader="none" w:pos="2740" w:val="left"/>
          <w:tab w:leader="none" w:pos="4780" w:val="left"/>
          <w:tab w:leader="none" w:pos="5640" w:val="left"/>
          <w:tab w:leader="none" w:pos="7480" w:val="left"/>
          <w:tab w:leader="none" w:pos="10240" w:val="left"/>
        </w:tabs>
        <w:rPr>
          <w:sz w:val="20"/>
          <w:szCs w:val="20"/>
          <w:color w:val="auto"/>
        </w:rPr>
      </w:pPr>
      <w:r>
        <w:rPr>
          <w:rFonts w:ascii="Arial" w:cs="Arial" w:eastAsia="Arial" w:hAnsi="Arial"/>
          <w:sz w:val="18"/>
          <w:szCs w:val="18"/>
          <w:color w:val="auto"/>
        </w:rPr>
        <w:t>in aggregate principal amount of</w:t>
        <w:tab/>
        <w:t>% Senior Notes due 20</w:t>
        <w:tab/>
        <w:t>(the “20</w:t>
        <w:tab/>
        <w:t>Notes”) and $</w:t>
      </w:r>
      <w:r>
        <w:rPr>
          <w:sz w:val="20"/>
          <w:szCs w:val="20"/>
          <w:color w:val="auto"/>
        </w:rPr>
        <w:tab/>
      </w:r>
      <w:r>
        <w:rPr>
          <w:rFonts w:ascii="Arial" w:cs="Arial" w:eastAsia="Arial" w:hAnsi="Arial"/>
          <w:sz w:val="18"/>
          <w:szCs w:val="18"/>
          <w:color w:val="auto"/>
        </w:rPr>
        <w:t>in aggregate principal amount of</w:t>
      </w:r>
      <w:r>
        <w:rPr>
          <w:sz w:val="20"/>
          <w:szCs w:val="20"/>
          <w:color w:val="auto"/>
        </w:rPr>
        <w:tab/>
      </w:r>
      <w:r>
        <w:rPr>
          <w:rFonts w:ascii="Arial" w:cs="Arial" w:eastAsia="Arial" w:hAnsi="Arial"/>
          <w:sz w:val="16"/>
          <w:szCs w:val="16"/>
          <w:color w:val="auto"/>
        </w:rPr>
        <w:t>% Senior</w:t>
      </w:r>
    </w:p>
    <w:p>
      <w:pPr>
        <w:spacing w:after="0" w:line="1" w:lineRule="exact"/>
        <w:rPr>
          <w:sz w:val="24"/>
          <w:szCs w:val="24"/>
          <w:color w:val="auto"/>
        </w:rPr>
      </w:pPr>
    </w:p>
    <w:p>
      <w:pPr>
        <w:spacing w:after="0"/>
        <w:tabs>
          <w:tab w:leader="none" w:pos="1280" w:val="left"/>
          <w:tab w:leader="none" w:pos="2120" w:val="left"/>
          <w:tab w:leader="none" w:pos="5080" w:val="left"/>
          <w:tab w:leader="none" w:pos="6660" w:val="left"/>
        </w:tabs>
        <w:rPr>
          <w:sz w:val="20"/>
          <w:szCs w:val="20"/>
          <w:color w:val="auto"/>
        </w:rPr>
      </w:pPr>
      <w:r>
        <w:rPr>
          <w:rFonts w:ascii="Arial" w:cs="Arial" w:eastAsia="Arial" w:hAnsi="Arial"/>
          <w:sz w:val="18"/>
          <w:szCs w:val="18"/>
          <w:color w:val="auto"/>
        </w:rPr>
        <w:t>Notes due 20</w:t>
        <w:tab/>
        <w:t>(the “20</w:t>
        <w:tab/>
        <w:t>Notes” and, collectively with the 20</w:t>
        <w:tab/>
        <w:t>Notes and the 20</w:t>
      </w:r>
      <w:r>
        <w:rPr>
          <w:sz w:val="20"/>
          <w:szCs w:val="20"/>
          <w:color w:val="auto"/>
        </w:rPr>
        <w:tab/>
      </w:r>
      <w:r>
        <w:rPr>
          <w:rFonts w:ascii="Arial" w:cs="Arial" w:eastAsia="Arial" w:hAnsi="Arial"/>
          <w:sz w:val="16"/>
          <w:szCs w:val="16"/>
          <w:color w:val="auto"/>
        </w:rPr>
        <w:t>Notes, the “Notes”).</w:t>
      </w:r>
    </w:p>
    <w:p>
      <w:pPr>
        <w:spacing w:after="0" w:line="153" w:lineRule="exact"/>
        <w:rPr>
          <w:sz w:val="24"/>
          <w:szCs w:val="24"/>
          <w:color w:val="auto"/>
        </w:rPr>
      </w:pPr>
    </w:p>
    <w:p>
      <w:pPr>
        <w:ind w:left="460"/>
        <w:spacing w:after="0"/>
        <w:tabs>
          <w:tab w:leader="none" w:pos="1220" w:val="left"/>
          <w:tab w:leader="none" w:pos="3600" w:val="left"/>
          <w:tab w:leader="none" w:pos="4080" w:val="left"/>
          <w:tab w:leader="none" w:pos="4920" w:val="left"/>
          <w:tab w:leader="none" w:pos="7100" w:val="left"/>
          <w:tab w:leader="none" w:pos="7620" w:val="left"/>
          <w:tab w:leader="none" w:pos="8700" w:val="left"/>
          <w:tab w:leader="none" w:pos="1108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 the 20</w:t>
        <w:tab/>
        <w:t>Notes will mature on</w:t>
      </w:r>
      <w:r>
        <w:rPr>
          <w:sz w:val="20"/>
          <w:szCs w:val="20"/>
          <w:color w:val="auto"/>
        </w:rPr>
        <w:tab/>
      </w:r>
      <w:r>
        <w:rPr>
          <w:rFonts w:ascii="Arial" w:cs="Arial" w:eastAsia="Arial" w:hAnsi="Arial"/>
          <w:sz w:val="18"/>
          <w:szCs w:val="18"/>
          <w:color w:val="auto"/>
        </w:rPr>
        <w:t>, 20</w:t>
        <w:tab/>
        <w:t>and the 20</w:t>
        <w:tab/>
        <w:t>Notes will mature on</w:t>
      </w:r>
      <w:r>
        <w:rPr>
          <w:sz w:val="20"/>
          <w:szCs w:val="20"/>
          <w:color w:val="auto"/>
        </w:rPr>
        <w:tab/>
      </w:r>
      <w:r>
        <w:rPr>
          <w:rFonts w:ascii="Arial" w:cs="Arial" w:eastAsia="Arial" w:hAnsi="Arial"/>
          <w:sz w:val="14"/>
          <w:szCs w:val="14"/>
          <w:color w:val="auto"/>
        </w:rPr>
        <w:t>,</w:t>
      </w:r>
    </w:p>
    <w:p>
      <w:pPr>
        <w:spacing w:after="0"/>
        <w:tabs>
          <w:tab w:leader="none" w:pos="380" w:val="left"/>
          <w:tab w:leader="none" w:pos="4200" w:val="left"/>
          <w:tab w:leader="none" w:pos="9940" w:val="left"/>
        </w:tabs>
        <w:rPr>
          <w:sz w:val="20"/>
          <w:szCs w:val="20"/>
          <w:color w:val="auto"/>
        </w:rPr>
      </w:pPr>
      <w:r>
        <w:rPr>
          <w:rFonts w:ascii="Arial" w:cs="Arial" w:eastAsia="Arial" w:hAnsi="Arial"/>
          <w:sz w:val="18"/>
          <w:szCs w:val="18"/>
          <w:color w:val="auto"/>
        </w:rPr>
        <w:t>20</w:t>
        <w:tab/>
        <w:t>. Interest on the Notes will accrue from</w:t>
      </w:r>
      <w:r>
        <w:rPr>
          <w:sz w:val="20"/>
          <w:szCs w:val="20"/>
          <w:color w:val="auto"/>
        </w:rPr>
        <w:tab/>
      </w:r>
      <w:r>
        <w:rPr>
          <w:rFonts w:ascii="Arial" w:cs="Arial" w:eastAsia="Arial" w:hAnsi="Arial"/>
          <w:sz w:val="18"/>
          <w:szCs w:val="18"/>
          <w:color w:val="auto"/>
        </w:rPr>
        <w:t>, 2020. We will pay interest on the Notes semi-annually on and</w:t>
      </w:r>
      <w:r>
        <w:rPr>
          <w:sz w:val="20"/>
          <w:szCs w:val="20"/>
          <w:color w:val="auto"/>
        </w:rPr>
        <w:tab/>
      </w:r>
      <w:r>
        <w:rPr>
          <w:rFonts w:ascii="Arial" w:cs="Arial" w:eastAsia="Arial" w:hAnsi="Arial"/>
          <w:sz w:val="16"/>
          <w:szCs w:val="16"/>
          <w:color w:val="auto"/>
        </w:rPr>
        <w:t>of each year,</w:t>
      </w:r>
    </w:p>
    <w:p>
      <w:pPr>
        <w:spacing w:after="0"/>
        <w:tabs>
          <w:tab w:leader="none" w:pos="1820" w:val="left"/>
        </w:tabs>
        <w:rPr>
          <w:sz w:val="20"/>
          <w:szCs w:val="20"/>
          <w:color w:val="auto"/>
        </w:rPr>
      </w:pPr>
      <w:r>
        <w:rPr>
          <w:rFonts w:ascii="Arial" w:cs="Arial" w:eastAsia="Arial" w:hAnsi="Arial"/>
          <w:sz w:val="18"/>
          <w:szCs w:val="18"/>
          <w:color w:val="auto"/>
        </w:rPr>
        <w:t>commencing on</w:t>
      </w:r>
      <w:r>
        <w:rPr>
          <w:sz w:val="20"/>
          <w:szCs w:val="20"/>
          <w:color w:val="auto"/>
        </w:rPr>
        <w:tab/>
      </w:r>
      <w:r>
        <w:rPr>
          <w:rFonts w:ascii="Arial" w:cs="Arial" w:eastAsia="Arial" w:hAnsi="Arial"/>
          <w:sz w:val="16"/>
          <w:szCs w:val="16"/>
          <w:color w:val="auto"/>
        </w:rPr>
        <w:t>, 2020. The Notes will be our senior unsecured obligations and will rank equally in right of payment with all of our existing</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and future senior unsecured indebtedness.</w:t>
      </w:r>
    </w:p>
    <w:p>
      <w:pPr>
        <w:spacing w:after="0" w:line="158" w:lineRule="exact"/>
        <w:rPr>
          <w:sz w:val="24"/>
          <w:szCs w:val="24"/>
          <w:color w:val="auto"/>
        </w:rPr>
      </w:pPr>
    </w:p>
    <w:p>
      <w:pPr>
        <w:ind w:right="80" w:firstLine="449"/>
        <w:spacing w:after="0" w:line="239" w:lineRule="auto"/>
        <w:rPr>
          <w:sz w:val="20"/>
          <w:szCs w:val="20"/>
          <w:color w:val="auto"/>
        </w:rPr>
      </w:pPr>
      <w:r>
        <w:rPr>
          <w:rFonts w:ascii="Arial" w:cs="Arial" w:eastAsia="Arial" w:hAnsi="Arial"/>
          <w:sz w:val="18"/>
          <w:szCs w:val="18"/>
          <w:color w:val="auto"/>
        </w:rPr>
        <w:t>We may, at our option, redeem some or all of the 20 Notes, the 20 Notes and the 20 Notes at any time and from time to time at the applicable redemption prices described under “Description of the Notes—Optional Redemption.”</w:t>
      </w:r>
    </w:p>
    <w:p>
      <w:pPr>
        <w:sectPr>
          <w:pgSz w:w="11900" w:h="16838" w:orient="portrait"/>
          <w:cols w:equalWidth="0" w:num="1">
            <w:col w:w="11240"/>
          </w:cols>
          <w:pgMar w:left="320" w:top="230" w:right="339" w:bottom="1440" w:gutter="0" w:footer="0" w:header="0"/>
          <w:type w:val="continuous"/>
        </w:sectPr>
      </w:pPr>
    </w:p>
    <w:p>
      <w:pPr>
        <w:spacing w:after="0" w:line="133" w:lineRule="exact"/>
        <w:rPr>
          <w:sz w:val="24"/>
          <w:szCs w:val="24"/>
          <w:color w:val="auto"/>
        </w:rPr>
      </w:pPr>
    </w:p>
    <w:p>
      <w:pPr>
        <w:ind w:right="860" w:firstLine="449"/>
        <w:spacing w:after="0" w:line="32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hyperlink w:anchor="page11">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53340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0" w:lineRule="exact"/>
        <w:rPr>
          <w:sz w:val="24"/>
          <w:szCs w:val="24"/>
          <w:color w:val="auto"/>
        </w:rPr>
      </w:pPr>
    </w:p>
    <w:p>
      <w:pPr>
        <w:ind w:right="40" w:firstLine="449"/>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91440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3"/>
                <w:szCs w:val="13"/>
                <w:b w:val="1"/>
                <w:bCs w:val="1"/>
                <w:color w:val="auto"/>
              </w:rPr>
              <w:t>Per</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ind w:left="60"/>
              <w:spacing w:after="0"/>
              <w:rPr>
                <w:sz w:val="20"/>
                <w:szCs w:val="20"/>
                <w:color w:val="auto"/>
              </w:rPr>
            </w:pPr>
            <w:r>
              <w:rPr>
                <w:rFonts w:ascii="Arial" w:cs="Arial" w:eastAsia="Arial" w:hAnsi="Arial"/>
                <w:sz w:val="13"/>
                <w:szCs w:val="13"/>
                <w:b w:val="1"/>
                <w:bCs w:val="1"/>
                <w:color w:val="auto"/>
              </w:rPr>
              <w:t>Per</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920" w:type="dxa"/>
            <w:vAlign w:val="bottom"/>
            <w:gridSpan w:val="2"/>
          </w:tcPr>
          <w:p>
            <w:pPr>
              <w:ind w:left="2580"/>
              <w:spacing w:after="0"/>
              <w:rPr>
                <w:sz w:val="20"/>
                <w:szCs w:val="20"/>
                <w:color w:val="auto"/>
              </w:rPr>
            </w:pPr>
            <w:r>
              <w:rPr>
                <w:rFonts w:ascii="Arial" w:cs="Arial" w:eastAsia="Arial" w:hAnsi="Arial"/>
                <w:sz w:val="13"/>
                <w:szCs w:val="13"/>
                <w:b w:val="1"/>
                <w:bCs w:val="1"/>
                <w:color w:val="auto"/>
              </w:rPr>
              <w:t>20</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rPr>
              <w:t>20</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rPr>
              <w:t>20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3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Note</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Note</w:t>
            </w:r>
          </w:p>
        </w:tc>
        <w:tc>
          <w:tcPr>
            <w:tcW w:w="4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Note</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196"/>
        </w:trPr>
        <w:tc>
          <w:tcPr>
            <w:tcW w:w="3600" w:type="dxa"/>
            <w:vAlign w:val="bottom"/>
            <w:gridSpan w:val="3"/>
            <w:shd w:val="clear" w:color="auto" w:fill="CCEEFF"/>
          </w:tcPr>
          <w:p>
            <w:pPr>
              <w:spacing w:after="0" w:line="194" w:lineRule="exact"/>
              <w:rPr>
                <w:sz w:val="20"/>
                <w:szCs w:val="20"/>
                <w:color w:val="auto"/>
              </w:rPr>
            </w:pPr>
            <w:r>
              <w:rPr>
                <w:rFonts w:ascii="Arial" w:cs="Arial" w:eastAsia="Arial" w:hAnsi="Arial"/>
                <w:sz w:val="18"/>
                <w:szCs w:val="18"/>
                <w:color w:val="auto"/>
              </w:rPr>
              <w:t>Price to Public(1)</w:t>
            </w:r>
          </w:p>
        </w:tc>
        <w:tc>
          <w:tcPr>
            <w:tcW w:w="2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ind w:right="557"/>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ind w:right="557"/>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73"/>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2"/>
        </w:trPr>
        <w:tc>
          <w:tcPr>
            <w:tcW w:w="3600" w:type="dxa"/>
            <w:vAlign w:val="bottom"/>
            <w:gridSpan w:val="3"/>
          </w:tcPr>
          <w:p>
            <w:pPr>
              <w:spacing w:after="0" w:line="202" w:lineRule="exact"/>
              <w:rPr>
                <w:sz w:val="20"/>
                <w:szCs w:val="20"/>
                <w:color w:val="auto"/>
              </w:rPr>
            </w:pPr>
            <w:r>
              <w:rPr>
                <w:rFonts w:ascii="Arial" w:cs="Arial" w:eastAsia="Arial" w:hAnsi="Arial"/>
                <w:sz w:val="18"/>
                <w:szCs w:val="18"/>
                <w:color w:val="auto"/>
              </w:rPr>
              <w:t>Underwriting Discounts</w:t>
            </w:r>
          </w:p>
        </w:tc>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73"/>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3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us(1)</w:t>
            </w:r>
          </w:p>
        </w:tc>
        <w:tc>
          <w:tcPr>
            <w:tcW w:w="2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ind w:right="557"/>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73"/>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9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3"/>
                <w:szCs w:val="13"/>
                <w:color w:val="auto"/>
              </w:rPr>
              <w:t>(1)</w:t>
            </w:r>
          </w:p>
        </w:tc>
        <w:tc>
          <w:tcPr>
            <w:tcW w:w="3280" w:type="dxa"/>
            <w:vAlign w:val="bottom"/>
            <w:gridSpan w:val="2"/>
          </w:tcPr>
          <w:p>
            <w:pPr>
              <w:ind w:left="140"/>
              <w:spacing w:after="0"/>
              <w:rPr>
                <w:sz w:val="20"/>
                <w:szCs w:val="20"/>
                <w:color w:val="auto"/>
              </w:rPr>
            </w:pPr>
            <w:r>
              <w:rPr>
                <w:rFonts w:ascii="Arial" w:cs="Arial" w:eastAsia="Arial" w:hAnsi="Arial"/>
                <w:sz w:val="13"/>
                <w:szCs w:val="13"/>
                <w:color w:val="auto"/>
              </w:rPr>
              <w:t>Plus accrued interest, if any, from and including</w:t>
            </w:r>
          </w:p>
        </w:tc>
        <w:tc>
          <w:tcPr>
            <w:tcW w:w="2920" w:type="dxa"/>
            <w:vAlign w:val="bottom"/>
            <w:gridSpan w:val="2"/>
          </w:tcPr>
          <w:p>
            <w:pPr>
              <w:ind w:left="320"/>
              <w:spacing w:after="0"/>
              <w:rPr>
                <w:sz w:val="20"/>
                <w:szCs w:val="20"/>
                <w:color w:val="auto"/>
              </w:rPr>
            </w:pPr>
            <w:r>
              <w:rPr>
                <w:rFonts w:ascii="Arial" w:cs="Arial" w:eastAsia="Arial" w:hAnsi="Arial"/>
                <w:sz w:val="13"/>
                <w:szCs w:val="13"/>
                <w:color w:val="auto"/>
              </w:rPr>
              <w:t>, 2020 to but excluding the delivery date.</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or automated quotation system. Currently there are no markets for the Notes.</w:t>
      </w:r>
    </w:p>
    <w:p>
      <w:pPr>
        <w:spacing w:after="0" w:line="158" w:lineRule="exact"/>
        <w:rPr>
          <w:sz w:val="24"/>
          <w:szCs w:val="24"/>
          <w:color w:val="auto"/>
        </w:rPr>
      </w:pPr>
    </w:p>
    <w:p>
      <w:pPr>
        <w:ind w:right="140" w:firstLine="449"/>
        <w:spacing w:after="0" w:line="239" w:lineRule="auto"/>
        <w:rPr>
          <w:sz w:val="20"/>
          <w:szCs w:val="20"/>
          <w:color w:val="auto"/>
        </w:rPr>
      </w:pPr>
      <w:r>
        <w:rPr>
          <w:rFonts w:ascii="Arial" w:cs="Arial" w:eastAsia="Arial" w:hAnsi="Arial"/>
          <w:sz w:val="18"/>
          <w:szCs w:val="18"/>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on or about May , 2020.</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40"/>
          </w:cols>
          <w:pgMar w:left="320" w:top="230" w:right="339" w:bottom="1440" w:gutter="0" w:footer="0" w:header="0"/>
          <w:type w:val="continuous"/>
        </w:sectPr>
      </w:pPr>
    </w:p>
    <w:p>
      <w:pPr>
        <w:spacing w:after="0" w:line="57" w:lineRule="exact"/>
        <w:rPr>
          <w:sz w:val="24"/>
          <w:szCs w:val="24"/>
          <w:color w:val="auto"/>
        </w:rPr>
      </w:pPr>
    </w:p>
    <w:p>
      <w:pPr>
        <w:ind w:right="1280"/>
        <w:spacing w:after="0" w:line="286" w:lineRule="auto"/>
        <w:rPr>
          <w:sz w:val="20"/>
          <w:szCs w:val="20"/>
          <w:color w:val="auto"/>
        </w:rPr>
      </w:pPr>
      <w:r>
        <w:rPr>
          <w:rFonts w:ascii="Arial" w:cs="Arial" w:eastAsia="Arial" w:hAnsi="Arial"/>
          <w:sz w:val="24"/>
          <w:szCs w:val="24"/>
          <w:b w:val="1"/>
          <w:bCs w:val="1"/>
          <w:color w:val="auto"/>
        </w:rPr>
        <w:t>Deutsche Bank Securities Goldman Sachs &amp; Co. LLC</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tabs>
          <w:tab w:leader="none" w:pos="2140" w:val="left"/>
        </w:tabs>
        <w:rPr>
          <w:sz w:val="20"/>
          <w:szCs w:val="20"/>
          <w:color w:val="auto"/>
        </w:rPr>
      </w:pPr>
      <w:r>
        <w:rPr>
          <w:rFonts w:ascii="Arial" w:cs="Arial" w:eastAsia="Arial" w:hAnsi="Arial"/>
          <w:sz w:val="24"/>
          <w:szCs w:val="24"/>
          <w:b w:val="1"/>
          <w:bCs w:val="1"/>
          <w:color w:val="auto"/>
        </w:rPr>
        <w:t>Barclays</w:t>
      </w:r>
      <w:r>
        <w:rPr>
          <w:sz w:val="20"/>
          <w:szCs w:val="20"/>
          <w:color w:val="auto"/>
        </w:rPr>
        <w:tab/>
      </w:r>
      <w:r>
        <w:rPr>
          <w:rFonts w:ascii="Arial" w:cs="Arial" w:eastAsia="Arial" w:hAnsi="Arial"/>
          <w:sz w:val="24"/>
          <w:szCs w:val="24"/>
          <w:b w:val="1"/>
          <w:bCs w:val="1"/>
          <w:color w:val="auto"/>
        </w:rPr>
        <w:t>BofA Securities</w:t>
      </w:r>
    </w:p>
    <w:p>
      <w:pPr>
        <w:spacing w:after="0" w:line="38" w:lineRule="exact"/>
        <w:rPr>
          <w:sz w:val="24"/>
          <w:szCs w:val="24"/>
          <w:color w:val="auto"/>
        </w:rPr>
      </w:pPr>
    </w:p>
    <w:p>
      <w:pPr>
        <w:ind w:left="880"/>
        <w:spacing w:after="0"/>
        <w:rPr>
          <w:sz w:val="20"/>
          <w:szCs w:val="20"/>
          <w:color w:val="auto"/>
        </w:rPr>
      </w:pPr>
      <w:r>
        <w:rPr>
          <w:rFonts w:ascii="Arial" w:cs="Arial" w:eastAsia="Arial" w:hAnsi="Arial"/>
          <w:sz w:val="24"/>
          <w:szCs w:val="24"/>
          <w:b w:val="1"/>
          <w:bCs w:val="1"/>
          <w:color w:val="auto"/>
        </w:rPr>
        <w:t>J.P. Morgan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right"/>
        <w:spacing w:after="0" w:line="286" w:lineRule="auto"/>
        <w:rPr>
          <w:sz w:val="20"/>
          <w:szCs w:val="20"/>
          <w:color w:val="auto"/>
        </w:rPr>
      </w:pPr>
      <w:r>
        <w:rPr>
          <w:rFonts w:ascii="Arial" w:cs="Arial" w:eastAsia="Arial" w:hAnsi="Arial"/>
          <w:sz w:val="24"/>
          <w:szCs w:val="24"/>
          <w:b w:val="1"/>
          <w:bCs w:val="1"/>
          <w:color w:val="auto"/>
        </w:rPr>
        <w:t>Citigroup Morgan Stanley</w:t>
      </w:r>
    </w:p>
    <w:p>
      <w:pPr>
        <w:spacing w:after="0" w:line="108" w:lineRule="exact"/>
        <w:rPr>
          <w:sz w:val="24"/>
          <w:szCs w:val="24"/>
          <w:color w:val="auto"/>
        </w:rPr>
      </w:pPr>
    </w:p>
    <w:p>
      <w:pPr>
        <w:sectPr>
          <w:pgSz w:w="11900" w:h="16838" w:orient="portrait"/>
          <w:cols w:equalWidth="0" w:num="3">
            <w:col w:w="4360" w:space="720"/>
            <w:col w:w="3960" w:space="400"/>
            <w:col w:w="1800"/>
          </w:cols>
          <w:pgMar w:left="320" w:top="230" w:right="339" w:bottom="1440" w:gutter="0" w:footer="0" w:header="0"/>
          <w:type w:val="continuous"/>
        </w:sectPr>
      </w:pPr>
    </w:p>
    <w:p>
      <w:pPr>
        <w:jc w:val="center"/>
        <w:spacing w:after="0"/>
        <w:tabs>
          <w:tab w:leader="none" w:pos="240" w:val="left"/>
        </w:tabs>
        <w:rPr>
          <w:sz w:val="20"/>
          <w:szCs w:val="20"/>
          <w:color w:val="auto"/>
        </w:rPr>
      </w:pPr>
      <w:r>
        <w:rPr>
          <w:rFonts w:ascii="Arial" w:cs="Arial" w:eastAsia="Arial" w:hAnsi="Arial"/>
          <w:sz w:val="18"/>
          <w:szCs w:val="18"/>
          <w:color w:val="auto"/>
        </w:rPr>
        <w:t>The date of this prospectus supplement is May</w:t>
      </w:r>
      <w:r>
        <w:rPr>
          <w:sz w:val="20"/>
          <w:szCs w:val="20"/>
          <w:color w:val="auto"/>
        </w:rPr>
        <w:tab/>
      </w:r>
      <w:r>
        <w:rPr>
          <w:rFonts w:ascii="Arial" w:cs="Arial" w:eastAsia="Arial" w:hAnsi="Arial"/>
          <w:sz w:val="16"/>
          <w:szCs w:val="16"/>
          <w:color w:val="auto"/>
        </w:rPr>
        <w:t>, 2020.</w:t>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2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365"/>
        </w:trPr>
        <w:tc>
          <w:tcPr>
            <w:tcW w:w="8720" w:type="dxa"/>
            <w:vAlign w:val="bottom"/>
          </w:tcPr>
          <w:p>
            <w:pPr>
              <w:ind w:left="4620"/>
              <w:spacing w:after="0"/>
              <w:rPr>
                <w:sz w:val="20"/>
                <w:szCs w:val="20"/>
                <w:color w:val="auto"/>
              </w:rPr>
            </w:pPr>
            <w:r>
              <w:rPr>
                <w:rFonts w:ascii="Arial" w:cs="Arial" w:eastAsia="Arial" w:hAnsi="Arial"/>
                <w:sz w:val="18"/>
                <w:szCs w:val="18"/>
                <w:b w:val="1"/>
                <w:bCs w:val="1"/>
                <w:color w:val="auto"/>
              </w:rPr>
              <w:t>Prospectus Supplement</w:t>
            </w:r>
          </w:p>
        </w:tc>
        <w:tc>
          <w:tcPr>
            <w:tcW w:w="2460" w:type="dxa"/>
            <w:vAlign w:val="bottom"/>
          </w:tcPr>
          <w:p>
            <w:pPr>
              <w:spacing w:after="0"/>
              <w:rPr>
                <w:sz w:val="24"/>
                <w:szCs w:val="24"/>
                <w:color w:val="auto"/>
              </w:rPr>
            </w:pPr>
          </w:p>
        </w:tc>
      </w:tr>
      <w:tr>
        <w:trPr>
          <w:trHeight w:val="397"/>
        </w:trPr>
        <w:tc>
          <w:tcPr>
            <w:tcW w:w="87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S-iii</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S-6</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THE NOTES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 FEDERAL TAX CONSIDERATIONS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S-18</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UNDERWRITING</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MATTERS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S-28</w:t>
            </w:r>
          </w:p>
        </w:tc>
      </w:tr>
      <w:tr>
        <w:trPr>
          <w:trHeight w:val="211"/>
        </w:trPr>
        <w:tc>
          <w:tcPr>
            <w:tcW w:w="87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INCORPORATION OF CERTAIN DOCUMENTS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S-28</w:t>
            </w:r>
          </w:p>
        </w:tc>
      </w:tr>
      <w:tr>
        <w:trPr>
          <w:trHeight w:val="635"/>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r>
      <w:tr>
        <w:trPr>
          <w:trHeight w:val="418"/>
        </w:trPr>
        <w:tc>
          <w:tcPr>
            <w:tcW w:w="8720" w:type="dxa"/>
            <w:vAlign w:val="bottom"/>
          </w:tcPr>
          <w:p>
            <w:pPr>
              <w:ind w:left="5120"/>
              <w:spacing w:after="0"/>
              <w:rPr>
                <w:sz w:val="20"/>
                <w:szCs w:val="20"/>
                <w:color w:val="auto"/>
              </w:rPr>
            </w:pPr>
            <w:r>
              <w:rPr>
                <w:rFonts w:ascii="Arial" w:cs="Arial" w:eastAsia="Arial" w:hAnsi="Arial"/>
                <w:sz w:val="18"/>
                <w:szCs w:val="18"/>
                <w:b w:val="1"/>
                <w:bCs w:val="1"/>
                <w:color w:val="auto"/>
              </w:rPr>
              <w:t>Prospectus</w:t>
            </w:r>
          </w:p>
        </w:tc>
        <w:tc>
          <w:tcPr>
            <w:tcW w:w="2460" w:type="dxa"/>
            <w:vAlign w:val="bottom"/>
          </w:tcPr>
          <w:p>
            <w:pPr>
              <w:spacing w:after="0"/>
              <w:rPr>
                <w:sz w:val="24"/>
                <w:szCs w:val="24"/>
                <w:color w:val="auto"/>
              </w:rPr>
            </w:pPr>
          </w:p>
        </w:tc>
      </w:tr>
      <w:tr>
        <w:trPr>
          <w:trHeight w:val="410"/>
        </w:trPr>
        <w:tc>
          <w:tcPr>
            <w:tcW w:w="87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INCORPORATION OF CERTAIN DOCUMENTS BY REFERENCE</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GENERAL MOTORS COMPANY</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FORWARD-LOOKING STATEMENTS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OVERVIEW OF OUR CAPITAL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2"/>
        </w:trPr>
        <w:tc>
          <w:tcPr>
            <w:tcW w:w="8720" w:type="dxa"/>
            <w:vAlign w:val="bottom"/>
          </w:tcPr>
          <w:p>
            <w:pPr>
              <w:spacing w:after="0" w:line="202"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GENERAL DESCRIPTION OF SECURITIES THAT MAY BE OFFERED</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DEBT SECURITIES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PREFERRED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COMMON STOCK</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WARRANTS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PLAN OF DISTRIBUTION</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MATTERS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8720" w:type="dxa"/>
            <w:vAlign w:val="bottom"/>
          </w:tcPr>
          <w:p>
            <w:pPr>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EXPERTS</w:t>
              </w:r>
            </w:hyperlink>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11"/>
        </w:trPr>
        <w:tc>
          <w:tcPr>
            <w:tcW w:w="872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right="140" w:firstLine="449"/>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6" w:lineRule="exact"/>
        <w:rPr>
          <w:sz w:val="20"/>
          <w:szCs w:val="20"/>
          <w:color w:val="auto"/>
        </w:rPr>
      </w:pPr>
    </w:p>
    <w:p>
      <w:pPr>
        <w:ind w:right="40" w:firstLine="449"/>
        <w:spacing w:after="0" w:line="275" w:lineRule="auto"/>
        <w:rPr>
          <w:sz w:val="20"/>
          <w:szCs w:val="20"/>
          <w:color w:val="auto"/>
        </w:rPr>
      </w:pPr>
      <w:r>
        <w:rPr>
          <w:rFonts w:ascii="Arial" w:cs="Arial" w:eastAsia="Arial" w:hAnsi="Arial"/>
          <w:sz w:val="16"/>
          <w:szCs w:val="16"/>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29" w:lineRule="exact"/>
        <w:rPr>
          <w:sz w:val="20"/>
          <w:szCs w:val="20"/>
          <w:color w:val="auto"/>
        </w:rPr>
      </w:pPr>
    </w:p>
    <w:p>
      <w:pPr>
        <w:ind w:right="60" w:firstLine="449"/>
        <w:spacing w:after="0" w:line="235" w:lineRule="auto"/>
        <w:rPr>
          <w:sz w:val="20"/>
          <w:szCs w:val="20"/>
          <w:color w:val="auto"/>
        </w:rPr>
      </w:pPr>
      <w:r>
        <w:rPr>
          <w:rFonts w:ascii="Arial" w:cs="Arial" w:eastAsia="Arial" w:hAnsi="Arial"/>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60" w:lineRule="exact"/>
        <w:rPr>
          <w:sz w:val="20"/>
          <w:szCs w:val="20"/>
          <w:color w:val="auto"/>
        </w:rPr>
      </w:pPr>
    </w:p>
    <w:p>
      <w:pPr>
        <w:ind w:firstLine="449"/>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w:t>
      </w:r>
    </w:p>
    <w:p>
      <w:pPr>
        <w:spacing w:after="0" w:line="79" w:lineRule="exact"/>
        <w:rPr>
          <w:sz w:val="20"/>
          <w:szCs w:val="20"/>
          <w:color w:val="auto"/>
        </w:rPr>
      </w:pPr>
    </w:p>
    <w:p>
      <w:pPr>
        <w:ind w:left="880" w:right="600" w:hanging="427"/>
        <w:spacing w:after="0" w:line="239"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deliver new products, services and customer experiences in response to increased competition in the automotive industry;</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timely fund and introduce new and improved vehicle models that are able to attract a sufficient number of consumers;</w:t>
      </w:r>
    </w:p>
    <w:p>
      <w:pPr>
        <w:spacing w:after="0" w:line="99" w:lineRule="exact"/>
        <w:rPr>
          <w:rFonts w:ascii="Arial" w:cs="Arial" w:eastAsia="Arial" w:hAnsi="Arial"/>
          <w:sz w:val="16"/>
          <w:szCs w:val="16"/>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crossovers, SUVs and full-size pickup trucks;</w:t>
      </w:r>
    </w:p>
    <w:p>
      <w:pPr>
        <w:spacing w:after="0" w:line="76" w:lineRule="exact"/>
        <w:rPr>
          <w:rFonts w:ascii="Arial" w:cs="Arial" w:eastAsia="Arial" w:hAnsi="Arial"/>
          <w:sz w:val="18"/>
          <w:szCs w:val="18"/>
          <w:color w:val="auto"/>
        </w:rPr>
      </w:pPr>
    </w:p>
    <w:p>
      <w:pPr>
        <w:ind w:left="880" w:right="60" w:hanging="427"/>
        <w:spacing w:after="0" w:line="239"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and cost-effectively restructure our operations in the U.S. and various other countries and initiate additional cost reduction actions with minimal disruption;</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reduce the cost of manufacturing electric vehicles and drive increased consumer adoption;</w:t>
      </w:r>
    </w:p>
    <w:p>
      <w:pPr>
        <w:spacing w:after="0" w:line="76" w:lineRule="exact"/>
        <w:rPr>
          <w:rFonts w:ascii="Arial" w:cs="Arial" w:eastAsia="Arial" w:hAnsi="Arial"/>
          <w:sz w:val="18"/>
          <w:szCs w:val="18"/>
          <w:color w:val="auto"/>
        </w:rPr>
      </w:pPr>
    </w:p>
    <w:p>
      <w:pPr>
        <w:ind w:left="880" w:right="320" w:hanging="427"/>
        <w:spacing w:after="0" w:line="239"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unique technological, operational, regulatory and competitive risks related to the timing and commercialization of autonomous vehicles;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automobile market sales volume, which can be volatile;</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significant business in China, which is subject to unique operational, competitive, regulatory and economic risks;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joint ventures, which we cannot operate solely for our benefit and over which we may have limited control;</w:t>
      </w:r>
    </w:p>
    <w:p>
      <w:pPr>
        <w:spacing w:after="0" w:line="76" w:lineRule="exact"/>
        <w:rPr>
          <w:rFonts w:ascii="Arial" w:cs="Arial" w:eastAsia="Arial" w:hAnsi="Arial"/>
          <w:sz w:val="18"/>
          <w:szCs w:val="18"/>
          <w:color w:val="auto"/>
        </w:rPr>
      </w:pPr>
    </w:p>
    <w:p>
      <w:pPr>
        <w:ind w:left="880" w:right="140" w:hanging="427"/>
        <w:spacing w:after="0" w:line="236"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w:t>
      </w:r>
    </w:p>
    <w:p>
      <w:pPr>
        <w:spacing w:after="0" w:line="72" w:lineRule="exact"/>
        <w:rPr>
          <w:rFonts w:ascii="Arial" w:cs="Arial" w:eastAsia="Arial" w:hAnsi="Arial"/>
          <w:sz w:val="18"/>
          <w:szCs w:val="18"/>
          <w:color w:val="auto"/>
        </w:rPr>
      </w:pPr>
    </w:p>
    <w:p>
      <w:pPr>
        <w:ind w:left="880" w:hanging="42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significant disruption, including any work stoppages, at any of our manufacturing facilities;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80" w:right="680" w:hanging="427"/>
        <w:spacing w:after="0" w:line="23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suppliers to deliver parts, systems and components without disruption and at such times to allow us to meet production schedules;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prices of raw materials used by us and our suppliers;</w:t>
      </w:r>
    </w:p>
    <w:p>
      <w:pPr>
        <w:spacing w:after="0" w:line="76" w:lineRule="exact"/>
        <w:rPr>
          <w:rFonts w:ascii="Arial" w:cs="Arial" w:eastAsia="Arial" w:hAnsi="Arial"/>
          <w:sz w:val="18"/>
          <w:szCs w:val="18"/>
          <w:color w:val="auto"/>
        </w:rPr>
      </w:pPr>
    </w:p>
    <w:p>
      <w:pPr>
        <w:ind w:left="880" w:right="780" w:hanging="427"/>
        <w:spacing w:after="0" w:line="23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highly competitive industry, which is characterized by excess manufacturing capacity and the use of incentives, and the introduction of new and improved vehicle models by our competitors;</w:t>
      </w:r>
    </w:p>
    <w:p>
      <w:pPr>
        <w:spacing w:after="0" w:line="73" w:lineRule="exact"/>
        <w:rPr>
          <w:rFonts w:ascii="Arial" w:cs="Arial" w:eastAsia="Arial" w:hAnsi="Arial"/>
          <w:sz w:val="18"/>
          <w:szCs w:val="18"/>
          <w:color w:val="auto"/>
        </w:rPr>
      </w:pPr>
    </w:p>
    <w:p>
      <w:pPr>
        <w:ind w:left="880" w:right="420" w:hanging="427"/>
        <w:spacing w:after="0" w:line="23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competitors may independently develop products and services similar to ours, or that our intellectual property rights are not sufficient to prevent competitors from developing or selling those products or services;</w:t>
      </w:r>
    </w:p>
    <w:p>
      <w:pPr>
        <w:spacing w:after="0" w:line="73" w:lineRule="exact"/>
        <w:rPr>
          <w:rFonts w:ascii="Arial" w:cs="Arial" w:eastAsia="Arial" w:hAnsi="Arial"/>
          <w:sz w:val="18"/>
          <w:szCs w:val="18"/>
          <w:color w:val="auto"/>
        </w:rPr>
      </w:pPr>
    </w:p>
    <w:p>
      <w:pPr>
        <w:ind w:left="880" w:right="180" w:hanging="427"/>
        <w:spacing w:after="0" w:line="23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risks related to security breaches and other disruptions to our information technology systems and networked products, including connected vehicles and in-vehicle systems;</w:t>
      </w:r>
    </w:p>
    <w:p>
      <w:pPr>
        <w:spacing w:after="0" w:line="73" w:lineRule="exact"/>
        <w:rPr>
          <w:rFonts w:ascii="Arial" w:cs="Arial" w:eastAsia="Arial" w:hAnsi="Arial"/>
          <w:sz w:val="18"/>
          <w:szCs w:val="18"/>
          <w:color w:val="auto"/>
        </w:rPr>
      </w:pPr>
    </w:p>
    <w:p>
      <w:pPr>
        <w:ind w:left="880" w:right="100" w:hanging="427"/>
        <w:spacing w:after="0" w:line="299"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comply with increasingly complex, restrictive and punitive regulations relating to our enterprise data practices, including the collection, use, sharing and security of the Personal Identifiable Information of our customers, employees, or suppliers;</w:t>
      </w:r>
    </w:p>
    <w:p>
      <w:pPr>
        <w:spacing w:after="0" w:line="27" w:lineRule="exact"/>
        <w:rPr>
          <w:rFonts w:ascii="Arial" w:cs="Arial" w:eastAsia="Arial" w:hAnsi="Arial"/>
          <w:sz w:val="16"/>
          <w:szCs w:val="16"/>
          <w:color w:val="auto"/>
        </w:rPr>
      </w:pPr>
    </w:p>
    <w:p>
      <w:pPr>
        <w:ind w:left="880" w:right="120" w:hanging="427"/>
        <w:spacing w:after="0" w:line="23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extensive laws, regulations and policies applicable to our operations and products, including those relating to fuel economy and emissions and autonomous vehicles;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 effect on our reputation of product safety recalls and alleged defects in products and services;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additional tax expense or exposure;</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 and</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significant increase in our pension funding requirements.</w:t>
      </w:r>
    </w:p>
    <w:p>
      <w:pPr>
        <w:spacing w:after="0" w:line="158"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For a further discussion of these and other risks and uncertainties, refer to our Annual Report on Form 10-K for the year ended December 31, 2019, as updated by our subsequent filings under the Exchange Act, including Forms 10-Q and 8-K. 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200"/>
          </w:cols>
          <w:pgMar w:left="32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90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890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200" w:right="100" w:firstLine="434"/>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434"/>
        <w:spacing w:after="0" w:line="238"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cars, trucks, crossovers and automobile parts worldwide. Cruise is our global segment responsible for the development and commercialization of autonomous vehicle technology. We also provide automotive financing services through General Motors Financial Company, Inc. (“GM Financial”).</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Automotive</w:t>
      </w:r>
    </w:p>
    <w:p>
      <w:pPr>
        <w:spacing w:after="0" w:line="97" w:lineRule="exact"/>
        <w:rPr>
          <w:sz w:val="20"/>
          <w:szCs w:val="20"/>
          <w:color w:val="auto"/>
        </w:rPr>
      </w:pPr>
    </w:p>
    <w:p>
      <w:pPr>
        <w:ind w:left="200" w:firstLine="434"/>
        <w:spacing w:after="0" w:line="236"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156" w:lineRule="exact"/>
        <w:rPr>
          <w:sz w:val="20"/>
          <w:szCs w:val="20"/>
          <w:color w:val="auto"/>
        </w:rPr>
      </w:pPr>
    </w:p>
    <w:p>
      <w:pPr>
        <w:ind w:left="200" w:right="220" w:firstLine="434"/>
        <w:spacing w:after="0" w:line="237"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97" w:lineRule="exact"/>
        <w:rPr>
          <w:sz w:val="20"/>
          <w:szCs w:val="20"/>
          <w:color w:val="auto"/>
        </w:rPr>
      </w:pPr>
    </w:p>
    <w:p>
      <w:pPr>
        <w:ind w:left="200" w:right="40" w:firstLine="434"/>
        <w:spacing w:after="0" w:line="239"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South America and through joint ventures in Asia/Pacific.</w:t>
      </w:r>
    </w:p>
    <w:p>
      <w:pPr>
        <w:spacing w:after="0" w:line="155" w:lineRule="exact"/>
        <w:rPr>
          <w:sz w:val="20"/>
          <w:szCs w:val="20"/>
          <w:color w:val="auto"/>
        </w:rPr>
      </w:pPr>
    </w:p>
    <w:p>
      <w:pPr>
        <w:ind w:left="200" w:right="140" w:firstLine="434"/>
        <w:spacing w:after="0" w:line="23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lending products to dealers including new and used vehicle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inventory floorplan financing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154" w:lineRule="exact"/>
        <w:rPr>
          <w:sz w:val="20"/>
          <w:szCs w:val="20"/>
          <w:color w:val="auto"/>
        </w:rPr>
      </w:pPr>
    </w:p>
    <w:p>
      <w:pPr>
        <w:ind w:left="200" w:right="20" w:firstLine="434"/>
        <w:spacing w:after="0" w:line="238" w:lineRule="auto"/>
        <w:rPr>
          <w:sz w:val="20"/>
          <w:szCs w:val="20"/>
          <w:color w:val="auto"/>
        </w:rPr>
      </w:pPr>
      <w:r>
        <w:rPr>
          <w:rFonts w:ascii="Arial" w:cs="Arial" w:eastAsia="Arial" w:hAnsi="Arial"/>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54" w:lineRule="exact"/>
        <w:rPr>
          <w:sz w:val="20"/>
          <w:szCs w:val="20"/>
          <w:color w:val="auto"/>
        </w:rPr>
      </w:pPr>
    </w:p>
    <w:p>
      <w:pPr>
        <w:ind w:left="200" w:right="120" w:firstLine="434"/>
        <w:spacing w:after="0" w:line="238" w:lineRule="auto"/>
        <w:rPr>
          <w:sz w:val="20"/>
          <w:szCs w:val="20"/>
          <w:color w:val="auto"/>
        </w:rPr>
      </w:pPr>
      <w:r>
        <w:rPr>
          <w:rFonts w:ascii="Arial" w:cs="Arial" w:eastAsia="Arial" w:hAnsi="Arial"/>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Autonomous</w:t>
      </w:r>
    </w:p>
    <w:p>
      <w:pPr>
        <w:spacing w:after="0" w:line="97" w:lineRule="exact"/>
        <w:rPr>
          <w:sz w:val="20"/>
          <w:szCs w:val="20"/>
          <w:color w:val="auto"/>
        </w:rPr>
      </w:pPr>
    </w:p>
    <w:p>
      <w:pPr>
        <w:ind w:left="200" w:right="40" w:firstLine="434"/>
        <w:spacing w:after="0" w:line="239" w:lineRule="auto"/>
        <w:rPr>
          <w:sz w:val="20"/>
          <w:szCs w:val="20"/>
          <w:color w:val="auto"/>
        </w:rPr>
      </w:pPr>
      <w:r>
        <w:rPr>
          <w:rFonts w:ascii="Arial" w:cs="Arial" w:eastAsia="Arial" w:hAnsi="Arial"/>
          <w:sz w:val="18"/>
          <w:szCs w:val="18"/>
          <w:color w:val="auto"/>
        </w:rPr>
        <w:t>Cruise is our global segment responsible for the development and commercialization of autonomous vehicle technology, and includes autonomous vehicle-related engineering and other costs.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principal executive offices are located at 300 Renaissance Center, Detroit, Michigan 48265-3000, and our telephone number is</w:t>
      </w:r>
    </w:p>
    <w:p>
      <w:pPr>
        <w:spacing w:after="0" w:line="19" w:lineRule="exact"/>
        <w:rPr>
          <w:sz w:val="20"/>
          <w:szCs w:val="20"/>
          <w:color w:val="auto"/>
        </w:rPr>
      </w:pPr>
    </w:p>
    <w:p>
      <w:pPr>
        <w:ind w:left="200" w:right="100" w:hanging="6"/>
        <w:spacing w:after="0" w:line="238" w:lineRule="auto"/>
        <w:tabs>
          <w:tab w:leader="none" w:pos="658" w:val="left"/>
        </w:tabs>
        <w:numPr>
          <w:ilvl w:val="0"/>
          <w:numId w:val="3"/>
        </w:numPr>
        <w:rPr>
          <w:rFonts w:ascii="Arial" w:cs="Arial" w:eastAsia="Arial" w:hAnsi="Arial"/>
          <w:sz w:val="18"/>
          <w:szCs w:val="18"/>
          <w:color w:val="auto"/>
        </w:rPr>
      </w:pPr>
      <w:r>
        <w:rPr>
          <w:rFonts w:ascii="Arial" w:cs="Arial" w:eastAsia="Arial" w:hAnsi="Arial"/>
          <w:sz w:val="18"/>
          <w:szCs w:val="18"/>
          <w:color w:val="auto"/>
        </w:rPr>
        <w:t>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364-Day Revolving Facility</w:t>
      </w:r>
    </w:p>
    <w:p>
      <w:pPr>
        <w:spacing w:after="0" w:line="99" w:lineRule="exact"/>
        <w:rPr>
          <w:sz w:val="20"/>
          <w:szCs w:val="20"/>
          <w:color w:val="auto"/>
        </w:rPr>
      </w:pPr>
    </w:p>
    <w:p>
      <w:pPr>
        <w:jc w:val="both"/>
        <w:ind w:left="200" w:right="400" w:firstLine="434"/>
        <w:spacing w:after="0" w:line="264" w:lineRule="auto"/>
        <w:rPr>
          <w:sz w:val="20"/>
          <w:szCs w:val="20"/>
          <w:color w:val="auto"/>
        </w:rPr>
      </w:pPr>
      <w:r>
        <w:rPr>
          <w:rFonts w:ascii="Arial" w:cs="Arial" w:eastAsia="Arial" w:hAnsi="Arial"/>
          <w:sz w:val="16"/>
          <w:szCs w:val="16"/>
          <w:color w:val="auto"/>
        </w:rPr>
        <w:t>Following the consummation of this offering, we expect to enter into a new 364-Day Revolving Credit Agreement with JPMorgan Chase, N.A., as administrative agent, and other lenders to be named therein (the “New 364-Day Revolving Facility”), subject to certain closing conditions, including the (i) pricing of the Notes in this offering with aggregate principal amount of at least $3 billion and</w:t>
      </w:r>
    </w:p>
    <w:p>
      <w:pPr>
        <w:ind w:left="200" w:right="20" w:hanging="6"/>
        <w:spacing w:after="0" w:line="264"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acceleration of a $1.0 billion reduction in our $3.0 billion, 3-year facility from July 2020 to the closing date of the New 364-Day Revolving Facility. We expect the New 364-Day Revolving Facility to be unsecured and to provide available borrowing capacity of approximately</w:t>
      </w:r>
    </w:p>
    <w:p>
      <w:pPr>
        <w:ind w:left="200" w:right="40"/>
        <w:spacing w:after="0" w:line="264" w:lineRule="auto"/>
        <w:rPr>
          <w:rFonts w:ascii="Arial" w:cs="Arial" w:eastAsia="Arial" w:hAnsi="Arial"/>
          <w:sz w:val="16"/>
          <w:szCs w:val="16"/>
          <w:color w:val="auto"/>
        </w:rPr>
      </w:pPr>
      <w:r>
        <w:rPr>
          <w:rFonts w:ascii="Arial" w:cs="Arial" w:eastAsia="Arial" w:hAnsi="Arial"/>
          <w:sz w:val="16"/>
          <w:szCs w:val="16"/>
          <w:color w:val="auto"/>
        </w:rPr>
        <w:t>$2 billion in U.S. Dollars only, and we have received commitments from lenders in excess of this amount. We expect the New 364-Day Revolving Facility will be generally consistent with the terms of our existing revolving credit facilities. However, we expect the New 364-Day Revolving Facility will (i) include more restrictive limitations on the incurrence of indebtedness than our existing revolving credit facilities,</w:t>
      </w:r>
    </w:p>
    <w:p>
      <w:pPr>
        <w:ind w:left="200" w:hanging="6"/>
        <w:spacing w:after="0" w:line="236" w:lineRule="auto"/>
        <w:tabs>
          <w:tab w:leader="none" w:pos="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repay borrowings and/or reduce commitments under the New 364-Day Revolving Facility (not below $1.0 billion) with or equal to 50% of the net cash proceeds of any future term loan debt and capital markets transactions incurred by GM (subject to certain customary exceptions for maturing or refinancing debt) and (iii) prevent us from drawing on the facility unless our available automotive cash drops below a specified amount. There can be no assurance that we will enter into the New 364-Day Revolving Facility on terms favorable to us or at all.</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53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53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180" w:lineRule="exact"/>
        <w:rPr>
          <w:sz w:val="20"/>
          <w:szCs w:val="20"/>
          <w:color w:val="auto"/>
        </w:rPr>
      </w:pPr>
    </w:p>
    <w:p>
      <w:pPr>
        <w:ind w:left="200" w:right="140" w:firstLine="434"/>
        <w:spacing w:after="0" w:line="237" w:lineRule="auto"/>
        <w:rPr>
          <w:sz w:val="20"/>
          <w:szCs w:val="20"/>
          <w:color w:val="auto"/>
        </w:rPr>
      </w:pPr>
      <w:r>
        <w:rPr>
          <w:rFonts w:ascii="Arial" w:cs="Arial" w:eastAsia="Arial" w:hAnsi="Arial"/>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3500" w:type="dxa"/>
            <w:vAlign w:val="bottom"/>
            <w:gridSpan w:val="2"/>
          </w:tcPr>
          <w:p>
            <w:pPr>
              <w:ind w:left="1140"/>
              <w:spacing w:after="0"/>
              <w:rPr>
                <w:sz w:val="20"/>
                <w:szCs w:val="20"/>
                <w:color w:val="auto"/>
              </w:rPr>
            </w:pPr>
            <w:r>
              <w:rPr>
                <w:rFonts w:ascii="Arial" w:cs="Arial" w:eastAsia="Arial" w:hAnsi="Arial"/>
                <w:sz w:val="18"/>
                <w:szCs w:val="18"/>
                <w:color w:val="auto"/>
              </w:rPr>
              <w:t>General Motors Company</w:t>
            </w: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19"/>
        </w:trPr>
        <w:tc>
          <w:tcPr>
            <w:tcW w:w="2980" w:type="dxa"/>
            <w:vAlign w:val="bottom"/>
          </w:tcPr>
          <w:p>
            <w:pPr>
              <w:spacing w:after="0"/>
              <w:rPr>
                <w:sz w:val="20"/>
                <w:szCs w:val="20"/>
                <w:color w:val="auto"/>
              </w:rPr>
            </w:pPr>
            <w:r>
              <w:rPr>
                <w:rFonts w:ascii="Arial" w:cs="Arial" w:eastAsia="Arial" w:hAnsi="Arial"/>
                <w:sz w:val="18"/>
                <w:szCs w:val="18"/>
                <w:color w:val="auto"/>
              </w:rPr>
              <w:t>Notes Offered</w:t>
            </w:r>
          </w:p>
        </w:tc>
        <w:tc>
          <w:tcPr>
            <w:tcW w:w="1500" w:type="dxa"/>
            <w:vAlign w:val="bottom"/>
          </w:tcPr>
          <w:p>
            <w:pPr>
              <w:ind w:left="1140"/>
              <w:spacing w:after="0"/>
              <w:rPr>
                <w:sz w:val="20"/>
                <w:szCs w:val="20"/>
                <w:color w:val="auto"/>
              </w:rPr>
            </w:pPr>
            <w:r>
              <w:rPr>
                <w:rFonts w:ascii="Arial" w:cs="Arial" w:eastAsia="Arial" w:hAnsi="Arial"/>
                <w:sz w:val="18"/>
                <w:szCs w:val="18"/>
                <w:color w:val="auto"/>
              </w:rPr>
              <w:t>$</w:t>
            </w: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w w:val="98"/>
              </w:rPr>
              <w:t>in aggregate principal amount of</w:t>
            </w:r>
          </w:p>
        </w:tc>
        <w:tc>
          <w:tcPr>
            <w:tcW w:w="2040" w:type="dxa"/>
            <w:vAlign w:val="bottom"/>
          </w:tcPr>
          <w:p>
            <w:pPr>
              <w:jc w:val="right"/>
              <w:spacing w:after="0"/>
              <w:rPr>
                <w:sz w:val="20"/>
                <w:szCs w:val="20"/>
                <w:color w:val="auto"/>
              </w:rPr>
            </w:pPr>
            <w:r>
              <w:rPr>
                <w:rFonts w:ascii="Arial" w:cs="Arial" w:eastAsia="Arial" w:hAnsi="Arial"/>
                <w:sz w:val="18"/>
                <w:szCs w:val="18"/>
                <w:color w:val="auto"/>
              </w:rPr>
              <w:t>% Senior Notes due 20</w:t>
            </w:r>
          </w:p>
        </w:tc>
        <w:tc>
          <w:tcPr>
            <w:tcW w:w="98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r>
      <w:tr>
        <w:trPr>
          <w:trHeight w:val="418"/>
        </w:trPr>
        <w:tc>
          <w:tcPr>
            <w:tcW w:w="2980" w:type="dxa"/>
            <w:vAlign w:val="bottom"/>
          </w:tcPr>
          <w:p>
            <w:pPr>
              <w:spacing w:after="0"/>
              <w:rPr>
                <w:sz w:val="24"/>
                <w:szCs w:val="24"/>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w:t>
            </w: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w w:val="97"/>
              </w:rPr>
              <w:t>in aggregate principal amount of</w:t>
            </w:r>
          </w:p>
        </w:tc>
        <w:tc>
          <w:tcPr>
            <w:tcW w:w="2040" w:type="dxa"/>
            <w:vAlign w:val="bottom"/>
          </w:tcPr>
          <w:p>
            <w:pPr>
              <w:ind w:left="240"/>
              <w:spacing w:after="0"/>
              <w:rPr>
                <w:sz w:val="20"/>
                <w:szCs w:val="20"/>
                <w:color w:val="auto"/>
              </w:rPr>
            </w:pPr>
            <w:r>
              <w:rPr>
                <w:rFonts w:ascii="Arial" w:cs="Arial" w:eastAsia="Arial" w:hAnsi="Arial"/>
                <w:sz w:val="18"/>
                <w:szCs w:val="18"/>
                <w:color w:val="auto"/>
                <w:w w:val="96"/>
              </w:rPr>
              <w:t>% Senior Notes due 20</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 and</w:t>
            </w:r>
          </w:p>
        </w:tc>
        <w:tc>
          <w:tcPr>
            <w:tcW w:w="360" w:type="dxa"/>
            <w:vAlign w:val="bottom"/>
          </w:tcPr>
          <w:p>
            <w:pPr>
              <w:spacing w:after="0"/>
              <w:rPr>
                <w:sz w:val="24"/>
                <w:szCs w:val="24"/>
                <w:color w:val="auto"/>
              </w:rPr>
            </w:pPr>
          </w:p>
        </w:tc>
      </w:tr>
      <w:tr>
        <w:trPr>
          <w:trHeight w:val="405"/>
        </w:trPr>
        <w:tc>
          <w:tcPr>
            <w:tcW w:w="2980" w:type="dxa"/>
            <w:vAlign w:val="bottom"/>
          </w:tcPr>
          <w:p>
            <w:pPr>
              <w:spacing w:after="0"/>
              <w:rPr>
                <w:sz w:val="24"/>
                <w:szCs w:val="24"/>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w:t>
            </w: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w w:val="97"/>
              </w:rPr>
              <w:t>in aggregate principal amount of</w:t>
            </w: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 Senior Notes due 20  .</w:t>
            </w:r>
          </w:p>
        </w:tc>
        <w:tc>
          <w:tcPr>
            <w:tcW w:w="360" w:type="dxa"/>
            <w:vAlign w:val="bottom"/>
          </w:tcPr>
          <w:p>
            <w:pPr>
              <w:spacing w:after="0"/>
              <w:rPr>
                <w:sz w:val="24"/>
                <w:szCs w:val="24"/>
                <w:color w:val="auto"/>
              </w:rPr>
            </w:pP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Original Issue Date</w:t>
            </w:r>
          </w:p>
        </w:tc>
        <w:tc>
          <w:tcPr>
            <w:tcW w:w="1500" w:type="dxa"/>
            <w:vAlign w:val="bottom"/>
          </w:tcPr>
          <w:p>
            <w:pPr>
              <w:spacing w:after="0"/>
              <w:rPr>
                <w:sz w:val="24"/>
                <w:szCs w:val="24"/>
                <w:color w:val="auto"/>
              </w:rPr>
            </w:pPr>
          </w:p>
        </w:tc>
        <w:tc>
          <w:tcPr>
            <w:tcW w:w="2000" w:type="dxa"/>
            <w:vAlign w:val="bottom"/>
          </w:tcPr>
          <w:p>
            <w:pPr>
              <w:ind w:left="600"/>
              <w:spacing w:after="0"/>
              <w:rPr>
                <w:sz w:val="20"/>
                <w:szCs w:val="20"/>
                <w:color w:val="auto"/>
              </w:rPr>
            </w:pPr>
            <w:r>
              <w:rPr>
                <w:rFonts w:ascii="Arial" w:cs="Arial" w:eastAsia="Arial" w:hAnsi="Arial"/>
                <w:sz w:val="18"/>
                <w:szCs w:val="18"/>
                <w:color w:val="auto"/>
              </w:rPr>
              <w:t>, 2020.</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0"/>
        </w:trPr>
        <w:tc>
          <w:tcPr>
            <w:tcW w:w="2980" w:type="dxa"/>
            <w:vAlign w:val="bottom"/>
          </w:tcPr>
          <w:p>
            <w:pPr>
              <w:spacing w:after="0"/>
              <w:rPr>
                <w:sz w:val="20"/>
                <w:szCs w:val="20"/>
                <w:color w:val="auto"/>
              </w:rPr>
            </w:pPr>
            <w:r>
              <w:rPr>
                <w:rFonts w:ascii="Arial" w:cs="Arial" w:eastAsia="Arial" w:hAnsi="Arial"/>
                <w:sz w:val="18"/>
                <w:szCs w:val="18"/>
                <w:color w:val="auto"/>
              </w:rPr>
              <w:t>Maturity Dates</w:t>
            </w:r>
          </w:p>
        </w:tc>
        <w:tc>
          <w:tcPr>
            <w:tcW w:w="3500" w:type="dxa"/>
            <w:vAlign w:val="bottom"/>
            <w:gridSpan w:val="2"/>
          </w:tcPr>
          <w:p>
            <w:pPr>
              <w:ind w:left="1140"/>
              <w:spacing w:after="0"/>
              <w:rPr>
                <w:sz w:val="20"/>
                <w:szCs w:val="20"/>
                <w:color w:val="auto"/>
              </w:rPr>
            </w:pPr>
            <w:r>
              <w:rPr>
                <w:rFonts w:ascii="Arial" w:cs="Arial" w:eastAsia="Arial" w:hAnsi="Arial"/>
                <w:sz w:val="18"/>
                <w:szCs w:val="18"/>
                <w:color w:val="auto"/>
              </w:rPr>
              <w:t>The 20 Notes will mature on</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 20</w:t>
            </w:r>
          </w:p>
        </w:tc>
        <w:tc>
          <w:tcPr>
            <w:tcW w:w="3020" w:type="dxa"/>
            <w:vAlign w:val="bottom"/>
            <w:gridSpan w:val="2"/>
          </w:tcPr>
          <w:p>
            <w:pPr>
              <w:spacing w:after="0"/>
              <w:rPr>
                <w:sz w:val="20"/>
                <w:szCs w:val="20"/>
                <w:color w:val="auto"/>
              </w:rPr>
            </w:pPr>
            <w:r>
              <w:rPr>
                <w:rFonts w:ascii="Arial" w:cs="Arial" w:eastAsia="Arial" w:hAnsi="Arial"/>
                <w:sz w:val="18"/>
                <w:szCs w:val="18"/>
                <w:color w:val="auto"/>
              </w:rPr>
              <w:t>, the 20   Notes will mature on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211"/>
        </w:trPr>
        <w:tc>
          <w:tcPr>
            <w:tcW w:w="2980" w:type="dxa"/>
            <w:vAlign w:val="bottom"/>
          </w:tcPr>
          <w:p>
            <w:pPr>
              <w:spacing w:after="0"/>
              <w:rPr>
                <w:sz w:val="18"/>
                <w:szCs w:val="18"/>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20</w:t>
            </w:r>
          </w:p>
        </w:tc>
        <w:tc>
          <w:tcPr>
            <w:tcW w:w="2880" w:type="dxa"/>
            <w:vAlign w:val="bottom"/>
            <w:gridSpan w:val="2"/>
          </w:tcPr>
          <w:p>
            <w:pPr>
              <w:ind w:left="80"/>
              <w:spacing w:after="0"/>
              <w:rPr>
                <w:sz w:val="20"/>
                <w:szCs w:val="20"/>
                <w:color w:val="auto"/>
              </w:rPr>
            </w:pPr>
            <w:r>
              <w:rPr>
                <w:rFonts w:ascii="Arial" w:cs="Arial" w:eastAsia="Arial" w:hAnsi="Arial"/>
                <w:sz w:val="18"/>
                <w:szCs w:val="18"/>
                <w:color w:val="auto"/>
              </w:rPr>
              <w:t>and the 20   Notes will mature on</w:t>
            </w:r>
          </w:p>
        </w:tc>
        <w:tc>
          <w:tcPr>
            <w:tcW w:w="2040" w:type="dxa"/>
            <w:vAlign w:val="bottom"/>
          </w:tcPr>
          <w:p>
            <w:pPr>
              <w:jc w:val="right"/>
              <w:ind w:right="732"/>
              <w:spacing w:after="0"/>
              <w:rPr>
                <w:sz w:val="20"/>
                <w:szCs w:val="20"/>
                <w:color w:val="auto"/>
              </w:rPr>
            </w:pPr>
            <w:r>
              <w:rPr>
                <w:rFonts w:ascii="Arial" w:cs="Arial" w:eastAsia="Arial" w:hAnsi="Arial"/>
                <w:sz w:val="18"/>
                <w:szCs w:val="18"/>
                <w:color w:val="auto"/>
              </w:rPr>
              <w:t>,20  .</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97"/>
        </w:trPr>
        <w:tc>
          <w:tcPr>
            <w:tcW w:w="2980" w:type="dxa"/>
            <w:vAlign w:val="bottom"/>
          </w:tcPr>
          <w:p>
            <w:pPr>
              <w:spacing w:after="0"/>
              <w:rPr>
                <w:sz w:val="20"/>
                <w:szCs w:val="20"/>
                <w:color w:val="auto"/>
              </w:rPr>
            </w:pPr>
            <w:r>
              <w:rPr>
                <w:rFonts w:ascii="Arial" w:cs="Arial" w:eastAsia="Arial" w:hAnsi="Arial"/>
                <w:sz w:val="18"/>
                <w:szCs w:val="18"/>
                <w:color w:val="auto"/>
              </w:rPr>
              <w:t>Interest Rates</w:t>
            </w:r>
          </w:p>
        </w:tc>
        <w:tc>
          <w:tcPr>
            <w:tcW w:w="7760" w:type="dxa"/>
            <w:vAlign w:val="bottom"/>
            <w:gridSpan w:val="6"/>
          </w:tcPr>
          <w:p>
            <w:pPr>
              <w:ind w:left="1140"/>
              <w:spacing w:after="0"/>
              <w:rPr>
                <w:sz w:val="20"/>
                <w:szCs w:val="20"/>
                <w:color w:val="auto"/>
              </w:rPr>
            </w:pPr>
            <w:r>
              <w:rPr>
                <w:rFonts w:ascii="Arial" w:cs="Arial" w:eastAsia="Arial" w:hAnsi="Arial"/>
                <w:sz w:val="18"/>
                <w:szCs w:val="18"/>
                <w:color w:val="auto"/>
              </w:rPr>
              <w:t>Interest on the 20   Notes will accrue at a rate of   % per year, interest on the 20</w:t>
            </w:r>
          </w:p>
        </w:tc>
      </w:tr>
      <w:tr>
        <w:trPr>
          <w:trHeight w:val="203"/>
        </w:trPr>
        <w:tc>
          <w:tcPr>
            <w:tcW w:w="2980" w:type="dxa"/>
            <w:vAlign w:val="bottom"/>
          </w:tcPr>
          <w:p>
            <w:pPr>
              <w:spacing w:after="0"/>
              <w:rPr>
                <w:sz w:val="17"/>
                <w:szCs w:val="17"/>
                <w:color w:val="auto"/>
              </w:rPr>
            </w:pPr>
          </w:p>
        </w:tc>
        <w:tc>
          <w:tcPr>
            <w:tcW w:w="35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Notes will accrue at a rate of</w:t>
            </w:r>
          </w:p>
        </w:tc>
        <w:tc>
          <w:tcPr>
            <w:tcW w:w="29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w w:val="99"/>
              </w:rPr>
              <w:t>% per year and interest on the 20</w:t>
            </w:r>
          </w:p>
        </w:tc>
        <w:tc>
          <w:tcPr>
            <w:tcW w:w="13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Notes will accrue</w:t>
            </w:r>
          </w:p>
        </w:tc>
      </w:tr>
      <w:tr>
        <w:trPr>
          <w:trHeight w:val="211"/>
        </w:trPr>
        <w:tc>
          <w:tcPr>
            <w:tcW w:w="2980" w:type="dxa"/>
            <w:vAlign w:val="bottom"/>
          </w:tcPr>
          <w:p>
            <w:pPr>
              <w:spacing w:after="0"/>
              <w:rPr>
                <w:sz w:val="18"/>
                <w:szCs w:val="18"/>
                <w:color w:val="auto"/>
              </w:rPr>
            </w:pPr>
          </w:p>
        </w:tc>
        <w:tc>
          <w:tcPr>
            <w:tcW w:w="3500" w:type="dxa"/>
            <w:vAlign w:val="bottom"/>
            <w:gridSpan w:val="2"/>
          </w:tcPr>
          <w:p>
            <w:pPr>
              <w:ind w:left="1140"/>
              <w:spacing w:after="0"/>
              <w:rPr>
                <w:sz w:val="20"/>
                <w:szCs w:val="20"/>
                <w:color w:val="auto"/>
              </w:rPr>
            </w:pPr>
            <w:r>
              <w:rPr>
                <w:rFonts w:ascii="Arial" w:cs="Arial" w:eastAsia="Arial" w:hAnsi="Arial"/>
                <w:sz w:val="18"/>
                <w:szCs w:val="18"/>
                <w:color w:val="auto"/>
              </w:rPr>
              <w:t>at a rate of   % per year.</w:t>
            </w: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97"/>
        </w:trPr>
        <w:tc>
          <w:tcPr>
            <w:tcW w:w="29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400" w:type="dxa"/>
            <w:vAlign w:val="bottom"/>
            <w:gridSpan w:val="5"/>
          </w:tcPr>
          <w:p>
            <w:pPr>
              <w:ind w:left="1140"/>
              <w:spacing w:after="0"/>
              <w:rPr>
                <w:sz w:val="20"/>
                <w:szCs w:val="20"/>
                <w:color w:val="auto"/>
              </w:rPr>
            </w:pPr>
            <w:r>
              <w:rPr>
                <w:rFonts w:ascii="Arial" w:cs="Arial" w:eastAsia="Arial" w:hAnsi="Arial"/>
                <w:sz w:val="18"/>
                <w:szCs w:val="18"/>
                <w:color w:val="auto"/>
              </w:rPr>
              <w:t>Interest on each series of Notes will be paid semi-annually and in arrears on</w:t>
            </w:r>
          </w:p>
        </w:tc>
        <w:tc>
          <w:tcPr>
            <w:tcW w:w="360" w:type="dxa"/>
            <w:vAlign w:val="bottom"/>
          </w:tcPr>
          <w:p>
            <w:pPr>
              <w:spacing w:after="0"/>
              <w:rPr>
                <w:sz w:val="24"/>
                <w:szCs w:val="24"/>
                <w:color w:val="auto"/>
              </w:rPr>
            </w:pPr>
          </w:p>
        </w:tc>
      </w:tr>
      <w:tr>
        <w:trPr>
          <w:trHeight w:val="211"/>
        </w:trPr>
        <w:tc>
          <w:tcPr>
            <w:tcW w:w="2980" w:type="dxa"/>
            <w:vAlign w:val="bottom"/>
          </w:tcPr>
          <w:p>
            <w:pPr>
              <w:spacing w:after="0"/>
              <w:rPr>
                <w:sz w:val="18"/>
                <w:szCs w:val="18"/>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and</w:t>
            </w:r>
          </w:p>
        </w:tc>
        <w:tc>
          <w:tcPr>
            <w:tcW w:w="2000" w:type="dxa"/>
            <w:vAlign w:val="bottom"/>
          </w:tcPr>
          <w:p>
            <w:pPr>
              <w:ind w:left="560"/>
              <w:spacing w:after="0"/>
              <w:rPr>
                <w:sz w:val="20"/>
                <w:szCs w:val="20"/>
                <w:color w:val="auto"/>
              </w:rPr>
            </w:pPr>
            <w:r>
              <w:rPr>
                <w:rFonts w:ascii="Arial" w:cs="Arial" w:eastAsia="Arial" w:hAnsi="Arial"/>
                <w:sz w:val="18"/>
                <w:szCs w:val="18"/>
                <w:color w:val="auto"/>
              </w:rPr>
              <w:t>, commencing on</w:t>
            </w:r>
          </w:p>
        </w:tc>
        <w:tc>
          <w:tcPr>
            <w:tcW w:w="2920" w:type="dxa"/>
            <w:vAlign w:val="bottom"/>
            <w:gridSpan w:val="2"/>
          </w:tcPr>
          <w:p>
            <w:pPr>
              <w:jc w:val="right"/>
              <w:ind w:right="152"/>
              <w:spacing w:after="0"/>
              <w:rPr>
                <w:sz w:val="20"/>
                <w:szCs w:val="20"/>
                <w:color w:val="auto"/>
              </w:rPr>
            </w:pPr>
            <w:r>
              <w:rPr>
                <w:rFonts w:ascii="Arial" w:cs="Arial" w:eastAsia="Arial" w:hAnsi="Arial"/>
                <w:sz w:val="18"/>
                <w:szCs w:val="18"/>
                <w:color w:val="auto"/>
              </w:rPr>
              <w:t>, 2020, and will accrue from</w:t>
            </w:r>
          </w:p>
        </w:tc>
        <w:tc>
          <w:tcPr>
            <w:tcW w:w="980" w:type="dxa"/>
            <w:vAlign w:val="bottom"/>
          </w:tcPr>
          <w:p>
            <w:pPr>
              <w:jc w:val="right"/>
              <w:spacing w:after="0"/>
              <w:rPr>
                <w:sz w:val="20"/>
                <w:szCs w:val="20"/>
                <w:color w:val="auto"/>
              </w:rPr>
            </w:pPr>
            <w:r>
              <w:rPr>
                <w:rFonts w:ascii="Arial" w:cs="Arial" w:eastAsia="Arial" w:hAnsi="Arial"/>
                <w:sz w:val="18"/>
                <w:szCs w:val="18"/>
                <w:color w:val="auto"/>
              </w:rPr>
              <w:t>, 2020.</w:t>
            </w:r>
          </w:p>
        </w:tc>
        <w:tc>
          <w:tcPr>
            <w:tcW w:w="360" w:type="dxa"/>
            <w:vAlign w:val="bottom"/>
          </w:tcPr>
          <w:p>
            <w:pPr>
              <w:spacing w:after="0"/>
              <w:rPr>
                <w:sz w:val="18"/>
                <w:szCs w:val="18"/>
                <w:color w:val="auto"/>
              </w:rPr>
            </w:pPr>
          </w:p>
        </w:tc>
      </w:tr>
      <w:tr>
        <w:trPr>
          <w:trHeight w:val="405"/>
        </w:trPr>
        <w:tc>
          <w:tcPr>
            <w:tcW w:w="2980" w:type="dxa"/>
            <w:vAlign w:val="bottom"/>
          </w:tcPr>
          <w:p>
            <w:pPr>
              <w:spacing w:after="0"/>
              <w:rPr>
                <w:sz w:val="20"/>
                <w:szCs w:val="20"/>
                <w:color w:val="auto"/>
              </w:rPr>
            </w:pPr>
            <w:r>
              <w:rPr>
                <w:rFonts w:ascii="Arial" w:cs="Arial" w:eastAsia="Arial" w:hAnsi="Arial"/>
                <w:sz w:val="18"/>
                <w:szCs w:val="18"/>
                <w:color w:val="auto"/>
              </w:rPr>
              <w:t>Ranking of the Notes</w:t>
            </w:r>
          </w:p>
        </w:tc>
        <w:tc>
          <w:tcPr>
            <w:tcW w:w="6420" w:type="dxa"/>
            <w:vAlign w:val="bottom"/>
            <w:gridSpan w:val="4"/>
          </w:tcPr>
          <w:p>
            <w:pPr>
              <w:ind w:left="1140"/>
              <w:spacing w:after="0"/>
              <w:rPr>
                <w:sz w:val="20"/>
                <w:szCs w:val="20"/>
                <w:color w:val="auto"/>
              </w:rPr>
            </w:pPr>
            <w:r>
              <w:rPr>
                <w:rFonts w:ascii="Arial" w:cs="Arial" w:eastAsia="Arial" w:hAnsi="Arial"/>
                <w:sz w:val="18"/>
                <w:szCs w:val="18"/>
                <w:color w:val="auto"/>
              </w:rPr>
              <w:t>The Notes will be our general unsecured obligations and will be:</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86" w:lineRule="exact"/>
        <w:rPr>
          <w:sz w:val="20"/>
          <w:szCs w:val="20"/>
          <w:color w:val="auto"/>
        </w:rPr>
      </w:pPr>
    </w:p>
    <w:p>
      <w:pPr>
        <w:ind w:left="4960" w:hanging="278"/>
        <w:spacing w:after="0" w:line="238" w:lineRule="auto"/>
        <w:tabs>
          <w:tab w:leader="none" w:pos="4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equal in right of payment to all of our existing and future indebtedness and other obligations that are not, by their terms, expressly subordinated in right of payment to the Notes;</w:t>
      </w:r>
    </w:p>
    <w:p>
      <w:pPr>
        <w:spacing w:after="0" w:line="72" w:lineRule="exact"/>
        <w:rPr>
          <w:rFonts w:ascii="Arial" w:cs="Arial" w:eastAsia="Arial" w:hAnsi="Arial"/>
          <w:sz w:val="18"/>
          <w:szCs w:val="18"/>
          <w:color w:val="auto"/>
        </w:rPr>
      </w:pPr>
    </w:p>
    <w:p>
      <w:pPr>
        <w:jc w:val="both"/>
        <w:ind w:left="4960" w:right="280" w:hanging="278"/>
        <w:spacing w:after="0" w:line="238" w:lineRule="auto"/>
        <w:tabs>
          <w:tab w:leader="none" w:pos="4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in right of payment to any of our existing or future indebtedness and other obligations that are, by their terms, expressly subordinated in right of payment to the Notes;</w:t>
      </w:r>
    </w:p>
    <w:p>
      <w:pPr>
        <w:spacing w:after="0" w:line="72" w:lineRule="exact"/>
        <w:rPr>
          <w:rFonts w:ascii="Arial" w:cs="Arial" w:eastAsia="Arial" w:hAnsi="Arial"/>
          <w:sz w:val="18"/>
          <w:szCs w:val="18"/>
          <w:color w:val="auto"/>
        </w:rPr>
      </w:pPr>
    </w:p>
    <w:p>
      <w:pPr>
        <w:ind w:left="4960" w:right="80" w:hanging="278"/>
        <w:spacing w:after="0" w:line="238" w:lineRule="auto"/>
        <w:tabs>
          <w:tab w:leader="none" w:pos="4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subordinated to all of our secured indebtedness and other secured obligations to the extent of the value of the assets securing such secured indebtedness or other secured obligations; and</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20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   structurally subordinated to all indebtedness and other obligations of our</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subsidiaries.</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We may, at our option, redeem some or all of the 20   Notes, the 20   Notes and the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20   Notes at any time and from time to time at redemption prices described under</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“Description of the Notes—Optional Redemption.”</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Notes will be issued under the Indenture, which will contain covenants that will</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limit:</w:t>
            </w:r>
          </w:p>
        </w:tc>
      </w:tr>
      <w:tr>
        <w:trPr>
          <w:trHeight w:val="275"/>
        </w:trPr>
        <w:tc>
          <w:tcPr>
            <w:tcW w:w="3200" w:type="dxa"/>
            <w:vAlign w:val="bottom"/>
            <w:tcBorders>
              <w:left w:val="single" w:sz="8" w:color="auto"/>
            </w:tcBorders>
          </w:tcPr>
          <w:p>
            <w:pPr>
              <w:spacing w:after="0"/>
              <w:rPr>
                <w:sz w:val="23"/>
                <w:szCs w:val="23"/>
                <w:color w:val="auto"/>
              </w:rPr>
            </w:pPr>
          </w:p>
        </w:tc>
        <w:tc>
          <w:tcPr>
            <w:tcW w:w="80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   the ability of GM and certain of its subsidiaries to incur indebtedness secured</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760"/>
              <w:spacing w:after="0" w:line="202" w:lineRule="exact"/>
              <w:rPr>
                <w:sz w:val="20"/>
                <w:szCs w:val="20"/>
                <w:color w:val="auto"/>
              </w:rPr>
            </w:pPr>
            <w:r>
              <w:rPr>
                <w:rFonts w:ascii="Arial" w:cs="Arial" w:eastAsia="Arial" w:hAnsi="Arial"/>
                <w:sz w:val="18"/>
                <w:szCs w:val="18"/>
                <w:color w:val="auto"/>
              </w:rPr>
              <w:t>by certain principal domestic manufacturing properties or by any shares of</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760"/>
              <w:spacing w:after="0" w:line="202" w:lineRule="exact"/>
              <w:rPr>
                <w:sz w:val="20"/>
                <w:szCs w:val="20"/>
                <w:color w:val="auto"/>
              </w:rPr>
            </w:pPr>
            <w:r>
              <w:rPr>
                <w:rFonts w:ascii="Arial" w:cs="Arial" w:eastAsia="Arial" w:hAnsi="Arial"/>
                <w:sz w:val="18"/>
                <w:szCs w:val="18"/>
                <w:color w:val="auto"/>
              </w:rPr>
              <w:t>stock or indebtedness of certain manufacturing subsidiaries and to enter into</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760"/>
              <w:spacing w:after="0" w:line="202" w:lineRule="exact"/>
              <w:rPr>
                <w:sz w:val="20"/>
                <w:szCs w:val="20"/>
                <w:color w:val="auto"/>
              </w:rPr>
            </w:pPr>
            <w:r>
              <w:rPr>
                <w:rFonts w:ascii="Arial" w:cs="Arial" w:eastAsia="Arial" w:hAnsi="Arial"/>
                <w:sz w:val="18"/>
                <w:szCs w:val="18"/>
                <w:color w:val="auto"/>
              </w:rPr>
              <w:t>certain sale and leaseback transactions with respect to certain principal</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domestic manufacturing properties; and</w:t>
            </w:r>
          </w:p>
        </w:tc>
      </w:tr>
      <w:tr>
        <w:trPr>
          <w:trHeight w:val="275"/>
        </w:trPr>
        <w:tc>
          <w:tcPr>
            <w:tcW w:w="3200" w:type="dxa"/>
            <w:vAlign w:val="bottom"/>
            <w:tcBorders>
              <w:left w:val="single" w:sz="8" w:color="auto"/>
            </w:tcBorders>
          </w:tcPr>
          <w:p>
            <w:pPr>
              <w:spacing w:after="0"/>
              <w:rPr>
                <w:sz w:val="23"/>
                <w:szCs w:val="23"/>
                <w:color w:val="auto"/>
              </w:rPr>
            </w:pPr>
          </w:p>
        </w:tc>
        <w:tc>
          <w:tcPr>
            <w:tcW w:w="80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   the ability of GM to enter into certain mergers or certain conveyances,</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transfers or leases of all or substantially all of its properties and assets.</w:t>
            </w:r>
          </w:p>
        </w:tc>
      </w:tr>
      <w:tr>
        <w:trPr>
          <w:trHeight w:val="397"/>
        </w:trPr>
        <w:tc>
          <w:tcPr>
            <w:tcW w:w="320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Each of these covenants, however, is subject to significant exceptions. See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“Description of the Notes—Certain Covenants” in this prospectus supplement and</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“Description of Debt Securities—Consolidation, Merger or Sale of Assets” in the</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accompanying prospectus.</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Indenture does not limit the amount of Notes that we may issue. We may issue</w:t>
            </w:r>
          </w:p>
        </w:tc>
      </w:tr>
      <w:tr>
        <w:trPr>
          <w:trHeight w:val="184"/>
        </w:trPr>
        <w:tc>
          <w:tcPr>
            <w:tcW w:w="3200" w:type="dxa"/>
            <w:vAlign w:val="bottom"/>
            <w:tcBorders>
              <w:left w:val="single" w:sz="8" w:color="auto"/>
            </w:tcBorders>
          </w:tcPr>
          <w:p>
            <w:pPr>
              <w:spacing w:after="0"/>
              <w:rPr>
                <w:sz w:val="16"/>
                <w:szCs w:val="16"/>
                <w:color w:val="auto"/>
              </w:rPr>
            </w:pPr>
          </w:p>
        </w:tc>
        <w:tc>
          <w:tcPr>
            <w:tcW w:w="8040" w:type="dxa"/>
            <w:vAlign w:val="bottom"/>
            <w:tcBorders>
              <w:right w:val="single" w:sz="8" w:color="auto"/>
            </w:tcBorders>
          </w:tcPr>
          <w:p>
            <w:pPr>
              <w:ind w:left="1120"/>
              <w:spacing w:after="0" w:line="184" w:lineRule="exact"/>
              <w:rPr>
                <w:sz w:val="20"/>
                <w:szCs w:val="20"/>
                <w:color w:val="auto"/>
              </w:rPr>
            </w:pPr>
            <w:r>
              <w:rPr>
                <w:rFonts w:ascii="Arial" w:cs="Arial" w:eastAsia="Arial" w:hAnsi="Arial"/>
                <w:sz w:val="18"/>
                <w:szCs w:val="18"/>
                <w:color w:val="auto"/>
              </w:rPr>
              <w:t>additional Notes of any series up to an aggregate principal amount as our board of</w:t>
            </w:r>
          </w:p>
        </w:tc>
      </w:tr>
      <w:tr>
        <w:trPr>
          <w:trHeight w:val="221"/>
        </w:trPr>
        <w:tc>
          <w:tcPr>
            <w:tcW w:w="320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 xml:space="preserve">directors may authorize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additional Notes are not</w:t>
            </w:r>
          </w:p>
        </w:tc>
      </w:tr>
      <w:tr>
        <w:trPr>
          <w:trHeight w:val="202"/>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fungible with the Notes of a particular series for U.S. federal income tax purposes, the</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additional Notes will have a separate CUSIP number.</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Prior Markets</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Notes will be new securities for which there are currently no existing markets. The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Notes will not be listed on any securities exchange. Although the underwriters have</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advised us that they currently intend to make a market in the Notes of each series,</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they are not obligated to do so and may discontinue any market-making activities at</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any time without notice. Accordingly, we cannot assure you as to the liquidity of, or the</w:t>
            </w:r>
          </w:p>
        </w:tc>
      </w:tr>
      <w:tr>
        <w:trPr>
          <w:trHeight w:val="211"/>
        </w:trPr>
        <w:tc>
          <w:tcPr>
            <w:tcW w:w="320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trading markets for, the Notes.</w:t>
            </w:r>
          </w:p>
        </w:tc>
      </w:tr>
      <w:tr>
        <w:trPr>
          <w:trHeight w:val="397"/>
        </w:trPr>
        <w:tc>
          <w:tcPr>
            <w:tcW w:w="3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04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Notes will be issued in fully registered form and will be represented by global</w:t>
            </w:r>
          </w:p>
        </w:tc>
      </w:tr>
      <w:tr>
        <w:trPr>
          <w:trHeight w:val="203"/>
        </w:trPr>
        <w:tc>
          <w:tcPr>
            <w:tcW w:w="3200" w:type="dxa"/>
            <w:vAlign w:val="bottom"/>
            <w:tcBorders>
              <w:left w:val="single" w:sz="8" w:color="auto"/>
            </w:tcBorders>
          </w:tcPr>
          <w:p>
            <w:pPr>
              <w:spacing w:after="0"/>
              <w:rPr>
                <w:sz w:val="17"/>
                <w:szCs w:val="17"/>
                <w:color w:val="auto"/>
              </w:rPr>
            </w:pPr>
          </w:p>
        </w:tc>
        <w:tc>
          <w:tcPr>
            <w:tcW w:w="8040" w:type="dxa"/>
            <w:vAlign w:val="bottom"/>
            <w:tcBorders>
              <w:right w:val="single" w:sz="8" w:color="auto"/>
            </w:tcBorders>
          </w:tcPr>
          <w:p>
            <w:pPr>
              <w:ind w:left="1120"/>
              <w:spacing w:after="0" w:line="202" w:lineRule="exact"/>
              <w:rPr>
                <w:sz w:val="20"/>
                <w:szCs w:val="20"/>
                <w:color w:val="auto"/>
              </w:rPr>
            </w:pPr>
            <w:r>
              <w:rPr>
                <w:rFonts w:ascii="Arial" w:cs="Arial" w:eastAsia="Arial" w:hAnsi="Arial"/>
                <w:sz w:val="18"/>
                <w:szCs w:val="18"/>
                <w:color w:val="auto"/>
              </w:rPr>
              <w:t>notes without interest coupons. The global notes will be deposited with a custodian for</w:t>
            </w:r>
          </w:p>
        </w:tc>
      </w:tr>
      <w:tr>
        <w:trPr>
          <w:trHeight w:val="196"/>
        </w:trPr>
        <w:tc>
          <w:tcPr>
            <w:tcW w:w="3200" w:type="dxa"/>
            <w:vAlign w:val="bottom"/>
            <w:tcBorders>
              <w:left w:val="single" w:sz="8" w:color="auto"/>
              <w:bottom w:val="single" w:sz="8" w:color="auto"/>
            </w:tcBorders>
          </w:tcPr>
          <w:p>
            <w:pPr>
              <w:spacing w:after="0"/>
              <w:rPr>
                <w:sz w:val="17"/>
                <w:szCs w:val="17"/>
                <w:color w:val="auto"/>
              </w:rPr>
            </w:pPr>
          </w:p>
        </w:tc>
        <w:tc>
          <w:tcPr>
            <w:tcW w:w="8040" w:type="dxa"/>
            <w:vAlign w:val="bottom"/>
            <w:tcBorders>
              <w:bottom w:val="single" w:sz="8" w:color="auto"/>
              <w:right w:val="single" w:sz="8" w:color="auto"/>
            </w:tcBorders>
          </w:tcPr>
          <w:p>
            <w:pPr>
              <w:ind w:left="1120"/>
              <w:spacing w:after="0" w:line="196" w:lineRule="exact"/>
              <w:rPr>
                <w:sz w:val="20"/>
                <w:szCs w:val="20"/>
                <w:color w:val="auto"/>
              </w:rPr>
            </w:pPr>
            <w:r>
              <w:rPr>
                <w:rFonts w:ascii="Arial" w:cs="Arial" w:eastAsia="Arial" w:hAnsi="Arial"/>
                <w:sz w:val="18"/>
                <w:szCs w:val="18"/>
                <w:color w:val="auto"/>
              </w:rPr>
              <w:t>and registered in the name of a nominee of The Depository</w:t>
            </w:r>
          </w:p>
        </w:tc>
      </w:tr>
      <w:tr>
        <w:trPr>
          <w:trHeight w:val="359"/>
        </w:trPr>
        <w:tc>
          <w:tcPr>
            <w:tcW w:w="3200" w:type="dxa"/>
            <w:vAlign w:val="bottom"/>
          </w:tcPr>
          <w:p>
            <w:pPr>
              <w:spacing w:after="0"/>
              <w:rPr>
                <w:sz w:val="24"/>
                <w:szCs w:val="24"/>
                <w:color w:val="auto"/>
              </w:rPr>
            </w:pPr>
          </w:p>
        </w:tc>
        <w:tc>
          <w:tcPr>
            <w:tcW w:w="8040" w:type="dxa"/>
            <w:vAlign w:val="bottom"/>
          </w:tcPr>
          <w:p>
            <w:pPr>
              <w:ind w:left="22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1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41186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320" w:right="140"/>
        <w:spacing w:after="0" w:line="236" w:lineRule="auto"/>
        <w:rPr>
          <w:sz w:val="20"/>
          <w:szCs w:val="20"/>
          <w:color w:val="auto"/>
        </w:rPr>
      </w:pPr>
      <w:r>
        <w:rPr>
          <w:rFonts w:ascii="Arial" w:cs="Arial" w:eastAsia="Arial" w:hAnsi="Arial"/>
          <w:sz w:val="18"/>
          <w:szCs w:val="18"/>
          <w:color w:val="auto"/>
        </w:rPr>
        <w:t>Trust Company (“DTC”) in New York, New York. Investors may elect to hold interests in the global notes through DTC and its direct or indirect participants as described under “Description of Debt Securities—Book-Entry; Delivery and Form; Global Securities” in the accompanying prospectus. The Notes of each series will be issued only in minimum denominations of $2,000 and integral multiples of $1,000 in excess thereof.</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Arial" w:cs="Arial" w:eastAsia="Arial" w:hAnsi="Arial"/>
                <w:sz w:val="18"/>
                <w:szCs w:val="18"/>
                <w:color w:val="auto"/>
              </w:rPr>
              <w:t>Settlement</w:t>
            </w: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w w:val="98"/>
              </w:rPr>
              <w:t>It is expected that delivery of the Notes will be made against payment therefor on or</w:t>
            </w:r>
          </w:p>
        </w:tc>
      </w:tr>
      <w:tr>
        <w:trPr>
          <w:trHeight w:val="203"/>
        </w:trPr>
        <w:tc>
          <w:tcPr>
            <w:tcW w:w="2700" w:type="dxa"/>
            <w:vAlign w:val="bottom"/>
          </w:tcPr>
          <w:p>
            <w:pPr>
              <w:spacing w:after="0"/>
              <w:rPr>
                <w:sz w:val="17"/>
                <w:szCs w:val="17"/>
                <w:color w:val="auto"/>
              </w:rPr>
            </w:pPr>
          </w:p>
        </w:tc>
        <w:tc>
          <w:tcPr>
            <w:tcW w:w="2160" w:type="dxa"/>
            <w:vAlign w:val="bottom"/>
          </w:tcPr>
          <w:p>
            <w:pPr>
              <w:ind w:left="1420"/>
              <w:spacing w:after="0" w:line="202" w:lineRule="exact"/>
              <w:rPr>
                <w:sz w:val="20"/>
                <w:szCs w:val="20"/>
                <w:color w:val="auto"/>
              </w:rPr>
            </w:pPr>
            <w:r>
              <w:rPr>
                <w:rFonts w:ascii="Arial" w:cs="Arial" w:eastAsia="Arial" w:hAnsi="Arial"/>
                <w:sz w:val="18"/>
                <w:szCs w:val="18"/>
                <w:color w:val="auto"/>
              </w:rPr>
              <w:t>about</w:t>
            </w:r>
          </w:p>
        </w:tc>
        <w:tc>
          <w:tcPr>
            <w:tcW w:w="5860" w:type="dxa"/>
            <w:vAlign w:val="bottom"/>
          </w:tcPr>
          <w:p>
            <w:pPr>
              <w:ind w:left="320"/>
              <w:spacing w:after="0" w:line="202" w:lineRule="exact"/>
              <w:rPr>
                <w:sz w:val="20"/>
                <w:szCs w:val="20"/>
                <w:color w:val="auto"/>
              </w:rPr>
            </w:pPr>
            <w:r>
              <w:rPr>
                <w:rFonts w:ascii="Arial" w:cs="Arial" w:eastAsia="Arial" w:hAnsi="Arial"/>
                <w:sz w:val="18"/>
                <w:szCs w:val="18"/>
                <w:color w:val="auto"/>
                <w:w w:val="97"/>
              </w:rPr>
              <w:t>, 2020, which will be the third business day following the date of pricing</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of the Notes (such settlement cycle being referred to herein as “T+3”). Under Rule</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w w:val="96"/>
              </w:rPr>
              <w:t>15c6-1 of the Exchange Act, trades in the secondary market generally are required to</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settle in two business days, unless the parties to any such trade expressly agree</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w w:val="96"/>
              </w:rPr>
              <w:t>otherwise. Accordingly, purchasers who wish to trade the Notes on the date of pricing</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w w:val="96"/>
              </w:rPr>
              <w:t>will be required, by virtue of the fact that the Notes initially will settle in T+3, to specify</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an alternate settlement cycle at the time of any such trade to prevent a failed</w:t>
            </w:r>
          </w:p>
        </w:tc>
      </w:tr>
      <w:tr>
        <w:trPr>
          <w:trHeight w:val="203"/>
        </w:trPr>
        <w:tc>
          <w:tcPr>
            <w:tcW w:w="2700" w:type="dxa"/>
            <w:vAlign w:val="bottom"/>
          </w:tcPr>
          <w:p>
            <w:pPr>
              <w:spacing w:after="0"/>
              <w:rPr>
                <w:sz w:val="17"/>
                <w:szCs w:val="17"/>
                <w:color w:val="auto"/>
              </w:rPr>
            </w:pPr>
          </w:p>
        </w:tc>
        <w:tc>
          <w:tcPr>
            <w:tcW w:w="802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settlement. Purchasers of the Notes who wish to trade those Notes on the date of</w:t>
            </w:r>
          </w:p>
        </w:tc>
      </w:tr>
      <w:tr>
        <w:trPr>
          <w:trHeight w:val="211"/>
        </w:trPr>
        <w:tc>
          <w:tcPr>
            <w:tcW w:w="2700" w:type="dxa"/>
            <w:vAlign w:val="bottom"/>
          </w:tcPr>
          <w:p>
            <w:pPr>
              <w:spacing w:after="0"/>
              <w:rPr>
                <w:sz w:val="18"/>
                <w:szCs w:val="18"/>
                <w:color w:val="auto"/>
              </w:rPr>
            </w:pP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rPr>
              <w:t>pricing should consult their own advisor.</w:t>
            </w:r>
          </w:p>
        </w:tc>
      </w:tr>
      <w:tr>
        <w:trPr>
          <w:trHeight w:val="405"/>
        </w:trPr>
        <w:tc>
          <w:tcPr>
            <w:tcW w:w="2700" w:type="dxa"/>
            <w:vAlign w:val="bottom"/>
          </w:tcPr>
          <w:p>
            <w:pPr>
              <w:spacing w:after="0"/>
              <w:rPr>
                <w:sz w:val="20"/>
                <w:szCs w:val="20"/>
                <w:color w:val="auto"/>
              </w:rPr>
            </w:pPr>
            <w:r>
              <w:rPr>
                <w:rFonts w:ascii="Arial" w:cs="Arial" w:eastAsia="Arial" w:hAnsi="Arial"/>
                <w:sz w:val="18"/>
                <w:szCs w:val="18"/>
                <w:color w:val="auto"/>
              </w:rPr>
              <w:t>Trustee</w:t>
            </w: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rPr>
              <w:t>The Bank of New York Mellon (the “Trustee”).</w:t>
            </w:r>
          </w:p>
        </w:tc>
      </w:tr>
      <w:tr>
        <w:trPr>
          <w:trHeight w:val="410"/>
        </w:trPr>
        <w:tc>
          <w:tcPr>
            <w:tcW w:w="2700" w:type="dxa"/>
            <w:vAlign w:val="bottom"/>
          </w:tcPr>
          <w:p>
            <w:pPr>
              <w:spacing w:after="0"/>
              <w:rPr>
                <w:sz w:val="20"/>
                <w:szCs w:val="20"/>
                <w:color w:val="auto"/>
              </w:rPr>
            </w:pPr>
            <w:r>
              <w:rPr>
                <w:rFonts w:ascii="Arial" w:cs="Arial" w:eastAsia="Arial" w:hAnsi="Arial"/>
                <w:sz w:val="18"/>
                <w:szCs w:val="18"/>
                <w:color w:val="auto"/>
              </w:rPr>
              <w:t>Use of Proceeds</w:t>
            </w: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w w:val="98"/>
              </w:rPr>
              <w:t>We intend to use the net proceeds from this offering for general corporate purposes.</w:t>
            </w:r>
          </w:p>
        </w:tc>
      </w:tr>
      <w:tr>
        <w:trPr>
          <w:trHeight w:val="211"/>
        </w:trPr>
        <w:tc>
          <w:tcPr>
            <w:tcW w:w="2700" w:type="dxa"/>
            <w:vAlign w:val="bottom"/>
          </w:tcPr>
          <w:p>
            <w:pPr>
              <w:spacing w:after="0"/>
              <w:rPr>
                <w:sz w:val="18"/>
                <w:szCs w:val="18"/>
                <w:color w:val="auto"/>
              </w:rPr>
            </w:pP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rPr>
              <w:t>See “Use of Proceeds.”</w:t>
            </w:r>
          </w:p>
        </w:tc>
      </w:tr>
      <w:tr>
        <w:trPr>
          <w:trHeight w:val="405"/>
        </w:trPr>
        <w:tc>
          <w:tcPr>
            <w:tcW w:w="2700" w:type="dxa"/>
            <w:vAlign w:val="bottom"/>
          </w:tcPr>
          <w:p>
            <w:pPr>
              <w:spacing w:after="0"/>
              <w:rPr>
                <w:sz w:val="20"/>
                <w:szCs w:val="20"/>
                <w:color w:val="auto"/>
              </w:rPr>
            </w:pPr>
            <w:r>
              <w:rPr>
                <w:rFonts w:ascii="Arial" w:cs="Arial" w:eastAsia="Arial" w:hAnsi="Arial"/>
                <w:sz w:val="18"/>
                <w:szCs w:val="18"/>
                <w:color w:val="auto"/>
              </w:rPr>
              <w:t>Governing Law</w:t>
            </w: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rPr>
              <w:t>State of New York.</w:t>
            </w:r>
          </w:p>
        </w:tc>
      </w:tr>
      <w:tr>
        <w:trPr>
          <w:trHeight w:val="410"/>
        </w:trPr>
        <w:tc>
          <w:tcPr>
            <w:tcW w:w="2700" w:type="dxa"/>
            <w:vAlign w:val="bottom"/>
          </w:tcPr>
          <w:p>
            <w:pPr>
              <w:spacing w:after="0"/>
              <w:rPr>
                <w:sz w:val="20"/>
                <w:szCs w:val="20"/>
                <w:color w:val="auto"/>
              </w:rPr>
            </w:pPr>
            <w:r>
              <w:rPr>
                <w:rFonts w:ascii="Arial" w:cs="Arial" w:eastAsia="Arial" w:hAnsi="Arial"/>
                <w:sz w:val="18"/>
                <w:szCs w:val="18"/>
                <w:color w:val="auto"/>
              </w:rPr>
              <w:t>Risk Factors</w:t>
            </w:r>
          </w:p>
        </w:tc>
        <w:tc>
          <w:tcPr>
            <w:tcW w:w="8020" w:type="dxa"/>
            <w:vAlign w:val="bottom"/>
            <w:gridSpan w:val="2"/>
          </w:tcPr>
          <w:p>
            <w:pPr>
              <w:ind w:left="1420"/>
              <w:spacing w:after="0"/>
              <w:rPr>
                <w:sz w:val="20"/>
                <w:szCs w:val="20"/>
                <w:color w:val="auto"/>
              </w:rPr>
            </w:pPr>
            <w:r>
              <w:rPr>
                <w:rFonts w:ascii="Arial" w:cs="Arial" w:eastAsia="Arial" w:hAnsi="Arial"/>
                <w:sz w:val="18"/>
                <w:szCs w:val="18"/>
                <w:color w:val="auto"/>
              </w:rPr>
              <w:t>See “Risk Factors” beginning on page S-6 of this prospectus supplement, in the</w:t>
            </w:r>
          </w:p>
        </w:tc>
      </w:tr>
    </w:tbl>
    <w:p>
      <w:pPr>
        <w:ind w:left="4320"/>
        <w:spacing w:after="0" w:line="238" w:lineRule="auto"/>
        <w:rPr>
          <w:sz w:val="20"/>
          <w:szCs w:val="20"/>
          <w:color w:val="auto"/>
        </w:rPr>
      </w:pPr>
      <w:r>
        <w:rPr>
          <w:rFonts w:ascii="Arial" w:cs="Arial" w:eastAsia="Arial" w:hAnsi="Arial"/>
          <w:sz w:val="18"/>
          <w:szCs w:val="18"/>
          <w:color w:val="auto"/>
        </w:rPr>
        <w:t>accompanying prospectus and in our periodic reports filed from time to time with the SEC for a discussion of risks you should carefully consider before deciding to invest in the Notes.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00"/>
          </w:cols>
          <w:pgMar w:left="32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right="40" w:firstLine="449"/>
        <w:spacing w:after="0" w:line="236" w:lineRule="auto"/>
        <w:rPr>
          <w:sz w:val="20"/>
          <w:szCs w:val="20"/>
          <w:color w:val="auto"/>
        </w:rPr>
      </w:pPr>
      <w:r>
        <w:rPr>
          <w:rFonts w:ascii="Arial" w:cs="Arial" w:eastAsia="Arial" w:hAnsi="Arial"/>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2019, as updated by our subsequent filings under the Exchange Act that are incorporated by reference herein, including our Quarterly Reports on Form 10-Q and our Current Reports on Form 8-K and any amendments thereof, before investing in the Notes.</w:t>
      </w:r>
    </w:p>
    <w:p>
      <w:pPr>
        <w:spacing w:after="0" w:line="2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Risks Related to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97" w:lineRule="exact"/>
        <w:rPr>
          <w:sz w:val="20"/>
          <w:szCs w:val="20"/>
          <w:color w:val="auto"/>
        </w:rPr>
      </w:pPr>
    </w:p>
    <w:p>
      <w:pPr>
        <w:ind w:firstLine="449"/>
        <w:spacing w:after="0" w:line="266" w:lineRule="auto"/>
        <w:rPr>
          <w:sz w:val="20"/>
          <w:szCs w:val="20"/>
          <w:color w:val="auto"/>
        </w:rPr>
      </w:pPr>
      <w:r>
        <w:rPr>
          <w:rFonts w:ascii="Arial" w:cs="Arial" w:eastAsia="Arial" w:hAnsi="Arial"/>
          <w:sz w:val="16"/>
          <w:szCs w:val="16"/>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2020, we had total consolidated liabilities of approximately $202.3 billion (including consolidated indebtedness of approximately $126.5 billion), of which $29.9 billion constitutes indebtedness of General Motors Company (parent company only) under our revolving credit facilities and our existing floating rate senior notes due 2020, floating rate senior notes due 2021,</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4.875% senior notes due 2023, 4.000% senior notes due 2025, 4.200% senior notes due 2027, 5.000% senior notes due 2028, 5.000% senior notes due 2035, 6.600% senior notes due 2036, 5.150% senior notes due 2038, 6.250% senior notes due 2043, 5.200% senior notes due 2045, 6.750% senior notes due 2046, 5.400% senior notes due 2048 and 5.950% senior notes due 2049 and substantially all of the remainder of which are liabilities of our subsidiaries. Furthermore, the credit agreements governing our revolving credit facilities (which provide for borrowings of up to $19.5 billion, of which $15.9 billion was drawn as of March 31, 2020) provide that, during any period in which our long term corporate credit rating is rated below investment grade by at least two of Moody’s Investors Service, Inc., Standard &amp; Poor’s Ratings Service or Fitch Ratings, certain of our domestic subsidiaries must guarantee the obligations of General Motors Company under such revolving credit facilities. In such event, the Notes would be structurally subordinated to the obligations of such subsidiaries under our revolving credit facilities.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6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Notes and $29.9 billion of other senior notes and borrowings under our revolving credit facilities,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For example, disruptions in economic activity resulting from the recent outbreak of the coronavirus (COVID-19) may have an adverse impact on our subsidiaries’ industries, their supply chains, their manufacturing operations and facilities, and/or their workforces. See “Risk Factors—</w:t>
      </w:r>
      <w:r>
        <w:rPr>
          <w:rFonts w:ascii="Arial" w:cs="Arial" w:eastAsia="Arial" w:hAnsi="Arial"/>
          <w:sz w:val="18"/>
          <w:szCs w:val="18"/>
          <w:i w:val="1"/>
          <w:iCs w:val="1"/>
          <w:color w:val="auto"/>
        </w:rPr>
        <w:t>The COVID-19 pandemic may disrupt our business and operations, which</w:t>
      </w:r>
      <w:r>
        <w:rPr>
          <w:rFonts w:ascii="Arial" w:cs="Arial" w:eastAsia="Arial" w:hAnsi="Arial"/>
          <w:sz w:val="18"/>
          <w:szCs w:val="18"/>
          <w:color w:val="auto"/>
        </w:rPr>
        <w:t xml:space="preserve"> </w:t>
      </w:r>
      <w:r>
        <w:rPr>
          <w:rFonts w:ascii="Arial" w:cs="Arial" w:eastAsia="Arial" w:hAnsi="Arial"/>
          <w:sz w:val="18"/>
          <w:szCs w:val="18"/>
          <w:i w:val="1"/>
          <w:iCs w:val="1"/>
          <w:color w:val="auto"/>
        </w:rPr>
        <w:t>could materially adversely impact our business, financial condition, liquidity and results of operations</w:t>
      </w:r>
      <w:r>
        <w:rPr>
          <w:rFonts w:ascii="Arial" w:cs="Arial" w:eastAsia="Arial" w:hAnsi="Arial"/>
          <w:sz w:val="18"/>
          <w:szCs w:val="18"/>
          <w:color w:val="auto"/>
        </w:rPr>
        <w:t>” in our Quarterly Report on Form 10-Q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March 31, 2020.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2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not:</w:t>
      </w:r>
    </w:p>
    <w:p>
      <w:pPr>
        <w:spacing w:after="0" w:line="77" w:lineRule="exact"/>
        <w:rPr>
          <w:sz w:val="20"/>
          <w:szCs w:val="20"/>
          <w:color w:val="auto"/>
        </w:rPr>
      </w:pPr>
    </w:p>
    <w:p>
      <w:pPr>
        <w:ind w:left="880" w:right="60" w:hanging="427"/>
        <w:spacing w:after="0" w:line="238"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72" w:lineRule="exact"/>
        <w:rPr>
          <w:rFonts w:ascii="Arial" w:cs="Arial" w:eastAsia="Arial" w:hAnsi="Arial"/>
          <w:sz w:val="18"/>
          <w:szCs w:val="18"/>
          <w:color w:val="auto"/>
        </w:rPr>
      </w:pPr>
    </w:p>
    <w:p>
      <w:pPr>
        <w:ind w:left="880" w:right="140" w:hanging="427"/>
        <w:spacing w:after="0" w:line="299"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27" w:lineRule="exact"/>
        <w:rPr>
          <w:rFonts w:ascii="Arial" w:cs="Arial" w:eastAsia="Arial" w:hAnsi="Arial"/>
          <w:sz w:val="16"/>
          <w:szCs w:val="16"/>
          <w:color w:val="auto"/>
        </w:rPr>
      </w:pPr>
    </w:p>
    <w:p>
      <w:pPr>
        <w:ind w:left="880" w:right="200" w:hanging="427"/>
        <w:spacing w:after="0" w:line="239"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73" w:lineRule="exact"/>
        <w:rPr>
          <w:rFonts w:ascii="Arial" w:cs="Arial" w:eastAsia="Arial" w:hAnsi="Arial"/>
          <w:sz w:val="18"/>
          <w:szCs w:val="18"/>
          <w:color w:val="auto"/>
        </w:rPr>
      </w:pPr>
    </w:p>
    <w:p>
      <w:pPr>
        <w:ind w:left="880" w:right="720" w:hanging="427"/>
        <w:spacing w:after="0" w:line="239"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76" w:lineRule="exact"/>
        <w:rPr>
          <w:rFonts w:ascii="Arial" w:cs="Arial" w:eastAsia="Arial" w:hAnsi="Arial"/>
          <w:sz w:val="18"/>
          <w:szCs w:val="18"/>
          <w:color w:val="auto"/>
        </w:rPr>
      </w:pPr>
    </w:p>
    <w:p>
      <w:pPr>
        <w:ind w:left="880" w:right="540" w:hanging="427"/>
        <w:spacing w:after="0" w:line="239"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49"/>
        <w:spacing w:after="0" w:line="237"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Although the Notes are referred to as “senior notes,” the Notes will be unsecured and will be effectively subordinated to any of our secured debt.</w:t>
      </w:r>
    </w:p>
    <w:p>
      <w:pPr>
        <w:spacing w:after="0" w:line="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1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If we default or any of our subsidiaries defaults on obligations to pay indebtedness, we may not be able to make payments on the Notes.</w:t>
      </w:r>
    </w:p>
    <w:p>
      <w:pPr>
        <w:spacing w:after="0" w:line="54" w:lineRule="exact"/>
        <w:rPr>
          <w:sz w:val="20"/>
          <w:szCs w:val="20"/>
          <w:color w:val="auto"/>
        </w:rPr>
      </w:pPr>
    </w:p>
    <w:p>
      <w:pPr>
        <w:ind w:right="120" w:firstLine="449"/>
        <w:spacing w:after="0" w:line="235" w:lineRule="auto"/>
        <w:rPr>
          <w:sz w:val="20"/>
          <w:szCs w:val="20"/>
          <w:color w:val="auto"/>
        </w:rPr>
      </w:pPr>
      <w:r>
        <w:rPr>
          <w:rFonts w:ascii="Arial" w:cs="Arial" w:eastAsia="Arial" w:hAnsi="Arial"/>
          <w:sz w:val="18"/>
          <w:szCs w:val="18"/>
          <w:color w:val="auto"/>
        </w:rPr>
        <w:t>Any default under agreements governing our indebtedness or the indebtedness of our subsidiaries, including any default under our three-year, $4.0 billion revolving credit facility, our five-year, $10.5 billion revolving credit facility, our 364-day $1.95 billion revolving credit facility, our three-year, $3.0 billion revolving credit facility or any future revolving credit facility that we may enter into, including the New 364-Day Revolving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currently no markets for the Notes, and we cannot assure you that active trading markets for the Notes will develop.</w:t>
      </w:r>
    </w:p>
    <w:p>
      <w:pPr>
        <w:spacing w:after="0" w:line="97"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discontinue such market-making at any time without notice. If no active trading markets develop or continue, you may be unable to resell the Notes at their fair value or at any price.</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Even if trading markets do develop, changes in our credit ratings or the debt markets could adversely affect the market prices of the Notes.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77"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76"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158" w:lineRule="exact"/>
        <w:rPr>
          <w:sz w:val="20"/>
          <w:szCs w:val="20"/>
          <w:color w:val="auto"/>
        </w:rPr>
      </w:pPr>
    </w:p>
    <w:p>
      <w:pPr>
        <w:jc w:val="both"/>
        <w:ind w:right="340" w:firstLine="449"/>
        <w:spacing w:after="0" w:line="238"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54" w:lineRule="exact"/>
        <w:rPr>
          <w:sz w:val="20"/>
          <w:szCs w:val="20"/>
          <w:color w:val="auto"/>
        </w:rPr>
      </w:pPr>
    </w:p>
    <w:p>
      <w:pPr>
        <w:ind w:firstLine="449"/>
        <w:spacing w:after="0" w:line="299"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32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We expect to receive total net proceeds of approximately $ billion from the issuance of the Notes, after deducting estimated underwriting discounts and commissions and estimated offering expenses payable by us. We intend to use the net proceeds from this offering for general corporate purposes. Our management will have broad discretion in the application of the net proceeds. Until we use the net proceeds from this offering, we intend to invest the funds in short-term investments, including marketable securities.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160" w:firstLine="449"/>
        <w:spacing w:after="0" w:line="264" w:lineRule="auto"/>
        <w:rPr>
          <w:sz w:val="20"/>
          <w:szCs w:val="20"/>
          <w:color w:val="auto"/>
        </w:rPr>
      </w:pPr>
      <w:r>
        <w:rPr>
          <w:rFonts w:ascii="Arial" w:cs="Arial" w:eastAsia="Arial" w:hAnsi="Arial"/>
          <w:sz w:val="16"/>
          <w:szCs w:val="16"/>
          <w:color w:val="auto"/>
        </w:rPr>
        <w:t>The Notes offered hereby will be issued as separate series of debt securities pursuant to the indenture (the “Base Indenture”) dated as of September 27, 2013 between GM and The Bank of New York Mellon, as trustee (the “Trustee”), as amended and supplemented by the sixth</w:t>
      </w:r>
    </w:p>
    <w:p>
      <w:pPr>
        <w:ind w:right="320"/>
        <w:spacing w:after="0" w:line="238" w:lineRule="auto"/>
        <w:rPr>
          <w:sz w:val="20"/>
          <w:szCs w:val="20"/>
          <w:color w:val="auto"/>
        </w:rPr>
      </w:pPr>
      <w:r>
        <w:rPr>
          <w:rFonts w:ascii="Arial" w:cs="Arial" w:eastAsia="Arial" w:hAnsi="Arial"/>
          <w:sz w:val="18"/>
          <w:szCs w:val="18"/>
          <w:color w:val="auto"/>
        </w:rPr>
        <w:t>supplemental indenture (the “Supplemental Indenture”) to be dated on or about , 2020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56" w:lineRule="exact"/>
        <w:rPr>
          <w:sz w:val="20"/>
          <w:szCs w:val="20"/>
          <w:color w:val="auto"/>
        </w:rPr>
      </w:pPr>
    </w:p>
    <w:p>
      <w:pPr>
        <w:ind w:right="160" w:firstLine="449"/>
        <w:spacing w:after="0" w:line="239"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50" w:lineRule="exact"/>
        <w:rPr>
          <w:sz w:val="20"/>
          <w:szCs w:val="20"/>
          <w:color w:val="auto"/>
        </w:rPr>
      </w:pPr>
    </w:p>
    <w:p>
      <w:pPr>
        <w:ind w:left="460"/>
        <w:spacing w:after="0"/>
        <w:tabs>
          <w:tab w:leader="none" w:pos="1220" w:val="left"/>
          <w:tab w:leader="none" w:pos="3600" w:val="left"/>
          <w:tab w:leader="none" w:pos="4080" w:val="left"/>
          <w:tab w:leader="none" w:pos="4920" w:val="left"/>
          <w:tab w:leader="none" w:pos="7280" w:val="left"/>
          <w:tab w:leader="none" w:pos="7820" w:val="left"/>
          <w:tab w:leader="none" w:pos="890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 the 20</w:t>
        <w:tab/>
        <w:t>Notes will mature on</w:t>
      </w:r>
      <w:r>
        <w:rPr>
          <w:sz w:val="20"/>
          <w:szCs w:val="20"/>
          <w:color w:val="auto"/>
        </w:rPr>
        <w:tab/>
      </w:r>
      <w:r>
        <w:rPr>
          <w:rFonts w:ascii="Arial" w:cs="Arial" w:eastAsia="Arial" w:hAnsi="Arial"/>
          <w:sz w:val="18"/>
          <w:szCs w:val="18"/>
          <w:color w:val="auto"/>
        </w:rPr>
        <w:t>, 20</w:t>
        <w:tab/>
        <w:t>and the 20</w:t>
      </w:r>
      <w:r>
        <w:rPr>
          <w:sz w:val="20"/>
          <w:szCs w:val="20"/>
          <w:color w:val="auto"/>
        </w:rPr>
        <w:tab/>
      </w:r>
      <w:r>
        <w:rPr>
          <w:rFonts w:ascii="Arial" w:cs="Arial" w:eastAsia="Arial" w:hAnsi="Arial"/>
          <w:sz w:val="16"/>
          <w:szCs w:val="16"/>
          <w:color w:val="auto"/>
        </w:rPr>
        <w:t>Notes will mature</w:t>
      </w:r>
    </w:p>
    <w:p>
      <w:pPr>
        <w:spacing w:after="0"/>
        <w:tabs>
          <w:tab w:leader="none" w:pos="960" w:val="left"/>
          <w:tab w:leader="none" w:pos="14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in each case unless we redeem such Notes prior to their respective maturity dates, as described below under “—Optional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158" w:lineRule="exact"/>
        <w:rPr>
          <w:sz w:val="20"/>
          <w:szCs w:val="20"/>
          <w:color w:val="auto"/>
        </w:rPr>
      </w:pPr>
    </w:p>
    <w:p>
      <w:pPr>
        <w:ind w:right="480" w:firstLine="449"/>
        <w:spacing w:after="0" w:line="238"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ectPr>
          <w:pgSz w:w="11900" w:h="16838" w:orient="portrait"/>
          <w:cols w:equalWidth="0" w:num="1">
            <w:col w:w="11240"/>
          </w:cols>
          <w:pgMar w:left="320" w:top="459" w:right="339" w:bottom="1440" w:gutter="0" w:footer="0" w:header="0"/>
        </w:sectPr>
      </w:pPr>
    </w:p>
    <w:p>
      <w:pPr>
        <w:spacing w:after="0" w:line="99" w:lineRule="exact"/>
        <w:rPr>
          <w:sz w:val="20"/>
          <w:szCs w:val="20"/>
          <w:color w:val="auto"/>
        </w:rPr>
      </w:pPr>
    </w:p>
    <w:p>
      <w:pPr>
        <w:ind w:firstLine="449"/>
        <w:spacing w:after="0" w:line="239" w:lineRule="auto"/>
        <w:rPr>
          <w:sz w:val="20"/>
          <w:szCs w:val="20"/>
          <w:color w:val="auto"/>
        </w:rPr>
      </w:pPr>
      <w:r>
        <w:rPr>
          <w:rFonts w:ascii="Arial" w:cs="Arial" w:eastAsia="Arial" w:hAnsi="Arial"/>
          <w:sz w:val="18"/>
          <w:szCs w:val="18"/>
          <w:color w:val="auto"/>
        </w:rPr>
        <w:t>The 20 Notes will initially be limited to $ aggregate principal amount, the 20 Notes will initially be limited to $ principal amount and the 20 Notes will initially be limited to $ aggregate principal amount.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aggregate</w:t>
      </w:r>
    </w:p>
    <w:p>
      <w:pPr>
        <w:spacing w:after="0" w:line="383" w:lineRule="exact"/>
        <w:rPr>
          <w:sz w:val="20"/>
          <w:szCs w:val="20"/>
          <w:color w:val="auto"/>
        </w:rPr>
      </w:pPr>
    </w:p>
    <w:p>
      <w:pPr>
        <w:sectPr>
          <w:pgSz w:w="11900" w:h="16838" w:orient="portrait"/>
          <w:cols w:equalWidth="0" w:num="2">
            <w:col w:w="9780" w:space="620"/>
            <w:col w:w="840"/>
          </w:cols>
          <w:pgMar w:left="320" w:top="459" w:right="339" w:bottom="1440" w:gutter="0" w:footer="0" w:header="0"/>
          <w:type w:val="continuous"/>
        </w:sectPr>
      </w:pPr>
    </w:p>
    <w:p>
      <w:pPr>
        <w:ind w:right="80" w:firstLine="449"/>
        <w:spacing w:after="0" w:line="238" w:lineRule="auto"/>
        <w:rPr>
          <w:sz w:val="20"/>
          <w:szCs w:val="20"/>
          <w:color w:val="auto"/>
        </w:rPr>
      </w:pPr>
      <w:r>
        <w:rPr>
          <w:rFonts w:ascii="Arial" w:cs="Arial" w:eastAsia="Arial" w:hAnsi="Arial"/>
          <w:sz w:val="18"/>
          <w:szCs w:val="18"/>
          <w:color w:val="auto"/>
        </w:rPr>
        <w:t>The 20 Notes will bear interest at a rate of % per year, the 20 Notes will bear interest at a rate of % per year and the 20 Notes will bear interest at a rate of % per year. Each series of Notes will accrue interest, calculated on the basis of a 360-day year consisting of twelve 30-day months, from , 2020, or, in each case, from the most recent interest payment date to which interest has been paid or</w:t>
      </w:r>
    </w:p>
    <w:p>
      <w:pPr>
        <w:sectPr>
          <w:pgSz w:w="11900" w:h="16838" w:orient="portrait"/>
          <w:cols w:equalWidth="0" w:num="1">
            <w:col w:w="11240"/>
          </w:cols>
          <w:pgMar w:left="320" w:top="459" w:right="339" w:bottom="1440" w:gutter="0" w:footer="0" w:header="0"/>
          <w:type w:val="continuous"/>
        </w:sectPr>
      </w:pPr>
    </w:p>
    <w:p>
      <w:pPr>
        <w:ind w:right="100"/>
        <w:spacing w:after="0" w:line="234" w:lineRule="auto"/>
        <w:rPr>
          <w:sz w:val="20"/>
          <w:szCs w:val="20"/>
          <w:color w:val="auto"/>
        </w:rPr>
      </w:pPr>
      <w:r>
        <w:rPr>
          <w:rFonts w:ascii="Arial" w:cs="Arial" w:eastAsia="Arial" w:hAnsi="Arial"/>
          <w:sz w:val="18"/>
          <w:szCs w:val="18"/>
          <w:color w:val="auto"/>
        </w:rPr>
        <w:t>duly provided for, which, in each case, will be payable in arrears on and of each year, with the first payment to be made on , 2020, to the person in whose name such Notes are registered at the close of business on the or , as the case may be, next preceding the relevant interest payment date.</w:t>
      </w:r>
    </w:p>
    <w:p>
      <w:pPr>
        <w:sectPr>
          <w:pgSz w:w="11900" w:h="16838" w:orient="portrait"/>
          <w:cols w:equalWidth="0" w:num="1">
            <w:col w:w="11240"/>
          </w:cols>
          <w:pgMar w:left="320" w:top="459" w:right="339" w:bottom="1440" w:gutter="0" w:footer="0" w:header="0"/>
          <w:type w:val="continuous"/>
        </w:sectPr>
      </w:pPr>
    </w:p>
    <w:p>
      <w:pPr>
        <w:spacing w:after="0" w:line="156" w:lineRule="exact"/>
        <w:rPr>
          <w:sz w:val="20"/>
          <w:szCs w:val="20"/>
          <w:color w:val="auto"/>
        </w:rPr>
      </w:pPr>
    </w:p>
    <w:p>
      <w:pPr>
        <w:ind w:right="320" w:firstLine="449"/>
        <w:spacing w:after="0" w:line="239" w:lineRule="auto"/>
        <w:rPr>
          <w:sz w:val="20"/>
          <w:szCs w:val="20"/>
          <w:color w:val="auto"/>
        </w:rPr>
      </w:pPr>
      <w:r>
        <w:rPr>
          <w:rFonts w:ascii="Arial" w:cs="Arial" w:eastAsia="Arial" w:hAnsi="Arial"/>
          <w:sz w:val="18"/>
          <w:szCs w:val="18"/>
          <w:color w:val="auto"/>
        </w:rPr>
        <w:t>If any interest payment date, stated maturity date or earlier redemption date for any series of Notes falls on a day that is not a Business Day, we will make the required payment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459"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 Notes</w:t>
      </w:r>
    </w:p>
    <w:p>
      <w:pPr>
        <w:spacing w:after="0" w:line="97" w:lineRule="exact"/>
        <w:rPr>
          <w:sz w:val="20"/>
          <w:szCs w:val="20"/>
          <w:color w:val="auto"/>
        </w:rPr>
      </w:pPr>
    </w:p>
    <w:p>
      <w:pPr>
        <w:jc w:val="both"/>
        <w:ind w:right="120" w:firstLine="449"/>
        <w:spacing w:after="0" w:line="239" w:lineRule="auto"/>
        <w:rPr>
          <w:sz w:val="20"/>
          <w:szCs w:val="20"/>
          <w:color w:val="auto"/>
        </w:rPr>
      </w:pPr>
      <w:r>
        <w:rPr>
          <w:rFonts w:ascii="Arial" w:cs="Arial" w:eastAsia="Arial" w:hAnsi="Arial"/>
          <w:sz w:val="18"/>
          <w:szCs w:val="18"/>
          <w:color w:val="auto"/>
        </w:rPr>
        <w:t>The Notes of each series will be issued in fully registered form only, in denominations of $2,000 and integral multiples of $1,000 in excess thereof.</w:t>
      </w:r>
    </w:p>
    <w:p>
      <w:pPr>
        <w:spacing w:after="0" w:line="155" w:lineRule="exact"/>
        <w:rPr>
          <w:sz w:val="20"/>
          <w:szCs w:val="20"/>
          <w:color w:val="auto"/>
        </w:rPr>
      </w:pPr>
    </w:p>
    <w:p>
      <w:pPr>
        <w:ind w:right="160" w:firstLine="449"/>
        <w:spacing w:after="0" w:line="236" w:lineRule="auto"/>
        <w:rPr>
          <w:sz w:val="20"/>
          <w:szCs w:val="20"/>
          <w:color w:val="auto"/>
        </w:rPr>
      </w:pPr>
      <w:r>
        <w:rPr>
          <w:rFonts w:ascii="Arial" w:cs="Arial" w:eastAsia="Arial" w:hAnsi="Arial"/>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57" w:lineRule="exact"/>
        <w:rPr>
          <w:sz w:val="20"/>
          <w:szCs w:val="20"/>
          <w:color w:val="auto"/>
        </w:rPr>
      </w:pPr>
    </w:p>
    <w:p>
      <w:pPr>
        <w:jc w:val="both"/>
        <w:ind w:right="120" w:firstLine="449"/>
        <w:spacing w:after="0" w:line="238" w:lineRule="auto"/>
        <w:rPr>
          <w:sz w:val="20"/>
          <w:szCs w:val="20"/>
          <w:color w:val="auto"/>
        </w:rPr>
      </w:pPr>
      <w:r>
        <w:rPr>
          <w:rFonts w:ascii="Arial" w:cs="Arial" w:eastAsia="Arial" w:hAnsi="Arial"/>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9"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9" w:lineRule="exact"/>
        <w:rPr>
          <w:sz w:val="20"/>
          <w:szCs w:val="20"/>
          <w:color w:val="auto"/>
        </w:rPr>
      </w:pPr>
    </w:p>
    <w:p>
      <w:pPr>
        <w:ind w:right="40" w:firstLine="449"/>
        <w:spacing w:after="0" w:line="236" w:lineRule="auto"/>
        <w:rPr>
          <w:sz w:val="20"/>
          <w:szCs w:val="20"/>
          <w:color w:val="auto"/>
        </w:rPr>
      </w:pPr>
      <w:r>
        <w:rPr>
          <w:rFonts w:ascii="Arial" w:cs="Arial" w:eastAsia="Arial" w:hAnsi="Arial"/>
          <w:sz w:val="18"/>
          <w:szCs w:val="18"/>
          <w:color w:val="auto"/>
        </w:rPr>
        <w:t>The 20 Notes are redeemable at any time prior to maturity, as a whole or in part, at our option, on not less than 10 days’ nor more than 60 days’ notice before the applicable redemption date delivered to the registered address of each holder of the 20 Notes to be redeemed, at a redemption price equal to the greater of (i) 100% of the principal amount of the 20 Notes to be redeemed; and (ii) as determined by us, the sum of the present values of the remaining scheduled payments of principal and interest on the 20 Notes to be redeemed that would be due from the redemption date to maturity (except that, if such redemption date is not an interest payment date, the amount of the next succeeding scheduled interest payment will be reduced by the amount of interest accrued thereon to the redemption date), discounted to the redemption date on a semi-annual basis at the applicable discount rate for the 20 Notes, plus accrued and unpaid interest, if any, on the principal amount of the 20 Notes to be redeemed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6500" w:val="left"/>
          <w:tab w:leader="none" w:pos="9940" w:val="left"/>
        </w:tabs>
        <w:rPr>
          <w:sz w:val="20"/>
          <w:szCs w:val="20"/>
          <w:color w:val="auto"/>
        </w:rPr>
      </w:pPr>
      <w:r>
        <w:rPr>
          <w:rFonts w:ascii="Arial" w:cs="Arial" w:eastAsia="Arial" w:hAnsi="Arial"/>
          <w:sz w:val="18"/>
          <w:szCs w:val="18"/>
          <w:color w:val="auto"/>
        </w:rPr>
        <w:t>to, but not including, the applicable redemption date. The discount rate for the 20</w:t>
        <w:tab/>
        <w:t>Notes will be the Treasury Rate plus</w:t>
      </w:r>
      <w:r>
        <w:rPr>
          <w:sz w:val="20"/>
          <w:szCs w:val="20"/>
          <w:color w:val="auto"/>
        </w:rPr>
        <w:tab/>
      </w:r>
      <w:r>
        <w:rPr>
          <w:rFonts w:ascii="Arial" w:cs="Arial" w:eastAsia="Arial" w:hAnsi="Arial"/>
          <w:sz w:val="16"/>
          <w:szCs w:val="16"/>
          <w:color w:val="auto"/>
        </w:rPr>
        <w:t>basis points.</w:t>
      </w:r>
    </w:p>
    <w:p>
      <w:pPr>
        <w:spacing w:after="0" w:line="158" w:lineRule="exact"/>
        <w:rPr>
          <w:sz w:val="20"/>
          <w:szCs w:val="20"/>
          <w:color w:val="auto"/>
        </w:rPr>
      </w:pPr>
    </w:p>
    <w:p>
      <w:pPr>
        <w:ind w:firstLine="449"/>
        <w:spacing w:after="0" w:line="264" w:lineRule="auto"/>
        <w:rPr>
          <w:sz w:val="20"/>
          <w:szCs w:val="20"/>
          <w:color w:val="auto"/>
        </w:rPr>
      </w:pPr>
      <w:r>
        <w:rPr>
          <w:rFonts w:ascii="Arial" w:cs="Arial" w:eastAsia="Arial" w:hAnsi="Arial"/>
          <w:sz w:val="16"/>
          <w:szCs w:val="16"/>
          <w:color w:val="auto"/>
        </w:rPr>
        <w:t>The 20 Notes and the 20 Notes are redeemable at any time prior to the applicable Par Call Date (as defined below), as a whole or in part, at our option, on not less than 10 days’ nor more than 60 days’ notice before the applicable redemption date delivered to the registered address of each holder of the Notes to be redeemed, at a redemption price equal to the greater of (i) 100% of the principal amount of the Notes to be redeemed; and (ii) as determined by us, the sum of the present values of the remaining scheduled payments of principal and interest on such series of Notes to be redeemed that would be due from the redemption date to the applicable Par Call Date (except that, if such redemption date is not an interest payment date, the amount of the next succeeding scheduled interest payment will be reduced by the amount of interest accrued thereon to the redemption date), discounted to the redemption date on a semi-annual basis at the applicable discount rate for the Notes, plus accrued and unpaid interest, if any, on the principal amount of the Notes to be redeemed to, but not including, the applicable redemption</w:t>
      </w:r>
    </w:p>
    <w:p>
      <w:pPr>
        <w:spacing w:after="0" w:line="1"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date. The discount rate for the 20 will be the Treasury Rate plus basis points. The discount rate for the 20 Notes will be the Treasury Rate plus basis points.</w:t>
      </w:r>
    </w:p>
    <w:p>
      <w:pPr>
        <w:spacing w:after="0" w:line="155" w:lineRule="exact"/>
        <w:rPr>
          <w:sz w:val="20"/>
          <w:szCs w:val="20"/>
          <w:color w:val="auto"/>
        </w:rPr>
      </w:pPr>
    </w:p>
    <w:p>
      <w:pPr>
        <w:ind w:right="240" w:firstLine="449"/>
        <w:spacing w:after="0" w:line="275" w:lineRule="auto"/>
        <w:rPr>
          <w:sz w:val="20"/>
          <w:szCs w:val="20"/>
          <w:color w:val="auto"/>
        </w:rPr>
      </w:pPr>
      <w:r>
        <w:rPr>
          <w:rFonts w:ascii="Arial" w:cs="Arial" w:eastAsia="Arial" w:hAnsi="Arial"/>
          <w:sz w:val="16"/>
          <w:szCs w:val="16"/>
          <w:color w:val="auto"/>
        </w:rPr>
        <w:t>The 20 Notes and the 20 Notes will be redeemable at any time on or after the applicable Par Call Date, as a whole or in part, at our option, on not less than 10 days’ nor more than 60 days’ notice before the applicable redemption date delivered to the registered address of each holder of the Notes to be redeemed, at a redemption price equal to 100% of the principal amount of the Notes to be redeemed, plus accrued and unpaid interest, if any, on the principal amount of the Notes to be redeemed to, but not including, the applicable redemption date.</w:t>
      </w:r>
    </w:p>
    <w:p>
      <w:pPr>
        <w:spacing w:after="0" w:line="129" w:lineRule="exact"/>
        <w:rPr>
          <w:sz w:val="20"/>
          <w:szCs w:val="20"/>
          <w:color w:val="auto"/>
        </w:rPr>
      </w:pPr>
    </w:p>
    <w:p>
      <w:pPr>
        <w:ind w:right="360" w:firstLine="449"/>
        <w:spacing w:after="0" w:line="239"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37" w:lineRule="exact"/>
        <w:rPr>
          <w:sz w:val="20"/>
          <w:szCs w:val="20"/>
          <w:color w:val="auto"/>
        </w:rPr>
      </w:pPr>
    </w:p>
    <w:p>
      <w:pPr>
        <w:ind w:right="60" w:firstLine="44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 (assuming for this purpose, in the case of the 20 Notes and the 20 Notes only, that such Notes mature on the applicable Par Call Date).</w:t>
      </w:r>
    </w:p>
    <w:p>
      <w:pPr>
        <w:spacing w:after="0" w:line="135" w:lineRule="exact"/>
        <w:rPr>
          <w:sz w:val="20"/>
          <w:szCs w:val="20"/>
          <w:color w:val="auto"/>
        </w:rPr>
      </w:pPr>
    </w:p>
    <w:p>
      <w:pPr>
        <w:ind w:right="300" w:firstLine="44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as determined by us, (A) the average of the five Reference Treasury Dealer Quotations for such redemption date, after excluding the highest and lowest of the Reference Treasury Dealer Quotations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 if we obtain fewer than five Reference Treasury Dealer Quotations, the average of all Reference Treasury Dealer Quotations so received.</w:t>
      </w:r>
    </w:p>
    <w:p>
      <w:pPr>
        <w:sectPr>
          <w:pgSz w:w="11900" w:h="16838" w:orient="portrait"/>
          <w:cols w:equalWidth="0" w:num="1">
            <w:col w:w="11240"/>
          </w:cols>
          <w:pgMar w:left="320" w:top="459" w:right="339" w:bottom="1440" w:gutter="0" w:footer="0" w:header="0"/>
        </w:sectPr>
      </w:pPr>
    </w:p>
    <w:p>
      <w:pPr>
        <w:spacing w:after="0" w:line="140" w:lineRule="exact"/>
        <w:rPr>
          <w:sz w:val="20"/>
          <w:szCs w:val="20"/>
          <w:color w:val="auto"/>
        </w:rPr>
      </w:pPr>
    </w:p>
    <w:p>
      <w:pPr>
        <w:ind w:left="460"/>
        <w:spacing w:after="0"/>
        <w:tabs>
          <w:tab w:leader="none" w:pos="3000" w:val="left"/>
          <w:tab w:leader="none" w:pos="3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in the case of the 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Notes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months prior to maturity), and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in the case</w:t>
      </w:r>
    </w:p>
    <w:p>
      <w:pPr>
        <w:spacing w:after="0" w:line="21" w:lineRule="exact"/>
        <w:rPr>
          <w:sz w:val="20"/>
          <w:szCs w:val="20"/>
          <w:color w:val="auto"/>
        </w:rPr>
      </w:pPr>
    </w:p>
    <w:p>
      <w:pPr>
        <w:sectPr>
          <w:pgSz w:w="11900" w:h="16838" w:orient="portrait"/>
          <w:cols w:equalWidth="0" w:num="5">
            <w:col w:w="5180" w:space="200"/>
            <w:col w:w="620" w:space="720"/>
            <w:col w:w="2360" w:space="720"/>
            <w:col w:w="300" w:space="200"/>
            <w:col w:w="940"/>
          </w:cols>
          <w:pgMar w:left="320" w:top="459" w:right="339" w:bottom="1440" w:gutter="0" w:footer="0" w:header="0"/>
          <w:type w:val="continuous"/>
        </w:sectPr>
      </w:pPr>
    </w:p>
    <w:p>
      <w:pPr>
        <w:spacing w:after="0"/>
        <w:tabs>
          <w:tab w:leader="none" w:pos="920" w:val="left"/>
          <w:tab w:leader="none" w:pos="2060" w:val="left"/>
        </w:tabs>
        <w:rPr>
          <w:sz w:val="20"/>
          <w:szCs w:val="20"/>
          <w:color w:val="auto"/>
        </w:rPr>
      </w:pPr>
      <w:r>
        <w:rPr>
          <w:rFonts w:ascii="Arial" w:cs="Arial" w:eastAsia="Arial" w:hAnsi="Arial"/>
          <w:sz w:val="18"/>
          <w:szCs w:val="18"/>
          <w:color w:val="auto"/>
        </w:rPr>
        <w:t>of the 20</w:t>
        <w:tab/>
        <w:t>Notes (</w:t>
      </w:r>
      <w:r>
        <w:rPr>
          <w:sz w:val="20"/>
          <w:szCs w:val="20"/>
          <w:color w:val="auto"/>
        </w:rPr>
        <w:tab/>
      </w:r>
      <w:r>
        <w:rPr>
          <w:rFonts w:ascii="Arial" w:cs="Arial" w:eastAsia="Arial" w:hAnsi="Arial"/>
          <w:sz w:val="16"/>
          <w:szCs w:val="16"/>
          <w:color w:val="auto"/>
        </w:rPr>
        <w:t>months prior to maturity).</w:t>
      </w:r>
    </w:p>
    <w:p>
      <w:pPr>
        <w:sectPr>
          <w:pgSz w:w="11900" w:h="16838" w:orient="portrait"/>
          <w:cols w:equalWidth="0" w:num="1">
            <w:col w:w="11240"/>
          </w:cols>
          <w:pgMar w:left="320" w:top="459" w:right="339" w:bottom="1440" w:gutter="0" w:footer="0" w:header="0"/>
          <w:type w:val="continuous"/>
        </w:sectPr>
      </w:pPr>
    </w:p>
    <w:p>
      <w:pPr>
        <w:spacing w:after="0" w:line="136" w:lineRule="exact"/>
        <w:rPr>
          <w:sz w:val="20"/>
          <w:szCs w:val="20"/>
          <w:color w:val="auto"/>
        </w:rPr>
      </w:pPr>
    </w:p>
    <w:p>
      <w:pPr>
        <w:ind w:right="40" w:firstLine="4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Barclays Capital Inc., BofA Securities, Inc., Citigroup Global Markets Inc., Goldman Sachs &amp; Co. LLC, J.P. Morgan Securities LLC and Morgan Stanley &amp; Co. LLC and their respective successors, unless any of them ceases to be a primary United States Government securities dealer in New York City (a “Primary Treasury Dealer”), in which case we will substitute therefor another nationally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459"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recognized investment banking firm that is a Primary Treasury Dealer and (ii) two other nationally recognized investment banking firms that are Primary Treasury Dealers as selected by us.</w:t>
      </w:r>
    </w:p>
    <w:p>
      <w:pPr>
        <w:spacing w:after="0" w:line="137" w:lineRule="exact"/>
        <w:rPr>
          <w:sz w:val="20"/>
          <w:szCs w:val="20"/>
          <w:color w:val="auto"/>
        </w:rPr>
      </w:pPr>
    </w:p>
    <w:p>
      <w:pPr>
        <w:ind w:right="180" w:firstLine="4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34" w:lineRule="exact"/>
        <w:rPr>
          <w:sz w:val="20"/>
          <w:szCs w:val="20"/>
          <w:color w:val="auto"/>
        </w:rPr>
      </w:pPr>
    </w:p>
    <w:p>
      <w:pPr>
        <w:jc w:val="both"/>
        <w:ind w:right="220" w:firstLine="44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14" w:lineRule="exact"/>
        <w:rPr>
          <w:sz w:val="20"/>
          <w:szCs w:val="20"/>
          <w:color w:val="auto"/>
        </w:rPr>
      </w:pPr>
    </w:p>
    <w:p>
      <w:pPr>
        <w:ind w:right="60" w:firstLine="449"/>
        <w:spacing w:after="0" w:line="239"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applicable series of or portions of such Notes called for redemption.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definitions shall be applicable to the covenants specified below:</w:t>
      </w:r>
    </w:p>
    <w:p>
      <w:pPr>
        <w:spacing w:after="0" w:line="158"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48" w:lineRule="exact"/>
        <w:rPr>
          <w:sz w:val="20"/>
          <w:szCs w:val="20"/>
          <w:color w:val="auto"/>
        </w:rPr>
      </w:pPr>
    </w:p>
    <w:p>
      <w:pPr>
        <w:ind w:right="220" w:firstLine="4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6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40" w:lineRule="exact"/>
        <w:rPr>
          <w:sz w:val="20"/>
          <w:szCs w:val="20"/>
          <w:color w:val="auto"/>
        </w:rPr>
      </w:pPr>
    </w:p>
    <w:p>
      <w:pPr>
        <w:ind w:right="780" w:firstLine="44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any mortgage, pledge, lien, security interest, conditional sale or other title retention agreement or other similar encumbrance.</w:t>
      </w:r>
    </w:p>
    <w:p>
      <w:pPr>
        <w:spacing w:after="0" w:line="119" w:lineRule="exact"/>
        <w:rPr>
          <w:sz w:val="20"/>
          <w:szCs w:val="20"/>
          <w:color w:val="auto"/>
        </w:rPr>
      </w:pPr>
    </w:p>
    <w:p>
      <w:pPr>
        <w:ind w:right="60" w:firstLine="44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Domestic Manufacturing Property</w:t>
      </w:r>
      <w:r>
        <w:rPr>
          <w:rFonts w:ascii="Arial" w:cs="Arial" w:eastAsia="Arial" w:hAnsi="Arial"/>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40" w:lineRule="exact"/>
        <w:rPr>
          <w:sz w:val="20"/>
          <w:szCs w:val="20"/>
          <w:color w:val="auto"/>
        </w:rPr>
      </w:pPr>
    </w:p>
    <w:p>
      <w:pPr>
        <w:ind w:right="60" w:firstLine="4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4"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i w:val="1"/>
          <w:iCs w:val="1"/>
          <w:color w:val="auto"/>
        </w:rPr>
        <w:t xml:space="preserve">Limitation on Liens. </w:t>
      </w:r>
      <w:r>
        <w:rPr>
          <w:rFonts w:ascii="Arial" w:cs="Arial" w:eastAsia="Arial" w:hAnsi="Arial"/>
          <w:sz w:val="18"/>
          <w:szCs w:val="18"/>
          <w:color w:val="auto"/>
        </w:rPr>
        <w:t>For the benefit of the Notes, we will not, nor will we permit any Manufacturing Subsidiary to, issue or assume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77" w:lineRule="exact"/>
        <w:rPr>
          <w:sz w:val="20"/>
          <w:szCs w:val="20"/>
          <w:color w:val="auto"/>
        </w:rPr>
      </w:pPr>
    </w:p>
    <w:p>
      <w:pPr>
        <w:ind w:left="1000" w:right="660" w:hanging="547"/>
        <w:spacing w:after="0" w:line="23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73" w:lineRule="exact"/>
        <w:rPr>
          <w:rFonts w:ascii="Arial" w:cs="Arial" w:eastAsia="Arial" w:hAnsi="Arial"/>
          <w:sz w:val="18"/>
          <w:szCs w:val="18"/>
          <w:color w:val="auto"/>
        </w:rPr>
      </w:pPr>
    </w:p>
    <w:p>
      <w:pPr>
        <w:ind w:left="1000" w:right="500" w:hanging="547"/>
        <w:spacing w:after="0" w:line="23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or to secure the payment of all or any part of the purchase or construction price of property, or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00" w:right="360"/>
        <w:spacing w:after="0" w:line="238" w:lineRule="auto"/>
        <w:rPr>
          <w:sz w:val="20"/>
          <w:szCs w:val="20"/>
          <w:color w:val="auto"/>
        </w:rPr>
      </w:pPr>
      <w:r>
        <w:rPr>
          <w:rFonts w:ascii="Arial" w:cs="Arial" w:eastAsia="Arial" w:hAnsi="Arial"/>
          <w:sz w:val="18"/>
          <w:szCs w:val="18"/>
          <w:color w:val="auto"/>
        </w:rPr>
        <w:t>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3" w:lineRule="exact"/>
        <w:rPr>
          <w:sz w:val="20"/>
          <w:szCs w:val="20"/>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76" w:lineRule="exact"/>
        <w:rPr>
          <w:rFonts w:ascii="Arial" w:cs="Arial" w:eastAsia="Arial" w:hAnsi="Arial"/>
          <w:sz w:val="18"/>
          <w:szCs w:val="18"/>
          <w:color w:val="auto"/>
        </w:rPr>
      </w:pPr>
    </w:p>
    <w:p>
      <w:pPr>
        <w:jc w:val="both"/>
        <w:ind w:left="1000" w:right="160" w:hanging="547"/>
        <w:spacing w:after="0" w:line="23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72" w:lineRule="exact"/>
        <w:rPr>
          <w:rFonts w:ascii="Arial" w:cs="Arial" w:eastAsia="Arial" w:hAnsi="Arial"/>
          <w:sz w:val="18"/>
          <w:szCs w:val="18"/>
          <w:color w:val="auto"/>
        </w:rPr>
      </w:pPr>
    </w:p>
    <w:p>
      <w:pPr>
        <w:ind w:left="1000" w:right="40" w:hanging="547"/>
        <w:spacing w:after="0" w:line="23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4" w:lineRule="exact"/>
        <w:rPr>
          <w:rFonts w:ascii="Arial" w:cs="Arial" w:eastAsia="Arial" w:hAnsi="Arial"/>
          <w:sz w:val="18"/>
          <w:szCs w:val="18"/>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76" w:lineRule="exact"/>
        <w:rPr>
          <w:rFonts w:ascii="Arial" w:cs="Arial" w:eastAsia="Arial" w:hAnsi="Arial"/>
          <w:sz w:val="18"/>
          <w:szCs w:val="18"/>
          <w:color w:val="auto"/>
        </w:rPr>
      </w:pPr>
    </w:p>
    <w:p>
      <w:pPr>
        <w:ind w:left="1000" w:right="220" w:hanging="547"/>
        <w:spacing w:after="0" w:line="23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39" w:lineRule="exact"/>
        <w:rPr>
          <w:sz w:val="20"/>
          <w:szCs w:val="20"/>
          <w:color w:val="auto"/>
        </w:rPr>
      </w:pPr>
    </w:p>
    <w:p>
      <w:pPr>
        <w:ind w:right="20" w:firstLine="449"/>
        <w:spacing w:after="0" w:line="241" w:lineRule="auto"/>
        <w:rPr>
          <w:sz w:val="20"/>
          <w:szCs w:val="20"/>
          <w:color w:val="auto"/>
        </w:rPr>
      </w:pPr>
      <w:r>
        <w:rPr>
          <w:rFonts w:ascii="Arial" w:cs="Arial" w:eastAsia="Arial" w:hAnsi="Arial"/>
          <w:sz w:val="18"/>
          <w:szCs w:val="18"/>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72" w:lineRule="exact"/>
        <w:rPr>
          <w:sz w:val="20"/>
          <w:szCs w:val="20"/>
          <w:color w:val="auto"/>
        </w:rPr>
      </w:pPr>
    </w:p>
    <w:p>
      <w:pPr>
        <w:ind w:left="1000" w:right="40" w:hanging="547"/>
        <w:spacing w:after="0" w:line="23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73" w:lineRule="exact"/>
        <w:rPr>
          <w:rFonts w:ascii="Arial" w:cs="Arial" w:eastAsia="Arial" w:hAnsi="Arial"/>
          <w:sz w:val="18"/>
          <w:szCs w:val="18"/>
          <w:color w:val="auto"/>
        </w:rPr>
      </w:pPr>
    </w:p>
    <w:p>
      <w:pPr>
        <w:ind w:left="1000" w:hanging="547"/>
        <w:spacing w:after="0" w:line="23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00"/>
        <w:spacing w:after="0" w:line="237" w:lineRule="auto"/>
        <w:rPr>
          <w:sz w:val="20"/>
          <w:szCs w:val="20"/>
          <w:color w:val="auto"/>
        </w:rPr>
      </w:pPr>
      <w:r>
        <w:rPr>
          <w:rFonts w:ascii="Arial" w:cs="Arial" w:eastAsia="Arial" w:hAnsi="Arial"/>
          <w:sz w:val="18"/>
          <w:szCs w:val="18"/>
          <w:color w:val="auto"/>
        </w:rPr>
        <w:t>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w:t>
      </w:r>
    </w:p>
    <w:p>
      <w:pPr>
        <w:spacing w:after="0" w:line="180" w:lineRule="exact"/>
        <w:rPr>
          <w:sz w:val="20"/>
          <w:szCs w:val="20"/>
          <w:color w:val="auto"/>
        </w:rPr>
      </w:pPr>
    </w:p>
    <w:p>
      <w:pPr>
        <w:ind w:right="80" w:firstLine="449"/>
        <w:spacing w:after="0" w:line="268" w:lineRule="auto"/>
        <w:rPr>
          <w:sz w:val="20"/>
          <w:szCs w:val="20"/>
          <w:color w:val="auto"/>
        </w:rPr>
      </w:pPr>
      <w:r>
        <w:rPr>
          <w:rFonts w:ascii="Arial" w:cs="Arial" w:eastAsia="Arial" w:hAnsi="Arial"/>
          <w:sz w:val="16"/>
          <w:szCs w:val="16"/>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80" w:lineRule="exact"/>
        <w:rPr>
          <w:sz w:val="20"/>
          <w:szCs w:val="20"/>
          <w:color w:val="auto"/>
        </w:rPr>
      </w:pPr>
    </w:p>
    <w:p>
      <w:pPr>
        <w:ind w:right="540" w:firstLine="449"/>
        <w:spacing w:after="0" w:line="239"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TAX CONSIDERATIONS</w:t>
      </w:r>
    </w:p>
    <w:p>
      <w:pPr>
        <w:spacing w:after="0" w:line="180" w:lineRule="exact"/>
        <w:rPr>
          <w:sz w:val="20"/>
          <w:szCs w:val="20"/>
          <w:color w:val="auto"/>
        </w:rPr>
      </w:pPr>
    </w:p>
    <w:p>
      <w:pPr>
        <w:ind w:right="80" w:firstLine="449"/>
        <w:spacing w:after="0" w:line="236" w:lineRule="auto"/>
        <w:rPr>
          <w:sz w:val="20"/>
          <w:szCs w:val="20"/>
          <w:color w:val="auto"/>
        </w:rPr>
      </w:pPr>
      <w:r>
        <w:rPr>
          <w:rFonts w:ascii="Arial" w:cs="Arial" w:eastAsia="Arial" w:hAnsi="Arial"/>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5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60" w:lineRule="exact"/>
        <w:rPr>
          <w:sz w:val="20"/>
          <w:szCs w:val="20"/>
          <w:color w:val="auto"/>
        </w:rPr>
      </w:pPr>
    </w:p>
    <w:p>
      <w:pPr>
        <w:ind w:right="40" w:firstLine="449"/>
        <w:spacing w:after="0" w:line="237"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2" w:lineRule="exact"/>
        <w:rPr>
          <w:sz w:val="20"/>
          <w:szCs w:val="20"/>
          <w:color w:val="auto"/>
        </w:rPr>
      </w:pPr>
    </w:p>
    <w:p>
      <w:pPr>
        <w:ind w:right="40" w:firstLine="449"/>
        <w:spacing w:after="0" w:line="249"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47" w:lineRule="exact"/>
        <w:rPr>
          <w:sz w:val="20"/>
          <w:szCs w:val="20"/>
          <w:color w:val="auto"/>
        </w:rPr>
      </w:pPr>
    </w:p>
    <w:p>
      <w:pPr>
        <w:ind w:right="40" w:firstLine="449"/>
        <w:spacing w:after="0" w:line="271" w:lineRule="auto"/>
        <w:rPr>
          <w:sz w:val="20"/>
          <w:szCs w:val="20"/>
          <w:color w:val="auto"/>
        </w:rPr>
      </w:pPr>
      <w:r>
        <w:rPr>
          <w:rFonts w:ascii="Arial" w:cs="Arial" w:eastAsia="Arial" w:hAnsi="Arial"/>
          <w:sz w:val="16"/>
          <w:szCs w:val="16"/>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49"/>
        <w:spacing w:after="0" w:line="238"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54" w:lineRule="exact"/>
        <w:rPr>
          <w:sz w:val="20"/>
          <w:szCs w:val="20"/>
          <w:color w:val="auto"/>
        </w:rPr>
      </w:pPr>
    </w:p>
    <w:p>
      <w:pPr>
        <w:ind w:firstLine="449"/>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Stated Interest</w:t>
      </w:r>
    </w:p>
    <w:p>
      <w:pPr>
        <w:spacing w:after="0" w:line="97" w:lineRule="exact"/>
        <w:rPr>
          <w:sz w:val="20"/>
          <w:szCs w:val="20"/>
          <w:color w:val="auto"/>
        </w:rPr>
      </w:pPr>
    </w:p>
    <w:p>
      <w:pPr>
        <w:ind w:right="80" w:firstLine="449"/>
        <w:spacing w:after="0" w:line="239"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Original Issue Discount</w:t>
      </w:r>
    </w:p>
    <w:p>
      <w:pPr>
        <w:spacing w:after="0" w:line="79" w:lineRule="exact"/>
        <w:rPr>
          <w:sz w:val="20"/>
          <w:szCs w:val="20"/>
          <w:color w:val="auto"/>
        </w:rPr>
      </w:pPr>
    </w:p>
    <w:p>
      <w:pPr>
        <w:ind w:right="140" w:firstLine="449"/>
        <w:spacing w:after="0" w:line="241"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any series of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97" w:lineRule="exact"/>
        <w:rPr>
          <w:sz w:val="20"/>
          <w:szCs w:val="20"/>
          <w:color w:val="auto"/>
        </w:rPr>
      </w:pPr>
    </w:p>
    <w:p>
      <w:pPr>
        <w:ind w:right="80" w:firstLine="449"/>
        <w:spacing w:after="0" w:line="235"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7"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 and Disposition of Notes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discussion below:</w:t>
      </w:r>
    </w:p>
    <w:p>
      <w:pPr>
        <w:spacing w:after="0" w:line="77" w:lineRule="exact"/>
        <w:rPr>
          <w:sz w:val="20"/>
          <w:szCs w:val="20"/>
          <w:color w:val="auto"/>
        </w:rPr>
      </w:pPr>
    </w:p>
    <w:p>
      <w:pPr>
        <w:ind w:left="1000" w:right="40" w:hanging="547"/>
        <w:spacing w:after="0" w:line="23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74" w:lineRule="exact"/>
        <w:rPr>
          <w:rFonts w:ascii="Arial" w:cs="Arial" w:eastAsia="Arial" w:hAnsi="Arial"/>
          <w:sz w:val="18"/>
          <w:szCs w:val="18"/>
          <w:color w:val="auto"/>
        </w:rPr>
      </w:pPr>
    </w:p>
    <w:p>
      <w:pPr>
        <w:ind w:left="1000" w:right="220" w:hanging="547"/>
        <w:spacing w:after="0" w:line="23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54"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54"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54" w:lineRule="exact"/>
        <w:rPr>
          <w:sz w:val="20"/>
          <w:szCs w:val="20"/>
          <w:color w:val="auto"/>
        </w:rPr>
      </w:pPr>
    </w:p>
    <w:p>
      <w:pPr>
        <w:ind w:right="100" w:firstLine="449"/>
        <w:spacing w:after="0" w:line="235" w:lineRule="auto"/>
        <w:rPr>
          <w:sz w:val="20"/>
          <w:szCs w:val="20"/>
          <w:color w:val="auto"/>
        </w:rPr>
      </w:pPr>
      <w:r>
        <w:rPr>
          <w:rFonts w:ascii="Arial" w:cs="Arial" w:eastAsia="Arial" w:hAnsi="Arial"/>
          <w:sz w:val="18"/>
          <w:szCs w:val="18"/>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60" w:lineRule="exact"/>
        <w:rPr>
          <w:sz w:val="20"/>
          <w:szCs w:val="20"/>
          <w:color w:val="auto"/>
        </w:rPr>
      </w:pPr>
    </w:p>
    <w:p>
      <w:pPr>
        <w:jc w:val="both"/>
        <w:ind w:right="120" w:firstLine="449"/>
        <w:spacing w:after="0" w:line="238" w:lineRule="auto"/>
        <w:rPr>
          <w:sz w:val="20"/>
          <w:szCs w:val="20"/>
          <w:color w:val="auto"/>
        </w:rPr>
      </w:pPr>
      <w:r>
        <w:rPr>
          <w:rFonts w:ascii="Arial" w:cs="Arial" w:eastAsia="Arial" w:hAnsi="Arial"/>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w:t>
      </w:r>
    </w:p>
    <w:p>
      <w:pPr>
        <w:spacing w:after="0" w:line="97" w:lineRule="exact"/>
        <w:rPr>
          <w:sz w:val="20"/>
          <w:szCs w:val="20"/>
          <w:color w:val="auto"/>
        </w:rPr>
      </w:pPr>
    </w:p>
    <w:p>
      <w:pPr>
        <w:ind w:right="40" w:firstLine="449"/>
        <w:spacing w:after="0" w:line="267" w:lineRule="auto"/>
        <w:rPr>
          <w:sz w:val="20"/>
          <w:szCs w:val="20"/>
          <w:color w:val="auto"/>
        </w:rPr>
      </w:pPr>
      <w:r>
        <w:rPr>
          <w:rFonts w:ascii="Arial" w:cs="Arial" w:eastAsia="Arial" w:hAnsi="Arial"/>
          <w:sz w:val="16"/>
          <w:szCs w:val="16"/>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 withheld by filing a U.S. federal income tax return (which may entail a significant administrative burden). Proposed Treasury regulations eliminate the 30% FATCA withholding on payments of gross proceeds. The preamble to those proposed Treasury regulations provides that taxpayers may rely on these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7" w:lineRule="exact"/>
        <w:rPr>
          <w:sz w:val="20"/>
          <w:szCs w:val="20"/>
          <w:color w:val="auto"/>
        </w:rPr>
      </w:pPr>
    </w:p>
    <w:p>
      <w:pPr>
        <w:ind w:right="60" w:firstLine="449"/>
        <w:spacing w:after="0" w:line="237"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54" w:lineRule="exact"/>
        <w:rPr>
          <w:sz w:val="20"/>
          <w:szCs w:val="20"/>
          <w:color w:val="auto"/>
        </w:rPr>
      </w:pPr>
    </w:p>
    <w:p>
      <w:pPr>
        <w:ind w:right="60" w:firstLine="449"/>
        <w:spacing w:after="0" w:line="236"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55" w:lineRule="exact"/>
        <w:rPr>
          <w:sz w:val="20"/>
          <w:szCs w:val="20"/>
          <w:color w:val="auto"/>
        </w:rPr>
      </w:pPr>
    </w:p>
    <w:p>
      <w:pPr>
        <w:ind w:firstLine="449"/>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97" w:lineRule="exact"/>
        <w:rPr>
          <w:sz w:val="20"/>
          <w:szCs w:val="20"/>
          <w:color w:val="auto"/>
        </w:rPr>
      </w:pPr>
    </w:p>
    <w:p>
      <w:pPr>
        <w:ind w:right="400" w:firstLine="449"/>
        <w:spacing w:after="0" w:line="236" w:lineRule="auto"/>
        <w:rPr>
          <w:sz w:val="20"/>
          <w:szCs w:val="20"/>
          <w:color w:val="auto"/>
        </w:rPr>
      </w:pPr>
      <w:r>
        <w:rPr>
          <w:rFonts w:ascii="Arial" w:cs="Arial" w:eastAsia="Arial" w:hAnsi="Arial"/>
          <w:sz w:val="18"/>
          <w:szCs w:val="18"/>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 (ii) amounts treated as interest earned on the Note are not effectively connected with the conduct of a trade or business in the United States by such Non-U.S. Holder.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jc w:val="both"/>
        <w:ind w:right="240" w:firstLine="449"/>
        <w:spacing w:after="0" w:line="238"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for whom Deutsche Bank Securities Inc. is acting as representative, have severally agreed to purchase, and we have agreed to sell to each underwriter, the principal amount of the Notes set forth opposite the underwriter’s name.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Principal</w:t>
            </w:r>
          </w:p>
        </w:tc>
        <w:tc>
          <w:tcPr>
            <w:tcW w:w="5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Principal</w:t>
            </w:r>
          </w:p>
        </w:tc>
        <w:tc>
          <w:tcPr>
            <w:tcW w:w="4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Amount of</w:t>
            </w:r>
          </w:p>
        </w:tc>
        <w:tc>
          <w:tcPr>
            <w:tcW w:w="5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Amount of</w:t>
            </w:r>
          </w:p>
        </w:tc>
        <w:tc>
          <w:tcPr>
            <w:tcW w:w="4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Underwriter</w:t>
            </w:r>
          </w:p>
        </w:tc>
        <w:tc>
          <w:tcPr>
            <w:tcW w:w="7200" w:type="dxa"/>
            <w:vAlign w:val="bottom"/>
            <w:vMerge w:val="restart"/>
          </w:tcPr>
          <w:p>
            <w:pPr>
              <w:spacing w:after="0"/>
              <w:rPr>
                <w:sz w:val="12"/>
                <w:szCs w:val="12"/>
                <w:color w:val="auto"/>
              </w:rPr>
            </w:pPr>
          </w:p>
        </w:tc>
        <w:tc>
          <w:tcPr>
            <w:tcW w:w="740" w:type="dxa"/>
            <w:vAlign w:val="bottom"/>
          </w:tcPr>
          <w:p>
            <w:pPr>
              <w:jc w:val="right"/>
              <w:ind w:right="286"/>
              <w:spacing w:after="0"/>
              <w:rPr>
                <w:sz w:val="20"/>
                <w:szCs w:val="20"/>
                <w:color w:val="auto"/>
              </w:rPr>
            </w:pPr>
            <w:r>
              <w:rPr>
                <w:rFonts w:ascii="Arial" w:cs="Arial" w:eastAsia="Arial" w:hAnsi="Arial"/>
                <w:sz w:val="13"/>
                <w:szCs w:val="13"/>
                <w:b w:val="1"/>
                <w:bCs w:val="1"/>
                <w:color w:val="auto"/>
              </w:rPr>
              <w:t>20</w:t>
            </w:r>
          </w:p>
        </w:tc>
        <w:tc>
          <w:tcPr>
            <w:tcW w:w="124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20</w:t>
            </w:r>
          </w:p>
        </w:tc>
        <w:tc>
          <w:tcPr>
            <w:tcW w:w="1280" w:type="dxa"/>
            <w:vAlign w:val="bottom"/>
            <w:gridSpan w:val="2"/>
          </w:tcPr>
          <w:p>
            <w:pPr>
              <w:jc w:val="right"/>
              <w:ind w:right="353"/>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vMerge w:val="continue"/>
          </w:tcPr>
          <w:p>
            <w:pPr>
              <w:spacing w:after="0"/>
              <w:rPr>
                <w:sz w:val="13"/>
                <w:szCs w:val="13"/>
                <w:color w:val="auto"/>
              </w:rPr>
            </w:pPr>
          </w:p>
        </w:tc>
        <w:tc>
          <w:tcPr>
            <w:tcW w:w="7200" w:type="dxa"/>
            <w:vAlign w:val="bottom"/>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Notes</w:t>
            </w:r>
          </w:p>
        </w:tc>
        <w:tc>
          <w:tcPr>
            <w:tcW w:w="5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Notes</w:t>
            </w:r>
          </w:p>
        </w:tc>
        <w:tc>
          <w:tcPr>
            <w:tcW w:w="4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Notes</w:t>
            </w:r>
          </w:p>
        </w:tc>
        <w:tc>
          <w:tcPr>
            <w:tcW w:w="0" w:type="dxa"/>
            <w:vAlign w:val="bottom"/>
          </w:tcPr>
          <w:p>
            <w:pPr>
              <w:spacing w:after="0"/>
              <w:rPr>
                <w:sz w:val="1"/>
                <w:szCs w:val="1"/>
                <w:color w:val="auto"/>
              </w:rPr>
            </w:pPr>
          </w:p>
        </w:tc>
      </w:tr>
      <w:tr>
        <w:trPr>
          <w:trHeight w:val="20"/>
        </w:trPr>
        <w:tc>
          <w:tcPr>
            <w:tcW w:w="7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gridSpan w:val="2"/>
            <w:vMerge w:val="continue"/>
            <w:shd w:val="clear" w:color="auto" w:fill="CCEEFF"/>
          </w:tcPr>
          <w:p>
            <w:pPr>
              <w:spacing w:after="0"/>
              <w:rPr>
                <w:sz w:val="16"/>
                <w:szCs w:val="16"/>
                <w:color w:val="auto"/>
              </w:rPr>
            </w:pPr>
          </w:p>
        </w:tc>
        <w:tc>
          <w:tcPr>
            <w:tcW w:w="740" w:type="dxa"/>
            <w:vAlign w:val="bottom"/>
            <w:shd w:val="clear" w:color="auto" w:fill="CCEEFF"/>
          </w:tcPr>
          <w:p>
            <w:pPr>
              <w:jc w:val="right"/>
              <w:ind w:right="566"/>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73"/>
              <w:spacing w:after="0" w:line="189"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6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80" w:type="dxa"/>
            <w:vAlign w:val="bottom"/>
            <w:gridSpan w:val="2"/>
          </w:tcPr>
          <w:p>
            <w:pPr>
              <w:spacing w:after="0" w:line="202" w:lineRule="exact"/>
              <w:rPr>
                <w:sz w:val="20"/>
                <w:szCs w:val="20"/>
                <w:color w:val="auto"/>
              </w:rPr>
            </w:pPr>
            <w:r>
              <w:rPr>
                <w:rFonts w:ascii="Arial" w:cs="Arial" w:eastAsia="Arial" w:hAnsi="Arial"/>
                <w:sz w:val="18"/>
                <w:szCs w:val="18"/>
                <w:color w:val="auto"/>
              </w:rPr>
              <w:t>Barclays Capital Inc.</w:t>
            </w: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740" w:type="dxa"/>
            <w:vAlign w:val="bottom"/>
            <w:tcBorders>
              <w:bottom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ind w:right="566"/>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449"/>
        <w:spacing w:after="0" w:line="237"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54"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 amount of the 20 Notes, % of the principal amount of the 20 Notes and % of the principal amount of the 20 Notes. In addition, the underwriters may allow, and those selected dealers may reallow, a concession of up to % of the principal amount of the 20 Notes, % of the principal amount of the 20 Notes and % of the principal amount of the 20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54" w:lineRule="exact"/>
        <w:rPr>
          <w:sz w:val="20"/>
          <w:szCs w:val="20"/>
          <w:color w:val="auto"/>
        </w:rPr>
      </w:pPr>
    </w:p>
    <w:p>
      <w:pPr>
        <w:ind w:firstLine="449"/>
        <w:spacing w:after="0" w:line="237"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54" w:lineRule="exact"/>
        <w:rPr>
          <w:sz w:val="20"/>
          <w:szCs w:val="20"/>
          <w:color w:val="auto"/>
        </w:rPr>
      </w:pPr>
    </w:p>
    <w:p>
      <w:pPr>
        <w:jc w:val="both"/>
        <w:ind w:right="100" w:firstLine="449"/>
        <w:spacing w:after="0" w:line="237" w:lineRule="auto"/>
        <w:rPr>
          <w:sz w:val="20"/>
          <w:szCs w:val="20"/>
          <w:color w:val="auto"/>
        </w:rPr>
      </w:pPr>
      <w:r>
        <w:rPr>
          <w:rFonts w:ascii="Arial" w:cs="Arial" w:eastAsia="Arial" w:hAnsi="Arial"/>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54" w:lineRule="exact"/>
        <w:rPr>
          <w:sz w:val="20"/>
          <w:szCs w:val="20"/>
          <w:color w:val="auto"/>
        </w:rPr>
      </w:pPr>
    </w:p>
    <w:p>
      <w:pPr>
        <w:ind w:right="160" w:firstLine="449"/>
        <w:spacing w:after="0" w:line="299" w:lineRule="auto"/>
        <w:rPr>
          <w:sz w:val="20"/>
          <w:szCs w:val="20"/>
          <w:color w:val="auto"/>
        </w:rPr>
      </w:pPr>
      <w:r>
        <w:rPr>
          <w:rFonts w:ascii="Arial" w:cs="Arial" w:eastAsia="Arial" w:hAnsi="Arial"/>
          <w:sz w:val="16"/>
          <w:szCs w:val="16"/>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 20 Note (expressed as a percentage)</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4400" w:type="dxa"/>
            <w:vAlign w:val="bottom"/>
          </w:tcPr>
          <w:p>
            <w:pPr>
              <w:jc w:val="right"/>
              <w:ind w:right="1492"/>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 Note (expressed as a percentage)</w:t>
            </w:r>
          </w:p>
        </w:tc>
        <w:tc>
          <w:tcPr>
            <w:tcW w:w="4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4400" w:type="dxa"/>
            <w:vAlign w:val="bottom"/>
          </w:tcPr>
          <w:p>
            <w:pPr>
              <w:jc w:val="right"/>
              <w:ind w:right="1492"/>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 Note (expressed as a percentage)</w:t>
            </w:r>
          </w:p>
        </w:tc>
        <w:tc>
          <w:tcPr>
            <w:tcW w:w="4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5940" w:type="dxa"/>
            <w:vAlign w:val="bottom"/>
          </w:tcPr>
          <w:p>
            <w:pPr>
              <w:ind w:left="440"/>
              <w:spacing w:after="0"/>
              <w:rPr>
                <w:sz w:val="20"/>
                <w:szCs w:val="20"/>
                <w:color w:val="auto"/>
              </w:rPr>
            </w:pPr>
            <w:r>
              <w:rPr>
                <w:rFonts w:ascii="Arial" w:cs="Arial" w:eastAsia="Arial" w:hAnsi="Arial"/>
                <w:sz w:val="18"/>
                <w:szCs w:val="18"/>
                <w:color w:val="auto"/>
              </w:rPr>
              <w:t>Total</w:t>
            </w:r>
          </w:p>
        </w:tc>
        <w:tc>
          <w:tcPr>
            <w:tcW w:w="4400" w:type="dxa"/>
            <w:vAlign w:val="bottom"/>
          </w:tcPr>
          <w:p>
            <w:pPr>
              <w:jc w:val="right"/>
              <w:ind w:right="1492"/>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our portion of the total expenses of the offering, exclusive of the underwriter discounts payable by us in the offering and</w:t>
      </w:r>
    </w:p>
    <w:p>
      <w:pPr>
        <w:spacing w:after="0" w:line="19"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reimbursements of certain expenses incurred in connection with the offering, will be $</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left="460"/>
        <w:spacing w:after="0"/>
        <w:tabs>
          <w:tab w:leader="none" w:pos="8040" w:val="left"/>
        </w:tabs>
        <w:rPr>
          <w:sz w:val="20"/>
          <w:szCs w:val="20"/>
          <w:color w:val="auto"/>
        </w:rPr>
      </w:pPr>
      <w:r>
        <w:rPr>
          <w:rFonts w:ascii="Arial" w:cs="Arial" w:eastAsia="Arial" w:hAnsi="Arial"/>
          <w:sz w:val="18"/>
          <w:szCs w:val="18"/>
          <w:color w:val="auto"/>
        </w:rPr>
        <w:t>It is expected that delivery of the Notes will be made against payment therefor on or about</w:t>
      </w:r>
      <w:r>
        <w:rPr>
          <w:sz w:val="20"/>
          <w:szCs w:val="20"/>
          <w:color w:val="auto"/>
        </w:rPr>
        <w:tab/>
      </w:r>
      <w:r>
        <w:rPr>
          <w:rFonts w:ascii="Arial" w:cs="Arial" w:eastAsia="Arial" w:hAnsi="Arial"/>
          <w:sz w:val="16"/>
          <w:szCs w:val="16"/>
          <w:color w:val="auto"/>
        </w:rPr>
        <w:t>, 2020, which will be the third business</w:t>
      </w:r>
    </w:p>
    <w:p>
      <w:pPr>
        <w:spacing w:after="0" w:line="236" w:lineRule="auto"/>
        <w:rPr>
          <w:sz w:val="20"/>
          <w:szCs w:val="20"/>
          <w:color w:val="auto"/>
        </w:rPr>
      </w:pPr>
      <w:r>
        <w:rPr>
          <w:rFonts w:ascii="Arial" w:cs="Arial" w:eastAsia="Arial" w:hAnsi="Arial"/>
          <w:sz w:val="18"/>
          <w:szCs w:val="18"/>
          <w:color w:val="auto"/>
        </w:rPr>
        <w:t>day 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57" w:lineRule="exact"/>
        <w:rPr>
          <w:sz w:val="20"/>
          <w:szCs w:val="20"/>
          <w:color w:val="auto"/>
        </w:rPr>
      </w:pPr>
    </w:p>
    <w:p>
      <w:pPr>
        <w:ind w:right="240" w:firstLine="449"/>
        <w:spacing w:after="0" w:line="239"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880" w:right="20" w:hanging="427"/>
        <w:spacing w:after="0" w:line="23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73" w:lineRule="exact"/>
        <w:rPr>
          <w:rFonts w:ascii="Arial" w:cs="Arial" w:eastAsia="Arial" w:hAnsi="Arial"/>
          <w:sz w:val="18"/>
          <w:szCs w:val="18"/>
          <w:color w:val="auto"/>
        </w:rPr>
      </w:pPr>
    </w:p>
    <w:p>
      <w:pPr>
        <w:ind w:left="880" w:right="80" w:hanging="427"/>
        <w:spacing w:after="0" w:line="23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880" w:hanging="42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ind w:right="360" w:firstLine="449"/>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particular, one or more of the underwriters of this offering are expected to act as lenders and/or agents under the New 364-Day Revolving Facility.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60" w:lineRule="exact"/>
        <w:rPr>
          <w:sz w:val="20"/>
          <w:szCs w:val="20"/>
          <w:color w:val="auto"/>
        </w:rPr>
      </w:pPr>
    </w:p>
    <w:p>
      <w:pPr>
        <w:ind w:right="40" w:firstLine="44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55" w:lineRule="exact"/>
        <w:rPr>
          <w:sz w:val="20"/>
          <w:szCs w:val="20"/>
          <w:color w:val="auto"/>
        </w:rPr>
      </w:pPr>
    </w:p>
    <w:p>
      <w:pPr>
        <w:ind w:right="400" w:firstLine="449"/>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97" w:lineRule="exact"/>
        <w:rPr>
          <w:sz w:val="20"/>
          <w:szCs w:val="20"/>
          <w:color w:val="auto"/>
        </w:rPr>
      </w:pPr>
    </w:p>
    <w:p>
      <w:pPr>
        <w:ind w:right="60" w:firstLine="449"/>
        <w:spacing w:after="0" w:line="23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2016/97/EU,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49"/>
        <w:spacing w:after="0" w:line="237" w:lineRule="auto"/>
        <w:rPr>
          <w:sz w:val="20"/>
          <w:szCs w:val="20"/>
          <w:color w:val="auto"/>
        </w:rPr>
      </w:pPr>
      <w:r>
        <w:rPr>
          <w:rFonts w:ascii="Arial" w:cs="Arial" w:eastAsia="Arial" w:hAnsi="Arial"/>
          <w:sz w:val="18"/>
          <w:szCs w:val="18"/>
          <w:color w:val="auto"/>
        </w:rPr>
        <w:t>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7"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In addition, in the United Kingdom, this prospectus supplement and the accompanying prospectus is being distributed only to, and is directed only at, and any offer subsequently made may only be directed at persons who are non-retail investors (being persons who are not retail investors, as defined above)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document relates is only available to, and will only be engaged in with, relevant persons.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97" w:lineRule="exact"/>
        <w:rPr>
          <w:sz w:val="20"/>
          <w:szCs w:val="20"/>
          <w:color w:val="auto"/>
        </w:rPr>
      </w:pPr>
    </w:p>
    <w:p>
      <w:pPr>
        <w:ind w:right="60" w:firstLine="449"/>
        <w:spacing w:after="0" w:line="268" w:lineRule="auto"/>
        <w:rPr>
          <w:sz w:val="20"/>
          <w:szCs w:val="20"/>
          <w:color w:val="auto"/>
        </w:rPr>
      </w:pPr>
      <w:r>
        <w:rPr>
          <w:rFonts w:ascii="Arial" w:cs="Arial" w:eastAsia="Arial" w:hAnsi="Arial"/>
          <w:sz w:val="16"/>
          <w:szCs w:val="16"/>
          <w:color w:val="auto"/>
        </w:rPr>
        <w:t>This prospectus supplement and accompanying prospectus have not been approved by or registered with the Securities and Futures Commission of Hong Kong or the Registrar of Companies of Hong Kong. 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97" w:lineRule="exact"/>
        <w:rPr>
          <w:sz w:val="20"/>
          <w:szCs w:val="20"/>
          <w:color w:val="auto"/>
        </w:rPr>
      </w:pPr>
    </w:p>
    <w:p>
      <w:pPr>
        <w:ind w:right="100" w:firstLine="449"/>
        <w:spacing w:after="0" w:line="236"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97" w:lineRule="exact"/>
        <w:rPr>
          <w:sz w:val="20"/>
          <w:szCs w:val="20"/>
          <w:color w:val="auto"/>
        </w:rPr>
      </w:pPr>
    </w:p>
    <w:p>
      <w:pPr>
        <w:ind w:right="60" w:firstLine="449"/>
        <w:spacing w:after="0" w:line="236"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55"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54" w:lineRule="exact"/>
        <w:rPr>
          <w:sz w:val="20"/>
          <w:szCs w:val="20"/>
          <w:color w:val="auto"/>
        </w:rPr>
      </w:pPr>
    </w:p>
    <w:p>
      <w:pPr>
        <w:ind w:firstLine="449"/>
        <w:spacing w:after="0" w:line="236"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SFA, the company has determined, and hereby notifies all relevant persons (as defined in Section 309A of the Securities and Futures Act)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97" w:lineRule="exact"/>
        <w:rPr>
          <w:sz w:val="20"/>
          <w:szCs w:val="20"/>
          <w:color w:val="auto"/>
        </w:rPr>
      </w:pPr>
    </w:p>
    <w:p>
      <w:pPr>
        <w:ind w:right="20" w:firstLine="449"/>
        <w:spacing w:after="0" w:line="236"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56" w:lineRule="exact"/>
        <w:rPr>
          <w:sz w:val="20"/>
          <w:szCs w:val="20"/>
          <w:color w:val="auto"/>
        </w:rPr>
      </w:pPr>
    </w:p>
    <w:p>
      <w:pPr>
        <w:ind w:right="80" w:firstLine="449"/>
        <w:spacing w:after="0" w:line="275" w:lineRule="auto"/>
        <w:rPr>
          <w:sz w:val="20"/>
          <w:szCs w:val="20"/>
          <w:color w:val="auto"/>
        </w:rPr>
      </w:pPr>
      <w:r>
        <w:rPr>
          <w:rFonts w:ascii="Arial" w:cs="Arial" w:eastAsia="Arial" w:hAnsi="Arial"/>
          <w:sz w:val="16"/>
          <w:szCs w:val="16"/>
          <w:color w:val="auto"/>
        </w:rPr>
        <w:t>Neither this prospectus supplement and the accompanying prospectus nor any other offering or marketing material relating to the offering, the Company, the Notes have been or will be filed with or approved by any Swiss regulatory authority. In particular, this prospectus supplement and the accompanying prospectus will not be filed with, and the offer of the Notes will not be supervised by, the Swiss Financial Market Supervisory Authority FINMA (“FINMA”), and the offer of the Notes has not been and will not be authorized under the Swiss Federal Act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Collective Investment Schemes (“CISA”). The investor protection afforded to acquirers of interests in collective investment schemes under the CISA does not extend to acquirers of the Notes.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97" w:lineRule="exact"/>
        <w:rPr>
          <w:sz w:val="20"/>
          <w:szCs w:val="20"/>
          <w:color w:val="auto"/>
        </w:rPr>
      </w:pPr>
    </w:p>
    <w:p>
      <w:pPr>
        <w:ind w:right="240" w:firstLine="449"/>
        <w:spacing w:after="0" w:line="236"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60" w:firstLine="449"/>
        <w:spacing w:after="0" w:line="239" w:lineRule="auto"/>
        <w:rPr>
          <w:sz w:val="20"/>
          <w:szCs w:val="20"/>
          <w:color w:val="auto"/>
        </w:rPr>
      </w:pPr>
      <w:r>
        <w:rPr>
          <w:rFonts w:ascii="Arial" w:cs="Arial" w:eastAsia="Arial" w:hAnsi="Arial"/>
          <w:sz w:val="18"/>
          <w:szCs w:val="18"/>
          <w:color w:val="auto"/>
        </w:rPr>
        <w:t>The validity of the Notes offered hereby will be passed upon for us by King &amp; Spalding LLP. Certain legal matters will be passed upon for the underwriters by Davis Polk &amp; Wardwell LLP.</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right="260" w:firstLine="449"/>
        <w:spacing w:after="0" w:line="23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55" w:lineRule="exact"/>
        <w:rPr>
          <w:sz w:val="20"/>
          <w:szCs w:val="20"/>
          <w:color w:val="auto"/>
        </w:rPr>
      </w:pPr>
    </w:p>
    <w:p>
      <w:pPr>
        <w:ind w:right="20" w:firstLine="449"/>
        <w:spacing w:after="0" w:line="269"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180"/>
          </w:cols>
          <w:pgMar w:left="320" w:top="459" w:right="399" w:bottom="1440" w:gutter="0" w:footer="0" w:header="0"/>
        </w:sectPr>
      </w:pPr>
    </w:p>
    <w:p>
      <w:pPr>
        <w:spacing w:after="0" w:line="157"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GM SEC Filings (File No. 001-34960)</w:t>
      </w:r>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Annual Report on Form 10-K</w:t>
        </w:r>
      </w:hyperlink>
    </w:p>
    <w:p>
      <w:pPr>
        <w:spacing w:after="0" w:line="200" w:lineRule="exact"/>
        <w:rPr>
          <w:sz w:val="20"/>
          <w:szCs w:val="20"/>
          <w:color w:val="auto"/>
        </w:rPr>
      </w:pPr>
    </w:p>
    <w:p>
      <w:pPr>
        <w:spacing w:after="0" w:line="214" w:lineRule="exact"/>
        <w:rPr>
          <w:sz w:val="20"/>
          <w:szCs w:val="20"/>
          <w:color w:val="auto"/>
        </w:rPr>
      </w:pPr>
    </w:p>
    <w:p>
      <w:pPr>
        <w:spacing w:after="0" w:line="238" w:lineRule="auto"/>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Information Specifically Incorporated by Reference into our Annual Report</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on Form 10-K for the year ended December 31, 2019 from our Definitive</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Proxy Statement on Schedule 14A</w:t>
        </w:r>
      </w:hyperlink>
    </w:p>
    <w:p>
      <w:pPr>
        <w:spacing w:after="0" w:line="20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Quarterly Report on Form 10-Q</w:t>
        </w:r>
      </w:hyperlink>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Current Reports on Form 8-K</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37"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3"/>
          <w:szCs w:val="13"/>
          <w:b w:val="1"/>
          <w:bCs w:val="1"/>
          <w:u w:val="single" w:color="auto"/>
          <w:color w:val="auto"/>
        </w:rPr>
        <w:t>Period</w:t>
      </w:r>
    </w:p>
    <w:p>
      <w:pPr>
        <w:spacing w:after="0" w:line="32" w:lineRule="exact"/>
        <w:rPr>
          <w:rFonts w:ascii="Arial" w:cs="Arial" w:eastAsia="Arial" w:hAnsi="Arial"/>
          <w:sz w:val="18"/>
          <w:szCs w:val="18"/>
          <w:u w:val="single" w:color="auto"/>
          <w:color w:val="0000EE"/>
        </w:rPr>
      </w:pPr>
    </w:p>
    <w:p>
      <w:pPr>
        <w:ind w:right="60"/>
        <w:spacing w:after="0" w:line="239" w:lineRule="auto"/>
        <w:rPr>
          <w:sz w:val="20"/>
          <w:szCs w:val="20"/>
          <w:color w:val="auto"/>
        </w:rPr>
      </w:pPr>
      <w:r>
        <w:rPr>
          <w:rFonts w:ascii="Arial" w:cs="Arial" w:eastAsia="Arial" w:hAnsi="Arial"/>
          <w:sz w:val="18"/>
          <w:szCs w:val="18"/>
          <w:color w:val="auto"/>
        </w:rPr>
        <w:t>Year ended December 31, 2019 (filed with the SEC on February 5, 2020)</w:t>
      </w:r>
    </w:p>
    <w:p>
      <w:pPr>
        <w:spacing w:after="0" w:line="209" w:lineRule="exact"/>
        <w:rPr>
          <w:rFonts w:ascii="Arial" w:cs="Arial" w:eastAsia="Arial" w:hAnsi="Arial"/>
          <w:sz w:val="18"/>
          <w:szCs w:val="18"/>
          <w:u w:val="single" w:color="auto"/>
          <w:color w:val="0000EE"/>
        </w:rPr>
      </w:pPr>
    </w:p>
    <w:p>
      <w:pPr>
        <w:ind w:right="300"/>
        <w:spacing w:after="0" w:line="239" w:lineRule="auto"/>
        <w:rPr>
          <w:sz w:val="20"/>
          <w:szCs w:val="20"/>
          <w:color w:val="auto"/>
        </w:rPr>
      </w:pPr>
      <w:r>
        <w:rPr>
          <w:rFonts w:ascii="Arial" w:cs="Arial" w:eastAsia="Arial" w:hAnsi="Arial"/>
          <w:sz w:val="18"/>
          <w:szCs w:val="18"/>
          <w:color w:val="auto"/>
        </w:rPr>
        <w:t>Year ended December 31, 2019 (filed with the SEC on April 27, 2020)</w:t>
      </w:r>
    </w:p>
    <w:p>
      <w:pPr>
        <w:spacing w:after="0" w:line="200" w:lineRule="exact"/>
        <w:rPr>
          <w:rFonts w:ascii="Arial" w:cs="Arial" w:eastAsia="Arial" w:hAnsi="Arial"/>
          <w:sz w:val="18"/>
          <w:szCs w:val="18"/>
          <w:u w:val="single" w:color="auto"/>
          <w:color w:val="0000EE"/>
        </w:rPr>
      </w:pPr>
    </w:p>
    <w:p>
      <w:pPr>
        <w:spacing w:after="0" w:line="21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Quarter ended March 31, 2020 (filed with the SEC on May 6, 2020)</w:t>
      </w:r>
    </w:p>
    <w:p>
      <w:pPr>
        <w:spacing w:after="0" w:line="235" w:lineRule="exact"/>
        <w:rPr>
          <w:rFonts w:ascii="Arial" w:cs="Arial" w:eastAsia="Arial" w:hAnsi="Arial"/>
          <w:sz w:val="18"/>
          <w:szCs w:val="18"/>
          <w:u w:val="single" w:color="auto"/>
          <w:color w:val="0000EE"/>
        </w:rPr>
      </w:pPr>
    </w:p>
    <w:p>
      <w:pPr>
        <w:ind w:right="2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Dates filed: </w:t>
      </w:r>
      <w:hyperlink r:id="rId51">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March 24, 2020</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April 17, 2020</w:t>
        </w:r>
      </w:hyperlink>
      <w:r>
        <w:rPr>
          <w:rFonts w:ascii="Arial" w:cs="Arial" w:eastAsia="Arial" w:hAnsi="Arial"/>
          <w:sz w:val="18"/>
          <w:szCs w:val="18"/>
          <w:color w:val="auto"/>
        </w:rPr>
        <w:t xml:space="preserve"> and </w:t>
      </w:r>
      <w:hyperlink r:id="rId54">
        <w:r>
          <w:rPr>
            <w:rFonts w:ascii="Arial" w:cs="Arial" w:eastAsia="Arial" w:hAnsi="Arial"/>
            <w:sz w:val="18"/>
            <w:szCs w:val="18"/>
            <w:u w:val="single" w:color="auto"/>
            <w:color w:val="0000EE"/>
          </w:rPr>
          <w:t>April 27, 2020</w:t>
        </w:r>
      </w:hyperlink>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sectPr>
          <w:pgSz w:w="11900" w:h="16838" w:orient="portrait"/>
          <w:cols w:equalWidth="0" w:num="2">
            <w:col w:w="5740" w:space="220"/>
            <w:col w:w="5220"/>
          </w:cols>
          <w:pgMar w:left="320" w:top="459" w:right="399" w:bottom="1440" w:gutter="0" w:footer="0" w:header="0"/>
          <w:type w:val="continuous"/>
        </w:sectPr>
      </w:pPr>
    </w:p>
    <w:p>
      <w:pPr>
        <w:ind w:right="100" w:firstLine="449"/>
        <w:spacing w:after="0" w:line="238"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Rick E. Hansen, Assistant General Counsel and Corporate Secretary, at the following address and telephone number:</w:t>
      </w:r>
    </w:p>
    <w:p>
      <w:pPr>
        <w:spacing w:after="0" w:line="68"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(313) 667-1500</w:t>
      </w:r>
    </w:p>
    <w:p>
      <w:pPr>
        <w:spacing w:after="0" w:line="158" w:lineRule="exact"/>
        <w:rPr>
          <w:rFonts w:ascii="Arial" w:cs="Arial" w:eastAsia="Arial" w:hAnsi="Arial"/>
          <w:sz w:val="18"/>
          <w:szCs w:val="18"/>
          <w:color w:val="auto"/>
        </w:rPr>
      </w:pPr>
    </w:p>
    <w:p>
      <w:pPr>
        <w:jc w:val="both"/>
        <w:ind w:right="160" w:firstLine="449"/>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40"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80"/>
          </w:cols>
          <w:pgMar w:left="320" w:top="459" w:right="3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171450</wp:posOffset>
            </wp:positionV>
            <wp:extent cx="40462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0462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firstLine="449"/>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Investment in our securities involves risk. See “</w:t>
      </w:r>
      <w:hyperlink w:anchor="page3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217805</wp:posOffset>
            </wp:positionV>
            <wp:extent cx="1491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340" w:firstLine="449"/>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5, 2020.</w:t>
      </w:r>
    </w:p>
    <w:p>
      <w:pPr>
        <w:sectPr>
          <w:pgSz w:w="11900" w:h="16838" w:orient="portrait"/>
          <w:cols w:equalWidth="0" w:num="1">
            <w:col w:w="11220"/>
          </w:cols>
          <w:pgMar w:left="320" w:top="459"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472"/>
        </w:trPr>
        <w:tc>
          <w:tcPr>
            <w:tcW w:w="466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588"/>
        </w:trPr>
        <w:tc>
          <w:tcPr>
            <w:tcW w:w="466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ABOUT THIS PROSPECTUS</w:t>
              </w:r>
            </w:hyperlink>
          </w:p>
        </w:tc>
        <w:tc>
          <w:tcPr>
            <w:tcW w:w="19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INCORPORATION OF CERTAIN DOCUMENTS BY REFERENCE</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RISK FACTORS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GENERAL MOTORS COMPANY</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OVERVIEW OF OUR CAPITAL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GENERAL DESCRIPTION OF SECURITIES THAT MAY BE OFFERED</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DESCRIPTION OF DEBT SECURITIES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DESCRIPTION OF PREFERRED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DESCRIPTION OF COMMON STOCK</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DESCRIPTION OF WARRANTS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PLAN OF DISTRIBUTION</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LEGAL MATTERS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0" w:type="dxa"/>
            <w:vAlign w:val="bottom"/>
            <w:gridSpan w:val="3"/>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WHERE YOU CAN FIND MORE INFORMATION</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9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100" w:lineRule="exact"/>
        <w:rPr>
          <w:sz w:val="20"/>
          <w:szCs w:val="20"/>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w:t>
      </w:r>
      <w:hyperlink r:id="rId48">
        <w:r>
          <w:rPr>
            <w:rFonts w:ascii="Arial" w:cs="Arial" w:eastAsia="Arial" w:hAnsi="Arial"/>
            <w:sz w:val="18"/>
            <w:szCs w:val="18"/>
            <w:u w:val="single" w:color="auto"/>
            <w:color w:val="0000EE"/>
          </w:rPr>
          <w:t>Annual Report on Form 10-K for the fiscal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5, 2020); and</w:t>
      </w:r>
    </w:p>
    <w:p>
      <w:pPr>
        <w:spacing w:after="0" w:line="130" w:lineRule="exact"/>
        <w:rPr>
          <w:rFonts w:ascii="Arial" w:cs="Arial" w:eastAsia="Arial" w:hAnsi="Arial"/>
          <w:sz w:val="18"/>
          <w:szCs w:val="18"/>
          <w:color w:val="auto"/>
        </w:rPr>
      </w:pPr>
    </w:p>
    <w:p>
      <w:pPr>
        <w:ind w:left="1000" w:right="40" w:hanging="439"/>
        <w:spacing w:after="0" w:line="277" w:lineRule="auto"/>
        <w:tabs>
          <w:tab w:leader="none" w:pos="1000" w:val="left"/>
        </w:tabs>
        <w:numPr>
          <w:ilvl w:val="0"/>
          <w:numId w:val="15"/>
        </w:numPr>
        <w:rPr>
          <w:rFonts w:ascii="Arial" w:cs="Arial" w:eastAsia="Arial" w:hAnsi="Arial"/>
          <w:sz w:val="18"/>
          <w:szCs w:val="18"/>
          <w:color w:val="0000EE"/>
        </w:rPr>
      </w:pPr>
      <w:hyperlink r:id="rId63">
        <w:r>
          <w:rPr>
            <w:rFonts w:ascii="Arial" w:cs="Arial" w:eastAsia="Arial" w:hAnsi="Arial"/>
            <w:sz w:val="18"/>
            <w:szCs w:val="18"/>
            <w:color w:val="auto"/>
          </w:rPr>
          <w:t xml:space="preserve">the description of our common stock set forth in </w:t>
        </w:r>
        <w:r>
          <w:rPr>
            <w:rFonts w:ascii="Arial" w:cs="Arial" w:eastAsia="Arial" w:hAnsi="Arial"/>
            <w:sz w:val="18"/>
            <w:szCs w:val="18"/>
            <w:u w:val="single" w:color="auto"/>
            <w:color w:val="0000EE"/>
          </w:rPr>
          <w:t>Exhibit 4.1 to our Annual Report on Form 10-K for the fiscal year ended December 31, 2019</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(filed with the SEC on February 5, 2020)</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right="280" w:firstLine="449"/>
        <w:spacing w:after="0" w:line="311" w:lineRule="auto"/>
        <w:rPr>
          <w:sz w:val="20"/>
          <w:szCs w:val="20"/>
          <w:color w:val="auto"/>
        </w:rPr>
      </w:pPr>
      <w:r>
        <w:rPr>
          <w:rFonts w:ascii="Arial" w:cs="Arial" w:eastAsia="Arial" w:hAnsi="Arial"/>
          <w:sz w:val="16"/>
          <w:szCs w:val="16"/>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41"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General Motors Company</w:t>
      </w:r>
    </w:p>
    <w:p>
      <w:pPr>
        <w:spacing w:after="0" w:line="2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300 Renaissance Center</w:t>
      </w:r>
    </w:p>
    <w:p>
      <w:pPr>
        <w:spacing w:after="0" w:line="9"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Detroit, Michigan 48265-3000</w:t>
      </w:r>
    </w:p>
    <w:p>
      <w:pPr>
        <w:spacing w:after="0" w:line="9"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(313) 667-1500</w:t>
      </w:r>
    </w:p>
    <w:p>
      <w:pPr>
        <w:spacing w:after="0" w:line="211" w:lineRule="exact"/>
        <w:rPr>
          <w:rFonts w:ascii="Arial" w:cs="Arial" w:eastAsia="Arial" w:hAnsi="Arial"/>
          <w:sz w:val="18"/>
          <w:szCs w:val="18"/>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39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color w:val="auto"/>
        </w:rPr>
      </w:pPr>
    </w:p>
    <w:p>
      <w:pPr>
        <w:ind w:right="20" w:firstLine="449"/>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Investment in any of the securities involves risk. In addition to all of the other information contained or incorporated by reference into this prospectus </w:t>
      </w:r>
      <w:hyperlink r:id="rId48">
        <w:r>
          <w:rPr>
            <w:rFonts w:ascii="Arial" w:cs="Arial" w:eastAsia="Arial" w:hAnsi="Arial"/>
            <w:sz w:val="16"/>
            <w:szCs w:val="16"/>
            <w:color w:val="auto"/>
          </w:rPr>
          <w:t xml:space="preserve">and the accompanying prospectus supplement, you should carefully consider the risk factors incorporated by reference from our </w:t>
        </w:r>
        <w:r>
          <w:rPr>
            <w:rFonts w:ascii="Arial" w:cs="Arial" w:eastAsia="Arial" w:hAnsi="Arial"/>
            <w:sz w:val="16"/>
            <w:szCs w:val="16"/>
            <w:u w:val="single" w:color="auto"/>
            <w:color w:val="0000EE"/>
          </w:rPr>
          <w:t>Annual Report on Form</w:t>
        </w:r>
      </w:hyperlink>
      <w:r>
        <w:rPr>
          <w:rFonts w:ascii="Arial" w:cs="Arial" w:eastAsia="Arial" w:hAnsi="Arial"/>
          <w:sz w:val="16"/>
          <w:szCs w:val="16"/>
          <w:color w:val="auto"/>
        </w:rPr>
        <w:t xml:space="preserve"> </w:t>
      </w:r>
      <w:hyperlink r:id="rId48">
        <w:r>
          <w:rPr>
            <w:rFonts w:ascii="Arial" w:cs="Arial" w:eastAsia="Arial" w:hAnsi="Arial"/>
            <w:sz w:val="16"/>
            <w:szCs w:val="16"/>
            <w:u w:val="single" w:color="auto"/>
            <w:color w:val="0000EE"/>
          </w:rPr>
          <w:t>10-K for the year ended December 31, 2019</w:t>
        </w:r>
        <w:r>
          <w:rPr>
            <w:rFonts w:ascii="Arial" w:cs="Arial" w:eastAsia="Arial" w:hAnsi="Arial"/>
            <w:sz w:val="16"/>
            <w:szCs w:val="16"/>
            <w:color w:val="000000"/>
          </w:rPr>
          <w:t>, as updated by our subsequent filings under the Exchange Act, including Forms 10-Q and 8-K, and the risk</w:t>
        </w:r>
      </w:hyperlink>
      <w:r>
        <w:rPr>
          <w:rFonts w:ascii="Arial" w:cs="Arial" w:eastAsia="Arial" w:hAnsi="Arial"/>
          <w:sz w:val="16"/>
          <w:szCs w:val="16"/>
          <w:color w:val="0000EE"/>
        </w:rPr>
        <w:t xml:space="preserve"> </w:t>
      </w:r>
      <w:r>
        <w:rPr>
          <w:rFonts w:ascii="Arial" w:cs="Arial" w:eastAsia="Arial" w:hAnsi="Arial"/>
          <w:sz w:val="16"/>
          <w:szCs w:val="16"/>
          <w:color w:val="000000"/>
        </w:rPr>
        <w:t>factors contained or incorporated by reference into the accompanying prospectus supplement before acquiring any of the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trucks, crossovers, cars and automobile parts worldwide through our automotive segments: GM North America and GM International. Cruise, formerly GM Cruise, is our global segment responsible for the development and commercialization of autonomous vehicle technology. We also provide automotive financing services through General Motors Financial Company, Inc. (GM Financial).</w:t>
      </w:r>
    </w:p>
    <w:p>
      <w:pPr>
        <w:spacing w:after="0" w:line="18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our Annual Report on Form 10-K for the year ended December 31, 2019, as updated by our subsequent filings under the Exchange Act, including Forms 10-Q and 8-K.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OUR CAPITAL STOCK</w:t>
      </w:r>
    </w:p>
    <w:p>
      <w:pPr>
        <w:spacing w:after="0" w:line="229"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84"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As of January 24, 2020, 1,429,002,063 shares of our common stock were issued and outstanding. The general terms of our common stock are described below within the section of this prospectus entitled “Description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jc w:val="both"/>
        <w:ind w:right="340" w:firstLine="449"/>
        <w:spacing w:after="0" w:line="277" w:lineRule="auto"/>
        <w:rPr>
          <w:sz w:val="20"/>
          <w:szCs w:val="20"/>
          <w:color w:val="auto"/>
        </w:rPr>
      </w:pPr>
      <w:r>
        <w:rPr>
          <w:rFonts w:ascii="Arial" w:cs="Arial" w:eastAsia="Arial" w:hAnsi="Arial"/>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70"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9" w:lineRule="exact"/>
        <w:rPr>
          <w:sz w:val="20"/>
          <w:szCs w:val="20"/>
          <w:color w:val="auto"/>
        </w:rPr>
      </w:pPr>
    </w:p>
    <w:p>
      <w:pPr>
        <w:ind w:left="1000" w:right="6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439"/>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61"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or dates on which principal and premium, if any, of the debt securities of that series, or any tranche thereof, is payable;</w:t>
      </w:r>
    </w:p>
    <w:p>
      <w:pPr>
        <w:spacing w:after="0" w:line="142" w:lineRule="exact"/>
        <w:rPr>
          <w:rFonts w:ascii="Arial" w:cs="Arial" w:eastAsia="Arial" w:hAnsi="Arial"/>
          <w:sz w:val="17"/>
          <w:szCs w:val="17"/>
          <w:color w:val="auto"/>
        </w:rPr>
      </w:pPr>
    </w:p>
    <w:p>
      <w:pPr>
        <w:ind w:left="1000" w:hanging="439"/>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439"/>
        <w:spacing w:after="0" w:line="31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4" w:lineRule="exact"/>
        <w:rPr>
          <w:rFonts w:ascii="Arial" w:cs="Arial" w:eastAsia="Arial" w:hAnsi="Arial"/>
          <w:sz w:val="16"/>
          <w:szCs w:val="16"/>
          <w:color w:val="auto"/>
        </w:rPr>
      </w:pPr>
    </w:p>
    <w:p>
      <w:pPr>
        <w:ind w:left="1000" w:hanging="439"/>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000" w:right="14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000" w:right="20" w:hanging="439"/>
        <w:spacing w:after="0" w:line="25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225"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76"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30" w:lineRule="exact"/>
        <w:rPr>
          <w:rFonts w:ascii="Arial" w:cs="Arial" w:eastAsia="Arial" w:hAnsi="Arial"/>
          <w:sz w:val="18"/>
          <w:szCs w:val="18"/>
          <w:color w:val="auto"/>
        </w:rPr>
      </w:pPr>
    </w:p>
    <w:p>
      <w:pPr>
        <w:ind w:left="1000" w:right="220" w:hanging="439"/>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90" w:lineRule="auto"/>
        <w:rPr>
          <w:sz w:val="20"/>
          <w:szCs w:val="20"/>
          <w:color w:val="auto"/>
        </w:rPr>
      </w:pPr>
      <w:r>
        <w:rPr>
          <w:rFonts w:ascii="Arial" w:cs="Arial" w:eastAsia="Arial" w:hAnsi="Arial"/>
          <w:sz w:val="16"/>
          <w:szCs w:val="16"/>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71"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000" w:right="680" w:hanging="547"/>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4"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000" w:right="10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000" w:right="160" w:hanging="547"/>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120" w:right="580" w:hanging="667"/>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460" w:hanging="332"/>
        <w:spacing w:after="0"/>
        <w:tabs>
          <w:tab w:leader="none" w:pos="14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153" w:lineRule="exact"/>
        <w:rPr>
          <w:rFonts w:ascii="Arial" w:cs="Arial" w:eastAsia="Arial" w:hAnsi="Arial"/>
          <w:sz w:val="16"/>
          <w:szCs w:val="16"/>
          <w:color w:val="auto"/>
        </w:rPr>
      </w:pPr>
    </w:p>
    <w:p>
      <w:pPr>
        <w:ind w:left="1460" w:right="140" w:hanging="332"/>
        <w:spacing w:after="0" w:line="277" w:lineRule="auto"/>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460" w:hanging="332"/>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20" w:right="200"/>
        <w:spacing w:after="0" w:line="259" w:lineRule="auto"/>
        <w:rPr>
          <w:sz w:val="20"/>
          <w:szCs w:val="20"/>
          <w:color w:val="auto"/>
        </w:rPr>
      </w:pPr>
      <w:r>
        <w:rPr>
          <w:rFonts w:ascii="Arial" w:cs="Arial" w:eastAsia="Arial" w:hAnsi="Arial"/>
          <w:sz w:val="18"/>
          <w:szCs w:val="18"/>
          <w:color w:val="auto"/>
        </w:rPr>
        <w:t>in each case, in the opinion of a nationally recognized firm of independent certified public accountants, expressed in a written certification delivered to the trustee,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2" w:lineRule="exact"/>
        <w:rPr>
          <w:sz w:val="20"/>
          <w:szCs w:val="20"/>
          <w:color w:val="auto"/>
        </w:rPr>
      </w:pPr>
    </w:p>
    <w:p>
      <w:pPr>
        <w:ind w:left="1120" w:right="100" w:hanging="667"/>
        <w:spacing w:after="0" w:line="279"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76" w:lineRule="exact"/>
        <w:rPr>
          <w:rFonts w:ascii="Arial" w:cs="Arial" w:eastAsia="Arial" w:hAnsi="Arial"/>
          <w:sz w:val="17"/>
          <w:szCs w:val="17"/>
          <w:color w:val="auto"/>
        </w:rPr>
      </w:pPr>
    </w:p>
    <w:p>
      <w:pPr>
        <w:ind w:left="1120" w:right="60" w:hanging="667"/>
        <w:spacing w:after="0" w:line="311"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4" w:lineRule="exact"/>
        <w:rPr>
          <w:rFonts w:ascii="Arial" w:cs="Arial" w:eastAsia="Arial" w:hAnsi="Arial"/>
          <w:sz w:val="16"/>
          <w:szCs w:val="16"/>
          <w:color w:val="auto"/>
        </w:rPr>
      </w:pPr>
    </w:p>
    <w:p>
      <w:pPr>
        <w:ind w:left="1120" w:right="100" w:hanging="66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75" w:lineRule="exact"/>
        <w:rPr>
          <w:rFonts w:ascii="Arial" w:cs="Arial" w:eastAsia="Arial" w:hAnsi="Arial"/>
          <w:sz w:val="18"/>
          <w:szCs w:val="18"/>
          <w:color w:val="auto"/>
        </w:rPr>
      </w:pPr>
    </w:p>
    <w:p>
      <w:pPr>
        <w:ind w:left="1120" w:right="80" w:hanging="667"/>
        <w:spacing w:after="0" w:line="263"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9" w:lineRule="exact"/>
        <w:rPr>
          <w:rFonts w:ascii="Arial" w:cs="Arial" w:eastAsia="Arial" w:hAnsi="Arial"/>
          <w:sz w:val="18"/>
          <w:szCs w:val="18"/>
          <w:color w:val="auto"/>
        </w:rPr>
      </w:pPr>
    </w:p>
    <w:p>
      <w:pPr>
        <w:ind w:left="1120" w:right="420" w:hanging="66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an agreement whereby we irrevocably agree to forfeit our rights, if any, to extend the interest payment periods on such debt securities pursuant to the indenture;</w:t>
      </w:r>
    </w:p>
    <w:p>
      <w:pPr>
        <w:spacing w:after="0" w:line="75" w:lineRule="exact"/>
        <w:rPr>
          <w:rFonts w:ascii="Arial" w:cs="Arial" w:eastAsia="Arial" w:hAnsi="Arial"/>
          <w:sz w:val="18"/>
          <w:szCs w:val="18"/>
          <w:color w:val="auto"/>
        </w:rPr>
      </w:pPr>
    </w:p>
    <w:p>
      <w:pPr>
        <w:ind w:left="1120" w:right="300" w:hanging="667"/>
        <w:spacing w:after="0" w:line="311"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54" w:lineRule="exact"/>
        <w:rPr>
          <w:rFonts w:ascii="Arial" w:cs="Arial" w:eastAsia="Arial" w:hAnsi="Arial"/>
          <w:sz w:val="16"/>
          <w:szCs w:val="16"/>
          <w:color w:val="auto"/>
        </w:rPr>
      </w:pPr>
    </w:p>
    <w:p>
      <w:pPr>
        <w:ind w:left="1120" w:right="320" w:hanging="66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75" w:lineRule="exact"/>
        <w:rPr>
          <w:rFonts w:ascii="Arial" w:cs="Arial" w:eastAsia="Arial" w:hAnsi="Arial"/>
          <w:sz w:val="18"/>
          <w:szCs w:val="18"/>
          <w:color w:val="auto"/>
        </w:rPr>
      </w:pPr>
    </w:p>
    <w:p>
      <w:pPr>
        <w:ind w:left="1120" w:right="80" w:hanging="667"/>
        <w:spacing w:after="0" w:line="275"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76" w:lineRule="exact"/>
        <w:rPr>
          <w:sz w:val="20"/>
          <w:szCs w:val="20"/>
          <w:color w:val="auto"/>
        </w:rPr>
      </w:pPr>
    </w:p>
    <w:p>
      <w:pPr>
        <w:ind w:left="1000" w:hanging="547"/>
        <w:spacing w:after="0" w:line="311"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76" w:lineRule="exact"/>
        <w:rPr>
          <w:sz w:val="20"/>
          <w:szCs w:val="20"/>
          <w:color w:val="auto"/>
        </w:rPr>
      </w:pPr>
    </w:p>
    <w:p>
      <w:pPr>
        <w:ind w:left="1000" w:right="8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75" w:lineRule="exact"/>
        <w:rPr>
          <w:rFonts w:ascii="Arial" w:cs="Arial" w:eastAsia="Arial" w:hAnsi="Arial"/>
          <w:sz w:val="18"/>
          <w:szCs w:val="18"/>
          <w:color w:val="auto"/>
        </w:rPr>
      </w:pPr>
    </w:p>
    <w:p>
      <w:pPr>
        <w:ind w:left="1000" w:right="180" w:hanging="54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4"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the consent of the holder of each outstanding debt security so affected, no such supplemental indenture may:</w:t>
      </w:r>
    </w:p>
    <w:p>
      <w:pPr>
        <w:spacing w:after="0" w:line="86" w:lineRule="exact"/>
        <w:rPr>
          <w:sz w:val="20"/>
          <w:szCs w:val="20"/>
          <w:color w:val="auto"/>
        </w:rPr>
      </w:pPr>
    </w:p>
    <w:p>
      <w:pPr>
        <w:ind w:left="1000" w:right="40" w:hanging="547"/>
        <w:spacing w:after="0" w:line="29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71" w:lineRule="exact"/>
        <w:rPr>
          <w:rFonts w:ascii="Arial" w:cs="Arial" w:eastAsia="Arial" w:hAnsi="Arial"/>
          <w:sz w:val="16"/>
          <w:szCs w:val="16"/>
          <w:color w:val="auto"/>
        </w:rPr>
      </w:pPr>
    </w:p>
    <w:p>
      <w:pPr>
        <w:ind w:left="1000" w:right="260" w:hanging="547"/>
        <w:spacing w:after="0" w:line="286"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70" w:lineRule="exact"/>
        <w:rPr>
          <w:rFonts w:ascii="Arial" w:cs="Arial" w:eastAsia="Arial" w:hAnsi="Arial"/>
          <w:sz w:val="17"/>
          <w:szCs w:val="17"/>
          <w:color w:val="auto"/>
        </w:rPr>
      </w:pPr>
    </w:p>
    <w:p>
      <w:pPr>
        <w:ind w:left="1000" w:hanging="547"/>
        <w:spacing w:after="0" w:line="31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76" w:lineRule="exact"/>
        <w:rPr>
          <w:sz w:val="20"/>
          <w:szCs w:val="20"/>
          <w:color w:val="auto"/>
        </w:rPr>
      </w:pPr>
    </w:p>
    <w:p>
      <w:pPr>
        <w:ind w:left="1120" w:right="320" w:hanging="667"/>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w:t>
      </w:r>
    </w:p>
    <w:p>
      <w:pPr>
        <w:spacing w:after="0" w:line="75" w:lineRule="exact"/>
        <w:rPr>
          <w:rFonts w:ascii="Arial" w:cs="Arial" w:eastAsia="Arial" w:hAnsi="Arial"/>
          <w:sz w:val="18"/>
          <w:szCs w:val="18"/>
          <w:color w:val="auto"/>
        </w:rPr>
      </w:pPr>
    </w:p>
    <w:p>
      <w:pPr>
        <w:ind w:left="1120" w:hanging="667"/>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w:t>
      </w:r>
    </w:p>
    <w:p>
      <w:pPr>
        <w:spacing w:after="0" w:line="130" w:lineRule="exact"/>
        <w:rPr>
          <w:rFonts w:ascii="Arial" w:cs="Arial" w:eastAsia="Arial" w:hAnsi="Arial"/>
          <w:sz w:val="18"/>
          <w:szCs w:val="18"/>
          <w:color w:val="auto"/>
        </w:rPr>
      </w:pPr>
    </w:p>
    <w:p>
      <w:pPr>
        <w:jc w:val="both"/>
        <w:ind w:left="1120" w:right="360" w:hanging="667"/>
        <w:spacing w:after="0" w:line="263"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9" w:lineRule="exact"/>
        <w:rPr>
          <w:rFonts w:ascii="Arial" w:cs="Arial" w:eastAsia="Arial" w:hAnsi="Arial"/>
          <w:sz w:val="18"/>
          <w:szCs w:val="18"/>
          <w:color w:val="auto"/>
        </w:rPr>
      </w:pPr>
    </w:p>
    <w:p>
      <w:pPr>
        <w:ind w:left="1120" w:right="120" w:hanging="667"/>
        <w:spacing w:after="0" w:line="25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or to add any new provision to the indenture, in respect of one or more series of debt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93" w:lineRule="exact"/>
        <w:rPr>
          <w:rFonts w:ascii="Arial" w:cs="Arial" w:eastAsia="Arial" w:hAnsi="Arial"/>
          <w:sz w:val="18"/>
          <w:szCs w:val="18"/>
          <w:color w:val="auto"/>
        </w:rPr>
      </w:pPr>
    </w:p>
    <w:p>
      <w:pPr>
        <w:ind w:left="1120" w:right="840" w:hanging="667"/>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w:t>
      </w:r>
    </w:p>
    <w:p>
      <w:pPr>
        <w:spacing w:after="0" w:line="75"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w:t>
      </w:r>
    </w:p>
    <w:p>
      <w:pPr>
        <w:spacing w:after="0" w:line="142" w:lineRule="exact"/>
        <w:rPr>
          <w:rFonts w:ascii="Arial" w:cs="Arial" w:eastAsia="Arial" w:hAnsi="Arial"/>
          <w:sz w:val="17"/>
          <w:szCs w:val="17"/>
          <w:color w:val="auto"/>
        </w:rPr>
      </w:pPr>
    </w:p>
    <w:p>
      <w:pPr>
        <w:ind w:left="1120" w:right="200" w:hanging="667"/>
        <w:spacing w:after="0" w:line="286"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70" w:lineRule="exact"/>
        <w:rPr>
          <w:rFonts w:ascii="Arial" w:cs="Arial" w:eastAsia="Arial" w:hAnsi="Arial"/>
          <w:sz w:val="17"/>
          <w:szCs w:val="17"/>
          <w:color w:val="auto"/>
        </w:rPr>
      </w:pPr>
    </w:p>
    <w:p>
      <w:pPr>
        <w:ind w:left="1120" w:hanging="66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a separate trustee or co-trustee;</w:t>
      </w:r>
    </w:p>
    <w:p>
      <w:pPr>
        <w:spacing w:after="0" w:line="130" w:lineRule="exact"/>
        <w:rPr>
          <w:rFonts w:ascii="Arial" w:cs="Arial" w:eastAsia="Arial" w:hAnsi="Arial"/>
          <w:sz w:val="18"/>
          <w:szCs w:val="18"/>
          <w:color w:val="auto"/>
        </w:rPr>
      </w:pPr>
    </w:p>
    <w:p>
      <w:pPr>
        <w:ind w:left="1120" w:right="100" w:hanging="667"/>
        <w:spacing w:after="0" w:line="259"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92" w:lineRule="exact"/>
        <w:rPr>
          <w:rFonts w:ascii="Arial" w:cs="Arial" w:eastAsia="Arial" w:hAnsi="Arial"/>
          <w:sz w:val="18"/>
          <w:szCs w:val="18"/>
          <w:color w:val="auto"/>
        </w:rPr>
      </w:pPr>
    </w:p>
    <w:p>
      <w:pPr>
        <w:ind w:left="1120" w:right="60" w:hanging="667"/>
        <w:spacing w:after="0" w:line="259"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92" w:lineRule="exact"/>
        <w:rPr>
          <w:rFonts w:ascii="Arial" w:cs="Arial" w:eastAsia="Arial" w:hAnsi="Arial"/>
          <w:sz w:val="18"/>
          <w:szCs w:val="18"/>
          <w:color w:val="auto"/>
        </w:rPr>
      </w:pPr>
    </w:p>
    <w:p>
      <w:pPr>
        <w:ind w:left="1120" w:hanging="667"/>
        <w:spacing w:after="0" w:line="308"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51" w:lineRule="exact"/>
        <w:rPr>
          <w:rFonts w:ascii="Arial" w:cs="Arial" w:eastAsia="Arial" w:hAnsi="Arial"/>
          <w:sz w:val="17"/>
          <w:szCs w:val="17"/>
          <w:color w:val="auto"/>
        </w:rPr>
      </w:pPr>
    </w:p>
    <w:p>
      <w:pPr>
        <w:ind w:left="1120" w:right="300" w:hanging="667"/>
        <w:spacing w:after="0" w:line="308"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20" w:right="280" w:hanging="667"/>
        <w:spacing w:after="0" w:line="263"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make any other provisions with respect to matters or questions arising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52" w:lineRule="exact"/>
        <w:rPr>
          <w:sz w:val="20"/>
          <w:szCs w:val="20"/>
          <w:color w:val="auto"/>
        </w:rPr>
      </w:pPr>
    </w:p>
    <w:p>
      <w:pPr>
        <w:ind w:left="1000" w:right="140" w:hanging="547"/>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default in the payment of interest on any debt security of that series when it becomes due and payable, and continuance of such default for a period of 30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9"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w:t>
      </w:r>
    </w:p>
    <w:p>
      <w:pPr>
        <w:spacing w:after="0" w:line="75" w:lineRule="exact"/>
        <w:rPr>
          <w:rFonts w:ascii="Arial" w:cs="Arial" w:eastAsia="Arial" w:hAnsi="Arial"/>
          <w:sz w:val="18"/>
          <w:szCs w:val="18"/>
          <w:color w:val="auto"/>
        </w:rPr>
      </w:pPr>
    </w:p>
    <w:p>
      <w:pPr>
        <w:ind w:left="1000" w:hanging="547"/>
        <w:spacing w:after="0" w:line="25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93"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66"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68"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29" w:lineRule="exact"/>
        <w:rPr>
          <w:sz w:val="20"/>
          <w:szCs w:val="20"/>
          <w:color w:val="auto"/>
        </w:rPr>
      </w:pPr>
    </w:p>
    <w:p>
      <w:pPr>
        <w:ind w:left="1000" w:hanging="439"/>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000" w:right="18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75"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000" w:right="44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000" w:right="460" w:hanging="439"/>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000" w:right="100" w:hanging="439"/>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6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9" w:lineRule="exact"/>
        <w:rPr>
          <w:sz w:val="20"/>
          <w:szCs w:val="20"/>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global security may be exchanged for debt securities in physical, certificated form (which would be registered in such names as DTC shall direct)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116" w:lineRule="exact"/>
        <w:rPr>
          <w:sz w:val="20"/>
          <w:szCs w:val="20"/>
          <w:color w:val="auto"/>
        </w:rPr>
      </w:pPr>
    </w:p>
    <w:p>
      <w:pPr>
        <w:ind w:left="1000" w:right="260" w:hanging="439"/>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24, 2020, there were no shares of preferred stock outstanding. The terms of any shares of preferred stock offered pursuant to this prospectus will be set forth in an applicable prospectus supplement.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Honigman LLP.</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The consolidated financial statements of General Motors Company as of and for the years ended December 31, 2019 and 2018, incorporated in this Prospectus by reference from the Company’s </w:t>
      </w:r>
      <w:hyperlink r:id="rId48">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auto"/>
        </w:rPr>
        <w:t>, and the effectiveness of General Motors Company’s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61" w:lineRule="exact"/>
        <w:rPr>
          <w:sz w:val="20"/>
          <w:szCs w:val="20"/>
          <w:color w:val="auto"/>
        </w:rPr>
      </w:pPr>
    </w:p>
    <w:p>
      <w:pPr>
        <w:jc w:val="both"/>
        <w:ind w:right="140" w:firstLine="44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financial statements of General Motors Company as of and for the year ended December 31, 2017, incorporated in this Prospectus by reference from the Company’s </w:t>
      </w:r>
      <w:hyperlink r:id="rId48">
        <w:r>
          <w:rPr>
            <w:rFonts w:ascii="Arial" w:cs="Arial" w:eastAsia="Arial" w:hAnsi="Arial"/>
            <w:sz w:val="17"/>
            <w:szCs w:val="17"/>
            <w:u w:val="single" w:color="auto"/>
            <w:color w:val="0000EE"/>
          </w:rPr>
          <w:t>Annual Report on Form 10-K for the year ended December 31, 2019</w:t>
        </w:r>
      </w:hyperlink>
      <w:r>
        <w:rPr>
          <w:rFonts w:ascii="Arial" w:cs="Arial" w:eastAsia="Arial" w:hAnsi="Arial"/>
          <w:sz w:val="17"/>
          <w:szCs w:val="17"/>
          <w:color w:val="auto"/>
        </w:rPr>
        <w:t>,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We file annual, quarterly and special reports, proxy statements and other information with the SEC. Our SEC filings are available to the public through the Internet at the SEC’s website at http://www.sec.gov.</w:t>
      </w:r>
    </w:p>
    <w:p>
      <w:pPr>
        <w:spacing w:after="0" w:line="170"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84"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569595</wp:posOffset>
            </wp:positionV>
            <wp:extent cx="305181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30518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0" w:hanging="1282"/>
        <w:spacing w:after="0"/>
        <w:tabs>
          <w:tab w:leader="none" w:pos="4820" w:val="left"/>
        </w:tabs>
        <w:numPr>
          <w:ilvl w:val="0"/>
          <w:numId w:val="38"/>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38" w:lineRule="exact"/>
        <w:rPr>
          <w:sz w:val="20"/>
          <w:szCs w:val="20"/>
          <w:color w:val="auto"/>
        </w:rPr>
      </w:pPr>
    </w:p>
    <w:p>
      <w:pPr>
        <w:ind w:left="4820" w:hanging="1282"/>
        <w:spacing w:after="0"/>
        <w:tabs>
          <w:tab w:leader="none" w:pos="4820" w:val="left"/>
        </w:tabs>
        <w:numPr>
          <w:ilvl w:val="0"/>
          <w:numId w:val="39"/>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8" w:lineRule="exact"/>
        <w:rPr>
          <w:sz w:val="20"/>
          <w:szCs w:val="20"/>
          <w:color w:val="auto"/>
        </w:rPr>
      </w:pPr>
    </w:p>
    <w:p>
      <w:pPr>
        <w:ind w:left="4820" w:hanging="1282"/>
        <w:spacing w:after="0"/>
        <w:tabs>
          <w:tab w:leader="none" w:pos="4820" w:val="left"/>
        </w:tabs>
        <w:numPr>
          <w:ilvl w:val="0"/>
          <w:numId w:val="40"/>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1387475</wp:posOffset>
            </wp:positionV>
            <wp:extent cx="1491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24"/>
          <w:szCs w:val="24"/>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Citigroup</w:t>
      </w:r>
    </w:p>
    <w:p>
      <w:pPr>
        <w:spacing w:after="0" w:line="89" w:lineRule="exact"/>
        <w:rPr>
          <w:sz w:val="20"/>
          <w:szCs w:val="20"/>
          <w:color w:val="auto"/>
        </w:rPr>
      </w:pPr>
    </w:p>
    <w:p>
      <w:pPr>
        <w:sectPr>
          <w:pgSz w:w="11900" w:h="16838" w:orient="portrait"/>
          <w:cols w:equalWidth="0" w:num="4">
            <w:col w:w="4800" w:space="720"/>
            <w:col w:w="1240" w:space="720"/>
            <w:col w:w="1960" w:space="720"/>
            <w:col w:w="1080"/>
          </w:cols>
          <w:pgMar w:left="320" w:top="459" w:right="33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Morgan Stanley</w:t>
      </w:r>
    </w:p>
    <w:p>
      <w:pPr>
        <w:spacing w:after="0" w:line="200" w:lineRule="exact"/>
        <w:rPr>
          <w:sz w:val="20"/>
          <w:szCs w:val="20"/>
          <w:color w:val="auto"/>
        </w:rPr>
      </w:pPr>
    </w:p>
    <w:p>
      <w:pPr>
        <w:sectPr>
          <w:pgSz w:w="11900" w:h="16838" w:orient="portrait"/>
          <w:cols w:equalWidth="0" w:num="3">
            <w:col w:w="5120" w:space="720"/>
            <w:col w:w="2880" w:space="720"/>
            <w:col w:w="180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8"/>
          <w:szCs w:val="18"/>
          <w:color w:val="auto"/>
        </w:rPr>
        <w:t>May</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313"/>
    </w:lvl>
  </w:abstractNum>
  <w:abstractNum w:abstractNumId="3">
    <w:nsid w:val="721DA317"/>
    <w:multiLevelType w:val="hybridMultilevel"/>
    <w:lvl w:ilvl="0">
      <w:lvlJc w:val="left"/>
      <w:lvlText w:val="(%1)"/>
      <w:numFmt w:val="lowerRoman"/>
      <w:start w:val="2"/>
    </w:lvl>
  </w:abstractNum>
  <w:abstractNum w:abstractNumId="4">
    <w:nsid w:val="2443A858"/>
    <w:multiLevelType w:val="hybridMultilevel"/>
    <w:lvl w:ilvl="0">
      <w:lvlJc w:val="left"/>
      <w:lvlText w:val="(%1)"/>
      <w:numFmt w:val="lowerRoman"/>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1"/>
    </w:lvl>
  </w:abstractNum>
  <w:abstractNum w:abstractNumId="9">
    <w:nsid w:val="79838CB2"/>
    <w:multiLevelType w:val="hybridMultilevel"/>
    <w:lvl w:ilvl="0">
      <w:lvlJc w:val="left"/>
      <w:lvlText w:val="(%1)"/>
      <w:numFmt w:val="lowerRoman"/>
      <w:start w:val="3"/>
    </w:lvl>
  </w:abstractNum>
  <w:abstractNum w:abstractNumId="10">
    <w:nsid w:val="4353D0CD"/>
    <w:multiLevelType w:val="hybridMultilevel"/>
    <w:lvl w:ilvl="0">
      <w:lvlJc w:val="left"/>
      <w:lvlText w:val="(%1)"/>
      <w:numFmt w:val="lowerRoman"/>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1"/>
    </w:lvl>
    <w:lvl w:ilvl="1">
      <w:lvlJc w:val="left"/>
      <w:lvlText w:val="•"/>
      <w:numFmt w:val="bullet"/>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1)"/>
      <w:numFmt w:val="lowerRoman"/>
      <w:start w:val="1"/>
    </w:lvl>
  </w:abstractNum>
  <w:abstractNum w:abstractNumId="24">
    <w:nsid w:val="22221A70"/>
    <w:multiLevelType w:val="hybridMultilevel"/>
    <w:lvl w:ilvl="0">
      <w:lvlJc w:val="left"/>
      <w:lvlText w:val="(%1)"/>
      <w:numFmt w:val="lowerRoman"/>
      <w:start w:val="1"/>
    </w:lvl>
    <w:lvl w:ilvl="1">
      <w:lvlJc w:val="left"/>
      <w:lvlText w:val="•"/>
      <w:numFmt w:val="bullet"/>
      <w:start w:val="1"/>
    </w:lvl>
  </w:abstractNum>
  <w:abstractNum w:abstractNumId="25">
    <w:nsid w:val="4516DDE9"/>
    <w:multiLevelType w:val="hybridMultilevel"/>
    <w:lvl w:ilvl="0">
      <w:lvlJc w:val="left"/>
      <w:lvlText w:val="(%1)"/>
      <w:numFmt w:val="lowerRoman"/>
      <w:start w:val="2"/>
    </w:lvl>
  </w:abstractNum>
  <w:abstractNum w:abstractNumId="26">
    <w:nsid w:val="3006C83E"/>
    <w:multiLevelType w:val="hybridMultilevel"/>
    <w:lvl w:ilvl="0">
      <w:lvlJc w:val="left"/>
      <w:lvlText w:val="(%1)"/>
      <w:numFmt w:val="lowerRoman"/>
      <w:start w:val="1"/>
    </w:lvl>
  </w:abstractNum>
  <w:abstractNum w:abstractNumId="27">
    <w:nsid w:val="614FD4A1"/>
    <w:multiLevelType w:val="hybridMultilevel"/>
    <w:lvl w:ilvl="0">
      <w:lvlJc w:val="left"/>
      <w:lvlText w:val="(%1)"/>
      <w:numFmt w:val="lowerRoman"/>
      <w:start w:val="2"/>
    </w:lvl>
  </w:abstractNum>
  <w:abstractNum w:abstractNumId="28">
    <w:nsid w:val="419AC241"/>
    <w:multiLevelType w:val="hybridMultilevel"/>
    <w:lvl w:ilvl="0">
      <w:lvlJc w:val="left"/>
      <w:lvlText w:val="(%1)"/>
      <w:numFmt w:val="lowerRoman"/>
      <w:start w:val="1"/>
    </w:lvl>
  </w:abstractNum>
  <w:abstractNum w:abstractNumId="29">
    <w:nsid w:val="5577F8E1"/>
    <w:multiLevelType w:val="hybridMultilevel"/>
    <w:lvl w:ilvl="0">
      <w:lvlJc w:val="left"/>
      <w:lvlText w:val="(%1)"/>
      <w:numFmt w:val="lowerRoman"/>
      <w:start w:val="1"/>
    </w:lvl>
  </w:abstractNum>
  <w:abstractNum w:abstractNumId="30">
    <w:nsid w:val="440BADFC"/>
    <w:multiLevelType w:val="hybridMultilevel"/>
    <w:lvl w:ilvl="0">
      <w:lvlJc w:val="left"/>
      <w:lvlText w:val="(%1)"/>
      <w:numFmt w:val="lowerRoman"/>
      <w:start w:val="15"/>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jpe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jpe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48" Type="http://schemas.openxmlformats.org/officeDocument/2006/relationships/hyperlink" Target="http://www.sec.gov/ix?doc=/Archives/edgar/data/1467858/000146785820000028/gm201910k.htm" TargetMode="External"/><Relationship Id="rId49" Type="http://schemas.openxmlformats.org/officeDocument/2006/relationships/hyperlink" Target="http://www.sec.gov/Archives/edgar/data/1467858/000119312520120812/d752756ddef14a.htm" TargetMode="External"/><Relationship Id="rId50" Type="http://schemas.openxmlformats.org/officeDocument/2006/relationships/hyperlink" Target="http://www.sec.gov/ix?doc=/Archives/edgar/data/1467858/000146785820000069/gm2020q1.htm" TargetMode="External"/><Relationship Id="rId51" Type="http://schemas.openxmlformats.org/officeDocument/2006/relationships/hyperlink" Target="http://www.sec.gov/ix?doc=/Archives/edgar/data/1467858/000146785820000050/a8-k.htm" TargetMode="External"/><Relationship Id="rId52" Type="http://schemas.openxmlformats.org/officeDocument/2006/relationships/hyperlink" Target="http://www.sec.gov/ix?doc=/Archives/edgar/data/1467858/000146785820000055/gmfacilitiesdraw8-k.htm" TargetMode="External"/><Relationship Id="rId53" Type="http://schemas.openxmlformats.org/officeDocument/2006/relationships/hyperlink" Target="http://www.sec.gov/ix?doc=/Archives/edgar/data/1467858/000146785820000060/a8k.htm" TargetMode="External"/><Relationship Id="rId54" Type="http://schemas.openxmlformats.org/officeDocument/2006/relationships/hyperlink" Target="http://www.sec.gov/ix?doc=/Archives/edgar/data/1467858/000146785820000062/a8k.htm" TargetMode="External"/><Relationship Id="rId63" Type="http://schemas.openxmlformats.org/officeDocument/2006/relationships/hyperlink" Target="http://www.sec.gov/Archives/edgar/data/1467858/000146785820000028/ex-41x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2020-05-07T07:15:08Z</dcterms:created>
  <dcterms:modified xsi:type="dcterms:W3CDTF">2020-05-07T07:15:08Z</dcterms:modified>
</cp:coreProperties>
</file>