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___________________</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___________________</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October 24, 2023</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___________________</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GENERAL MOTORS COMPANY</w:t>
      </w:r>
    </w:p>
    <w:p>
      <w:pPr>
        <w:spacing w:after="0" w:line="2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ectPr>
          <w:pgSz w:w="11900" w:h="16838" w:orient="portrait"/>
          <w:cols w:equalWidth="0" w:num="1">
            <w:col w:w="11100"/>
          </w:cols>
          <w:pgMar w:left="320" w:top="1440" w:right="479" w:bottom="1440" w:gutter="0" w:footer="0" w:header="0"/>
        </w:sectPr>
      </w:pPr>
    </w:p>
    <w:p>
      <w:pPr>
        <w:spacing w:after="0" w:line="120"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204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90" w:lineRule="exact"/>
        <w:rPr>
          <w:sz w:val="24"/>
          <w:szCs w:val="24"/>
          <w:color w:val="auto"/>
        </w:rPr>
      </w:pPr>
    </w:p>
    <w:p>
      <w:pPr>
        <w:sectPr>
          <w:pgSz w:w="11900" w:h="16838" w:orient="portrait"/>
          <w:cols w:equalWidth="0" w:num="3">
            <w:col w:w="4660" w:space="720"/>
            <w:col w:w="2820" w:space="720"/>
            <w:col w:w="2180"/>
          </w:cols>
          <w:pgMar w:left="320" w:top="1440" w:right="4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190" w:lineRule="exact"/>
        <w:rPr>
          <w:sz w:val="24"/>
          <w:szCs w:val="24"/>
          <w:color w:val="auto"/>
        </w:rPr>
      </w:pPr>
    </w:p>
    <w:p>
      <w:pPr>
        <w:sectPr>
          <w:pgSz w:w="11900" w:h="16838" w:orient="portrait"/>
          <w:cols w:equalWidth="0" w:num="3">
            <w:col w:w="4060" w:space="720"/>
            <w:col w:w="2560" w:space="720"/>
            <w:col w:w="3040"/>
          </w:cols>
          <w:pgMar w:left="320" w:top="1440" w:right="479" w:bottom="1440" w:gutter="0" w:footer="0" w:header="0"/>
          <w:type w:val="continuous"/>
        </w:sectPr>
      </w:pPr>
    </w:p>
    <w:p>
      <w:pPr>
        <w:ind w:left="780"/>
        <w:spacing w:after="0"/>
        <w:tabs>
          <w:tab w:leader="none" w:pos="2800" w:val="left"/>
          <w:tab w:leader="none" w:pos="3580" w:val="left"/>
        </w:tabs>
        <w:rPr>
          <w:sz w:val="20"/>
          <w:szCs w:val="20"/>
          <w:color w:val="auto"/>
        </w:rPr>
      </w:pPr>
      <w:r>
        <w:rPr>
          <w:rFonts w:ascii="Arial" w:cs="Arial" w:eastAsia="Arial" w:hAnsi="Arial"/>
          <w:sz w:val="18"/>
          <w:szCs w:val="18"/>
          <w:b w:val="1"/>
          <w:bCs w:val="1"/>
          <w:color w:val="auto"/>
        </w:rPr>
        <w:t>300 Renaissance Center,</w:t>
        <w:tab/>
        <w:t>Detroit,</w:t>
      </w:r>
      <w:r>
        <w:rPr>
          <w:sz w:val="20"/>
          <w:szCs w:val="20"/>
          <w:color w:val="auto"/>
        </w:rPr>
        <w:tab/>
      </w:r>
      <w:r>
        <w:rPr>
          <w:rFonts w:ascii="Arial" w:cs="Arial" w:eastAsia="Arial" w:hAnsi="Arial"/>
          <w:sz w:val="16"/>
          <w:szCs w:val="16"/>
          <w:b w:val="1"/>
          <w:bCs w:val="1"/>
          <w:color w:val="auto"/>
        </w:rPr>
        <w:t>Michigan</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60"/>
        <w:spacing w:after="0"/>
        <w:rPr>
          <w:sz w:val="20"/>
          <w:szCs w:val="20"/>
          <w:color w:val="auto"/>
        </w:rPr>
      </w:pPr>
      <w:r>
        <w:rPr>
          <w:rFonts w:ascii="Arial" w:cs="Arial" w:eastAsia="Arial" w:hAnsi="Arial"/>
          <w:sz w:val="16"/>
          <w:szCs w:val="16"/>
          <w:b w:val="1"/>
          <w:bCs w:val="1"/>
          <w:color w:val="auto"/>
        </w:rPr>
        <w:t>48265 -3000</w:t>
      </w:r>
    </w:p>
    <w:p>
      <w:pPr>
        <w:spacing w:after="0" w:line="50" w:lineRule="exact"/>
        <w:rPr>
          <w:sz w:val="24"/>
          <w:szCs w:val="24"/>
          <w:color w:val="auto"/>
        </w:rPr>
      </w:pPr>
    </w:p>
    <w:p>
      <w:pPr>
        <w:jc w:val="right"/>
        <w:ind w:right="200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520" w:space="720"/>
            <w:col w:w="2860"/>
          </w:cols>
          <w:pgMar w:left="320" w:top="1440" w:right="479" w:bottom="1440" w:gutter="0" w:footer="0" w:header="0"/>
          <w:type w:val="continuous"/>
        </w:sectPr>
      </w:pPr>
    </w:p>
    <w:p>
      <w:pPr>
        <w:spacing w:after="0" w:line="14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(313) 667-1500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65" w:lineRule="exact"/>
        <w:rPr>
          <w:sz w:val="24"/>
          <w:szCs w:val="24"/>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70"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270"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270" w:lineRule="exact"/>
        <w:rPr>
          <w:rFonts w:ascii="MS PGothic" w:cs="MS PGothic" w:eastAsia="MS PGothic" w:hAnsi="MS PGothic"/>
          <w:sz w:val="18"/>
          <w:szCs w:val="18"/>
          <w:color w:val="auto"/>
        </w:rPr>
      </w:pPr>
    </w:p>
    <w:p>
      <w:pPr>
        <w:ind w:left="3760" w:right="3240" w:hanging="3714"/>
        <w:spacing w:after="0" w:line="493" w:lineRule="auto"/>
        <w:tabs>
          <w:tab w:leader="none" w:pos="63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132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1180" w:type="dxa"/>
            <w:vAlign w:val="bottom"/>
          </w:tcPr>
          <w:p>
            <w:pPr>
              <w:jc w:val="center"/>
              <w:spacing w:after="0" w:line="173" w:lineRule="exact"/>
              <w:rPr>
                <w:sz w:val="20"/>
                <w:szCs w:val="20"/>
                <w:color w:val="auto"/>
              </w:rPr>
            </w:pPr>
            <w:r>
              <w:rPr>
                <w:rFonts w:ascii="Arial" w:cs="Arial" w:eastAsia="Arial" w:hAnsi="Arial"/>
                <w:sz w:val="16"/>
                <w:szCs w:val="16"/>
                <w:color w:val="auto"/>
                <w:w w:val="92"/>
              </w:rPr>
              <w:t>Title of each class</w:t>
            </w:r>
          </w:p>
        </w:tc>
        <w:tc>
          <w:tcPr>
            <w:tcW w:w="2040" w:type="dxa"/>
            <w:vAlign w:val="bottom"/>
          </w:tcPr>
          <w:p>
            <w:pPr>
              <w:spacing w:after="0"/>
              <w:rPr>
                <w:sz w:val="15"/>
                <w:szCs w:val="15"/>
                <w:color w:val="auto"/>
              </w:rPr>
            </w:pPr>
          </w:p>
        </w:tc>
        <w:tc>
          <w:tcPr>
            <w:tcW w:w="2440" w:type="dxa"/>
            <w:vAlign w:val="bottom"/>
            <w:gridSpan w:val="2"/>
          </w:tcPr>
          <w:p>
            <w:pPr>
              <w:jc w:val="center"/>
              <w:ind w:right="1220"/>
              <w:spacing w:after="0" w:line="173" w:lineRule="exact"/>
              <w:rPr>
                <w:sz w:val="20"/>
                <w:szCs w:val="20"/>
                <w:color w:val="auto"/>
              </w:rPr>
            </w:pPr>
            <w:r>
              <w:rPr>
                <w:rFonts w:ascii="Arial" w:cs="Arial" w:eastAsia="Arial" w:hAnsi="Arial"/>
                <w:sz w:val="16"/>
                <w:szCs w:val="16"/>
                <w:color w:val="auto"/>
                <w:w w:val="93"/>
              </w:rPr>
              <w:t>Trading Symbol(s)</w:t>
            </w:r>
          </w:p>
        </w:tc>
        <w:tc>
          <w:tcPr>
            <w:tcW w:w="2860" w:type="dxa"/>
            <w:vAlign w:val="bottom"/>
          </w:tcPr>
          <w:p>
            <w:pPr>
              <w:jc w:val="center"/>
              <w:spacing w:after="0" w:line="173" w:lineRule="exact"/>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3680" w:type="dxa"/>
            <w:vAlign w:val="bottom"/>
            <w:gridSpan w:val="3"/>
          </w:tcPr>
          <w:p>
            <w:pPr>
              <w:jc w:val="center"/>
              <w:ind w:right="1580"/>
              <w:spacing w:after="0"/>
              <w:rPr>
                <w:sz w:val="20"/>
                <w:szCs w:val="20"/>
                <w:color w:val="auto"/>
              </w:rPr>
            </w:pPr>
            <w:r>
              <w:rPr>
                <w:rFonts w:ascii="Arial" w:cs="Arial" w:eastAsia="Arial" w:hAnsi="Arial"/>
                <w:sz w:val="16"/>
                <w:szCs w:val="16"/>
                <w:color w:val="auto"/>
                <w:w w:val="91"/>
              </w:rPr>
              <w:t>Common Stock, $0.01 par value</w:t>
            </w:r>
          </w:p>
        </w:tc>
        <w:tc>
          <w:tcPr>
            <w:tcW w:w="2440" w:type="dxa"/>
            <w:vAlign w:val="bottom"/>
            <w:gridSpan w:val="2"/>
          </w:tcPr>
          <w:p>
            <w:pPr>
              <w:jc w:val="center"/>
              <w:ind w:right="1220"/>
              <w:spacing w:after="0"/>
              <w:rPr>
                <w:sz w:val="20"/>
                <w:szCs w:val="20"/>
                <w:color w:val="auto"/>
              </w:rPr>
            </w:pPr>
            <w:r>
              <w:rPr>
                <w:rFonts w:ascii="Arial" w:cs="Arial" w:eastAsia="Arial" w:hAnsi="Arial"/>
                <w:sz w:val="16"/>
                <w:szCs w:val="16"/>
                <w:color w:val="auto"/>
              </w:rPr>
              <w:t>GM</w:t>
            </w:r>
          </w:p>
        </w:tc>
        <w:tc>
          <w:tcPr>
            <w:tcW w:w="286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212"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74" w:lineRule="exact"/>
        <w:rPr>
          <w:sz w:val="24"/>
          <w:szCs w:val="24"/>
          <w:color w:val="auto"/>
        </w:rPr>
      </w:pPr>
    </w:p>
    <w:p>
      <w:pPr>
        <w:ind w:right="44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On October 24, 2023, General Motors Company (GM) issued a news release and supplemental materials on the subject of its 2023 third quarter consolidated earnings. The news release and supplemental materials are attached as Exhibit 99.1.</w:t>
      </w:r>
    </w:p>
    <w:p>
      <w:pPr>
        <w:spacing w:after="0" w:line="19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Charts furnished to securities analysts in connection with GM's 2023 third quarter earnings release are available on GM's website at www.gm.com/investors/earnings-releases.html.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560" w:type="dxa"/>
            <w:vAlign w:val="bottom"/>
            <w:gridSpan w:val="4"/>
          </w:tcPr>
          <w:p>
            <w:pPr>
              <w:ind w:left="1560"/>
              <w:spacing w:after="0"/>
              <w:rPr>
                <w:sz w:val="20"/>
                <w:szCs w:val="20"/>
                <w:color w:val="auto"/>
              </w:rPr>
            </w:pPr>
            <w:r>
              <w:rPr>
                <w:rFonts w:ascii="Arial" w:cs="Arial" w:eastAsia="Arial" w:hAnsi="Arial"/>
                <w:sz w:val="18"/>
                <w:szCs w:val="18"/>
                <w:b w:val="1"/>
                <w:bCs w:val="1"/>
                <w:color w:val="auto"/>
              </w:rPr>
              <w:t>EXHIBIT</w:t>
            </w:r>
          </w:p>
        </w:tc>
      </w:tr>
      <w:tr>
        <w:trPr>
          <w:trHeight w:val="236"/>
        </w:trPr>
        <w:tc>
          <w:tcPr>
            <w:tcW w:w="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4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760" w:type="dxa"/>
            <w:vAlign w:val="bottom"/>
            <w:tcBorders>
              <w:top w:val="single" w:sz="8" w:color="auto"/>
            </w:tcBorders>
          </w:tcPr>
          <w:p>
            <w:pPr>
              <w:spacing w:after="0"/>
              <w:rPr>
                <w:sz w:val="20"/>
                <w:szCs w:val="20"/>
                <w:color w:val="auto"/>
              </w:rPr>
            </w:pPr>
          </w:p>
        </w:tc>
        <w:tc>
          <w:tcPr>
            <w:tcW w:w="5240" w:type="dxa"/>
            <w:vAlign w:val="bottom"/>
            <w:gridSpan w:val="2"/>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8400" w:type="dxa"/>
            <w:vAlign w:val="bottom"/>
            <w:gridSpan w:val="5"/>
          </w:tcPr>
          <w:p>
            <w:pPr>
              <w:spacing w:after="0"/>
              <w:rPr>
                <w:sz w:val="20"/>
                <w:szCs w:val="20"/>
                <w:color w:val="auto"/>
              </w:rPr>
            </w:pPr>
            <w:r>
              <w:rPr>
                <w:rFonts w:ascii="Arial" w:cs="Arial" w:eastAsia="Arial" w:hAnsi="Arial"/>
                <w:sz w:val="18"/>
                <w:szCs w:val="18"/>
                <w:color w:val="0000FF"/>
              </w:rPr>
              <w:t>News Release and Financial Highlights Dated October 24, 2023</w:t>
            </w:r>
          </w:p>
        </w:tc>
      </w:tr>
      <w:tr>
        <w:trPr>
          <w:trHeight w:val="20"/>
        </w:trPr>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Exhibit 104</w:t>
            </w:r>
          </w:p>
        </w:tc>
        <w:tc>
          <w:tcPr>
            <w:tcW w:w="840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8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GENERAL MOTORS COMPANY (Registrant)</w:t>
            </w:r>
          </w:p>
        </w:tc>
      </w:tr>
      <w:tr>
        <w:trPr>
          <w:trHeight w:val="743"/>
        </w:trPr>
        <w:tc>
          <w:tcPr>
            <w:tcW w:w="6060" w:type="dxa"/>
            <w:vAlign w:val="bottom"/>
          </w:tcPr>
          <w:p>
            <w:pPr>
              <w:ind w:left="54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 HATTO</w:t>
            </w:r>
          </w:p>
        </w:tc>
      </w:tr>
      <w:tr>
        <w:trPr>
          <w:trHeight w:val="169"/>
        </w:trPr>
        <w:tc>
          <w:tcPr>
            <w:tcW w:w="6060" w:type="dxa"/>
            <w:vAlign w:val="bottom"/>
          </w:tcPr>
          <w:p>
            <w:pPr>
              <w:spacing w:after="0" w:line="169" w:lineRule="exact"/>
              <w:rPr>
                <w:sz w:val="20"/>
                <w:szCs w:val="20"/>
                <w:color w:val="auto"/>
              </w:rPr>
            </w:pPr>
            <w:r>
              <w:rPr>
                <w:rFonts w:ascii="Arial" w:cs="Arial" w:eastAsia="Arial" w:hAnsi="Arial"/>
                <w:sz w:val="18"/>
                <w:szCs w:val="18"/>
                <w:color w:val="auto"/>
              </w:rPr>
              <w:t>Date: October 24, 2023</w:t>
            </w:r>
          </w:p>
        </w:tc>
        <w:tc>
          <w:tcPr>
            <w:tcW w:w="5120" w:type="dxa"/>
            <w:vAlign w:val="bottom"/>
          </w:tcPr>
          <w:p>
            <w:pPr>
              <w:spacing w:after="0" w:line="169" w:lineRule="exact"/>
              <w:rPr>
                <w:sz w:val="20"/>
                <w:szCs w:val="20"/>
                <w:color w:val="auto"/>
              </w:rPr>
            </w:pPr>
            <w:r>
              <w:rPr>
                <w:rFonts w:ascii="Arial" w:cs="Arial" w:eastAsia="Arial" w:hAnsi="Arial"/>
                <w:sz w:val="18"/>
                <w:szCs w:val="18"/>
                <w:color w:val="auto"/>
                <w:w w:val="94"/>
              </w:rPr>
              <w:t>Christopher T. Hatto, Vice President, Global Business Solutions and</w:t>
            </w:r>
          </w:p>
        </w:tc>
      </w:tr>
      <w:tr>
        <w:trPr>
          <w:trHeight w:val="230"/>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Chief Accounting Officer</w:t>
            </w:r>
          </w:p>
        </w:tc>
      </w:tr>
    </w:tbl>
    <w:p>
      <w:pPr>
        <w:sectPr>
          <w:pgSz w:w="11900" w:h="16838" w:orient="portrait"/>
          <w:cols w:equalWidth="0" w:num="1">
            <w:col w:w="11220"/>
          </w:cols>
          <w:pgMar w:left="320" w:top="1134"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71450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640"/>
        <w:spacing w:after="0"/>
        <w:rPr>
          <w:sz w:val="20"/>
          <w:szCs w:val="20"/>
          <w:color w:val="auto"/>
        </w:rPr>
      </w:pPr>
      <w:r>
        <w:rPr>
          <w:rFonts w:ascii="Arial" w:cs="Arial" w:eastAsia="Arial" w:hAnsi="Arial"/>
          <w:sz w:val="52"/>
          <w:szCs w:val="52"/>
          <w:color w:val="6D6D6D"/>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210185</wp:posOffset>
            </wp:positionV>
            <wp:extent cx="6934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 Release: Tuesday, Oct. 24, 2023, at 6:30 a.m. ET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GM Releases 2023 Third Quarter Results</w:t>
      </w:r>
    </w:p>
    <w:p>
      <w:pPr>
        <w:spacing w:after="0" w:line="229"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reported third-quarter 2023 revenue of $44.1 billion, net income attributable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$3.1 billion and EBIT-adjusted of $3.6 billion.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GM’s quarterly results and financial highlights appears below.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for Investors and Analysts</w:t>
      </w:r>
    </w:p>
    <w:p>
      <w:pPr>
        <w:spacing w:after="0" w:line="249"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GM Chair and CEO Mary Barra and GM Chief Financial Officer Paul Jacobson will host a conference call for the investment community at 8:30 a.m. ET today to discuss these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details are as follows:</w:t>
      </w:r>
    </w:p>
    <w:p>
      <w:pPr>
        <w:ind w:left="660" w:hanging="328"/>
        <w:spacing w:after="0" w:line="238"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1-800-857-9821 (U.S.)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1-517-308-9481 (international/caller-paid)</w:t>
      </w:r>
    </w:p>
    <w:p>
      <w:pPr>
        <w:spacing w:after="0" w:line="10"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Conference call passcode: </w:t>
      </w:r>
      <w:r>
        <w:rPr>
          <w:rFonts w:ascii="Arial" w:cs="Arial" w:eastAsia="Arial" w:hAnsi="Arial"/>
          <w:sz w:val="18"/>
          <w:szCs w:val="18"/>
          <w:color w:val="auto"/>
        </w:rPr>
        <w:t>General Motors</w:t>
      </w:r>
    </w:p>
    <w:p>
      <w:pPr>
        <w:ind w:left="660" w:hanging="328"/>
        <w:spacing w:after="0" w:line="219"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 xml:space="preserve">An audio replay will be available on the </w:t>
      </w:r>
      <w:r>
        <w:rPr>
          <w:rFonts w:ascii="Arial" w:cs="Arial" w:eastAsia="Arial" w:hAnsi="Arial"/>
          <w:sz w:val="18"/>
          <w:szCs w:val="18"/>
          <w:color w:val="0563C1"/>
        </w:rPr>
        <w:t>GM Investor Relations website</w:t>
      </w:r>
      <w:r>
        <w:rPr>
          <w:rFonts w:ascii="Arial" w:cs="Arial" w:eastAsia="Arial" w:hAnsi="Arial"/>
          <w:sz w:val="18"/>
          <w:szCs w:val="18"/>
          <w:color w:val="auto"/>
        </w:rPr>
        <w:t xml:space="preserve"> in the Events section.</w:t>
      </w:r>
    </w:p>
    <w:p>
      <w:pPr>
        <w:spacing w:after="0" w:line="217" w:lineRule="exact"/>
        <w:rPr>
          <w:sz w:val="20"/>
          <w:szCs w:val="20"/>
          <w:color w:val="auto"/>
        </w:rPr>
      </w:pPr>
    </w:p>
    <w:p>
      <w:pPr>
        <w:ind w:right="1040"/>
        <w:spacing w:after="0" w:line="260" w:lineRule="auto"/>
        <w:rPr>
          <w:sz w:val="20"/>
          <w:szCs w:val="20"/>
          <w:color w:val="auto"/>
        </w:rPr>
      </w:pPr>
      <w:r>
        <w:rPr>
          <w:rFonts w:ascii="Arial" w:cs="Arial" w:eastAsia="Arial" w:hAnsi="Arial"/>
          <w:sz w:val="18"/>
          <w:szCs w:val="18"/>
          <w:color w:val="auto"/>
        </w:rPr>
        <w:t xml:space="preserve">Visit the </w:t>
      </w:r>
      <w:r>
        <w:rPr>
          <w:rFonts w:ascii="Arial" w:cs="Arial" w:eastAsia="Arial" w:hAnsi="Arial"/>
          <w:sz w:val="18"/>
          <w:szCs w:val="18"/>
          <w:color w:val="0563C1"/>
        </w:rPr>
        <w:t>GM Investor Relations website</w:t>
      </w:r>
      <w:r>
        <w:rPr>
          <w:rFonts w:ascii="Arial" w:cs="Arial" w:eastAsia="Arial" w:hAnsi="Arial"/>
          <w:sz w:val="18"/>
          <w:szCs w:val="18"/>
          <w:color w:val="auto"/>
        </w:rPr>
        <w:t xml:space="preserve"> to download the company’s </w:t>
      </w:r>
      <w:r>
        <w:rPr>
          <w:rFonts w:ascii="Arial" w:cs="Arial" w:eastAsia="Arial" w:hAnsi="Arial"/>
          <w:sz w:val="18"/>
          <w:szCs w:val="18"/>
          <w:color w:val="0563C1"/>
        </w:rPr>
        <w:t>earnings deck</w:t>
      </w:r>
      <w:r>
        <w:rPr>
          <w:rFonts w:ascii="Arial" w:cs="Arial" w:eastAsia="Arial" w:hAnsi="Arial"/>
          <w:sz w:val="18"/>
          <w:szCs w:val="18"/>
          <w:color w:val="auto"/>
        </w:rPr>
        <w:t xml:space="preserve"> and </w:t>
      </w:r>
      <w:r>
        <w:rPr>
          <w:rFonts w:ascii="Arial" w:cs="Arial" w:eastAsia="Arial" w:hAnsi="Arial"/>
          <w:sz w:val="18"/>
          <w:szCs w:val="18"/>
          <w:color w:val="0563C1"/>
        </w:rPr>
        <w:t>GM Chair and CEO Mary Barra’s letter to</w:t>
      </w:r>
      <w:r>
        <w:rPr>
          <w:rFonts w:ascii="Arial" w:cs="Arial" w:eastAsia="Arial" w:hAnsi="Arial"/>
          <w:sz w:val="18"/>
          <w:szCs w:val="18"/>
          <w:color w:val="auto"/>
        </w:rPr>
        <w:t xml:space="preserve"> </w:t>
      </w:r>
      <w:r>
        <w:rPr>
          <w:rFonts w:ascii="Arial" w:cs="Arial" w:eastAsia="Arial" w:hAnsi="Arial"/>
          <w:sz w:val="18"/>
          <w:szCs w:val="18"/>
          <w:color w:val="0563C1"/>
        </w:rPr>
        <w:t>shareholders</w:t>
      </w:r>
      <w:r>
        <w:rPr>
          <w:rFonts w:ascii="Arial" w:cs="Arial" w:eastAsia="Arial" w:hAnsi="Arial"/>
          <w:sz w:val="18"/>
          <w:szCs w:val="18"/>
          <w:color w:val="000000"/>
        </w:rPr>
        <w: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Results Overview</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420" w:type="dxa"/>
            <w:vAlign w:val="bottom"/>
            <w:vMerge w:val="restart"/>
          </w:tcPr>
          <w:p>
            <w:pPr>
              <w:spacing w:after="0"/>
              <w:rPr>
                <w:sz w:val="20"/>
                <w:szCs w:val="20"/>
                <w:color w:val="auto"/>
              </w:rPr>
            </w:pPr>
            <w:r>
              <w:rPr>
                <w:rFonts w:ascii="Arial" w:cs="Arial" w:eastAsia="Arial" w:hAnsi="Arial"/>
                <w:sz w:val="16"/>
                <w:szCs w:val="16"/>
                <w:i w:val="1"/>
                <w:iCs w:val="1"/>
                <w:color w:val="auto"/>
              </w:rPr>
              <w:t>($M) except where noted</w:t>
            </w:r>
          </w:p>
        </w:tc>
        <w:tc>
          <w:tcPr>
            <w:tcW w:w="4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vMerge w:val="continue"/>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2023</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2022</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c>
          <w:tcPr>
            <w:tcW w:w="14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4"/>
        </w:trPr>
        <w:tc>
          <w:tcPr>
            <w:tcW w:w="3420" w:type="dxa"/>
            <w:vAlign w:val="bottom"/>
          </w:tcPr>
          <w:p>
            <w:pPr>
              <w:spacing w:after="0"/>
              <w:rPr>
                <w:sz w:val="20"/>
                <w:szCs w:val="20"/>
                <w:color w:val="auto"/>
              </w:rPr>
            </w:pPr>
            <w:r>
              <w:rPr>
                <w:rFonts w:ascii="Arial" w:cs="Arial" w:eastAsia="Arial" w:hAnsi="Arial"/>
                <w:sz w:val="16"/>
                <w:szCs w:val="16"/>
                <w:color w:val="auto"/>
              </w:rPr>
              <w:t>Revenue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44,131</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41,889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2,242</w:t>
            </w:r>
          </w:p>
        </w:tc>
        <w:tc>
          <w:tcPr>
            <w:tcW w:w="1420" w:type="dxa"/>
            <w:vAlign w:val="bottom"/>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3,064</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3,305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(241)</w:t>
            </w:r>
          </w:p>
        </w:tc>
        <w:tc>
          <w:tcPr>
            <w:tcW w:w="142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EBIT-adjusted</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3,564</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4,287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(723)</w:t>
            </w:r>
          </w:p>
        </w:tc>
        <w:tc>
          <w:tcPr>
            <w:tcW w:w="142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Net income margin</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6.9 %</w:t>
            </w: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7.9 %</w:t>
            </w:r>
          </w:p>
        </w:tc>
        <w:tc>
          <w:tcPr>
            <w:tcW w:w="28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(1.0) ppts</w:t>
            </w:r>
          </w:p>
        </w:tc>
        <w:tc>
          <w:tcPr>
            <w:tcW w:w="142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EBIT-adjusted margin</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8.1 %</w:t>
            </w: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10.2 %</w:t>
            </w:r>
          </w:p>
        </w:tc>
        <w:tc>
          <w:tcPr>
            <w:tcW w:w="28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(2.1) ppts</w:t>
            </w:r>
          </w:p>
        </w:tc>
        <w:tc>
          <w:tcPr>
            <w:tcW w:w="142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6,794</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6,502</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292</w:t>
            </w:r>
          </w:p>
        </w:tc>
        <w:tc>
          <w:tcPr>
            <w:tcW w:w="1420" w:type="dxa"/>
            <w:vAlign w:val="bottom"/>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4,910</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4,593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317</w:t>
            </w:r>
          </w:p>
        </w:tc>
        <w:tc>
          <w:tcPr>
            <w:tcW w:w="142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EPS-diluted(a)</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2.20</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2.25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(0.05)</w:t>
            </w:r>
          </w:p>
        </w:tc>
        <w:tc>
          <w:tcPr>
            <w:tcW w:w="14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EPS-diluted-adjusted(a)</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2.28</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2.25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0.03</w:t>
            </w:r>
          </w:p>
        </w:tc>
        <w:tc>
          <w:tcPr>
            <w:tcW w:w="142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GMNA EBIT-adjusted</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3,526</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3,894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(368)</w:t>
            </w:r>
          </w:p>
        </w:tc>
        <w:tc>
          <w:tcPr>
            <w:tcW w:w="142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9.8 %</w:t>
            </w: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11.2 %</w:t>
            </w:r>
          </w:p>
        </w:tc>
        <w:tc>
          <w:tcPr>
            <w:tcW w:w="28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(1.4) ppts</w:t>
            </w:r>
          </w:p>
        </w:tc>
        <w:tc>
          <w:tcPr>
            <w:tcW w:w="142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GMI EBIT-adjusted</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357</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334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23</w:t>
            </w:r>
          </w:p>
        </w:tc>
        <w:tc>
          <w:tcPr>
            <w:tcW w:w="142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China equity income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192</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330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(138)</w:t>
            </w:r>
          </w:p>
        </w:tc>
        <w:tc>
          <w:tcPr>
            <w:tcW w:w="142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741</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911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(170)</w:t>
            </w:r>
          </w:p>
        </w:tc>
        <w:tc>
          <w:tcPr>
            <w:tcW w:w="142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line="263"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EPS-diluted and EPS-diluted-adjusted include a $(0.05) and $0.03 impact from revaluation on equity investments in the three months ended September 30, 2023 and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2" w:right="339" w:bottom="1440" w:gutter="0" w:footer="0" w:header="0"/>
        </w:sectPr>
      </w:pPr>
    </w:p>
    <w:bookmarkStart w:id="4" w:name="page5"/>
    <w:bookmarkEnd w:id="4"/>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General Motors </w:t>
      </w:r>
      <w:r>
        <w:rPr>
          <w:rFonts w:ascii="Arial" w:cs="Arial" w:eastAsia="Arial" w:hAnsi="Arial"/>
          <w:sz w:val="18"/>
          <w:szCs w:val="18"/>
          <w:color w:val="auto"/>
        </w:rPr>
        <w:t>(NYSE:GM) is a global company focused on advancing an all-electric future that is inclusive and accessible to all. At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heart of this strategy is the Ultium battery platform, which will power everything from mass-market to high-performance vehicles. General Motors, its subsidiaries and its joint venture entities sell vehicles under the </w:t>
      </w:r>
      <w:r>
        <w:rPr>
          <w:rFonts w:ascii="Arial" w:cs="Arial" w:eastAsia="Arial" w:hAnsi="Arial"/>
          <w:sz w:val="18"/>
          <w:szCs w:val="18"/>
          <w:color w:val="0563C1"/>
        </w:rPr>
        <w:t>Chevrolet</w:t>
      </w:r>
      <w:r>
        <w:rPr>
          <w:rFonts w:ascii="Arial" w:cs="Arial" w:eastAsia="Arial" w:hAnsi="Arial"/>
          <w:sz w:val="18"/>
          <w:szCs w:val="18"/>
          <w:color w:val="134A9C"/>
        </w:rPr>
        <w:t>,</w:t>
      </w:r>
      <w:r>
        <w:rPr>
          <w:rFonts w:ascii="Arial" w:cs="Arial" w:eastAsia="Arial" w:hAnsi="Arial"/>
          <w:sz w:val="18"/>
          <w:szCs w:val="18"/>
          <w:color w:val="auto"/>
        </w:rPr>
        <w:t xml:space="preserve"> </w:t>
      </w:r>
      <w:r>
        <w:rPr>
          <w:rFonts w:ascii="Arial" w:cs="Arial" w:eastAsia="Arial" w:hAnsi="Arial"/>
          <w:sz w:val="18"/>
          <w:szCs w:val="18"/>
          <w:color w:val="0563C1"/>
        </w:rPr>
        <w:t>Buick, GMC, Cadillac</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color w:val="0563C1"/>
        </w:rPr>
        <w:t>Baojun</w:t>
      </w:r>
      <w:r>
        <w:rPr>
          <w:rFonts w:ascii="Arial" w:cs="Arial" w:eastAsia="Arial" w:hAnsi="Arial"/>
          <w:sz w:val="18"/>
          <w:szCs w:val="18"/>
          <w:color w:val="auto"/>
        </w:rPr>
        <w:t xml:space="preserve"> and </w:t>
      </w:r>
      <w:r>
        <w:rPr>
          <w:rFonts w:ascii="Arial" w:cs="Arial" w:eastAsia="Arial" w:hAnsi="Arial"/>
          <w:sz w:val="18"/>
          <w:szCs w:val="18"/>
          <w:color w:val="0563C1"/>
        </w:rPr>
        <w:t>Wuling</w:t>
      </w:r>
      <w:r>
        <w:rPr>
          <w:rFonts w:ascii="Arial" w:cs="Arial" w:eastAsia="Arial" w:hAnsi="Arial"/>
          <w:sz w:val="18"/>
          <w:szCs w:val="18"/>
          <w:color w:val="auto"/>
        </w:rPr>
        <w:t xml:space="preserve"> brands. More information on the company and its subsidiaries, including </w:t>
      </w:r>
      <w:r>
        <w:rPr>
          <w:rFonts w:ascii="Arial" w:cs="Arial" w:eastAsia="Arial" w:hAnsi="Arial"/>
          <w:sz w:val="18"/>
          <w:szCs w:val="18"/>
          <w:color w:val="0563C1"/>
        </w:rPr>
        <w:t>OnStar</w:t>
      </w:r>
      <w:r>
        <w:rPr>
          <w:rFonts w:ascii="Arial" w:cs="Arial" w:eastAsia="Arial" w:hAnsi="Arial"/>
          <w:sz w:val="18"/>
          <w:szCs w:val="18"/>
          <w:color w:val="auto"/>
        </w:rPr>
        <w:t xml:space="preserve">, a global leader in safety services and connected vehicle technology, can be found at </w:t>
      </w:r>
      <w:r>
        <w:rPr>
          <w:rFonts w:ascii="Arial" w:cs="Arial" w:eastAsia="Arial" w:hAnsi="Arial"/>
          <w:sz w:val="18"/>
          <w:szCs w:val="18"/>
          <w:color w:val="0563C1"/>
        </w:rPr>
        <w:t>https://www.gm.com</w:t>
      </w:r>
      <w:r>
        <w:rPr>
          <w:rFonts w:ascii="Arial" w:cs="Arial" w:eastAsia="Arial" w:hAnsi="Arial"/>
          <w:sz w:val="18"/>
          <w:szCs w:val="18"/>
          <w:color w:val="373F42"/>
        </w:rPr>
        <w:t>.</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780" w:type="dxa"/>
            <w:vAlign w:val="bottom"/>
          </w:tcPr>
          <w:p>
            <w:pPr>
              <w:ind w:left="440"/>
              <w:spacing w:after="0"/>
              <w:rPr>
                <w:sz w:val="20"/>
                <w:szCs w:val="20"/>
                <w:color w:val="auto"/>
              </w:rPr>
            </w:pPr>
            <w:r>
              <w:rPr>
                <w:rFonts w:ascii="Arial" w:cs="Arial" w:eastAsia="Arial" w:hAnsi="Arial"/>
                <w:sz w:val="18"/>
                <w:szCs w:val="18"/>
                <w:b w:val="1"/>
                <w:bCs w:val="1"/>
                <w:color w:val="auto"/>
              </w:rPr>
              <w:t>###</w:t>
            </w:r>
          </w:p>
        </w:tc>
      </w:tr>
      <w:tr>
        <w:trPr>
          <w:trHeight w:val="513"/>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80" w:type="dxa"/>
            <w:vAlign w:val="bottom"/>
          </w:tcPr>
          <w:p>
            <w:pPr>
              <w:spacing w:after="0"/>
              <w:rPr>
                <w:sz w:val="24"/>
                <w:szCs w:val="24"/>
                <w:color w:val="auto"/>
              </w:rPr>
            </w:pPr>
          </w:p>
        </w:tc>
      </w:tr>
      <w:tr>
        <w:trPr>
          <w:trHeight w:val="245"/>
        </w:trPr>
        <w:tc>
          <w:tcPr>
            <w:tcW w:w="5020" w:type="dxa"/>
            <w:vAlign w:val="bottom"/>
            <w:gridSpan w:val="3"/>
          </w:tcPr>
          <w:p>
            <w:pPr>
              <w:spacing w:after="0"/>
              <w:rPr>
                <w:sz w:val="20"/>
                <w:szCs w:val="20"/>
                <w:color w:val="auto"/>
              </w:rPr>
            </w:pPr>
            <w:r>
              <w:rPr>
                <w:rFonts w:ascii="Arial" w:cs="Arial" w:eastAsia="Arial" w:hAnsi="Arial"/>
                <w:sz w:val="18"/>
                <w:szCs w:val="18"/>
                <w:color w:val="auto"/>
              </w:rPr>
              <w:t>Jim Cain</w:t>
            </w:r>
          </w:p>
        </w:tc>
        <w:tc>
          <w:tcPr>
            <w:tcW w:w="1780" w:type="dxa"/>
            <w:vAlign w:val="bottom"/>
          </w:tcPr>
          <w:p>
            <w:pPr>
              <w:spacing w:after="0"/>
              <w:rPr>
                <w:sz w:val="20"/>
                <w:szCs w:val="20"/>
                <w:color w:val="auto"/>
              </w:rPr>
            </w:pPr>
            <w:r>
              <w:rPr>
                <w:rFonts w:ascii="Arial" w:cs="Arial" w:eastAsia="Arial" w:hAnsi="Arial"/>
                <w:sz w:val="18"/>
                <w:szCs w:val="18"/>
                <w:color w:val="auto"/>
              </w:rPr>
              <w:t>Ashish Kohli</w:t>
            </w: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20"/>
                <w:szCs w:val="20"/>
                <w:color w:val="auto"/>
              </w:rPr>
            </w:pPr>
            <w:r>
              <w:rPr>
                <w:rFonts w:ascii="Arial" w:cs="Arial" w:eastAsia="Arial" w:hAnsi="Arial"/>
                <w:sz w:val="18"/>
                <w:szCs w:val="18"/>
                <w:color w:val="auto"/>
                <w:w w:val="98"/>
              </w:rPr>
              <w:t>GM Investor Relations</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313-407-2843</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847-964-3459</w:t>
            </w:r>
          </w:p>
        </w:tc>
      </w:tr>
      <w:tr>
        <w:trPr>
          <w:trHeight w:val="188"/>
        </w:trPr>
        <w:tc>
          <w:tcPr>
            <w:tcW w:w="5020" w:type="dxa"/>
            <w:vAlign w:val="bottom"/>
            <w:gridSpan w:val="3"/>
          </w:tcPr>
          <w:p>
            <w:pPr>
              <w:spacing w:after="0" w:line="189" w:lineRule="exact"/>
              <w:rPr>
                <w:sz w:val="20"/>
                <w:szCs w:val="20"/>
                <w:color w:val="auto"/>
              </w:rPr>
            </w:pPr>
            <w:r>
              <w:rPr>
                <w:rFonts w:ascii="Arial" w:cs="Arial" w:eastAsia="Arial" w:hAnsi="Arial"/>
                <w:sz w:val="18"/>
                <w:szCs w:val="18"/>
                <w:color w:val="0563C1"/>
              </w:rPr>
              <w:t>james.cain@chevrolet.com</w:t>
            </w:r>
          </w:p>
        </w:tc>
        <w:tc>
          <w:tcPr>
            <w:tcW w:w="1780" w:type="dxa"/>
            <w:vAlign w:val="bottom"/>
          </w:tcPr>
          <w:p>
            <w:pPr>
              <w:spacing w:after="0" w:line="189" w:lineRule="exact"/>
              <w:rPr>
                <w:sz w:val="20"/>
                <w:szCs w:val="20"/>
                <w:color w:val="auto"/>
              </w:rPr>
            </w:pPr>
            <w:r>
              <w:rPr>
                <w:rFonts w:ascii="Arial" w:cs="Arial" w:eastAsia="Arial" w:hAnsi="Arial"/>
                <w:sz w:val="18"/>
                <w:szCs w:val="18"/>
                <w:color w:val="0563C1"/>
                <w:w w:val="99"/>
              </w:rPr>
              <w:t>ashish.kohli@gm.com</w:t>
            </w:r>
          </w:p>
        </w:tc>
      </w:tr>
      <w:tr>
        <w:trPr>
          <w:trHeight w:val="521"/>
        </w:trPr>
        <w:tc>
          <w:tcPr>
            <w:tcW w:w="2160" w:type="dxa"/>
            <w:vAlign w:val="bottom"/>
            <w:tcBorders>
              <w:top w:val="single" w:sz="8" w:color="0563C1"/>
            </w:tcBorders>
            <w:gridSpan w:val="2"/>
          </w:tcPr>
          <w:p>
            <w:pPr>
              <w:spacing w:after="0"/>
              <w:rPr>
                <w:sz w:val="20"/>
                <w:szCs w:val="20"/>
                <w:color w:val="auto"/>
              </w:rPr>
            </w:pPr>
            <w:r>
              <w:rPr>
                <w:rFonts w:ascii="Arial" w:cs="Arial" w:eastAsia="Arial" w:hAnsi="Arial"/>
                <w:sz w:val="18"/>
                <w:szCs w:val="18"/>
                <w:color w:val="auto"/>
              </w:rPr>
              <w:t>David Caldwell</w:t>
            </w:r>
          </w:p>
        </w:tc>
        <w:tc>
          <w:tcPr>
            <w:tcW w:w="2860" w:type="dxa"/>
            <w:vAlign w:val="bottom"/>
          </w:tcPr>
          <w:p>
            <w:pPr>
              <w:spacing w:after="0"/>
              <w:rPr>
                <w:sz w:val="24"/>
                <w:szCs w:val="24"/>
                <w:color w:val="auto"/>
              </w:rPr>
            </w:pPr>
          </w:p>
        </w:tc>
        <w:tc>
          <w:tcPr>
            <w:tcW w:w="1780" w:type="dxa"/>
            <w:vAlign w:val="bottom"/>
            <w:tcBorders>
              <w:top w:val="single" w:sz="8" w:color="0563C1"/>
            </w:tcBorders>
          </w:tcPr>
          <w:p>
            <w:pPr>
              <w:spacing w:after="0"/>
              <w:rPr>
                <w:sz w:val="24"/>
                <w:szCs w:val="24"/>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586-899-7861</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88"/>
        </w:trPr>
        <w:tc>
          <w:tcPr>
            <w:tcW w:w="5020" w:type="dxa"/>
            <w:vAlign w:val="bottom"/>
            <w:gridSpan w:val="3"/>
          </w:tcPr>
          <w:p>
            <w:pPr>
              <w:spacing w:after="0" w:line="189" w:lineRule="exact"/>
              <w:rPr>
                <w:sz w:val="20"/>
                <w:szCs w:val="20"/>
                <w:color w:val="auto"/>
              </w:rPr>
            </w:pPr>
            <w:r>
              <w:rPr>
                <w:rFonts w:ascii="Arial" w:cs="Arial" w:eastAsia="Arial" w:hAnsi="Arial"/>
                <w:sz w:val="18"/>
                <w:szCs w:val="18"/>
                <w:color w:val="0563C1"/>
              </w:rPr>
              <w:t>david.caldwell@gm.com</w:t>
            </w:r>
          </w:p>
        </w:tc>
        <w:tc>
          <w:tcPr>
            <w:tcW w:w="1780" w:type="dxa"/>
            <w:vAlign w:val="bottom"/>
          </w:tcPr>
          <w:p>
            <w:pPr>
              <w:spacing w:after="0"/>
              <w:rPr>
                <w:sz w:val="16"/>
                <w:szCs w:val="16"/>
                <w:color w:val="auto"/>
              </w:rPr>
            </w:pPr>
          </w:p>
        </w:tc>
      </w:tr>
      <w:tr>
        <w:trPr>
          <w:trHeight w:val="20"/>
        </w:trPr>
        <w:tc>
          <w:tcPr>
            <w:tcW w:w="19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4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Cautionary Note on Forward-Looking Statements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press release and related comments by management may include “forward-looking statements” within the meaning of the U.S. federal securities laws. Forward-looking statements are any statements other than statements of historical fact and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jc w:val="center"/>
        <w:ind w:right="-19"/>
        <w:spacing w:after="0" w:line="226"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8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3" w:lineRule="exact"/>
        <w:rPr>
          <w:sz w:val="20"/>
          <w:szCs w:val="20"/>
          <w:color w:val="auto"/>
        </w:rPr>
      </w:pPr>
    </w:p>
    <w:p>
      <w:pPr>
        <w:jc w:val="both"/>
        <w:ind w:firstLine="162"/>
        <w:spacing w:after="0" w:line="260"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07"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color w:val="auto"/>
        </w:rPr>
        <w:t>EPS-diluted-adjusted is used by management and can be used by investors to review our consolidated diluted EPS results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213" w:lineRule="exact"/>
        <w:rPr>
          <w:sz w:val="20"/>
          <w:szCs w:val="20"/>
          <w:color w:val="auto"/>
        </w:rPr>
      </w:pPr>
    </w:p>
    <w:p>
      <w:pPr>
        <w:jc w:val="both"/>
        <w:ind w:firstLine="162"/>
        <w:spacing w:after="0" w:line="260"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color w:val="auto"/>
        </w:rPr>
        <w:t>ETR-adjusted is used by management and can be used by investors to review the consolidated effective tax rate for our core operations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18"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color w:val="auto"/>
        </w:rPr>
        <w:t>ROIC-adjusted is used by management and can be used by investors to review our investment and capital allocation decisions. We define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200"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color w:val="auto"/>
        </w:rPr>
        <w:t>Adjusted automotive free cash flow is used by management and can be used by investors to review the liquidity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227"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Certain columns and rows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60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attributable to stockholders under U.S. GAAP to segment profit (loss) (dollars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gridSpan w:val="5"/>
          </w:tcPr>
          <w:p>
            <w:pPr>
              <w:ind w:left="92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5"/>
                <w:szCs w:val="15"/>
                <w:color w:val="auto"/>
              </w:rPr>
            </w:pPr>
          </w:p>
        </w:tc>
        <w:tc>
          <w:tcPr>
            <w:tcW w:w="3240" w:type="dxa"/>
            <w:vAlign w:val="bottom"/>
            <w:gridSpan w:val="4"/>
          </w:tcPr>
          <w:p>
            <w:pPr>
              <w:jc w:val="right"/>
              <w:ind w:right="1040"/>
              <w:spacing w:after="0"/>
              <w:rPr>
                <w:sz w:val="20"/>
                <w:szCs w:val="20"/>
                <w:color w:val="auto"/>
              </w:rPr>
            </w:pPr>
            <w:r>
              <w:rPr>
                <w:rFonts w:ascii="Arial" w:cs="Arial" w:eastAsia="Arial" w:hAnsi="Arial"/>
                <w:sz w:val="13"/>
                <w:szCs w:val="13"/>
                <w:b w:val="1"/>
                <w:bCs w:val="1"/>
                <w:color w:val="auto"/>
              </w:rPr>
              <w:t>Nine Months Ended</w:t>
            </w:r>
          </w:p>
        </w:tc>
      </w:tr>
      <w:tr>
        <w:trPr>
          <w:trHeight w:val="173"/>
        </w:trPr>
        <w:tc>
          <w:tcPr>
            <w:tcW w:w="4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September 30, 2023</w:t>
            </w: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September 30, 2022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September 30, 2023</w:t>
            </w: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September 30, 2022</w:t>
            </w: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3,064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7,935</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1,308</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Automotive interest expense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Automotive interest income</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4320" w:type="dxa"/>
            <w:vAlign w:val="bottom"/>
          </w:tcPr>
          <w:p>
            <w:pPr>
              <w:ind w:left="160"/>
              <w:spacing w:after="0"/>
              <w:rPr>
                <w:sz w:val="20"/>
                <w:szCs w:val="20"/>
                <w:color w:val="auto"/>
              </w:rPr>
            </w:pPr>
            <w:r>
              <w:rPr>
                <w:rFonts w:ascii="Arial" w:cs="Arial" w:eastAsia="Arial" w:hAnsi="Arial"/>
                <w:sz w:val="16"/>
                <w:szCs w:val="16"/>
                <w:color w:val="auto"/>
              </w:rPr>
              <w:t>Buick dealer strategy(b)</w:t>
            </w:r>
          </w:p>
        </w:tc>
        <w:tc>
          <w:tcPr>
            <w:tcW w:w="1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Voluntary separation program(c)</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20" w:type="dxa"/>
            <w:vAlign w:val="bottom"/>
          </w:tcPr>
          <w:p>
            <w:pPr>
              <w:ind w:left="160"/>
              <w:spacing w:after="0"/>
              <w:rPr>
                <w:sz w:val="20"/>
                <w:szCs w:val="20"/>
                <w:color w:val="auto"/>
              </w:rPr>
            </w:pPr>
            <w:r>
              <w:rPr>
                <w:rFonts w:ascii="Arial" w:cs="Arial" w:eastAsia="Arial" w:hAnsi="Arial"/>
                <w:sz w:val="16"/>
                <w:szCs w:val="16"/>
                <w:color w:val="auto"/>
              </w:rPr>
              <w:t>GM Korea wage litigation(d)</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Cruise compensation modifications(e)</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r>
      <w:tr>
        <w:trPr>
          <w:trHeight w:val="213"/>
        </w:trPr>
        <w:tc>
          <w:tcPr>
            <w:tcW w:w="43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Patent royalty matters(f)</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1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adjustments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r>
      <w:tr>
        <w:trPr>
          <w:trHeight w:val="207"/>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EBIT-adjusted</w:t>
            </w:r>
          </w:p>
        </w:tc>
        <w:tc>
          <w:tcPr>
            <w:tcW w:w="1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3,564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4,287</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10,601</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10,675</w:t>
            </w:r>
          </w:p>
        </w:tc>
      </w:tr>
      <w:tr>
        <w:trPr>
          <w:trHeight w:val="19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segments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4320" w:type="dxa"/>
            <w:vAlign w:val="bottom"/>
          </w:tcPr>
          <w:p>
            <w:pPr>
              <w:ind w:left="140"/>
              <w:spacing w:after="0"/>
              <w:rPr>
                <w:sz w:val="20"/>
                <w:szCs w:val="20"/>
                <w:color w:val="auto"/>
              </w:rPr>
            </w:pPr>
            <w:r>
              <w:rPr>
                <w:rFonts w:ascii="Arial" w:cs="Arial" w:eastAsia="Arial" w:hAnsi="Arial"/>
                <w:sz w:val="16"/>
                <w:szCs w:val="16"/>
                <w:color w:val="auto"/>
              </w:rPr>
              <w:t>GM North America (GMNA)</w:t>
            </w:r>
          </w:p>
        </w:tc>
        <w:tc>
          <w:tcPr>
            <w:tcW w:w="1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3,526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10,295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9,334</w:t>
            </w:r>
          </w:p>
        </w:tc>
      </w:tr>
      <w:tr>
        <w:trPr>
          <w:trHeight w:val="219"/>
        </w:trPr>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International (GMI)</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r>
      <w:tr>
        <w:trPr>
          <w:trHeight w:val="213"/>
        </w:trPr>
        <w:tc>
          <w:tcPr>
            <w:tcW w:w="4320" w:type="dxa"/>
            <w:vAlign w:val="bottom"/>
          </w:tcPr>
          <w:p>
            <w:pPr>
              <w:ind w:left="140"/>
              <w:spacing w:after="0"/>
              <w:rPr>
                <w:sz w:val="20"/>
                <w:szCs w:val="20"/>
                <w:color w:val="auto"/>
              </w:rPr>
            </w:pPr>
            <w:r>
              <w:rPr>
                <w:rFonts w:ascii="Arial" w:cs="Arial" w:eastAsia="Arial" w:hAnsi="Arial"/>
                <w:sz w:val="16"/>
                <w:szCs w:val="16"/>
                <w:color w:val="auto"/>
              </w:rPr>
              <w:t>Cruise</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(1,365)</w:t>
            </w:r>
          </w:p>
        </w:tc>
      </w:tr>
      <w:tr>
        <w:trPr>
          <w:trHeight w:val="219"/>
        </w:trPr>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Financial(g)</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3,301</w:t>
            </w:r>
          </w:p>
        </w:tc>
      </w:tr>
      <w:tr>
        <w:trPr>
          <w:trHeight w:val="206"/>
        </w:trPr>
        <w:tc>
          <w:tcPr>
            <w:tcW w:w="4320" w:type="dxa"/>
            <w:vAlign w:val="bottom"/>
          </w:tcPr>
          <w:p>
            <w:pPr>
              <w:ind w:left="20"/>
              <w:spacing w:after="0"/>
              <w:rPr>
                <w:sz w:val="20"/>
                <w:szCs w:val="20"/>
                <w:color w:val="auto"/>
              </w:rPr>
            </w:pPr>
            <w:r>
              <w:rPr>
                <w:rFonts w:ascii="Arial" w:cs="Arial" w:eastAsia="Arial" w:hAnsi="Arial"/>
                <w:sz w:val="16"/>
                <w:szCs w:val="16"/>
                <w:color w:val="auto"/>
              </w:rPr>
              <w:t>Total operating segments</w:t>
            </w:r>
          </w:p>
        </w:tc>
        <w:tc>
          <w:tcPr>
            <w:tcW w:w="160" w:type="dxa"/>
            <w:vAlign w:val="bottom"/>
          </w:tcPr>
          <w:p>
            <w:pPr>
              <w:spacing w:after="0"/>
              <w:rPr>
                <w:sz w:val="17"/>
                <w:szCs w:val="17"/>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3,892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11,610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12,141</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eliminations(h)</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w:t>
            </w:r>
          </w:p>
        </w:tc>
      </w:tr>
      <w:tr>
        <w:trPr>
          <w:trHeight w:val="212"/>
        </w:trPr>
        <w:tc>
          <w:tcPr>
            <w:tcW w:w="4320" w:type="dxa"/>
            <w:vAlign w:val="bottom"/>
          </w:tcPr>
          <w:p>
            <w:pPr>
              <w:ind w:left="20"/>
              <w:spacing w:after="0"/>
              <w:rPr>
                <w:sz w:val="20"/>
                <w:szCs w:val="20"/>
                <w:color w:val="auto"/>
              </w:rPr>
            </w:pPr>
            <w:r>
              <w:rPr>
                <w:rFonts w:ascii="Arial" w:cs="Arial" w:eastAsia="Arial" w:hAnsi="Arial"/>
                <w:sz w:val="16"/>
                <w:szCs w:val="16"/>
                <w:color w:val="auto"/>
              </w:rPr>
              <w:t>EBIT-adjusted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3,564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10,675</w:t>
            </w: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net loss attributable to noncontrolling interests.</w:t>
      </w:r>
    </w:p>
    <w:p>
      <w:pPr>
        <w:spacing w:after="0" w:line="4"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strategic activities to transition certain Buick dealers out of our dealer network as part of Buick’s EV strategy.</w:t>
      </w:r>
    </w:p>
    <w:p>
      <w:pPr>
        <w:spacing w:after="0" w:line="18" w:lineRule="exact"/>
        <w:rPr>
          <w:rFonts w:ascii="Arial" w:cs="Arial" w:eastAsia="Arial" w:hAnsi="Arial"/>
          <w:sz w:val="14"/>
          <w:szCs w:val="14"/>
          <w:color w:val="auto"/>
        </w:rPr>
      </w:pPr>
    </w:p>
    <w:p>
      <w:pPr>
        <w:ind w:left="340" w:hanging="332"/>
        <w:spacing w:after="0" w:line="248"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4"/>
          <w:szCs w:val="14"/>
          <w:color w:val="auto"/>
        </w:rPr>
        <w:t>These adjustments were excluded because they relate to the acceleration of attrition as part of the cost reduction program announced in January 2023, primarily in the United States.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This adjustment was excluded because it relates to the partial resolution of subcontractor matters in Korea.</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This adjustment was excluded because it relates to the one-time modification of Cruise stock incentive awards.</w:t>
      </w:r>
    </w:p>
    <w:p>
      <w:pPr>
        <w:spacing w:after="0" w:line="14" w:lineRule="exact"/>
        <w:rPr>
          <w:rFonts w:ascii="Arial" w:cs="Arial" w:eastAsia="Arial" w:hAnsi="Arial"/>
          <w:sz w:val="14"/>
          <w:szCs w:val="14"/>
          <w:color w:val="auto"/>
        </w:rPr>
      </w:pPr>
    </w:p>
    <w:p>
      <w:pPr>
        <w:ind w:left="340" w:right="20" w:hanging="332"/>
        <w:spacing w:after="0" w:line="253"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This adjustment was excluded because it relates to the resolution of substantially all royalty matters accrued with respect to past-year vehicle sales in the three months ended March 31, 2022.</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GM Financial amounts represent EBT-adjusted.</w:t>
      </w:r>
    </w:p>
    <w:p>
      <w:pPr>
        <w:spacing w:after="0" w:line="11" w:lineRule="exact"/>
        <w:rPr>
          <w:rFonts w:ascii="Arial" w:cs="Arial" w:eastAsia="Arial" w:hAnsi="Arial"/>
          <w:sz w:val="14"/>
          <w:szCs w:val="14"/>
          <w:color w:val="auto"/>
        </w:rPr>
      </w:pPr>
    </w:p>
    <w:p>
      <w:pPr>
        <w:ind w:left="340" w:right="20" w:hanging="332"/>
        <w:spacing w:after="0" w:line="283"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GM's automotive interest income and interest expense, legacy costs from the Opel/Vauxhall Business (primarily pension costs), corporate expenditures and certain nonsegment specific revenues and expenses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60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Supplemental Material</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85" w:lineRule="exact"/>
        <w:rPr>
          <w:sz w:val="20"/>
          <w:szCs w:val="20"/>
          <w:color w:val="auto"/>
        </w:rPr>
      </w:pPr>
    </w:p>
    <w:p>
      <w:pPr>
        <w:ind w:firstLine="162"/>
        <w:spacing w:after="0" w:line="258" w:lineRule="auto"/>
        <w:rPr>
          <w:sz w:val="20"/>
          <w:szCs w:val="20"/>
          <w:color w:val="auto"/>
        </w:rPr>
      </w:pPr>
      <w:r>
        <w:rPr>
          <w:rFonts w:ascii="Arial" w:cs="Arial" w:eastAsia="Arial" w:hAnsi="Arial"/>
          <w:sz w:val="16"/>
          <w:szCs w:val="16"/>
          <w:color w:val="auto"/>
        </w:rPr>
        <w:t>The following table reconciles diluted earnings per common share under U.S. GAAP to EPS-diluted-adjusted (dollars in millions, except per share amounts):</w:t>
      </w:r>
    </w:p>
    <w:p>
      <w:pPr>
        <w:spacing w:after="0" w:line="303"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73"/>
        </w:trPr>
        <w:tc>
          <w:tcPr>
            <w:tcW w:w="3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ind w:left="140"/>
              <w:spacing w:after="0"/>
              <w:rPr>
                <w:sz w:val="20"/>
                <w:szCs w:val="20"/>
                <w:color w:val="auto"/>
              </w:rPr>
            </w:pPr>
            <w:r>
              <w:rPr>
                <w:rFonts w:ascii="Arial" w:cs="Arial" w:eastAsia="Arial" w:hAnsi="Arial"/>
                <w:sz w:val="13"/>
                <w:szCs w:val="13"/>
                <w:b w:val="1"/>
                <w:bCs w:val="1"/>
                <w:color w:val="auto"/>
              </w:rPr>
              <w:t>September 30, 2023</w:t>
            </w:r>
          </w:p>
        </w:tc>
        <w:tc>
          <w:tcPr>
            <w:tcW w:w="140" w:type="dxa"/>
            <w:vAlign w:val="bottom"/>
          </w:tcPr>
          <w:p>
            <w:pPr>
              <w:spacing w:after="0"/>
              <w:rPr>
                <w:sz w:val="15"/>
                <w:szCs w:val="15"/>
                <w:color w:val="auto"/>
              </w:rPr>
            </w:pPr>
          </w:p>
        </w:tc>
        <w:tc>
          <w:tcPr>
            <w:tcW w:w="1600" w:type="dxa"/>
            <w:vAlign w:val="bottom"/>
            <w:gridSpan w:val="4"/>
          </w:tcPr>
          <w:p>
            <w:pPr>
              <w:jc w:val="right"/>
              <w:ind w:right="202"/>
              <w:spacing w:after="0"/>
              <w:rPr>
                <w:sz w:val="20"/>
                <w:szCs w:val="20"/>
                <w:color w:val="auto"/>
              </w:rPr>
            </w:pPr>
            <w:r>
              <w:rPr>
                <w:rFonts w:ascii="Arial" w:cs="Arial" w:eastAsia="Arial" w:hAnsi="Arial"/>
                <w:sz w:val="13"/>
                <w:szCs w:val="13"/>
                <w:b w:val="1"/>
                <w:bCs w:val="1"/>
                <w:color w:val="auto"/>
              </w:rPr>
              <w:t>September 30, 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5"/>
          </w:tcPr>
          <w:p>
            <w:pPr>
              <w:ind w:left="140"/>
              <w:spacing w:after="0"/>
              <w:rPr>
                <w:sz w:val="20"/>
                <w:szCs w:val="20"/>
                <w:color w:val="auto"/>
              </w:rPr>
            </w:pPr>
            <w:r>
              <w:rPr>
                <w:rFonts w:ascii="Arial" w:cs="Arial" w:eastAsia="Arial" w:hAnsi="Arial"/>
                <w:sz w:val="13"/>
                <w:szCs w:val="13"/>
                <w:b w:val="1"/>
                <w:bCs w:val="1"/>
                <w:color w:val="auto"/>
              </w:rPr>
              <w:t>September 30, 2023</w:t>
            </w:r>
          </w:p>
        </w:tc>
        <w:tc>
          <w:tcPr>
            <w:tcW w:w="140" w:type="dxa"/>
            <w:vAlign w:val="bottom"/>
          </w:tcPr>
          <w:p>
            <w:pPr>
              <w:spacing w:after="0"/>
              <w:rPr>
                <w:sz w:val="15"/>
                <w:szCs w:val="15"/>
                <w:color w:val="auto"/>
              </w:rPr>
            </w:pPr>
          </w:p>
        </w:tc>
        <w:tc>
          <w:tcPr>
            <w:tcW w:w="1640" w:type="dxa"/>
            <w:vAlign w:val="bottom"/>
            <w:gridSpan w:val="4"/>
          </w:tcPr>
          <w:p>
            <w:pPr>
              <w:ind w:left="160"/>
              <w:spacing w:after="0"/>
              <w:rPr>
                <w:sz w:val="20"/>
                <w:szCs w:val="20"/>
                <w:color w:val="auto"/>
              </w:rPr>
            </w:pPr>
            <w:r>
              <w:rPr>
                <w:rFonts w:ascii="Arial" w:cs="Arial" w:eastAsia="Arial" w:hAnsi="Arial"/>
                <w:sz w:val="13"/>
                <w:szCs w:val="13"/>
                <w:b w:val="1"/>
                <w:bCs w:val="1"/>
                <w:color w:val="auto"/>
              </w:rPr>
              <w:t>September 30, 2022</w:t>
            </w:r>
          </w:p>
        </w:tc>
      </w:tr>
      <w:tr>
        <w:trPr>
          <w:trHeight w:val="149"/>
        </w:trPr>
        <w:tc>
          <w:tcPr>
            <w:tcW w:w="3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84"/>
              <w:spacing w:after="0"/>
              <w:rPr>
                <w:sz w:val="20"/>
                <w:szCs w:val="20"/>
                <w:color w:val="auto"/>
              </w:rPr>
            </w:pPr>
            <w:r>
              <w:rPr>
                <w:rFonts w:ascii="Arial" w:cs="Arial" w:eastAsia="Arial" w:hAnsi="Arial"/>
                <w:sz w:val="11"/>
                <w:szCs w:val="11"/>
                <w:b w:val="1"/>
                <w:bCs w:val="1"/>
                <w:color w:val="auto"/>
              </w:rPr>
              <w:t>Per Share</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82"/>
              <w:spacing w:after="0"/>
              <w:rPr>
                <w:sz w:val="20"/>
                <w:szCs w:val="20"/>
                <w:color w:val="auto"/>
              </w:rPr>
            </w:pPr>
            <w:r>
              <w:rPr>
                <w:rFonts w:ascii="Arial" w:cs="Arial" w:eastAsia="Arial" w:hAnsi="Arial"/>
                <w:sz w:val="11"/>
                <w:szCs w:val="11"/>
                <w:b w:val="1"/>
                <w:bCs w:val="1"/>
                <w:color w:val="auto"/>
                <w:w w:val="97"/>
              </w:rPr>
              <w:t>Per Share</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05"/>
              <w:spacing w:after="0"/>
              <w:rPr>
                <w:sz w:val="20"/>
                <w:szCs w:val="20"/>
                <w:color w:val="auto"/>
              </w:rPr>
            </w:pPr>
            <w:r>
              <w:rPr>
                <w:rFonts w:ascii="Arial" w:cs="Arial" w:eastAsia="Arial" w:hAnsi="Arial"/>
                <w:sz w:val="11"/>
                <w:szCs w:val="11"/>
                <w:b w:val="1"/>
                <w:bCs w:val="1"/>
                <w:color w:val="auto"/>
                <w:w w:val="97"/>
              </w:rPr>
              <w:t>Per Share</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Per Share</w:t>
            </w:r>
          </w:p>
        </w:tc>
      </w:tr>
      <w:tr>
        <w:trPr>
          <w:trHeight w:val="21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3,038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2.20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3,278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7,946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5.72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6,931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center"/>
              <w:ind w:left="183"/>
              <w:spacing w:after="0"/>
              <w:rPr>
                <w:sz w:val="20"/>
                <w:szCs w:val="20"/>
                <w:color w:val="auto"/>
              </w:rPr>
            </w:pPr>
            <w:r>
              <w:rPr>
                <w:rFonts w:ascii="Arial" w:cs="Arial" w:eastAsia="Arial" w:hAnsi="Arial"/>
                <w:sz w:val="16"/>
                <w:szCs w:val="16"/>
                <w:color w:val="auto"/>
                <w:w w:val="96"/>
              </w:rPr>
              <w:t>4.73</w:t>
            </w: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Adjustments(a)</w:t>
            </w:r>
          </w:p>
        </w:tc>
        <w:tc>
          <w:tcPr>
            <w:tcW w:w="16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ind w:right="5"/>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6"/>
                <w:szCs w:val="16"/>
                <w:color w:val="auto"/>
              </w:rPr>
              <w:t>0.91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5"/>
              <w:spacing w:after="0"/>
              <w:rPr>
                <w:sz w:val="20"/>
                <w:szCs w:val="20"/>
                <w:color w:val="auto"/>
              </w:rPr>
            </w:pPr>
            <w:r>
              <w:rPr>
                <w:rFonts w:ascii="Arial" w:cs="Arial" w:eastAsia="Arial" w:hAnsi="Arial"/>
                <w:sz w:val="16"/>
                <w:szCs w:val="16"/>
                <w:color w:val="auto"/>
              </w:rPr>
              <w:t>957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183"/>
              <w:spacing w:after="0"/>
              <w:rPr>
                <w:sz w:val="20"/>
                <w:szCs w:val="20"/>
                <w:color w:val="auto"/>
              </w:rPr>
            </w:pPr>
            <w:r>
              <w:rPr>
                <w:rFonts w:ascii="Arial" w:cs="Arial" w:eastAsia="Arial" w:hAnsi="Arial"/>
                <w:sz w:val="16"/>
                <w:szCs w:val="16"/>
                <w:color w:val="auto"/>
                <w:w w:val="96"/>
              </w:rPr>
              <w:t>0.65</w:t>
            </w:r>
          </w:p>
        </w:tc>
      </w:tr>
      <w:tr>
        <w:trPr>
          <w:trHeight w:val="219"/>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Tax effect on adjustments(b)</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63"/>
              <w:spacing w:after="0"/>
              <w:rPr>
                <w:sz w:val="20"/>
                <w:szCs w:val="20"/>
                <w:color w:val="auto"/>
              </w:rPr>
            </w:pPr>
            <w:r>
              <w:rPr>
                <w:rFonts w:ascii="Arial" w:cs="Arial" w:eastAsia="Arial" w:hAnsi="Arial"/>
                <w:sz w:val="16"/>
                <w:szCs w:val="16"/>
                <w:color w:val="auto"/>
              </w:rPr>
              <w:t>(0.20)</w:t>
            </w: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Tax adjustments(c)</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163"/>
              <w:spacing w:after="0"/>
              <w:rPr>
                <w:sz w:val="20"/>
                <w:szCs w:val="20"/>
                <w:color w:val="auto"/>
              </w:rPr>
            </w:pPr>
            <w:r>
              <w:rPr>
                <w:rFonts w:ascii="Arial" w:cs="Arial" w:eastAsia="Arial" w:hAnsi="Arial"/>
                <w:sz w:val="16"/>
                <w:szCs w:val="16"/>
                <w:color w:val="auto"/>
              </w:rPr>
              <w:t>(0.33)</w:t>
            </w:r>
          </w:p>
        </w:tc>
      </w:tr>
      <w:tr>
        <w:trPr>
          <w:trHeight w:val="233"/>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Deemed dividend adjustment(d)</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909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center"/>
              <w:ind w:left="183"/>
              <w:spacing w:after="0"/>
              <w:rPr>
                <w:sz w:val="20"/>
                <w:szCs w:val="20"/>
                <w:color w:val="auto"/>
              </w:rPr>
            </w:pPr>
            <w:r>
              <w:rPr>
                <w:rFonts w:ascii="Arial" w:cs="Arial" w:eastAsia="Arial" w:hAnsi="Arial"/>
                <w:sz w:val="16"/>
                <w:szCs w:val="16"/>
                <w:color w:val="auto"/>
                <w:w w:val="96"/>
              </w:rPr>
              <w:t>0.62</w:t>
            </w:r>
          </w:p>
        </w:tc>
      </w:tr>
      <w:tr>
        <w:trPr>
          <w:trHeight w:val="209"/>
        </w:trPr>
        <w:tc>
          <w:tcPr>
            <w:tcW w:w="3740" w:type="dxa"/>
            <w:vAlign w:val="bottom"/>
          </w:tcPr>
          <w:p>
            <w:pPr>
              <w:spacing w:after="0"/>
              <w:rPr>
                <w:sz w:val="20"/>
                <w:szCs w:val="20"/>
                <w:color w:val="auto"/>
              </w:rPr>
            </w:pPr>
            <w:r>
              <w:rPr>
                <w:rFonts w:ascii="Arial" w:cs="Arial" w:eastAsia="Arial" w:hAnsi="Arial"/>
                <w:sz w:val="16"/>
                <w:szCs w:val="16"/>
                <w:color w:val="auto"/>
              </w:rPr>
              <w:t>EPS-diluted-adjusted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3,136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3,278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8,889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8,019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center"/>
              <w:ind w:left="183"/>
              <w:spacing w:after="0"/>
              <w:rPr>
                <w:sz w:val="20"/>
                <w:szCs w:val="20"/>
                <w:color w:val="auto"/>
              </w:rPr>
            </w:pPr>
            <w:r>
              <w:rPr>
                <w:rFonts w:ascii="Arial" w:cs="Arial" w:eastAsia="Arial" w:hAnsi="Arial"/>
                <w:sz w:val="16"/>
                <w:szCs w:val="16"/>
                <w:color w:val="auto"/>
                <w:w w:val="96"/>
              </w:rPr>
              <w:t>5.48</w:t>
            </w:r>
          </w:p>
        </w:tc>
      </w:tr>
      <w:tr>
        <w:trPr>
          <w:trHeight w:val="21"/>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2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segment profit (loss) for adjustment details.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4" w:lineRule="exact"/>
        <w:rPr>
          <w:rFonts w:ascii="Arial" w:cs="Arial" w:eastAsia="Arial" w:hAnsi="Arial"/>
          <w:sz w:val="14"/>
          <w:szCs w:val="14"/>
          <w:color w:val="auto"/>
        </w:rPr>
      </w:pPr>
    </w:p>
    <w:p>
      <w:pPr>
        <w:jc w:val="both"/>
        <w:ind w:left="340" w:hanging="332"/>
        <w:spacing w:after="0" w:line="254" w:lineRule="auto"/>
        <w:tabs>
          <w:tab w:leader="none" w:pos="33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adjustment consists of tax benefit related to the release of a valuation allowance against deferred tax assets that are considered realizable as a result of Cruise tax reconsolidation in the nine months ended September 30, 2022. This adjustment was excluded because significant impacts of valuation allowances are not considered part of our core operations.</w:t>
      </w:r>
    </w:p>
    <w:p>
      <w:pPr>
        <w:spacing w:after="0" w:line="1" w:lineRule="exact"/>
        <w:rPr>
          <w:rFonts w:ascii="Arial" w:cs="Arial" w:eastAsia="Arial" w:hAnsi="Arial"/>
          <w:sz w:val="14"/>
          <w:szCs w:val="14"/>
          <w:color w:val="auto"/>
        </w:rPr>
      </w:pPr>
    </w:p>
    <w:p>
      <w:pPr>
        <w:ind w:left="340" w:right="20" w:hanging="332"/>
        <w:spacing w:after="0" w:line="239"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adjustment consists of a deemed dividend related to the redemption of Cruise preferred shares from SoftBank Vision Fund (AIV M2) L.P. (SoftBank) in the nine months ended September 30, 2022.</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under U.S. GAAP to ETR-adjusted (dollars in millions):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7"/>
          </w:tcPr>
          <w:p>
            <w:pPr>
              <w:ind w:left="380"/>
              <w:spacing w:after="0"/>
              <w:rPr>
                <w:sz w:val="20"/>
                <w:szCs w:val="20"/>
                <w:color w:val="auto"/>
              </w:rPr>
            </w:pPr>
            <w:r>
              <w:rPr>
                <w:rFonts w:ascii="Arial" w:cs="Arial" w:eastAsia="Arial" w:hAnsi="Arial"/>
                <w:sz w:val="13"/>
                <w:szCs w:val="13"/>
                <w:b w:val="1"/>
                <w:bCs w:val="1"/>
                <w:color w:val="auto"/>
              </w:rPr>
              <w:t>September 30, 2023</w:t>
            </w:r>
          </w:p>
        </w:tc>
        <w:tc>
          <w:tcPr>
            <w:tcW w:w="120" w:type="dxa"/>
            <w:vAlign w:val="bottom"/>
          </w:tcPr>
          <w:p>
            <w:pPr>
              <w:spacing w:after="0"/>
              <w:rPr>
                <w:sz w:val="15"/>
                <w:szCs w:val="15"/>
                <w:color w:val="auto"/>
              </w:rPr>
            </w:pPr>
          </w:p>
        </w:tc>
        <w:tc>
          <w:tcPr>
            <w:tcW w:w="2140" w:type="dxa"/>
            <w:vAlign w:val="bottom"/>
            <w:gridSpan w:val="6"/>
          </w:tcPr>
          <w:p>
            <w:pPr>
              <w:jc w:val="right"/>
              <w:ind w:right="486"/>
              <w:spacing w:after="0"/>
              <w:rPr>
                <w:sz w:val="20"/>
                <w:szCs w:val="20"/>
                <w:color w:val="auto"/>
              </w:rPr>
            </w:pPr>
            <w:r>
              <w:rPr>
                <w:rFonts w:ascii="Arial" w:cs="Arial" w:eastAsia="Arial" w:hAnsi="Arial"/>
                <w:sz w:val="13"/>
                <w:szCs w:val="13"/>
                <w:b w:val="1"/>
                <w:bCs w:val="1"/>
                <w:color w:val="auto"/>
              </w:rPr>
              <w:t>September 30, 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7"/>
          </w:tcPr>
          <w:p>
            <w:pPr>
              <w:jc w:val="center"/>
              <w:ind w:right="280"/>
              <w:spacing w:after="0"/>
              <w:rPr>
                <w:sz w:val="20"/>
                <w:szCs w:val="20"/>
                <w:color w:val="auto"/>
              </w:rPr>
            </w:pPr>
            <w:r>
              <w:rPr>
                <w:rFonts w:ascii="Arial" w:cs="Arial" w:eastAsia="Arial" w:hAnsi="Arial"/>
                <w:sz w:val="13"/>
                <w:szCs w:val="13"/>
                <w:b w:val="1"/>
                <w:bCs w:val="1"/>
                <w:color w:val="auto"/>
                <w:w w:val="97"/>
              </w:rPr>
              <w:t>September 30, 2023</w:t>
            </w:r>
          </w:p>
        </w:tc>
        <w:tc>
          <w:tcPr>
            <w:tcW w:w="160" w:type="dxa"/>
            <w:vAlign w:val="bottom"/>
          </w:tcPr>
          <w:p>
            <w:pPr>
              <w:spacing w:after="0"/>
              <w:rPr>
                <w:sz w:val="15"/>
                <w:szCs w:val="15"/>
                <w:color w:val="auto"/>
              </w:rPr>
            </w:pPr>
          </w:p>
        </w:tc>
        <w:tc>
          <w:tcPr>
            <w:tcW w:w="2300" w:type="dxa"/>
            <w:vAlign w:val="bottom"/>
            <w:gridSpan w:val="6"/>
          </w:tcPr>
          <w:p>
            <w:pPr>
              <w:jc w:val="center"/>
              <w:ind w:right="106"/>
              <w:spacing w:after="0"/>
              <w:rPr>
                <w:sz w:val="20"/>
                <w:szCs w:val="20"/>
                <w:color w:val="auto"/>
              </w:rPr>
            </w:pPr>
            <w:r>
              <w:rPr>
                <w:rFonts w:ascii="Arial" w:cs="Arial" w:eastAsia="Arial" w:hAnsi="Arial"/>
                <w:sz w:val="13"/>
                <w:szCs w:val="13"/>
                <w:b w:val="1"/>
                <w:bCs w:val="1"/>
                <w:color w:val="auto"/>
                <w:w w:val="97"/>
              </w:rPr>
              <w:t>September 30, 2022</w:t>
            </w:r>
          </w:p>
        </w:tc>
        <w:tc>
          <w:tcPr>
            <w:tcW w:w="0" w:type="dxa"/>
            <w:vAlign w:val="bottom"/>
          </w:tcPr>
          <w:p>
            <w:pPr>
              <w:spacing w:after="0"/>
              <w:rPr>
                <w:sz w:val="1"/>
                <w:szCs w:val="1"/>
                <w:color w:val="auto"/>
              </w:rPr>
            </w:pPr>
          </w:p>
        </w:tc>
      </w:tr>
      <w:tr>
        <w:trPr>
          <w:trHeight w:val="101"/>
        </w:trPr>
        <w:tc>
          <w:tcPr>
            <w:tcW w:w="15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8"/>
              </w:rPr>
              <w:t>Income</w:t>
            </w: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center"/>
              <w:ind w:right="48"/>
              <w:spacing w:after="0" w:line="102" w:lineRule="exact"/>
              <w:rPr>
                <w:sz w:val="20"/>
                <w:szCs w:val="20"/>
                <w:color w:val="auto"/>
              </w:rPr>
            </w:pPr>
            <w:r>
              <w:rPr>
                <w:rFonts w:ascii="Arial" w:cs="Arial" w:eastAsia="Arial" w:hAnsi="Arial"/>
                <w:sz w:val="11"/>
                <w:szCs w:val="11"/>
                <w:b w:val="1"/>
                <w:bCs w:val="1"/>
                <w:color w:val="auto"/>
                <w:w w:val="98"/>
              </w:rPr>
              <w:t>Income</w:t>
            </w: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98"/>
              </w:rPr>
              <w:t>Income</w:t>
            </w:r>
          </w:p>
        </w:tc>
        <w:tc>
          <w:tcPr>
            <w:tcW w:w="6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1"/>
                <w:szCs w:val="11"/>
                <w:b w:val="1"/>
                <w:bCs w:val="1"/>
                <w:color w:val="auto"/>
              </w:rPr>
              <w:t>Income tax</w:t>
            </w: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1"/>
                <w:szCs w:val="11"/>
                <w:b w:val="1"/>
                <w:bCs w:val="1"/>
                <w:color w:val="auto"/>
                <w:w w:val="97"/>
              </w:rPr>
              <w:t>Income tax</w:t>
            </w: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1"/>
                <w:szCs w:val="11"/>
                <w:b w:val="1"/>
                <w:bCs w:val="1"/>
                <w:color w:val="auto"/>
                <w:w w:val="97"/>
              </w:rPr>
              <w:t>Income tax</w:t>
            </w: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5"/>
              </w:rPr>
              <w:t>before</w:t>
            </w:r>
          </w:p>
        </w:tc>
        <w:tc>
          <w:tcPr>
            <w:tcW w:w="100" w:type="dxa"/>
            <w:vAlign w:val="bottom"/>
          </w:tcPr>
          <w:p>
            <w:pPr>
              <w:spacing w:after="0"/>
              <w:rPr>
                <w:sz w:val="9"/>
                <w:szCs w:val="9"/>
                <w:color w:val="auto"/>
              </w:rPr>
            </w:pPr>
          </w:p>
        </w:tc>
        <w:tc>
          <w:tcPr>
            <w:tcW w:w="500" w:type="dxa"/>
            <w:vAlign w:val="bottom"/>
          </w:tcPr>
          <w:p>
            <w:pPr>
              <w:jc w:val="center"/>
              <w:ind w:right="68"/>
              <w:spacing w:after="0" w:line="108" w:lineRule="exact"/>
              <w:rPr>
                <w:sz w:val="20"/>
                <w:szCs w:val="20"/>
                <w:color w:val="auto"/>
              </w:rPr>
            </w:pPr>
            <w:r>
              <w:rPr>
                <w:rFonts w:ascii="Arial" w:cs="Arial" w:eastAsia="Arial" w:hAnsi="Arial"/>
                <w:sz w:val="11"/>
                <w:szCs w:val="11"/>
                <w:b w:val="1"/>
                <w:bCs w:val="1"/>
                <w:color w:val="auto"/>
              </w:rPr>
              <w:t>tax</w:t>
            </w:r>
          </w:p>
        </w:tc>
        <w:tc>
          <w:tcPr>
            <w:tcW w:w="80" w:type="dxa"/>
            <w:vAlign w:val="bottom"/>
          </w:tcPr>
          <w:p>
            <w:pPr>
              <w:spacing w:after="0"/>
              <w:rPr>
                <w:sz w:val="9"/>
                <w:szCs w:val="9"/>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5"/>
              </w:rPr>
              <w:t>Effective tax</w:t>
            </w:r>
          </w:p>
        </w:tc>
        <w:tc>
          <w:tcPr>
            <w:tcW w:w="120" w:type="dxa"/>
            <w:vAlign w:val="bottom"/>
          </w:tcPr>
          <w:p>
            <w:pPr>
              <w:spacing w:after="0"/>
              <w:rPr>
                <w:sz w:val="9"/>
                <w:szCs w:val="9"/>
                <w:color w:val="auto"/>
              </w:rPr>
            </w:pPr>
          </w:p>
        </w:tc>
        <w:tc>
          <w:tcPr>
            <w:tcW w:w="68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rPr>
              <w:t>before</w:t>
            </w:r>
          </w:p>
        </w:tc>
        <w:tc>
          <w:tcPr>
            <w:tcW w:w="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Effective tax</w:t>
            </w:r>
          </w:p>
        </w:tc>
        <w:tc>
          <w:tcPr>
            <w:tcW w:w="8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Income before</w:t>
            </w: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Effective tax</w:t>
            </w:r>
          </w:p>
        </w:tc>
        <w:tc>
          <w:tcPr>
            <w:tcW w:w="9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Income before</w:t>
            </w: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Effective tax</w:t>
            </w: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8"/>
              </w:rPr>
              <w:t>income</w:t>
            </w:r>
          </w:p>
        </w:tc>
        <w:tc>
          <w:tcPr>
            <w:tcW w:w="6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5"/>
              </w:rPr>
              <w:t>expense</w:t>
            </w: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8"/>
              </w:rPr>
              <w:t>income</w:t>
            </w:r>
          </w:p>
        </w:tc>
        <w:tc>
          <w:tcPr>
            <w:tcW w:w="600" w:type="dxa"/>
            <w:vAlign w:val="bottom"/>
            <w:gridSpan w:val="2"/>
          </w:tcPr>
          <w:p>
            <w:pPr>
              <w:jc w:val="right"/>
              <w:ind w:right="19"/>
              <w:spacing w:after="0" w:line="108" w:lineRule="exact"/>
              <w:rPr>
                <w:sz w:val="20"/>
                <w:szCs w:val="20"/>
                <w:color w:val="auto"/>
              </w:rPr>
            </w:pPr>
            <w:r>
              <w:rPr>
                <w:rFonts w:ascii="Arial" w:cs="Arial" w:eastAsia="Arial" w:hAnsi="Arial"/>
                <w:sz w:val="11"/>
                <w:szCs w:val="11"/>
                <w:b w:val="1"/>
                <w:bCs w:val="1"/>
                <w:color w:val="auto"/>
              </w:rPr>
              <w:t>expense</w:t>
            </w: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center"/>
              <w:ind w:right="48"/>
              <w:spacing w:after="0" w:line="108" w:lineRule="exact"/>
              <w:rPr>
                <w:sz w:val="20"/>
                <w:szCs w:val="20"/>
                <w:color w:val="auto"/>
              </w:rPr>
            </w:pPr>
            <w:r>
              <w:rPr>
                <w:rFonts w:ascii="Arial" w:cs="Arial" w:eastAsia="Arial" w:hAnsi="Arial"/>
                <w:sz w:val="11"/>
                <w:szCs w:val="11"/>
                <w:b w:val="1"/>
                <w:bCs w:val="1"/>
                <w:color w:val="auto"/>
                <w:w w:val="95"/>
              </w:rPr>
              <w:t>expense</w:t>
            </w: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center"/>
              <w:ind w:right="68"/>
              <w:spacing w:after="0" w:line="108" w:lineRule="exact"/>
              <w:rPr>
                <w:sz w:val="20"/>
                <w:szCs w:val="20"/>
                <w:color w:val="auto"/>
              </w:rPr>
            </w:pPr>
            <w:r>
              <w:rPr>
                <w:rFonts w:ascii="Arial" w:cs="Arial" w:eastAsia="Arial" w:hAnsi="Arial"/>
                <w:sz w:val="11"/>
                <w:szCs w:val="11"/>
                <w:b w:val="1"/>
                <w:bCs w:val="1"/>
                <w:color w:val="auto"/>
                <w:w w:val="99"/>
              </w:rPr>
              <w:t>expense</w:t>
            </w: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75"/>
              <w:spacing w:after="0"/>
              <w:rPr>
                <w:sz w:val="20"/>
                <w:szCs w:val="20"/>
                <w:color w:val="auto"/>
              </w:rPr>
            </w:pPr>
            <w:r>
              <w:rPr>
                <w:rFonts w:ascii="Arial" w:cs="Arial" w:eastAsia="Arial" w:hAnsi="Arial"/>
                <w:sz w:val="11"/>
                <w:szCs w:val="11"/>
                <w:b w:val="1"/>
                <w:bCs w:val="1"/>
                <w:color w:val="auto"/>
                <w:w w:val="99"/>
              </w:rPr>
              <w:t>taxes</w:t>
            </w:r>
          </w:p>
        </w:tc>
        <w:tc>
          <w:tcPr>
            <w:tcW w:w="1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6"/>
              </w:rPr>
              <w:t>(benefit)</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rate</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55"/>
              <w:spacing w:after="0"/>
              <w:rPr>
                <w:sz w:val="20"/>
                <w:szCs w:val="20"/>
                <w:color w:val="auto"/>
              </w:rPr>
            </w:pPr>
            <w:r>
              <w:rPr>
                <w:rFonts w:ascii="Arial" w:cs="Arial" w:eastAsia="Arial" w:hAnsi="Arial"/>
                <w:sz w:val="11"/>
                <w:szCs w:val="11"/>
                <w:b w:val="1"/>
                <w:bCs w:val="1"/>
                <w:color w:val="auto"/>
                <w:w w:val="99"/>
              </w:rPr>
              <w:t>taxes</w:t>
            </w:r>
          </w:p>
        </w:tc>
        <w:tc>
          <w:tcPr>
            <w:tcW w:w="1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1"/>
                <w:szCs w:val="11"/>
                <w:b w:val="1"/>
                <w:bCs w:val="1"/>
                <w:color w:val="auto"/>
              </w:rPr>
              <w:t>(benefit)</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rate</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income taxes</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8"/>
              <w:spacing w:after="0"/>
              <w:rPr>
                <w:sz w:val="20"/>
                <w:szCs w:val="20"/>
                <w:color w:val="auto"/>
              </w:rPr>
            </w:pPr>
            <w:r>
              <w:rPr>
                <w:rFonts w:ascii="Arial" w:cs="Arial" w:eastAsia="Arial" w:hAnsi="Arial"/>
                <w:sz w:val="11"/>
                <w:szCs w:val="11"/>
                <w:b w:val="1"/>
                <w:bCs w:val="1"/>
                <w:color w:val="auto"/>
                <w:w w:val="96"/>
              </w:rPr>
              <w:t>(benefit)</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rate</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income taxes</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8"/>
              <w:spacing w:after="0"/>
              <w:rPr>
                <w:sz w:val="20"/>
                <w:szCs w:val="20"/>
                <w:color w:val="auto"/>
              </w:rPr>
            </w:pPr>
            <w:r>
              <w:rPr>
                <w:rFonts w:ascii="Arial" w:cs="Arial" w:eastAsia="Arial" w:hAnsi="Arial"/>
                <w:sz w:val="11"/>
                <w:szCs w:val="11"/>
                <w:b w:val="1"/>
                <w:bCs w:val="1"/>
                <w:color w:val="auto"/>
                <w:w w:val="96"/>
              </w:rPr>
              <w:t>(benefit)</w:t>
            </w:r>
          </w:p>
        </w:tc>
        <w:tc>
          <w:tcPr>
            <w:tcW w:w="1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6"/>
                <w:szCs w:val="16"/>
                <w:color w:val="auto"/>
              </w:rPr>
              <w:t>3,464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470</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13.6 %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6"/>
                <w:szCs w:val="16"/>
                <w:color w:val="auto"/>
              </w:rPr>
              <w:t>4,097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9,267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1,421</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15.3 %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9,009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1,308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14.5 %</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Adjustments(a)</w:t>
            </w:r>
          </w:p>
        </w:tc>
        <w:tc>
          <w:tcPr>
            <w:tcW w:w="12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8"/>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4"/>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Tax adjustments(b)</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482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ETR-adjusted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color w:val="auto"/>
              </w:rPr>
              <w:t>3,587</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495</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13.8 %</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color w:val="auto"/>
              </w:rPr>
              <w:t>4,097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20.6 %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10,534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1,745</w:t>
            </w:r>
          </w:p>
        </w:tc>
        <w:tc>
          <w:tcPr>
            <w:tcW w:w="860" w:type="dxa"/>
            <w:vAlign w:val="bottom"/>
            <w:gridSpan w:val="2"/>
          </w:tcPr>
          <w:p>
            <w:pPr>
              <w:ind w:left="340"/>
              <w:spacing w:after="0"/>
              <w:rPr>
                <w:sz w:val="20"/>
                <w:szCs w:val="20"/>
                <w:color w:val="auto"/>
              </w:rPr>
            </w:pPr>
            <w:r>
              <w:rPr>
                <w:rFonts w:ascii="Arial" w:cs="Arial" w:eastAsia="Arial" w:hAnsi="Arial"/>
                <w:sz w:val="16"/>
                <w:szCs w:val="16"/>
                <w:color w:val="auto"/>
              </w:rPr>
              <w:t>16.6 %</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10,062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2,086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20.7 %</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21" w:lineRule="exact"/>
        <w:rPr>
          <w:sz w:val="20"/>
          <w:szCs w:val="20"/>
          <w:color w:val="auto"/>
        </w:rPr>
      </w:pPr>
    </w:p>
    <w:p>
      <w:pPr>
        <w:jc w:val="both"/>
        <w:ind w:left="340" w:hanging="332"/>
        <w:spacing w:after="0" w:line="261"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Refer to the reconciliation of diluted earnings per common share under U.S. GAAP to EPS-diluted-adjusted for adjustment details.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607"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6"/>
          <w:szCs w:val="16"/>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4"/>
          </w:tcPr>
          <w:p>
            <w:pPr>
              <w:jc w:val="right"/>
              <w:ind w:right="1124"/>
              <w:spacing w:after="0"/>
              <w:rPr>
                <w:sz w:val="20"/>
                <w:szCs w:val="20"/>
                <w:color w:val="auto"/>
              </w:rPr>
            </w:pPr>
            <w:r>
              <w:rPr>
                <w:rFonts w:ascii="Arial" w:cs="Arial" w:eastAsia="Arial" w:hAnsi="Arial"/>
                <w:sz w:val="13"/>
                <w:szCs w:val="13"/>
                <w:b w:val="1"/>
                <w:bCs w:val="1"/>
                <w:color w:val="auto"/>
              </w:rPr>
              <w:t>Four Quarters Ended</w:t>
            </w:r>
          </w:p>
        </w:tc>
      </w:tr>
      <w:tr>
        <w:trPr>
          <w:trHeight w:val="173"/>
        </w:trPr>
        <w:tc>
          <w:tcPr>
            <w:tcW w:w="7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2023</w:t>
            </w:r>
          </w:p>
        </w:tc>
        <w:tc>
          <w:tcPr>
            <w:tcW w:w="200" w:type="dxa"/>
            <w:vAlign w:val="bottom"/>
          </w:tcPr>
          <w:p>
            <w:pPr>
              <w:spacing w:after="0"/>
              <w:rPr>
                <w:sz w:val="15"/>
                <w:szCs w:val="15"/>
                <w:color w:val="auto"/>
              </w:rPr>
            </w:pPr>
          </w:p>
        </w:tc>
        <w:tc>
          <w:tcPr>
            <w:tcW w:w="1560" w:type="dxa"/>
            <w:vAlign w:val="bottom"/>
          </w:tcPr>
          <w:p>
            <w:pPr>
              <w:jc w:val="right"/>
              <w:ind w:right="224"/>
              <w:spacing w:after="0"/>
              <w:rPr>
                <w:sz w:val="20"/>
                <w:szCs w:val="20"/>
                <w:color w:val="auto"/>
              </w:rPr>
            </w:pPr>
            <w:r>
              <w:rPr>
                <w:rFonts w:ascii="Arial" w:cs="Arial" w:eastAsia="Arial" w:hAnsi="Arial"/>
                <w:sz w:val="13"/>
                <w:szCs w:val="13"/>
                <w:b w:val="1"/>
                <w:bCs w:val="1"/>
                <w:color w:val="auto"/>
              </w:rPr>
              <w:t>September 30, 2022</w:t>
            </w:r>
          </w:p>
        </w:tc>
      </w:tr>
      <w:tr>
        <w:trPr>
          <w:trHeight w:val="20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9.7</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Average equity(a)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ind w:left="1040"/>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64.9</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13.8 %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2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Includes equity of noncontrolling interests where the corresponding earnings (loss) are included in Net income attributable to stockholders.</w:t>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4"/>
          </w:tcPr>
          <w:p>
            <w:pPr>
              <w:ind w:left="980"/>
              <w:spacing w:after="0"/>
              <w:rPr>
                <w:sz w:val="20"/>
                <w:szCs w:val="20"/>
                <w:color w:val="auto"/>
              </w:rPr>
            </w:pPr>
            <w:r>
              <w:rPr>
                <w:rFonts w:ascii="Arial" w:cs="Arial" w:eastAsia="Arial" w:hAnsi="Arial"/>
                <w:sz w:val="13"/>
                <w:szCs w:val="13"/>
                <w:b w:val="1"/>
                <w:bCs w:val="1"/>
                <w:color w:val="auto"/>
              </w:rPr>
              <w:t>Four Quarters Ended</w:t>
            </w:r>
          </w:p>
        </w:tc>
      </w:tr>
      <w:tr>
        <w:trPr>
          <w:trHeight w:val="173"/>
        </w:trPr>
        <w:tc>
          <w:tcPr>
            <w:tcW w:w="7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2023</w:t>
            </w:r>
          </w:p>
        </w:tc>
        <w:tc>
          <w:tcPr>
            <w:tcW w:w="200" w:type="dxa"/>
            <w:vAlign w:val="bottom"/>
          </w:tcPr>
          <w:p>
            <w:pPr>
              <w:spacing w:after="0"/>
              <w:rPr>
                <w:sz w:val="15"/>
                <w:szCs w:val="15"/>
                <w:color w:val="auto"/>
              </w:rPr>
            </w:pPr>
          </w:p>
        </w:tc>
        <w:tc>
          <w:tcPr>
            <w:tcW w:w="1560" w:type="dxa"/>
            <w:vAlign w:val="bottom"/>
          </w:tcPr>
          <w:p>
            <w:pPr>
              <w:ind w:left="80"/>
              <w:spacing w:after="0"/>
              <w:rPr>
                <w:sz w:val="20"/>
                <w:szCs w:val="20"/>
                <w:color w:val="auto"/>
              </w:rPr>
            </w:pPr>
            <w:r>
              <w:rPr>
                <w:rFonts w:ascii="Arial" w:cs="Arial" w:eastAsia="Arial" w:hAnsi="Arial"/>
                <w:sz w:val="13"/>
                <w:szCs w:val="13"/>
                <w:b w:val="1"/>
                <w:bCs w:val="1"/>
                <w:color w:val="auto"/>
              </w:rPr>
              <w:t>September 30, 2022</w:t>
            </w:r>
          </w:p>
        </w:tc>
      </w:tr>
      <w:tr>
        <w:trPr>
          <w:trHeight w:val="210"/>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EBIT-adjusted(a)</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14.4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13.5</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Average equity(b)</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23"/>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ind w:left="1040"/>
              <w:spacing w:after="0"/>
              <w:rPr>
                <w:sz w:val="20"/>
                <w:szCs w:val="20"/>
                <w:color w:val="auto"/>
              </w:rPr>
            </w:pPr>
            <w:r>
              <w:rPr>
                <w:rFonts w:ascii="Arial" w:cs="Arial" w:eastAsia="Arial" w:hAnsi="Arial"/>
                <w:sz w:val="16"/>
                <w:szCs w:val="16"/>
                <w:color w:val="auto"/>
              </w:rPr>
              <w:t>64.9</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Average automotive debt and interest liabilities (excluding finance leases)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17.3</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Add: Average automotive net pension &amp; OPEB liability</w:t>
            </w:r>
          </w:p>
        </w:tc>
        <w:tc>
          <w:tcPr>
            <w:tcW w:w="200" w:type="dxa"/>
            <w:vAlign w:val="bottom"/>
          </w:tcPr>
          <w:p>
            <w:pPr>
              <w:spacing w:after="0"/>
              <w:rPr>
                <w:sz w:val="18"/>
                <w:szCs w:val="18"/>
                <w:color w:val="auto"/>
              </w:rPr>
            </w:pPr>
          </w:p>
        </w:tc>
        <w:tc>
          <w:tcPr>
            <w:tcW w:w="1560" w:type="dxa"/>
            <w:vAlign w:val="bottom"/>
          </w:tcPr>
          <w:p>
            <w:pPr>
              <w:jc w:val="right"/>
              <w:ind w:right="123"/>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ind w:left="1040"/>
              <w:spacing w:after="0"/>
              <w:rPr>
                <w:sz w:val="20"/>
                <w:szCs w:val="20"/>
                <w:color w:val="auto"/>
              </w:rPr>
            </w:pPr>
            <w:r>
              <w:rPr>
                <w:rFonts w:ascii="Arial" w:cs="Arial" w:eastAsia="Arial" w:hAnsi="Arial"/>
                <w:sz w:val="16"/>
                <w:szCs w:val="16"/>
                <w:color w:val="auto"/>
              </w:rPr>
              <w:t>10.2</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Average automotive and other net income tax asset</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(21.3)</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ROIC-adjusted average net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71.1</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ROIC-adjusted</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19.0 %</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2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segment profit (loss) for adjustment details.</w:t>
      </w:r>
    </w:p>
    <w:p>
      <w:pPr>
        <w:spacing w:after="0" w:line="4"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60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5" w:lineRule="exact"/>
        <w:rPr>
          <w:sz w:val="20"/>
          <w:szCs w:val="20"/>
          <w:color w:val="auto"/>
        </w:rPr>
      </w:pPr>
    </w:p>
    <w:p>
      <w:pPr>
        <w:ind w:right="380" w:firstLine="162"/>
        <w:spacing w:after="0" w:line="274" w:lineRule="auto"/>
        <w:rPr>
          <w:sz w:val="20"/>
          <w:szCs w:val="20"/>
          <w:color w:val="auto"/>
        </w:rPr>
      </w:pPr>
      <w:r>
        <w:rPr>
          <w:rFonts w:ascii="Arial" w:cs="Arial" w:eastAsia="Arial" w:hAnsi="Arial"/>
          <w:sz w:val="16"/>
          <w:szCs w:val="16"/>
          <w:color w:val="auto"/>
        </w:rPr>
        <w:t>The following table reconciles Net automotive cash provided by operating activities under U.S. GAAP to adjusted automotive free cash flow (dollars in millions):</w:t>
      </w:r>
    </w:p>
    <w:tbl>
      <w:tblPr>
        <w:tblLayout w:type="fixed"/>
        <w:tblInd w:w="0" w:type="dxa"/>
        <w:tblCellMar>
          <w:top w:w="0" w:type="dxa"/>
          <w:left w:w="0" w:type="dxa"/>
          <w:bottom w:w="0" w:type="dxa"/>
          <w:right w:w="0" w:type="dxa"/>
        </w:tblCellMar>
      </w:tblPr>
      <w:tr>
        <w:trPr>
          <w:trHeight w:val="180"/>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5"/>
          </w:tcPr>
          <w:p>
            <w:pPr>
              <w:ind w:left="74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2840" w:type="dxa"/>
            <w:vAlign w:val="bottom"/>
            <w:gridSpan w:val="4"/>
          </w:tcPr>
          <w:p>
            <w:pPr>
              <w:ind w:left="780"/>
              <w:spacing w:after="0"/>
              <w:rPr>
                <w:sz w:val="20"/>
                <w:szCs w:val="20"/>
                <w:color w:val="auto"/>
              </w:rPr>
            </w:pPr>
            <w:r>
              <w:rPr>
                <w:rFonts w:ascii="Arial" w:cs="Arial" w:eastAsia="Arial" w:hAnsi="Arial"/>
                <w:sz w:val="13"/>
                <w:szCs w:val="13"/>
                <w:b w:val="1"/>
                <w:bCs w:val="1"/>
                <w:color w:val="auto"/>
              </w:rPr>
              <w:t>Nine Months Ended</w:t>
            </w:r>
          </w:p>
        </w:tc>
      </w:tr>
      <w:tr>
        <w:trPr>
          <w:trHeight w:val="173"/>
        </w:trPr>
        <w:tc>
          <w:tcPr>
            <w:tcW w:w="5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September 30, 2023</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1"/>
              <w:spacing w:after="0"/>
              <w:rPr>
                <w:sz w:val="20"/>
                <w:szCs w:val="20"/>
                <w:color w:val="auto"/>
              </w:rPr>
            </w:pPr>
            <w:r>
              <w:rPr>
                <w:rFonts w:ascii="Arial" w:cs="Arial" w:eastAsia="Arial" w:hAnsi="Arial"/>
                <w:sz w:val="13"/>
                <w:szCs w:val="13"/>
                <w:b w:val="1"/>
                <w:bCs w:val="1"/>
                <w:color w:val="auto"/>
                <w:w w:val="95"/>
              </w:rPr>
              <w:t>September 30, 2022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September 30, 2023</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97"/>
              </w:rPr>
              <w:t>September 30, 2022</w:t>
            </w:r>
          </w:p>
        </w:tc>
      </w:tr>
      <w:tr>
        <w:trPr>
          <w:trHeight w:val="20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automotive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6,794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16,140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11,606</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ind w:left="780"/>
              <w:spacing w:after="0"/>
              <w:rPr>
                <w:sz w:val="20"/>
                <w:szCs w:val="20"/>
                <w:color w:val="auto"/>
              </w:rPr>
            </w:pPr>
            <w:r>
              <w:rPr>
                <w:rFonts w:ascii="Arial" w:cs="Arial" w:eastAsia="Arial" w:hAnsi="Arial"/>
                <w:sz w:val="16"/>
                <w:szCs w:val="16"/>
                <w:color w:val="auto"/>
              </w:rPr>
              <w:t>(7,072)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(5,771)</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Buick dealer strategy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Add: Employee separation costs</w:t>
            </w:r>
          </w:p>
        </w:tc>
        <w:tc>
          <w:tcPr>
            <w:tcW w:w="12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796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GM Korea wage litigation</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Add: Patent royalty matters</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145</w:t>
            </w:r>
          </w:p>
        </w:tc>
      </w:tr>
      <w:tr>
        <w:trPr>
          <w:trHeight w:val="237"/>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automotive free cash flow</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4,910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10,325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6,006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18" w:lineRule="exact"/>
        <w:rPr>
          <w:sz w:val="20"/>
          <w:szCs w:val="20"/>
          <w:color w:val="auto"/>
        </w:rPr>
      </w:pPr>
    </w:p>
    <w:tbl>
      <w:tblPr>
        <w:tblLayout w:type="fixed"/>
        <w:tblInd w:w="140" w:type="dxa"/>
        <w:tblCellMar>
          <w:top w:w="0" w:type="dxa"/>
          <w:left w:w="0" w:type="dxa"/>
          <w:bottom w:w="0" w:type="dxa"/>
          <w:right w:w="0" w:type="dxa"/>
        </w:tblCellMar>
      </w:tblPr>
      <w:tr>
        <w:trPr>
          <w:trHeight w:val="126"/>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0"/>
                <w:szCs w:val="10"/>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GMI</w:t>
            </w:r>
          </w:p>
        </w:tc>
        <w:tc>
          <w:tcPr>
            <w:tcW w:w="10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Corporate</w:t>
            </w:r>
          </w:p>
        </w:tc>
        <w:tc>
          <w:tcPr>
            <w:tcW w:w="8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10"/>
                <w:szCs w:val="10"/>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400" w:type="dxa"/>
            <w:vAlign w:val="bottom"/>
          </w:tcPr>
          <w:p>
            <w:pPr>
              <w:ind w:left="20"/>
              <w:spacing w:after="0"/>
              <w:rPr>
                <w:sz w:val="20"/>
                <w:szCs w:val="20"/>
                <w:color w:val="auto"/>
              </w:rPr>
            </w:pPr>
            <w:r>
              <w:rPr>
                <w:rFonts w:ascii="Arial" w:cs="Arial" w:eastAsia="Arial" w:hAnsi="Arial"/>
                <w:sz w:val="11"/>
                <w:szCs w:val="11"/>
                <w:b w:val="1"/>
                <w:bCs w:val="1"/>
                <w:color w:val="auto"/>
              </w:rPr>
              <w:t>Three Months Ended September 30, 2023</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36,106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44,131</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9"/>
              <w:spacing w:after="0"/>
              <w:rPr>
                <w:sz w:val="20"/>
                <w:szCs w:val="20"/>
                <w:color w:val="auto"/>
              </w:rPr>
            </w:pPr>
            <w:r>
              <w:rPr>
                <w:rFonts w:ascii="Arial" w:cs="Arial" w:eastAsia="Arial" w:hAnsi="Arial"/>
                <w:sz w:val="13"/>
                <w:szCs w:val="13"/>
                <w:color w:val="auto"/>
              </w:rPr>
              <w:t>2,435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2,528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19"/>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30</w:t>
            </w:r>
          </w:p>
        </w:tc>
        <w:tc>
          <w:tcPr>
            <w:tcW w:w="14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2,581</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1,585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2,992</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378"/>
        </w:trPr>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GMI</w:t>
            </w:r>
          </w:p>
        </w:tc>
        <w:tc>
          <w:tcPr>
            <w:tcW w:w="10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Corporate</w:t>
            </w:r>
          </w:p>
        </w:tc>
        <w:tc>
          <w:tcPr>
            <w:tcW w:w="80" w:type="dxa"/>
            <w:vAlign w:val="bottom"/>
          </w:tcPr>
          <w:p>
            <w:pPr>
              <w:spacing w:after="0"/>
              <w:rPr>
                <w:sz w:val="24"/>
                <w:szCs w:val="2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24"/>
                <w:szCs w:val="24"/>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400" w:type="dxa"/>
            <w:vAlign w:val="bottom"/>
          </w:tcPr>
          <w:p>
            <w:pPr>
              <w:ind w:left="20"/>
              <w:spacing w:after="0"/>
              <w:rPr>
                <w:sz w:val="20"/>
                <w:szCs w:val="20"/>
                <w:color w:val="auto"/>
              </w:rPr>
            </w:pPr>
            <w:r>
              <w:rPr>
                <w:rFonts w:ascii="Arial" w:cs="Arial" w:eastAsia="Arial" w:hAnsi="Arial"/>
                <w:sz w:val="11"/>
                <w:szCs w:val="11"/>
                <w:b w:val="1"/>
                <w:bCs w:val="1"/>
                <w:color w:val="auto"/>
              </w:rPr>
              <w:t>Three Months Ended September 30, 2022</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34,691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41,889</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9"/>
              <w:spacing w:after="0"/>
              <w:rPr>
                <w:sz w:val="20"/>
                <w:szCs w:val="20"/>
                <w:color w:val="auto"/>
              </w:rPr>
            </w:pPr>
            <w:r>
              <w:rPr>
                <w:rFonts w:ascii="Arial" w:cs="Arial" w:eastAsia="Arial" w:hAnsi="Arial"/>
                <w:sz w:val="13"/>
                <w:szCs w:val="13"/>
                <w:color w:val="auto"/>
              </w:rPr>
              <w:t>1,951</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2,054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19"/>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2,104</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1,419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2,774</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365"/>
        </w:trPr>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GMI</w:t>
            </w:r>
          </w:p>
        </w:tc>
        <w:tc>
          <w:tcPr>
            <w:tcW w:w="10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Corporate</w:t>
            </w:r>
          </w:p>
        </w:tc>
        <w:tc>
          <w:tcPr>
            <w:tcW w:w="80" w:type="dxa"/>
            <w:vAlign w:val="bottom"/>
          </w:tcPr>
          <w:p>
            <w:pPr>
              <w:spacing w:after="0"/>
              <w:rPr>
                <w:sz w:val="24"/>
                <w:szCs w:val="2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24"/>
                <w:szCs w:val="24"/>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rPr>
                <w:sz w:val="20"/>
                <w:szCs w:val="20"/>
                <w:color w:val="auto"/>
              </w:rPr>
            </w:pPr>
            <w:r>
              <w:rPr>
                <w:rFonts w:ascii="Arial" w:cs="Arial" w:eastAsia="Arial" w:hAnsi="Arial"/>
                <w:sz w:val="11"/>
                <w:szCs w:val="11"/>
                <w:b w:val="1"/>
                <w:bCs w:val="1"/>
                <w:color w:val="auto"/>
              </w:rPr>
              <w:t>Nine Months Ended September 30, 2023</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106,214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12,011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128,863</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9"/>
              <w:spacing w:after="0"/>
              <w:rPr>
                <w:sz w:val="20"/>
                <w:szCs w:val="20"/>
                <w:color w:val="auto"/>
              </w:rPr>
            </w:pPr>
            <w:r>
              <w:rPr>
                <w:rFonts w:ascii="Arial" w:cs="Arial" w:eastAsia="Arial" w:hAnsi="Arial"/>
                <w:sz w:val="13"/>
                <w:szCs w:val="13"/>
                <w:color w:val="auto"/>
              </w:rPr>
              <w:t>6,710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7,072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19"/>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121</w:t>
            </w:r>
          </w:p>
        </w:tc>
        <w:tc>
          <w:tcPr>
            <w:tcW w:w="14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7,264</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4,544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8,738</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378"/>
        </w:trPr>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GMI</w:t>
            </w:r>
          </w:p>
        </w:tc>
        <w:tc>
          <w:tcPr>
            <w:tcW w:w="10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Corporate</w:t>
            </w:r>
          </w:p>
        </w:tc>
        <w:tc>
          <w:tcPr>
            <w:tcW w:w="80" w:type="dxa"/>
            <w:vAlign w:val="bottom"/>
          </w:tcPr>
          <w:p>
            <w:pPr>
              <w:spacing w:after="0"/>
              <w:rPr>
                <w:sz w:val="24"/>
                <w:szCs w:val="2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24"/>
                <w:szCs w:val="24"/>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rPr>
                <w:sz w:val="20"/>
                <w:szCs w:val="20"/>
                <w:color w:val="auto"/>
              </w:rPr>
            </w:pPr>
            <w:r>
              <w:rPr>
                <w:rFonts w:ascii="Arial" w:cs="Arial" w:eastAsia="Arial" w:hAnsi="Arial"/>
                <w:sz w:val="11"/>
                <w:szCs w:val="11"/>
                <w:b w:val="1"/>
                <w:bCs w:val="1"/>
                <w:color w:val="auto"/>
              </w:rPr>
              <w:t>Nine Months Ended September 30, 2022</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92,907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11,100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9,489</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113,627</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9"/>
              <w:spacing w:after="0"/>
              <w:rPr>
                <w:sz w:val="20"/>
                <w:szCs w:val="20"/>
                <w:color w:val="auto"/>
              </w:rPr>
            </w:pPr>
            <w:r>
              <w:rPr>
                <w:rFonts w:ascii="Arial" w:cs="Arial" w:eastAsia="Arial" w:hAnsi="Arial"/>
                <w:sz w:val="13"/>
                <w:szCs w:val="13"/>
                <w:color w:val="auto"/>
              </w:rPr>
              <w:t>5,366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5,771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19"/>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5,933</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4,399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3,666</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8,509</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9"/>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14" w:lineRule="exact"/>
        <w:rPr>
          <w:sz w:val="20"/>
          <w:szCs w:val="20"/>
          <w:color w:val="auto"/>
        </w:rPr>
      </w:pPr>
    </w:p>
    <w:p>
      <w:pPr>
        <w:ind w:left="340" w:right="20" w:hanging="332"/>
        <w:spacing w:after="0" w:line="238" w:lineRule="auto"/>
        <w:tabs>
          <w:tab w:leader="none" w:pos="337" w:val="left"/>
        </w:tabs>
        <w:numPr>
          <w:ilvl w:val="0"/>
          <w:numId w:val="9"/>
        </w:numPr>
        <w:rPr>
          <w:rFonts w:ascii="Arial" w:cs="Arial" w:eastAsia="Arial" w:hAnsi="Arial"/>
          <w:sz w:val="11"/>
          <w:szCs w:val="11"/>
          <w:color w:val="auto"/>
        </w:rPr>
      </w:pPr>
      <w:r>
        <w:rPr>
          <w:rFonts w:ascii="Arial" w:cs="Arial" w:eastAsia="Arial" w:hAnsi="Arial"/>
          <w:sz w:val="13"/>
          <w:szCs w:val="13"/>
          <w:color w:val="auto"/>
        </w:rPr>
        <w:t>Includes Automotive China equity income of $192 million and $330 million in the three months ended September 30, 2023 and 2022 and $353 million and $477 million in the nine months ended September 30, 2023 and 2022.</w:t>
      </w:r>
    </w:p>
    <w:p>
      <w:pPr>
        <w:ind w:left="340" w:hanging="332"/>
        <w:spacing w:after="0" w:line="264" w:lineRule="auto"/>
        <w:tabs>
          <w:tab w:leader="none" w:pos="337" w:val="left"/>
        </w:tabs>
        <w:numPr>
          <w:ilvl w:val="0"/>
          <w:numId w:val="9"/>
        </w:numPr>
        <w:rPr>
          <w:rFonts w:ascii="Arial" w:cs="Arial" w:eastAsia="Arial" w:hAnsi="Arial"/>
          <w:sz w:val="11"/>
          <w:szCs w:val="11"/>
          <w:color w:val="auto"/>
        </w:rPr>
      </w:pPr>
      <w:r>
        <w:rPr>
          <w:rFonts w:ascii="Arial" w:cs="Arial" w:eastAsia="Arial" w:hAnsi="Arial"/>
          <w:sz w:val="13"/>
          <w:szCs w:val="13"/>
          <w:color w:val="auto"/>
        </w:rPr>
        <w:t>Equity earnings related to Ultium Cells Holdings LLC are presented in Automotive and other cost of sales as this entity is integral to the operations of our business by providing battery cells for our electric vehicles. Equity earnings related to Ultium Cells Holdings LLC were $101 million and $191 million in the three and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0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56" w:lineRule="exact"/>
        <w:rPr>
          <w:sz w:val="20"/>
          <w:szCs w:val="20"/>
          <w:color w:val="auto"/>
        </w:rPr>
      </w:pPr>
    </w:p>
    <w:p>
      <w:pPr>
        <w:jc w:val="both"/>
        <w:ind w:firstLine="162"/>
        <w:spacing w:after="0" w:line="262" w:lineRule="auto"/>
        <w:rPr>
          <w:sz w:val="20"/>
          <w:szCs w:val="20"/>
          <w:color w:val="auto"/>
        </w:rPr>
      </w:pPr>
      <w:r>
        <w:rPr>
          <w:rFonts w:ascii="Arial" w:cs="Arial" w:eastAsia="Arial" w:hAnsi="Arial"/>
          <w:sz w:val="16"/>
          <w:szCs w:val="16"/>
          <w:color w:val="auto"/>
        </w:rPr>
        <w:t>GM presents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nine months ended September 30, 2023, 28.8% of GM's wholesale vehicle sales volume was generated outside the U.S. The following table summarizes wholesale vehicle sales by automotive segment (vehicles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80" w:type="dxa"/>
            <w:vAlign w:val="bottom"/>
          </w:tcPr>
          <w:p>
            <w:pPr>
              <w:spacing w:after="0"/>
              <w:rPr>
                <w:sz w:val="15"/>
                <w:szCs w:val="15"/>
                <w:color w:val="auto"/>
              </w:rPr>
            </w:pPr>
          </w:p>
        </w:tc>
        <w:tc>
          <w:tcPr>
            <w:tcW w:w="3660" w:type="dxa"/>
            <w:vAlign w:val="bottom"/>
            <w:gridSpan w:val="6"/>
          </w:tcPr>
          <w:p>
            <w:pPr>
              <w:ind w:left="1160"/>
              <w:spacing w:after="0"/>
              <w:rPr>
                <w:sz w:val="20"/>
                <w:szCs w:val="20"/>
                <w:color w:val="auto"/>
              </w:rPr>
            </w:pPr>
            <w:r>
              <w:rPr>
                <w:rFonts w:ascii="Arial" w:cs="Arial" w:eastAsia="Arial" w:hAnsi="Arial"/>
                <w:sz w:val="13"/>
                <w:szCs w:val="13"/>
                <w:b w:val="1"/>
                <w:bCs w:val="1"/>
                <w:color w:val="auto"/>
              </w:rPr>
              <w:t>Three Months Ended</w:t>
            </w:r>
          </w:p>
        </w:tc>
        <w:tc>
          <w:tcPr>
            <w:tcW w:w="3500" w:type="dxa"/>
            <w:vAlign w:val="bottom"/>
            <w:gridSpan w:val="4"/>
          </w:tcPr>
          <w:p>
            <w:pPr>
              <w:jc w:val="right"/>
              <w:ind w:right="1024"/>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5"/>
                <w:szCs w:val="15"/>
                <w:color w:val="auto"/>
              </w:rPr>
            </w:pPr>
          </w:p>
        </w:tc>
      </w:tr>
      <w:tr>
        <w:trPr>
          <w:trHeight w:val="173"/>
        </w:trPr>
        <w:tc>
          <w:tcPr>
            <w:tcW w:w="3980" w:type="dxa"/>
            <w:vAlign w:val="bottom"/>
          </w:tcPr>
          <w:p>
            <w:pPr>
              <w:spacing w:after="0"/>
              <w:rPr>
                <w:sz w:val="15"/>
                <w:szCs w:val="15"/>
                <w:color w:val="auto"/>
              </w:rPr>
            </w:pPr>
          </w:p>
        </w:tc>
        <w:tc>
          <w:tcPr>
            <w:tcW w:w="1840" w:type="dxa"/>
            <w:vAlign w:val="bottom"/>
            <w:tcBorders>
              <w:top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rPr>
              <w:t>September 30, 2023</w:t>
            </w:r>
          </w:p>
        </w:tc>
        <w:tc>
          <w:tcPr>
            <w:tcW w:w="1720" w:type="dxa"/>
            <w:vAlign w:val="bottom"/>
            <w:tcBorders>
              <w:top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September 30, 2022</w:t>
            </w:r>
          </w:p>
        </w:tc>
        <w:tc>
          <w:tcPr>
            <w:tcW w:w="100" w:type="dxa"/>
            <w:vAlign w:val="bottom"/>
          </w:tcPr>
          <w:p>
            <w:pPr>
              <w:spacing w:after="0"/>
              <w:rPr>
                <w:sz w:val="15"/>
                <w:szCs w:val="15"/>
                <w:color w:val="auto"/>
              </w:rPr>
            </w:pPr>
          </w:p>
        </w:tc>
        <w:tc>
          <w:tcPr>
            <w:tcW w:w="1860" w:type="dxa"/>
            <w:vAlign w:val="bottom"/>
            <w:tcBorders>
              <w:top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September 30, 2023</w:t>
            </w:r>
          </w:p>
        </w:tc>
        <w:tc>
          <w:tcPr>
            <w:tcW w:w="1640" w:type="dxa"/>
            <w:vAlign w:val="bottom"/>
            <w:tcBorders>
              <w:top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September 30, 2022</w:t>
            </w:r>
          </w:p>
        </w:tc>
        <w:tc>
          <w:tcPr>
            <w:tcW w:w="100" w:type="dxa"/>
            <w:vAlign w:val="bottom"/>
            <w:tcBorders>
              <w:top w:val="single" w:sz="8" w:color="auto"/>
            </w:tcBorders>
          </w:tcPr>
          <w:p>
            <w:pPr>
              <w:spacing w:after="0"/>
              <w:rPr>
                <w:sz w:val="15"/>
                <w:szCs w:val="15"/>
                <w:color w:val="auto"/>
              </w:rPr>
            </w:pPr>
          </w:p>
        </w:tc>
      </w:tr>
      <w:tr>
        <w:trPr>
          <w:trHeight w:val="20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6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810</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784</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2,139</w:t>
            </w:r>
          </w:p>
        </w:tc>
        <w:tc>
          <w:tcPr>
            <w:tcW w:w="100" w:type="dxa"/>
            <w:vAlign w:val="bottom"/>
            <w:tcBorders>
              <w:top w:val="single" w:sz="8" w:color="auto"/>
            </w:tcBorders>
          </w:tcPr>
          <w:p>
            <w:pPr>
              <w:spacing w:after="0"/>
              <w:rPr>
                <w:sz w:val="18"/>
                <w:szCs w:val="18"/>
                <w:color w:val="auto"/>
              </w:rPr>
            </w:pPr>
          </w:p>
        </w:tc>
      </w:tr>
      <w:tr>
        <w:trPr>
          <w:trHeight w:val="21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6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r>
      <w:tr>
        <w:trPr>
          <w:trHeight w:val="23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981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2,613</w:t>
            </w:r>
          </w:p>
        </w:tc>
        <w:tc>
          <w:tcPr>
            <w:tcW w:w="100" w:type="dxa"/>
            <w:vAlign w:val="bottom"/>
          </w:tcPr>
          <w:p>
            <w:pPr>
              <w:spacing w:after="0"/>
              <w:rPr>
                <w:sz w:val="20"/>
                <w:szCs w:val="20"/>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7" w:lineRule="exact"/>
        <w:rPr>
          <w:sz w:val="20"/>
          <w:szCs w:val="20"/>
          <w:color w:val="auto"/>
        </w:rPr>
      </w:pPr>
    </w:p>
    <w:p>
      <w:pPr>
        <w:jc w:val="both"/>
        <w:ind w:firstLine="162"/>
        <w:spacing w:after="0" w:line="258"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60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industry and GM total vehicle sales and GM's related competitive position by geographic region (vehicles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228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7"/>
                <w:szCs w:val="17"/>
                <w:color w:val="auto"/>
              </w:rPr>
            </w:pPr>
          </w:p>
        </w:tc>
        <w:tc>
          <w:tcPr>
            <w:tcW w:w="232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7"/>
                <w:szCs w:val="17"/>
                <w:color w:val="auto"/>
              </w:rPr>
            </w:pPr>
          </w:p>
        </w:tc>
        <w:tc>
          <w:tcPr>
            <w:tcW w:w="234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7"/>
                <w:szCs w:val="17"/>
                <w:color w:val="auto"/>
              </w:rPr>
            </w:pPr>
          </w:p>
        </w:tc>
        <w:tc>
          <w:tcPr>
            <w:tcW w:w="234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Market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Market</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20" w:type="dxa"/>
            <w:vAlign w:val="bottom"/>
            <w:gridSpan w:val="2"/>
          </w:tcPr>
          <w:p>
            <w:pPr>
              <w:ind w:left="180"/>
              <w:spacing w:after="0" w:line="143" w:lineRule="exact"/>
              <w:rPr>
                <w:sz w:val="20"/>
                <w:szCs w:val="20"/>
                <w:color w:val="auto"/>
              </w:rPr>
            </w:pPr>
            <w:r>
              <w:rPr>
                <w:rFonts w:ascii="Arial" w:cs="Arial" w:eastAsia="Arial" w:hAnsi="Arial"/>
                <w:sz w:val="14"/>
                <w:szCs w:val="14"/>
                <w:b w:val="1"/>
                <w:bCs w:val="1"/>
                <w:color w:val="auto"/>
              </w:rPr>
              <w:t>Market</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800" w:type="dxa"/>
            <w:vAlign w:val="bottom"/>
          </w:tcPr>
          <w:p>
            <w:pPr>
              <w:jc w:val="right"/>
              <w:ind w:right="88"/>
              <w:spacing w:after="0" w:line="14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9"/>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North America</w:t>
            </w:r>
          </w:p>
        </w:tc>
        <w:tc>
          <w:tcPr>
            <w:tcW w:w="88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w:t>
            </w:r>
          </w:p>
        </w:tc>
        <w:tc>
          <w:tcPr>
            <w:tcW w:w="9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1"/>
        </w:trPr>
        <w:tc>
          <w:tcPr>
            <w:tcW w:w="1600" w:type="dxa"/>
            <w:vAlign w:val="bottom"/>
            <w:vMerge w:val="continue"/>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4,092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15.7 %</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13.0 %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13.9 %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2,648</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12.8 %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13.2 %</w:t>
            </w:r>
          </w:p>
        </w:tc>
        <w:tc>
          <w:tcPr>
            <w:tcW w:w="0" w:type="dxa"/>
            <w:vAlign w:val="bottom"/>
          </w:tcPr>
          <w:p>
            <w:pPr>
              <w:spacing w:after="0"/>
              <w:rPr>
                <w:sz w:val="1"/>
                <w:szCs w:val="1"/>
                <w:color w:val="auto"/>
              </w:rPr>
            </w:pPr>
          </w:p>
        </w:tc>
      </w:tr>
      <w:tr>
        <w:trPr>
          <w:trHeight w:val="202"/>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5,026</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4,285</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14,641</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r>
        <w:trPr>
          <w:trHeight w:val="129"/>
        </w:trPr>
        <w:tc>
          <w:tcPr>
            <w:tcW w:w="16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Asia/Pacific, Middle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180"/>
              <w:spacing w:after="0"/>
              <w:rPr>
                <w:sz w:val="20"/>
                <w:szCs w:val="20"/>
                <w:color w:val="auto"/>
              </w:rPr>
            </w:pPr>
            <w:r>
              <w:rPr>
                <w:rFonts w:ascii="Arial" w:cs="Arial" w:eastAsia="Arial" w:hAnsi="Arial"/>
                <w:sz w:val="14"/>
                <w:szCs w:val="14"/>
                <w:b w:val="1"/>
                <w:bCs w:val="1"/>
                <w:color w:val="auto"/>
              </w:rPr>
              <w:t>East and Africa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6,497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6,337</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17,756</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197"/>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5,373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3.0 %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16,106</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2.6 %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381</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43"/>
        </w:trPr>
        <w:tc>
          <w:tcPr>
            <w:tcW w:w="16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Total Asia/Pacific,</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Middle East and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11,870</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703</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11,376</w:t>
            </w: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33,862</w:t>
            </w: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1,942</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32,170</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2,109</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186"/>
        </w:trPr>
        <w:tc>
          <w:tcPr>
            <w:tcW w:w="1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Africa</w:t>
            </w: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9.3 %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10.2 %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9.1 %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10.3 %</w:t>
            </w:r>
          </w:p>
        </w:tc>
        <w:tc>
          <w:tcPr>
            <w:tcW w:w="0" w:type="dxa"/>
            <w:vAlign w:val="bottom"/>
          </w:tcPr>
          <w:p>
            <w:pPr>
              <w:spacing w:after="0"/>
              <w:rPr>
                <w:sz w:val="1"/>
                <w:szCs w:val="1"/>
                <w:color w:val="auto"/>
              </w:rPr>
            </w:pPr>
          </w:p>
        </w:tc>
      </w:tr>
      <w:tr>
        <w:trPr>
          <w:trHeight w:val="202"/>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983</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12.1 %</w:t>
            </w:r>
          </w:p>
        </w:tc>
        <w:tc>
          <w:tcPr>
            <w:tcW w:w="0" w:type="dxa"/>
            <w:vAlign w:val="bottom"/>
          </w:tcPr>
          <w:p>
            <w:pPr>
              <w:spacing w:after="0"/>
              <w:rPr>
                <w:sz w:val="1"/>
                <w:szCs w:val="1"/>
                <w:color w:val="auto"/>
              </w:rPr>
            </w:pPr>
          </w:p>
        </w:tc>
      </w:tr>
      <w:tr>
        <w:trPr>
          <w:trHeight w:val="190"/>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17,879</w:t>
            </w:r>
          </w:p>
        </w:tc>
        <w:tc>
          <w:tcPr>
            <w:tcW w:w="10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1,619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9.1 %</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16,658</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1,539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9.2 %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51,210</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4,584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9.0 %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47,662</w:t>
            </w:r>
          </w:p>
        </w:tc>
        <w:tc>
          <w:tcPr>
            <w:tcW w:w="1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4,386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209"/>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3,851</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3,343</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12,252</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Total Worldwide(b)(c)</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21,731</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7.5 %</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20,001</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7.7 %</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63,462</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7.2 %</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58,061</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4,388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United States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0" w:type="dxa"/>
            <w:vAlign w:val="bottom"/>
          </w:tcPr>
          <w:p>
            <w:pPr>
              <w:ind w:left="20"/>
              <w:spacing w:after="0"/>
              <w:rPr>
                <w:sz w:val="20"/>
                <w:szCs w:val="20"/>
                <w:color w:val="auto"/>
              </w:rPr>
            </w:pPr>
            <w:r>
              <w:rPr>
                <w:rFonts w:ascii="Arial" w:cs="Arial" w:eastAsia="Arial" w:hAnsi="Arial"/>
                <w:sz w:val="14"/>
                <w:szCs w:val="14"/>
                <w:color w:val="auto"/>
              </w:rPr>
              <w:t>Cars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7.2 %</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2,332</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7.9 %</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2,098</w:t>
            </w:r>
          </w:p>
        </w:tc>
        <w:tc>
          <w:tcPr>
            <w:tcW w:w="1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152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209"/>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31.7 %</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29.9 %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30.6 %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31.2 %</w:t>
            </w:r>
          </w:p>
        </w:tc>
        <w:tc>
          <w:tcPr>
            <w:tcW w:w="0" w:type="dxa"/>
            <w:vAlign w:val="bottom"/>
          </w:tcPr>
          <w:p>
            <w:pPr>
              <w:spacing w:after="0"/>
              <w:rPr>
                <w:sz w:val="1"/>
                <w:szCs w:val="1"/>
                <w:color w:val="auto"/>
              </w:rPr>
            </w:pPr>
          </w:p>
        </w:tc>
      </w:tr>
      <w:tr>
        <w:trPr>
          <w:trHeight w:val="197"/>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2,218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276</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12.4 %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1,823</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11.4 %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6,447</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12.5 %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599</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10.8 %</w:t>
            </w:r>
          </w:p>
        </w:tc>
        <w:tc>
          <w:tcPr>
            <w:tcW w:w="0" w:type="dxa"/>
            <w:vAlign w:val="bottom"/>
          </w:tcPr>
          <w:p>
            <w:pPr>
              <w:spacing w:after="0"/>
              <w:rPr>
                <w:sz w:val="1"/>
                <w:szCs w:val="1"/>
                <w:color w:val="auto"/>
              </w:rPr>
            </w:pPr>
          </w:p>
        </w:tc>
      </w:tr>
      <w:tr>
        <w:trPr>
          <w:trHeight w:val="227"/>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4,092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3,512</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11,993</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1,651</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15.7 %</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962</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China</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6,497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6,337</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17,756</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17,156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sales by the Automotive China JVs: SAIC General Motors Sales Co., Ltd. (SGMS) and SAIC GM Wuling Automobile Co., Ltd. (SGMW).</w:t>
      </w:r>
    </w:p>
    <w:p>
      <w:pPr>
        <w:spacing w:after="0" w:line="1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Cuba, Iran, North Korea, Sudan and Syria are subject to broad economic sanctions. Accordingly, these countries are excluded from industry sales data and corresponding calculation of market share.</w:t>
      </w: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March 2022, GM is no longer importing vehicles or parts to Russia, Belarus and certain sanctioned provinces in Ukraine.</w:t>
      </w:r>
    </w:p>
    <w:p>
      <w:pPr>
        <w:spacing w:after="0" w:line="246" w:lineRule="exact"/>
        <w:rPr>
          <w:sz w:val="20"/>
          <w:szCs w:val="20"/>
          <w:color w:val="auto"/>
        </w:rPr>
      </w:pPr>
    </w:p>
    <w:p>
      <w:pPr>
        <w:jc w:val="both"/>
        <w:ind w:right="20" w:firstLine="162"/>
        <w:spacing w:after="0" w:line="261" w:lineRule="auto"/>
        <w:rPr>
          <w:sz w:val="20"/>
          <w:szCs w:val="20"/>
          <w:color w:val="auto"/>
        </w:rPr>
      </w:pPr>
      <w:r>
        <w:rPr>
          <w:rFonts w:ascii="Arial" w:cs="Arial" w:eastAsia="Arial" w:hAnsi="Arial"/>
          <w:sz w:val="16"/>
          <w:szCs w:val="16"/>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60" w:type="dxa"/>
            <w:vAlign w:val="bottom"/>
          </w:tcPr>
          <w:p>
            <w:pPr>
              <w:spacing w:after="0"/>
              <w:rPr>
                <w:sz w:val="15"/>
                <w:szCs w:val="15"/>
                <w:color w:val="auto"/>
              </w:rPr>
            </w:pPr>
          </w:p>
        </w:tc>
        <w:tc>
          <w:tcPr>
            <w:tcW w:w="3240" w:type="dxa"/>
            <w:vAlign w:val="bottom"/>
            <w:gridSpan w:val="4"/>
          </w:tcPr>
          <w:p>
            <w:pPr>
              <w:jc w:val="right"/>
              <w:ind w:right="1040"/>
              <w:spacing w:after="0"/>
              <w:rPr>
                <w:sz w:val="20"/>
                <w:szCs w:val="20"/>
                <w:color w:val="auto"/>
              </w:rPr>
            </w:pPr>
            <w:r>
              <w:rPr>
                <w:rFonts w:ascii="Arial" w:cs="Arial" w:eastAsia="Arial" w:hAnsi="Arial"/>
                <w:sz w:val="13"/>
                <w:szCs w:val="13"/>
                <w:b w:val="1"/>
                <w:bCs w:val="1"/>
                <w:color w:val="auto"/>
              </w:rPr>
              <w:t>Three Months Ended</w:t>
            </w:r>
          </w:p>
        </w:tc>
        <w:tc>
          <w:tcPr>
            <w:tcW w:w="3140" w:type="dxa"/>
            <w:vAlign w:val="bottom"/>
            <w:gridSpan w:val="3"/>
          </w:tcPr>
          <w:p>
            <w:pPr>
              <w:jc w:val="right"/>
              <w:ind w:right="902"/>
              <w:spacing w:after="0"/>
              <w:rPr>
                <w:sz w:val="20"/>
                <w:szCs w:val="20"/>
                <w:color w:val="auto"/>
              </w:rPr>
            </w:pPr>
            <w:r>
              <w:rPr>
                <w:rFonts w:ascii="Arial" w:cs="Arial" w:eastAsia="Arial" w:hAnsi="Arial"/>
                <w:sz w:val="13"/>
                <w:szCs w:val="13"/>
                <w:b w:val="1"/>
                <w:bCs w:val="1"/>
                <w:color w:val="auto"/>
              </w:rPr>
              <w:t>Nine Months Ended</w:t>
            </w:r>
          </w:p>
        </w:tc>
      </w:tr>
      <w:tr>
        <w:trPr>
          <w:trHeight w:val="173"/>
        </w:trPr>
        <w:tc>
          <w:tcPr>
            <w:tcW w:w="4860" w:type="dxa"/>
            <w:vAlign w:val="bottom"/>
          </w:tcPr>
          <w:p>
            <w:pPr>
              <w:spacing w:after="0"/>
              <w:rPr>
                <w:sz w:val="15"/>
                <w:szCs w:val="15"/>
                <w:color w:val="auto"/>
              </w:rPr>
            </w:pPr>
          </w:p>
        </w:tc>
        <w:tc>
          <w:tcPr>
            <w:tcW w:w="16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September 30, 2023</w:t>
            </w:r>
          </w:p>
        </w:tc>
        <w:tc>
          <w:tcPr>
            <w:tcW w:w="1520" w:type="dxa"/>
            <w:vAlign w:val="bottom"/>
            <w:tcBorders>
              <w:top w:val="single" w:sz="8" w:color="auto"/>
            </w:tcBorders>
          </w:tcPr>
          <w:p>
            <w:pPr>
              <w:jc w:val="right"/>
              <w:ind w:right="82"/>
              <w:spacing w:after="0"/>
              <w:rPr>
                <w:sz w:val="20"/>
                <w:szCs w:val="20"/>
                <w:color w:val="auto"/>
              </w:rPr>
            </w:pPr>
            <w:r>
              <w:rPr>
                <w:rFonts w:ascii="Arial" w:cs="Arial" w:eastAsia="Arial" w:hAnsi="Arial"/>
                <w:sz w:val="13"/>
                <w:szCs w:val="13"/>
                <w:b w:val="1"/>
                <w:bCs w:val="1"/>
                <w:color w:val="auto"/>
              </w:rPr>
              <w:t>September 30, 2022</w:t>
            </w:r>
          </w:p>
        </w:tc>
        <w:tc>
          <w:tcPr>
            <w:tcW w:w="100" w:type="dxa"/>
            <w:vAlign w:val="bottom"/>
          </w:tcPr>
          <w:p>
            <w:pPr>
              <w:spacing w:after="0"/>
              <w:rPr>
                <w:sz w:val="15"/>
                <w:szCs w:val="15"/>
                <w:color w:val="auto"/>
              </w:rPr>
            </w:pPr>
          </w:p>
        </w:tc>
        <w:tc>
          <w:tcPr>
            <w:tcW w:w="1620" w:type="dxa"/>
            <w:vAlign w:val="bottom"/>
            <w:tcBorders>
              <w:top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September 30, 2023</w:t>
            </w:r>
          </w:p>
        </w:tc>
        <w:tc>
          <w:tcPr>
            <w:tcW w:w="1520" w:type="dxa"/>
            <w:vAlign w:val="bottom"/>
            <w:tcBorders>
              <w:top w:val="single" w:sz="8" w:color="auto"/>
            </w:tcBorders>
          </w:tcPr>
          <w:p>
            <w:pPr>
              <w:jc w:val="right"/>
              <w:ind w:right="82"/>
              <w:spacing w:after="0"/>
              <w:rPr>
                <w:sz w:val="20"/>
                <w:szCs w:val="20"/>
                <w:color w:val="auto"/>
              </w:rPr>
            </w:pPr>
            <w:r>
              <w:rPr>
                <w:rFonts w:ascii="Arial" w:cs="Arial" w:eastAsia="Arial" w:hAnsi="Arial"/>
                <w:sz w:val="13"/>
                <w:szCs w:val="13"/>
                <w:b w:val="1"/>
                <w:bCs w:val="1"/>
                <w:color w:val="auto"/>
              </w:rPr>
              <w:t>September 30, 2022</w:t>
            </w: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GMNA</w:t>
            </w:r>
          </w:p>
        </w:tc>
        <w:tc>
          <w:tcPr>
            <w:tcW w:w="152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165</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116</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538</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406</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GMI</w:t>
            </w:r>
          </w:p>
        </w:tc>
        <w:tc>
          <w:tcPr>
            <w:tcW w:w="152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289</w:t>
            </w:r>
          </w:p>
        </w:tc>
      </w:tr>
      <w:tr>
        <w:trPr>
          <w:trHeight w:val="23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fleet sales</w:t>
            </w:r>
          </w:p>
        </w:tc>
        <w:tc>
          <w:tcPr>
            <w:tcW w:w="15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877</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695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Fleet sales as a percentage of total vehicle sales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15.8 %</w:t>
            </w:r>
          </w:p>
        </w:tc>
      </w:tr>
      <w:tr>
        <w:trPr>
          <w:trHeight w:val="108"/>
        </w:trPr>
        <w:tc>
          <w:tcPr>
            <w:tcW w:w="4860" w:type="dxa"/>
            <w:vAlign w:val="bottom"/>
          </w:tcPr>
          <w:p>
            <w:pPr>
              <w:spacing w:after="0"/>
              <w:rPr>
                <w:sz w:val="9"/>
                <w:szCs w:val="9"/>
                <w:color w:val="auto"/>
              </w:rPr>
            </w:pPr>
          </w:p>
        </w:tc>
        <w:tc>
          <w:tcPr>
            <w:tcW w:w="1620" w:type="dxa"/>
            <w:vAlign w:val="bottom"/>
            <w:gridSpan w:val="2"/>
          </w:tcPr>
          <w:p>
            <w:pPr>
              <w:spacing w:after="0"/>
              <w:rPr>
                <w:sz w:val="9"/>
                <w:szCs w:val="9"/>
                <w:color w:val="auto"/>
              </w:rPr>
            </w:pPr>
          </w:p>
        </w:tc>
        <w:tc>
          <w:tcPr>
            <w:tcW w:w="1620" w:type="dxa"/>
            <w:vAlign w:val="bottom"/>
            <w:gridSpan w:val="2"/>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 capacity two-shift utilization</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96.5 %</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103.3 %</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98.7 %</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607" w:right="339" w:bottom="1440" w:gutter="0" w:footer="0" w:header="0"/>
        </w:sectPr>
      </w:pPr>
    </w:p>
    <w:bookmarkStart w:id="12" w:name="page13"/>
    <w:bookmarkEnd w:id="12"/>
    <w:p>
      <w:pPr>
        <w:ind w:left="39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140"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10"/>
          </w:tcPr>
          <w:p>
            <w:pPr>
              <w:ind w:left="340"/>
              <w:spacing w:after="0"/>
              <w:rPr>
                <w:sz w:val="20"/>
                <w:szCs w:val="20"/>
                <w:color w:val="auto"/>
              </w:rPr>
            </w:pPr>
            <w:r>
              <w:rPr>
                <w:rFonts w:ascii="Arial" w:cs="Arial" w:eastAsia="Arial" w:hAnsi="Arial"/>
                <w:sz w:val="11"/>
                <w:szCs w:val="11"/>
                <w:b w:val="1"/>
                <w:bCs w:val="1"/>
                <w:color w:val="auto"/>
                <w:w w:val="99"/>
              </w:rPr>
              <w:t>Three Months Ended September 30, 2023</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8"/>
          </w:tcPr>
          <w:p>
            <w:pPr>
              <w:ind w:left="340"/>
              <w:spacing w:after="0"/>
              <w:rPr>
                <w:sz w:val="20"/>
                <w:szCs w:val="20"/>
                <w:color w:val="auto"/>
              </w:rPr>
            </w:pPr>
            <w:r>
              <w:rPr>
                <w:rFonts w:ascii="Arial" w:cs="Arial" w:eastAsia="Arial" w:hAnsi="Arial"/>
                <w:sz w:val="11"/>
                <w:szCs w:val="11"/>
                <w:b w:val="1"/>
                <w:bCs w:val="1"/>
                <w:color w:val="auto"/>
              </w:rPr>
              <w:t>Three Months Ended September 30, 2022</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w w:val="99"/>
              </w:rPr>
              <w:t>Cruise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200"/>
              <w:spacing w:after="0" w:line="108" w:lineRule="exact"/>
              <w:rPr>
                <w:sz w:val="20"/>
                <w:szCs w:val="20"/>
                <w:color w:val="auto"/>
              </w:rPr>
            </w:pPr>
            <w:r>
              <w:rPr>
                <w:rFonts w:ascii="Arial" w:cs="Arial" w:eastAsia="Arial" w:hAnsi="Arial"/>
                <w:sz w:val="11"/>
                <w:szCs w:val="11"/>
                <w:b w:val="1"/>
                <w:bCs w:val="1"/>
                <w:color w:val="auto"/>
              </w:rPr>
              <w:t>GM</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Reclassifications/Eliminations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Combined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40" w:type="dxa"/>
            <w:vAlign w:val="bottom"/>
          </w:tcPr>
          <w:p>
            <w:pPr>
              <w:spacing w:after="0"/>
              <w:rPr>
                <w:sz w:val="9"/>
                <w:szCs w:val="9"/>
                <w:color w:val="auto"/>
              </w:rPr>
            </w:pPr>
          </w:p>
        </w:tc>
        <w:tc>
          <w:tcPr>
            <w:tcW w:w="580" w:type="dxa"/>
            <w:vAlign w:val="bottom"/>
            <w:gridSpan w:val="4"/>
          </w:tcPr>
          <w:p>
            <w:pPr>
              <w:jc w:val="center"/>
              <w:ind w:right="240"/>
              <w:spacing w:after="0" w:line="108"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4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rPr>
              <w:t>Financial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2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Net sales and revenue</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Automotive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40,503</w:t>
            </w: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40,498</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38,703</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38,703</w:t>
            </w:r>
          </w:p>
        </w:tc>
        <w:tc>
          <w:tcPr>
            <w:tcW w:w="0" w:type="dxa"/>
            <w:vAlign w:val="bottom"/>
          </w:tcPr>
          <w:p>
            <w:pPr>
              <w:spacing w:after="0"/>
              <w:rPr>
                <w:sz w:val="1"/>
                <w:szCs w:val="1"/>
                <w:color w:val="auto"/>
              </w:rPr>
            </w:pPr>
          </w:p>
        </w:tc>
      </w:tr>
      <w:tr>
        <w:trPr>
          <w:trHeight w:val="196"/>
        </w:trPr>
        <w:tc>
          <w:tcPr>
            <w:tcW w:w="1620" w:type="dxa"/>
            <w:vAlign w:val="bottom"/>
          </w:tcPr>
          <w:p>
            <w:pPr>
              <w:ind w:left="140"/>
              <w:spacing w:after="0"/>
              <w:rPr>
                <w:sz w:val="20"/>
                <w:szCs w:val="20"/>
                <w:color w:val="auto"/>
              </w:rPr>
            </w:pPr>
            <w:r>
              <w:rPr>
                <w:rFonts w:ascii="Arial" w:cs="Arial" w:eastAsia="Arial" w:hAnsi="Arial"/>
                <w:sz w:val="13"/>
                <w:szCs w:val="13"/>
                <w:color w:val="auto"/>
              </w:rPr>
              <w:t>GM Financial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3,641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3,633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3,185</w:t>
            </w:r>
          </w:p>
        </w:tc>
        <w:tc>
          <w:tcPr>
            <w:tcW w:w="0" w:type="dxa"/>
            <w:vAlign w:val="bottom"/>
          </w:tcPr>
          <w:p>
            <w:pPr>
              <w:spacing w:after="0"/>
              <w:rPr>
                <w:sz w:val="1"/>
                <w:szCs w:val="1"/>
                <w:color w:val="auto"/>
              </w:rPr>
            </w:pPr>
          </w:p>
        </w:tc>
      </w:tr>
      <w:tr>
        <w:trPr>
          <w:trHeight w:val="202"/>
        </w:trPr>
        <w:tc>
          <w:tcPr>
            <w:tcW w:w="17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w w:val="97"/>
              </w:rPr>
              <w:t>Total net sales and revenue</w:t>
            </w: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40,503</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3,641</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44,131</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38,703</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3,187</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41,889</w:t>
            </w:r>
          </w:p>
        </w:tc>
        <w:tc>
          <w:tcPr>
            <w:tcW w:w="0" w:type="dxa"/>
            <w:vAlign w:val="bottom"/>
          </w:tcPr>
          <w:p>
            <w:pPr>
              <w:spacing w:after="0"/>
              <w:rPr>
                <w:sz w:val="1"/>
                <w:szCs w:val="1"/>
                <w:color w:val="auto"/>
              </w:rPr>
            </w:pPr>
          </w:p>
        </w:tc>
      </w:tr>
      <w:tr>
        <w:trPr>
          <w:trHeight w:val="176"/>
        </w:trPr>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w w:val="96"/>
              </w:rPr>
              <w:t>Automotive and other cost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35,141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706</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35,842</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33,234</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33,700</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of sales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gridSpan w:val="4"/>
            <w:vMerge w:val="continue"/>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140"/>
              <w:spacing w:after="0" w:line="122" w:lineRule="exact"/>
              <w:rPr>
                <w:sz w:val="20"/>
                <w:szCs w:val="20"/>
                <w:color w:val="auto"/>
              </w:rPr>
            </w:pPr>
            <w:r>
              <w:rPr>
                <w:rFonts w:ascii="Arial" w:cs="Arial" w:eastAsia="Arial" w:hAnsi="Arial"/>
                <w:sz w:val="13"/>
                <w:szCs w:val="13"/>
                <w:color w:val="auto"/>
              </w:rPr>
              <w:t>GM Financial interest,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300"/>
              <w:spacing w:after="0" w:line="122" w:lineRule="exact"/>
              <w:rPr>
                <w:sz w:val="20"/>
                <w:szCs w:val="20"/>
                <w:color w:val="auto"/>
              </w:rPr>
            </w:pPr>
            <w:r>
              <w:rPr>
                <w:rFonts w:ascii="Arial" w:cs="Arial" w:eastAsia="Arial" w:hAnsi="Arial"/>
                <w:sz w:val="13"/>
                <w:szCs w:val="13"/>
                <w:color w:val="auto"/>
              </w:rPr>
              <w:t>operating and other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2,933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2,933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2,321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2,320</w:t>
            </w:r>
          </w:p>
        </w:tc>
        <w:tc>
          <w:tcPr>
            <w:tcW w:w="0" w:type="dxa"/>
            <w:vAlign w:val="bottom"/>
          </w:tcPr>
          <w:p>
            <w:pPr>
              <w:spacing w:after="0"/>
              <w:rPr>
                <w:sz w:val="1"/>
                <w:szCs w:val="1"/>
                <w:color w:val="auto"/>
              </w:rPr>
            </w:pPr>
          </w:p>
        </w:tc>
      </w:tr>
      <w:tr>
        <w:trPr>
          <w:trHeight w:val="183"/>
        </w:trPr>
        <w:tc>
          <w:tcPr>
            <w:tcW w:w="1620" w:type="dxa"/>
            <w:vAlign w:val="bottom"/>
          </w:tcPr>
          <w:p>
            <w:pPr>
              <w:ind w:left="300"/>
              <w:spacing w:after="0"/>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62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Automotive and other</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selling, general and</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2,217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127</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2,344</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2,364</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2,477</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7"/>
              </w:rPr>
              <w:t>administrative expense</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w w:val="99"/>
              </w:rPr>
              <w:t>Total costs and expenses</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37,359</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833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2,933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41,118</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35,598</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38,497</w:t>
            </w:r>
          </w:p>
        </w:tc>
        <w:tc>
          <w:tcPr>
            <w:tcW w:w="0" w:type="dxa"/>
            <w:vAlign w:val="bottom"/>
          </w:tcPr>
          <w:p>
            <w:pPr>
              <w:spacing w:after="0"/>
              <w:rPr>
                <w:sz w:val="1"/>
                <w:szCs w:val="1"/>
                <w:color w:val="auto"/>
              </w:rPr>
            </w:pPr>
          </w:p>
        </w:tc>
      </w:tr>
      <w:tr>
        <w:trPr>
          <w:trHeight w:val="202"/>
        </w:trPr>
        <w:tc>
          <w:tcPr>
            <w:tcW w:w="1620" w:type="dxa"/>
            <w:vAlign w:val="bottom"/>
            <w:shd w:val="clear" w:color="auto" w:fill="CCEEFF"/>
          </w:tcPr>
          <w:p>
            <w:pPr>
              <w:ind w:left="240"/>
              <w:spacing w:after="0"/>
              <w:rPr>
                <w:sz w:val="20"/>
                <w:szCs w:val="20"/>
                <w:color w:val="auto"/>
              </w:rPr>
            </w:pPr>
            <w:r>
              <w:rPr>
                <w:rFonts w:ascii="Arial" w:cs="Arial" w:eastAsia="Arial" w:hAnsi="Arial"/>
                <w:sz w:val="13"/>
                <w:szCs w:val="13"/>
                <w:color w:val="auto"/>
                <w:w w:val="98"/>
              </w:rPr>
              <w:t>Operating income (loss)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3,144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(807)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3,392</w:t>
            </w:r>
          </w:p>
        </w:tc>
        <w:tc>
          <w:tcPr>
            <w:tcW w:w="0" w:type="dxa"/>
            <w:vAlign w:val="bottom"/>
          </w:tcPr>
          <w:p>
            <w:pPr>
              <w:spacing w:after="0"/>
              <w:rPr>
                <w:sz w:val="1"/>
                <w:szCs w:val="1"/>
                <w:color w:val="auto"/>
              </w:rPr>
            </w:pPr>
          </w:p>
        </w:tc>
      </w:tr>
      <w:tr>
        <w:trPr>
          <w:trHeight w:val="196"/>
        </w:trPr>
        <w:tc>
          <w:tcPr>
            <w:tcW w:w="1620" w:type="dxa"/>
            <w:vAlign w:val="bottom"/>
          </w:tcPr>
          <w:p>
            <w:pPr>
              <w:ind w:left="20"/>
              <w:spacing w:after="0"/>
              <w:rPr>
                <w:sz w:val="20"/>
                <w:szCs w:val="20"/>
                <w:color w:val="auto"/>
              </w:rPr>
            </w:pPr>
            <w:r>
              <w:rPr>
                <w:rFonts w:ascii="Arial" w:cs="Arial" w:eastAsia="Arial" w:hAnsi="Arial"/>
                <w:sz w:val="13"/>
                <w:szCs w:val="13"/>
                <w:color w:val="auto"/>
                <w:w w:val="96"/>
              </w:rPr>
              <w:t>Automotive interest expense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28"/>
        </w:trPr>
        <w:tc>
          <w:tcPr>
            <w:tcW w:w="16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Interest income and other</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406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89"/>
        </w:trPr>
        <w:tc>
          <w:tcPr>
            <w:tcW w:w="1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non-operating income, net</w:t>
            </w:r>
          </w:p>
        </w:tc>
        <w:tc>
          <w:tcPr>
            <w:tcW w:w="16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gridSpan w:val="4"/>
            <w:vMerge w:val="continue"/>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 income (loss)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194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08"/>
        </w:trPr>
        <w:tc>
          <w:tcPr>
            <w:tcW w:w="1620" w:type="dxa"/>
            <w:vAlign w:val="bottom"/>
            <w:shd w:val="clear" w:color="auto" w:fill="CCEEFF"/>
          </w:tcPr>
          <w:p>
            <w:pPr>
              <w:ind w:left="20"/>
              <w:spacing w:after="0" w:line="107" w:lineRule="exact"/>
              <w:rPr>
                <w:sz w:val="20"/>
                <w:szCs w:val="20"/>
                <w:color w:val="auto"/>
              </w:rPr>
            </w:pPr>
            <w:r>
              <w:rPr>
                <w:rFonts w:ascii="Arial" w:cs="Arial" w:eastAsia="Arial" w:hAnsi="Arial"/>
                <w:sz w:val="12"/>
                <w:szCs w:val="12"/>
                <w:color w:val="auto"/>
              </w:rPr>
              <w:t>Income (loss) before income</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3,514</w:t>
            </w:r>
          </w:p>
        </w:tc>
        <w:tc>
          <w:tcPr>
            <w:tcW w:w="2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(791)</w:t>
            </w:r>
          </w:p>
        </w:tc>
        <w:tc>
          <w:tcPr>
            <w:tcW w:w="20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741</w:t>
            </w:r>
          </w:p>
        </w:tc>
        <w:tc>
          <w:tcPr>
            <w:tcW w:w="130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3,464</w:t>
            </w:r>
          </w:p>
        </w:tc>
        <w:tc>
          <w:tcPr>
            <w:tcW w:w="40" w:type="dxa"/>
            <w:vAlign w:val="bottom"/>
            <w:shd w:val="clear" w:color="auto" w:fill="CCEEFF"/>
          </w:tcPr>
          <w:p>
            <w:pPr>
              <w:spacing w:after="0"/>
              <w:rPr>
                <w:sz w:val="9"/>
                <w:szCs w:val="9"/>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3,725</w:t>
            </w:r>
          </w:p>
        </w:tc>
        <w:tc>
          <w:tcPr>
            <w:tcW w:w="40" w:type="dxa"/>
            <w:vAlign w:val="bottom"/>
            <w:shd w:val="clear" w:color="auto" w:fill="CCEEFF"/>
          </w:tcPr>
          <w:p>
            <w:pPr>
              <w:spacing w:after="0"/>
              <w:rPr>
                <w:sz w:val="9"/>
                <w:szCs w:val="9"/>
                <w:color w:val="auto"/>
              </w:rPr>
            </w:pPr>
          </w:p>
        </w:tc>
        <w:tc>
          <w:tcPr>
            <w:tcW w:w="2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4,097</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taxes</w:t>
            </w: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300" w:type="dxa"/>
            <w:vAlign w:val="bottom"/>
            <w:gridSpan w:val="3"/>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Income tax expense (benefit)</w:t>
            </w: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202"/>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3,252</w:t>
            </w:r>
          </w:p>
        </w:tc>
        <w:tc>
          <w:tcPr>
            <w:tcW w:w="0" w:type="dxa"/>
            <w:vAlign w:val="bottom"/>
          </w:tcPr>
          <w:p>
            <w:pPr>
              <w:spacing w:after="0"/>
              <w:rPr>
                <w:sz w:val="1"/>
                <w:szCs w:val="1"/>
                <w:color w:val="auto"/>
              </w:rPr>
            </w:pPr>
          </w:p>
        </w:tc>
      </w:tr>
      <w:tr>
        <w:trPr>
          <w:trHeight w:val="122"/>
        </w:trPr>
        <w:tc>
          <w:tcPr>
            <w:tcW w:w="172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9"/>
              </w:rPr>
              <w:t>Net loss (income) attributable</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w w:val="95"/>
              </w:rPr>
              <w:t>to noncontrolling interests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20" w:type="dxa"/>
            <w:vAlign w:val="bottom"/>
            <w:shd w:val="clear" w:color="auto" w:fill="CCEEFF"/>
          </w:tcPr>
          <w:p>
            <w:pPr>
              <w:ind w:left="20"/>
              <w:spacing w:after="0" w:line="107" w:lineRule="exact"/>
              <w:rPr>
                <w:sz w:val="20"/>
                <w:szCs w:val="20"/>
                <w:color w:val="auto"/>
              </w:rPr>
            </w:pPr>
            <w:r>
              <w:rPr>
                <w:rFonts w:ascii="Arial" w:cs="Arial" w:eastAsia="Arial" w:hAnsi="Arial"/>
                <w:sz w:val="12"/>
                <w:szCs w:val="12"/>
                <w:b w:val="1"/>
                <w:bCs w:val="1"/>
                <w:color w:val="auto"/>
              </w:rPr>
              <w:t>Net income (loss)</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attributable to</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3,064</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182"/>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b w:val="1"/>
                <w:bCs w:val="1"/>
                <w:color w:val="auto"/>
              </w:rPr>
              <w:t>Net income (loss)</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w w:val="98"/>
              </w:rPr>
              <w:t>attributable to common</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3,278</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10"/>
          </w:tcPr>
          <w:p>
            <w:pPr>
              <w:ind w:left="280"/>
              <w:spacing w:after="0"/>
              <w:rPr>
                <w:sz w:val="20"/>
                <w:szCs w:val="20"/>
                <w:color w:val="auto"/>
              </w:rPr>
            </w:pPr>
            <w:r>
              <w:rPr>
                <w:rFonts w:ascii="Arial" w:cs="Arial" w:eastAsia="Arial" w:hAnsi="Arial"/>
                <w:sz w:val="11"/>
                <w:szCs w:val="11"/>
                <w:b w:val="1"/>
                <w:bCs w:val="1"/>
                <w:color w:val="auto"/>
              </w:rPr>
              <w:t>Nine Months Ended September 30, 2023</w:t>
            </w:r>
          </w:p>
        </w:tc>
        <w:tc>
          <w:tcPr>
            <w:tcW w:w="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8"/>
          </w:tcPr>
          <w:p>
            <w:pPr>
              <w:ind w:left="340"/>
              <w:spacing w:after="0"/>
              <w:rPr>
                <w:sz w:val="20"/>
                <w:szCs w:val="20"/>
                <w:color w:val="auto"/>
              </w:rPr>
            </w:pPr>
            <w:r>
              <w:rPr>
                <w:rFonts w:ascii="Arial" w:cs="Arial" w:eastAsia="Arial" w:hAnsi="Arial"/>
                <w:sz w:val="11"/>
                <w:szCs w:val="11"/>
                <w:b w:val="1"/>
                <w:bCs w:val="1"/>
                <w:color w:val="auto"/>
              </w:rPr>
              <w:t>Nine Months Ended September 30, 2022</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86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9"/>
                <w:szCs w:val="9"/>
                <w:color w:val="auto"/>
              </w:rPr>
            </w:pPr>
          </w:p>
        </w:tc>
        <w:tc>
          <w:tcPr>
            <w:tcW w:w="620" w:type="dxa"/>
            <w:vAlign w:val="bottom"/>
            <w:gridSpan w:val="3"/>
            <w:vMerge w:val="restart"/>
          </w:tcPr>
          <w:p>
            <w:pPr>
              <w:jc w:val="right"/>
              <w:ind w:right="220"/>
              <w:spacing w:after="0"/>
              <w:rPr>
                <w:sz w:val="20"/>
                <w:szCs w:val="20"/>
                <w:color w:val="auto"/>
              </w:rPr>
            </w:pPr>
            <w:r>
              <w:rPr>
                <w:rFonts w:ascii="Arial" w:cs="Arial" w:eastAsia="Arial" w:hAnsi="Arial"/>
                <w:sz w:val="11"/>
                <w:szCs w:val="11"/>
                <w:b w:val="1"/>
                <w:bCs w:val="1"/>
                <w:color w:val="auto"/>
              </w:rPr>
              <w:t>Cruise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280"/>
              <w:spacing w:after="0" w:line="108" w:lineRule="exact"/>
              <w:rPr>
                <w:sz w:val="20"/>
                <w:szCs w:val="20"/>
                <w:color w:val="auto"/>
              </w:rPr>
            </w:pPr>
            <w:r>
              <w:rPr>
                <w:rFonts w:ascii="Arial" w:cs="Arial" w:eastAsia="Arial" w:hAnsi="Arial"/>
                <w:sz w:val="11"/>
                <w:szCs w:val="11"/>
                <w:b w:val="1"/>
                <w:bCs w:val="1"/>
                <w:color w:val="auto"/>
              </w:rPr>
              <w:t>GM</w:t>
            </w:r>
          </w:p>
        </w:tc>
        <w:tc>
          <w:tcPr>
            <w:tcW w:w="40" w:type="dxa"/>
            <w:vAlign w:val="bottom"/>
          </w:tcPr>
          <w:p>
            <w:pPr>
              <w:spacing w:after="0"/>
              <w:rPr>
                <w:sz w:val="9"/>
                <w:szCs w:val="9"/>
                <w:color w:val="auto"/>
              </w:rPr>
            </w:pPr>
          </w:p>
        </w:tc>
        <w:tc>
          <w:tcPr>
            <w:tcW w:w="166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Combined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Automotive</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Cruise</w:t>
            </w:r>
          </w:p>
        </w:tc>
        <w:tc>
          <w:tcPr>
            <w:tcW w:w="140" w:type="dxa"/>
            <w:vAlign w:val="bottom"/>
          </w:tcPr>
          <w:p>
            <w:pPr>
              <w:spacing w:after="0"/>
              <w:rPr>
                <w:sz w:val="9"/>
                <w:szCs w:val="9"/>
                <w:color w:val="auto"/>
              </w:rPr>
            </w:pPr>
          </w:p>
        </w:tc>
        <w:tc>
          <w:tcPr>
            <w:tcW w:w="580" w:type="dxa"/>
            <w:vAlign w:val="bottom"/>
            <w:gridSpan w:val="4"/>
          </w:tcPr>
          <w:p>
            <w:pPr>
              <w:jc w:val="center"/>
              <w:ind w:right="240"/>
              <w:spacing w:after="0" w:line="108"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4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86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Financial</w:t>
            </w:r>
          </w:p>
        </w:tc>
        <w:tc>
          <w:tcPr>
            <w:tcW w:w="40" w:type="dxa"/>
            <w:vAlign w:val="bottom"/>
          </w:tcPr>
          <w:p>
            <w:pPr>
              <w:spacing w:after="0"/>
              <w:rPr>
                <w:sz w:val="13"/>
                <w:szCs w:val="13"/>
                <w:color w:val="auto"/>
              </w:rPr>
            </w:pPr>
          </w:p>
        </w:tc>
        <w:tc>
          <w:tcPr>
            <w:tcW w:w="166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2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Net sales and revenue</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Automotive</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$ 118,403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$ 118,398</w:t>
            </w:r>
          </w:p>
        </w:tc>
        <w:tc>
          <w:tcPr>
            <w:tcW w:w="4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8"/>
              <w:spacing w:after="0"/>
              <w:rPr>
                <w:sz w:val="20"/>
                <w:szCs w:val="20"/>
                <w:color w:val="auto"/>
              </w:rPr>
            </w:pPr>
            <w:r>
              <w:rPr>
                <w:rFonts w:ascii="Arial" w:cs="Arial" w:eastAsia="Arial" w:hAnsi="Arial"/>
                <w:sz w:val="14"/>
                <w:szCs w:val="14"/>
                <w:color w:val="auto"/>
              </w:rPr>
              <w:t>$ 104,140</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$ 104,141</w:t>
            </w:r>
          </w:p>
        </w:tc>
        <w:tc>
          <w:tcPr>
            <w:tcW w:w="0" w:type="dxa"/>
            <w:vAlign w:val="bottom"/>
          </w:tcPr>
          <w:p>
            <w:pPr>
              <w:spacing w:after="0"/>
              <w:rPr>
                <w:sz w:val="1"/>
                <w:szCs w:val="1"/>
                <w:color w:val="auto"/>
              </w:rPr>
            </w:pPr>
          </w:p>
        </w:tc>
      </w:tr>
      <w:tr>
        <w:trPr>
          <w:trHeight w:val="197"/>
        </w:trPr>
        <w:tc>
          <w:tcPr>
            <w:tcW w:w="16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GM Financial</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10,482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9,486</w:t>
            </w:r>
          </w:p>
        </w:tc>
        <w:tc>
          <w:tcPr>
            <w:tcW w:w="0" w:type="dxa"/>
            <w:vAlign w:val="bottom"/>
          </w:tcPr>
          <w:p>
            <w:pPr>
              <w:spacing w:after="0"/>
              <w:rPr>
                <w:sz w:val="1"/>
                <w:szCs w:val="1"/>
                <w:color w:val="auto"/>
              </w:rPr>
            </w:pPr>
          </w:p>
        </w:tc>
      </w:tr>
      <w:tr>
        <w:trPr>
          <w:trHeight w:val="121"/>
        </w:trPr>
        <w:tc>
          <w:tcPr>
            <w:tcW w:w="162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Total net sales and</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118,403</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60" w:type="dxa"/>
            <w:vAlign w:val="bottom"/>
            <w:shd w:val="clear" w:color="auto" w:fill="CCEEFF"/>
          </w:tcPr>
          <w:p>
            <w:pPr>
              <w:spacing w:after="0"/>
              <w:rPr>
                <w:sz w:val="10"/>
                <w:szCs w:val="10"/>
                <w:color w:val="auto"/>
              </w:rPr>
            </w:pPr>
          </w:p>
        </w:tc>
        <w:tc>
          <w:tcPr>
            <w:tcW w:w="64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10,482</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128,863</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104,140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9,489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113,627</w:t>
            </w: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w:t>
            </w: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4"/>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w w:val="96"/>
              </w:rPr>
              <w:t>Automotive and other cost</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102,917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104,721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90,221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92,314</w:t>
            </w: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of sales</w:t>
            </w: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140"/>
              <w:spacing w:after="0" w:line="134" w:lineRule="exact"/>
              <w:rPr>
                <w:sz w:val="20"/>
                <w:szCs w:val="20"/>
                <w:color w:val="auto"/>
              </w:rPr>
            </w:pPr>
            <w:r>
              <w:rPr>
                <w:rFonts w:ascii="Arial" w:cs="Arial" w:eastAsia="Arial" w:hAnsi="Arial"/>
                <w:sz w:val="13"/>
                <w:szCs w:val="13"/>
                <w:color w:val="auto"/>
              </w:rPr>
              <w:t>GM Financial interest,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300"/>
              <w:spacing w:after="0" w:line="122" w:lineRule="exact"/>
              <w:rPr>
                <w:sz w:val="20"/>
                <w:szCs w:val="20"/>
                <w:color w:val="auto"/>
              </w:rPr>
            </w:pPr>
            <w:r>
              <w:rPr>
                <w:rFonts w:ascii="Arial" w:cs="Arial" w:eastAsia="Arial" w:hAnsi="Arial"/>
                <w:sz w:val="13"/>
                <w:szCs w:val="13"/>
                <w:color w:val="auto"/>
              </w:rPr>
              <w:t>operating and other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8,314</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8,313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6,336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80" w:type="dxa"/>
            <w:vAlign w:val="bottom"/>
            <w:vMerge w:val="restart"/>
          </w:tcPr>
          <w:p>
            <w:pPr>
              <w:ind w:left="18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6,335</w:t>
            </w:r>
          </w:p>
        </w:tc>
        <w:tc>
          <w:tcPr>
            <w:tcW w:w="0" w:type="dxa"/>
            <w:vAlign w:val="bottom"/>
          </w:tcPr>
          <w:p>
            <w:pPr>
              <w:spacing w:after="0"/>
              <w:rPr>
                <w:sz w:val="1"/>
                <w:szCs w:val="1"/>
                <w:color w:val="auto"/>
              </w:rPr>
            </w:pPr>
          </w:p>
        </w:tc>
      </w:tr>
      <w:tr>
        <w:trPr>
          <w:trHeight w:val="170"/>
        </w:trPr>
        <w:tc>
          <w:tcPr>
            <w:tcW w:w="1620" w:type="dxa"/>
            <w:vAlign w:val="bottom"/>
          </w:tcPr>
          <w:p>
            <w:pPr>
              <w:ind w:left="300"/>
              <w:spacing w:after="0"/>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62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Automotive and other</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selling, general and</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7,089</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7,449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6,629</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7,274</w:t>
            </w:r>
          </w:p>
        </w:tc>
        <w:tc>
          <w:tcPr>
            <w:tcW w:w="0" w:type="dxa"/>
            <w:vAlign w:val="bottom"/>
          </w:tcPr>
          <w:p>
            <w:pPr>
              <w:spacing w:after="0"/>
              <w:rPr>
                <w:sz w:val="1"/>
                <w:szCs w:val="1"/>
                <w:color w:val="auto"/>
              </w:rPr>
            </w:pPr>
          </w:p>
        </w:tc>
      </w:tr>
      <w:tr>
        <w:trPr>
          <w:trHeight w:val="170"/>
        </w:trPr>
        <w:tc>
          <w:tcPr>
            <w:tcW w:w="162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7"/>
              </w:rPr>
              <w:t>administrative expense</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4"/>
            <w:vMerge w:val="continue"/>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w w:val="99"/>
              </w:rPr>
              <w:t>Total costs and expenses</w:t>
            </w: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110,006</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8,314</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120,483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96,850</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2,739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6,336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105,922</w:t>
            </w:r>
          </w:p>
        </w:tc>
        <w:tc>
          <w:tcPr>
            <w:tcW w:w="0" w:type="dxa"/>
            <w:vAlign w:val="bottom"/>
          </w:tcPr>
          <w:p>
            <w:pPr>
              <w:spacing w:after="0"/>
              <w:rPr>
                <w:sz w:val="1"/>
                <w:szCs w:val="1"/>
                <w:color w:val="auto"/>
              </w:rPr>
            </w:pPr>
          </w:p>
        </w:tc>
      </w:tr>
      <w:tr>
        <w:trPr>
          <w:trHeight w:val="202"/>
        </w:trPr>
        <w:tc>
          <w:tcPr>
            <w:tcW w:w="1620" w:type="dxa"/>
            <w:vAlign w:val="bottom"/>
            <w:shd w:val="clear" w:color="auto" w:fill="CCEEFF"/>
          </w:tcPr>
          <w:p>
            <w:pPr>
              <w:ind w:left="240"/>
              <w:spacing w:after="0"/>
              <w:rPr>
                <w:sz w:val="20"/>
                <w:szCs w:val="20"/>
                <w:color w:val="auto"/>
              </w:rPr>
            </w:pPr>
            <w:r>
              <w:rPr>
                <w:rFonts w:ascii="Arial" w:cs="Arial" w:eastAsia="Arial" w:hAnsi="Arial"/>
                <w:sz w:val="13"/>
                <w:szCs w:val="13"/>
                <w:color w:val="auto"/>
                <w:w w:val="98"/>
              </w:rPr>
              <w:t>Operating income (loss)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(2,096)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7,289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7,704</w:t>
            </w:r>
          </w:p>
        </w:tc>
        <w:tc>
          <w:tcPr>
            <w:tcW w:w="0" w:type="dxa"/>
            <w:vAlign w:val="bottom"/>
          </w:tcPr>
          <w:p>
            <w:pPr>
              <w:spacing w:after="0"/>
              <w:rPr>
                <w:sz w:val="1"/>
                <w:szCs w:val="1"/>
                <w:color w:val="auto"/>
              </w:rPr>
            </w:pPr>
          </w:p>
        </w:tc>
      </w:tr>
      <w:tr>
        <w:trPr>
          <w:trHeight w:val="135"/>
        </w:trPr>
        <w:tc>
          <w:tcPr>
            <w:tcW w:w="1620" w:type="dxa"/>
            <w:vAlign w:val="bottom"/>
          </w:tcPr>
          <w:p>
            <w:pPr>
              <w:ind w:left="20"/>
              <w:spacing w:after="0" w:line="134" w:lineRule="exact"/>
              <w:rPr>
                <w:sz w:val="20"/>
                <w:szCs w:val="20"/>
                <w:color w:val="auto"/>
              </w:rPr>
            </w:pPr>
            <w:r>
              <w:rPr>
                <w:rFonts w:ascii="Arial" w:cs="Arial" w:eastAsia="Arial" w:hAnsi="Arial"/>
                <w:sz w:val="13"/>
                <w:szCs w:val="13"/>
                <w:color w:val="auto"/>
              </w:rPr>
              <w:t>Automotive interest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689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719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1"/>
                <w:szCs w:val="11"/>
                <w:color w:val="auto"/>
              </w:rPr>
            </w:pPr>
          </w:p>
        </w:tc>
        <w:tc>
          <w:tcPr>
            <w:tcW w:w="380" w:type="dxa"/>
            <w:vAlign w:val="bottom"/>
            <w:vMerge w:val="restart"/>
          </w:tcPr>
          <w:p>
            <w:pPr>
              <w:ind w:left="18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rPr>
                <w:sz w:val="20"/>
                <w:szCs w:val="20"/>
                <w:color w:val="auto"/>
              </w:rPr>
            </w:pPr>
            <w:r>
              <w:rPr>
                <w:rFonts w:ascii="Arial" w:cs="Arial" w:eastAsia="Arial" w:hAnsi="Arial"/>
                <w:sz w:val="13"/>
                <w:szCs w:val="13"/>
                <w:color w:val="auto"/>
              </w:rPr>
              <w:t>expense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62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Interest income and other</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non-operating income,</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1,068</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1,311</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 income (loss)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467</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21"/>
        </w:trPr>
        <w:tc>
          <w:tcPr>
            <w:tcW w:w="16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Income (loss) before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9,019</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(2,030)</w:t>
            </w:r>
          </w:p>
        </w:tc>
        <w:tc>
          <w:tcPr>
            <w:tcW w:w="6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2,278</w:t>
            </w:r>
          </w:p>
        </w:tc>
        <w:tc>
          <w:tcPr>
            <w:tcW w:w="60" w:type="dxa"/>
            <w:vAlign w:val="bottom"/>
            <w:shd w:val="clear" w:color="auto" w:fill="CCEEFF"/>
          </w:tcPr>
          <w:p>
            <w:pPr>
              <w:spacing w:after="0"/>
              <w:rPr>
                <w:sz w:val="10"/>
                <w:szCs w:val="10"/>
                <w:color w:val="auto"/>
              </w:rPr>
            </w:pPr>
          </w:p>
        </w:tc>
        <w:tc>
          <w:tcPr>
            <w:tcW w:w="130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3"/>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9,267</w:t>
            </w:r>
          </w:p>
        </w:tc>
        <w:tc>
          <w:tcPr>
            <w:tcW w:w="4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8,347</w:t>
            </w:r>
          </w:p>
        </w:tc>
        <w:tc>
          <w:tcPr>
            <w:tcW w:w="4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(2,644)</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9,009</w:t>
            </w: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taxes</w:t>
            </w:r>
          </w:p>
        </w:tc>
        <w:tc>
          <w:tcPr>
            <w:tcW w:w="1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00" w:type="dxa"/>
            <w:vAlign w:val="bottom"/>
            <w:gridSpan w:val="3"/>
            <w:vMerge w:val="continue"/>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
              <w:spacing w:after="0" w:line="134" w:lineRule="exact"/>
              <w:rPr>
                <w:sz w:val="20"/>
                <w:szCs w:val="20"/>
                <w:color w:val="auto"/>
              </w:rPr>
            </w:pPr>
            <w:r>
              <w:rPr>
                <w:rFonts w:ascii="Arial" w:cs="Arial" w:eastAsia="Arial" w:hAnsi="Arial"/>
                <w:sz w:val="13"/>
                <w:szCs w:val="13"/>
                <w:color w:val="auto"/>
              </w:rPr>
              <w:t>Income tax expense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1,421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70"/>
        </w:trPr>
        <w:tc>
          <w:tcPr>
            <w:tcW w:w="16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(benefit)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7,701</w:t>
            </w:r>
          </w:p>
        </w:tc>
        <w:tc>
          <w:tcPr>
            <w:tcW w:w="0" w:type="dxa"/>
            <w:vAlign w:val="bottom"/>
          </w:tcPr>
          <w:p>
            <w:pPr>
              <w:spacing w:after="0"/>
              <w:rPr>
                <w:sz w:val="1"/>
                <w:szCs w:val="1"/>
                <w:color w:val="auto"/>
              </w:rPr>
            </w:pPr>
          </w:p>
        </w:tc>
      </w:tr>
      <w:tr>
        <w:trPr>
          <w:trHeight w:val="135"/>
        </w:trPr>
        <w:tc>
          <w:tcPr>
            <w:tcW w:w="1620" w:type="dxa"/>
            <w:vAlign w:val="bottom"/>
          </w:tcPr>
          <w:p>
            <w:pPr>
              <w:ind w:left="20"/>
              <w:spacing w:after="0" w:line="134" w:lineRule="exact"/>
              <w:rPr>
                <w:sz w:val="20"/>
                <w:szCs w:val="20"/>
                <w:color w:val="auto"/>
              </w:rPr>
            </w:pPr>
            <w:r>
              <w:rPr>
                <w:rFonts w:ascii="Arial" w:cs="Arial" w:eastAsia="Arial" w:hAnsi="Arial"/>
                <w:sz w:val="13"/>
                <w:szCs w:val="13"/>
                <w:color w:val="auto"/>
              </w:rPr>
              <w:t>Net loss (income)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2" w:lineRule="exact"/>
              <w:rPr>
                <w:sz w:val="20"/>
                <w:szCs w:val="20"/>
                <w:color w:val="auto"/>
              </w:rPr>
            </w:pPr>
            <w:r>
              <w:rPr>
                <w:rFonts w:ascii="Arial" w:cs="Arial" w:eastAsia="Arial" w:hAnsi="Arial"/>
                <w:sz w:val="13"/>
                <w:szCs w:val="13"/>
                <w:color w:val="auto"/>
              </w:rPr>
              <w:t>attributable to</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179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70"/>
        </w:trPr>
        <w:tc>
          <w:tcPr>
            <w:tcW w:w="16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620" w:type="dxa"/>
            <w:vAlign w:val="bottom"/>
            <w:shd w:val="clear" w:color="auto" w:fill="CCEEFF"/>
          </w:tcPr>
          <w:p>
            <w:pPr>
              <w:ind w:left="20"/>
              <w:spacing w:after="0" w:line="113" w:lineRule="exact"/>
              <w:rPr>
                <w:sz w:val="20"/>
                <w:szCs w:val="20"/>
                <w:color w:val="auto"/>
              </w:rPr>
            </w:pPr>
            <w:r>
              <w:rPr>
                <w:rFonts w:ascii="Arial" w:cs="Arial" w:eastAsia="Arial" w:hAnsi="Arial"/>
                <w:sz w:val="13"/>
                <w:szCs w:val="13"/>
                <w:b w:val="1"/>
                <w:bCs w:val="1"/>
                <w:color w:val="auto"/>
              </w:rPr>
              <w:t>Net income (loss)</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ind w:left="180"/>
              <w:spacing w:after="0" w:line="130" w:lineRule="exact"/>
              <w:rPr>
                <w:sz w:val="20"/>
                <w:szCs w:val="20"/>
                <w:color w:val="auto"/>
              </w:rPr>
            </w:pPr>
            <w:r>
              <w:rPr>
                <w:rFonts w:ascii="Arial" w:cs="Arial" w:eastAsia="Arial" w:hAnsi="Arial"/>
                <w:sz w:val="13"/>
                <w:szCs w:val="13"/>
                <w:b w:val="1"/>
                <w:bCs w:val="1"/>
                <w:color w:val="auto"/>
              </w:rPr>
              <w:t>attributable to</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gridSpan w:val="3"/>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8,026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7,935</w:t>
            </w:r>
          </w:p>
        </w:tc>
        <w:tc>
          <w:tcPr>
            <w:tcW w:w="0" w:type="dxa"/>
            <w:vAlign w:val="bottom"/>
          </w:tcPr>
          <w:p>
            <w:pPr>
              <w:spacing w:after="0"/>
              <w:rPr>
                <w:sz w:val="1"/>
                <w:szCs w:val="1"/>
                <w:color w:val="auto"/>
              </w:rPr>
            </w:pPr>
          </w:p>
        </w:tc>
      </w:tr>
      <w:tr>
        <w:trPr>
          <w:trHeight w:val="169"/>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gridSpan w:val="3"/>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ind w:left="20"/>
              <w:spacing w:after="0" w:line="127" w:lineRule="exact"/>
              <w:rPr>
                <w:sz w:val="20"/>
                <w:szCs w:val="20"/>
                <w:color w:val="auto"/>
              </w:rPr>
            </w:pPr>
            <w:r>
              <w:rPr>
                <w:rFonts w:ascii="Arial" w:cs="Arial" w:eastAsia="Arial" w:hAnsi="Arial"/>
                <w:sz w:val="13"/>
                <w:szCs w:val="13"/>
                <w:b w:val="1"/>
                <w:bCs w:val="1"/>
                <w:color w:val="auto"/>
              </w:rPr>
              <w:t>Net income (loss)</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ind w:left="180"/>
              <w:spacing w:after="0" w:line="130" w:lineRule="exact"/>
              <w:rPr>
                <w:sz w:val="20"/>
                <w:szCs w:val="20"/>
                <w:color w:val="auto"/>
              </w:rPr>
            </w:pPr>
            <w:r>
              <w:rPr>
                <w:rFonts w:ascii="Arial" w:cs="Arial" w:eastAsia="Arial" w:hAnsi="Arial"/>
                <w:sz w:val="13"/>
                <w:szCs w:val="13"/>
                <w:b w:val="1"/>
                <w:bCs w:val="1"/>
                <w:color w:val="auto"/>
                <w:w w:val="98"/>
              </w:rPr>
              <w:t>attributable to common</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gridSpan w:val="3"/>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7,946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6,931</w:t>
            </w: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850"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00"/>
          </w:cols>
          <w:pgMar w:left="340" w:top="850" w:right="359" w:bottom="1440" w:gutter="0" w:footer="0" w:header="0"/>
          <w:type w:val="continuous"/>
        </w:sectPr>
      </w:pPr>
    </w:p>
    <w:bookmarkStart w:id="13" w:name="page14"/>
    <w:bookmarkEnd w:id="13"/>
    <w:p>
      <w:pPr>
        <w:ind w:left="406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140"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(Unaudited)</w:t>
      </w:r>
    </w:p>
    <w:p>
      <w:pPr>
        <w:spacing w:after="0" w:line="25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80"/>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gridSpan w:val="5"/>
          </w:tcPr>
          <w:p>
            <w:pPr>
              <w:ind w:left="78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2960" w:type="dxa"/>
            <w:vAlign w:val="bottom"/>
            <w:gridSpan w:val="4"/>
          </w:tcPr>
          <w:p>
            <w:pPr>
              <w:jc w:val="right"/>
              <w:ind w:right="881"/>
              <w:spacing w:after="0"/>
              <w:rPr>
                <w:sz w:val="20"/>
                <w:szCs w:val="20"/>
                <w:color w:val="auto"/>
              </w:rPr>
            </w:pPr>
            <w:r>
              <w:rPr>
                <w:rFonts w:ascii="Arial" w:cs="Arial" w:eastAsia="Arial" w:hAnsi="Arial"/>
                <w:sz w:val="13"/>
                <w:szCs w:val="13"/>
                <w:b w:val="1"/>
                <w:bCs w:val="1"/>
                <w:color w:val="auto"/>
              </w:rPr>
              <w:t>Nine Months Ended</w:t>
            </w:r>
          </w:p>
        </w:tc>
      </w:tr>
      <w:tr>
        <w:trPr>
          <w:trHeight w:val="173"/>
        </w:trPr>
        <w:tc>
          <w:tcPr>
            <w:tcW w:w="47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September 30, 2023</w:t>
            </w: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1"/>
              <w:spacing w:after="0"/>
              <w:rPr>
                <w:sz w:val="20"/>
                <w:szCs w:val="20"/>
                <w:color w:val="auto"/>
              </w:rPr>
            </w:pPr>
            <w:r>
              <w:rPr>
                <w:rFonts w:ascii="Arial" w:cs="Arial" w:eastAsia="Arial" w:hAnsi="Arial"/>
                <w:sz w:val="13"/>
                <w:szCs w:val="13"/>
                <w:b w:val="1"/>
                <w:bCs w:val="1"/>
                <w:color w:val="auto"/>
                <w:w w:val="97"/>
              </w:rPr>
              <w:t>September 30, 2022</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September 30, 2023</w:t>
            </w: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81"/>
              <w:spacing w:after="0"/>
              <w:rPr>
                <w:sz w:val="20"/>
                <w:szCs w:val="20"/>
                <w:color w:val="auto"/>
              </w:rPr>
            </w:pPr>
            <w:r>
              <w:rPr>
                <w:rFonts w:ascii="Arial" w:cs="Arial" w:eastAsia="Arial" w:hAnsi="Arial"/>
                <w:sz w:val="13"/>
                <w:szCs w:val="13"/>
                <w:b w:val="1"/>
                <w:bCs w:val="1"/>
                <w:color w:val="auto"/>
                <w:w w:val="97"/>
              </w:rPr>
              <w:t>September 30, 2022</w:t>
            </w:r>
          </w:p>
        </w:tc>
      </w:tr>
      <w:tr>
        <w:trPr>
          <w:trHeight w:val="182"/>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r>
      <w:tr>
        <w:trPr>
          <w:trHeight w:val="217"/>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7,935</w:t>
            </w:r>
          </w:p>
        </w:tc>
      </w:tr>
      <w:tr>
        <w:trPr>
          <w:trHeight w:val="213"/>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cumulative dividends on subsidiary preferred stock(a)</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w:t>
            </w:r>
          </w:p>
        </w:tc>
      </w:tr>
      <w:tr>
        <w:trPr>
          <w:trHeight w:val="23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7,946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6,931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1,455</w:t>
            </w:r>
          </w:p>
        </w:tc>
      </w:tr>
      <w:tr>
        <w:trPr>
          <w:trHeight w:val="108"/>
        </w:trPr>
        <w:tc>
          <w:tcPr>
            <w:tcW w:w="4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4.76</w:t>
            </w:r>
          </w:p>
        </w:tc>
      </w:tr>
      <w:tr>
        <w:trPr>
          <w:trHeight w:val="201"/>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common stockholders –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6,931</w:t>
            </w:r>
          </w:p>
        </w:tc>
      </w:tr>
      <w:tr>
        <w:trPr>
          <w:trHeight w:val="108"/>
        </w:trPr>
        <w:tc>
          <w:tcPr>
            <w:tcW w:w="4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common shares outstanding – diluted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1,464</w:t>
            </w:r>
          </w:p>
        </w:tc>
      </w:tr>
      <w:tr>
        <w:trPr>
          <w:trHeight w:val="108"/>
        </w:trPr>
        <w:tc>
          <w:tcPr>
            <w:tcW w:w="4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4.73</w:t>
            </w:r>
          </w:p>
        </w:tc>
      </w:tr>
      <w:tr>
        <w:trPr>
          <w:trHeight w:val="210"/>
        </w:trPr>
        <w:tc>
          <w:tcPr>
            <w:tcW w:w="4780" w:type="dxa"/>
            <w:vAlign w:val="bottom"/>
          </w:tcPr>
          <w:p>
            <w:pPr>
              <w:ind w:left="120"/>
              <w:spacing w:after="0"/>
              <w:rPr>
                <w:sz w:val="20"/>
                <w:szCs w:val="20"/>
                <w:color w:val="auto"/>
              </w:rPr>
            </w:pPr>
            <w:r>
              <w:rPr>
                <w:rFonts w:ascii="Arial" w:cs="Arial" w:eastAsia="Arial" w:hAnsi="Arial"/>
                <w:sz w:val="14"/>
                <w:szCs w:val="14"/>
                <w:color w:val="auto"/>
              </w:rPr>
              <w:t>Potentially dilutive securities(b)</w:t>
            </w:r>
          </w:p>
        </w:tc>
        <w:tc>
          <w:tcPr>
            <w:tcW w:w="1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10</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8" w:lineRule="exact"/>
        <w:rPr>
          <w:sz w:val="20"/>
          <w:szCs w:val="20"/>
          <w:color w:val="auto"/>
        </w:rPr>
      </w:pPr>
    </w:p>
    <w:p>
      <w:pPr>
        <w:ind w:left="420" w:hanging="3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 $909 million deemed dividend related to the redemption of Cruise preferred shares from SoftBank in the nine months ended September 30, 2022.</w:t>
      </w:r>
    </w:p>
    <w:p>
      <w:pPr>
        <w:spacing w:after="0" w:line="41" w:lineRule="exact"/>
        <w:rPr>
          <w:rFonts w:ascii="Arial" w:cs="Arial" w:eastAsia="Arial" w:hAnsi="Arial"/>
          <w:sz w:val="14"/>
          <w:szCs w:val="14"/>
          <w:color w:val="auto"/>
        </w:rPr>
      </w:pPr>
    </w:p>
    <w:p>
      <w:pPr>
        <w:ind w:left="440" w:hanging="332"/>
        <w:spacing w:after="0" w:line="259"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4"/>
          <w:szCs w:val="14"/>
          <w:color w:val="auto"/>
        </w:rPr>
        <w:t>Potentially dilutive securities attributable to outstanding stock options and Restricted Stock Units (RSUs) at September 30, 2023 and 2022 were excluded from the computation of diluted earnings per share (EPS) because the securities would have had an antidilutive effect.</w:t>
      </w: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20" w:top="850" w:right="339" w:bottom="1440" w:gutter="0" w:footer="0" w:header="0"/>
        </w:sectPr>
      </w:pPr>
    </w:p>
    <w:bookmarkStart w:id="14" w:name="page15"/>
    <w:bookmarkEnd w:id="14"/>
    <w:p>
      <w:pPr>
        <w:ind w:left="396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140"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Combining Balance Sheet Information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except per share amounts)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September 30, 2023</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December 31, 2022</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780" w:type="dxa"/>
            <w:vAlign w:val="bottom"/>
          </w:tcPr>
          <w:p>
            <w:pPr>
              <w:spacing w:after="0"/>
              <w:rPr>
                <w:sz w:val="9"/>
                <w:szCs w:val="9"/>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80" w:type="dxa"/>
            <w:vAlign w:val="bottom"/>
            <w:gridSpan w:val="2"/>
          </w:tcPr>
          <w:p>
            <w:pPr>
              <w:ind w:left="160"/>
              <w:spacing w:after="0" w:line="106"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Combined</w:t>
            </w:r>
          </w:p>
        </w:tc>
        <w:tc>
          <w:tcPr>
            <w:tcW w:w="8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0"/>
              </w:rPr>
              <w:t>GM</w:t>
            </w:r>
          </w:p>
        </w:tc>
        <w:tc>
          <w:tcPr>
            <w:tcW w:w="17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1"/>
                <w:szCs w:val="11"/>
                <w:b w:val="1"/>
                <w:bCs w:val="1"/>
                <w:color w:val="auto"/>
                <w:w w:val="92"/>
              </w:rPr>
              <w:t>Combined</w:t>
            </w:r>
          </w:p>
        </w:tc>
        <w:tc>
          <w:tcPr>
            <w:tcW w:w="0" w:type="dxa"/>
            <w:vAlign w:val="bottom"/>
          </w:tcPr>
          <w:p>
            <w:pPr>
              <w:spacing w:after="0"/>
              <w:rPr>
                <w:sz w:val="1"/>
                <w:szCs w:val="1"/>
                <w:color w:val="auto"/>
              </w:rPr>
            </w:pPr>
          </w:p>
        </w:tc>
      </w:tr>
      <w:tr>
        <w:trPr>
          <w:trHeight w:val="155"/>
        </w:trPr>
        <w:tc>
          <w:tcPr>
            <w:tcW w:w="178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Financial</w:t>
            </w: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780" w:type="dxa"/>
            <w:vAlign w:val="bottom"/>
          </w:tcPr>
          <w:p>
            <w:pPr>
              <w:ind w:left="640"/>
              <w:spacing w:after="0"/>
              <w:rPr>
                <w:sz w:val="20"/>
                <w:szCs w:val="20"/>
                <w:color w:val="auto"/>
              </w:rPr>
            </w:pPr>
            <w:r>
              <w:rPr>
                <w:rFonts w:ascii="Arial" w:cs="Arial" w:eastAsia="Arial" w:hAnsi="Arial"/>
                <w:sz w:val="13"/>
                <w:szCs w:val="13"/>
                <w:b w:val="1"/>
                <w:bCs w:val="1"/>
                <w:color w:val="auto"/>
              </w:rPr>
              <w:t>ASSETS</w:t>
            </w: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19,153</w:t>
            </w:r>
          </w:p>
        </w:tc>
        <w:tc>
          <w:tcPr>
            <w:tcW w:w="0" w:type="dxa"/>
            <w:vAlign w:val="bottom"/>
          </w:tcPr>
          <w:p>
            <w:pPr>
              <w:spacing w:after="0"/>
              <w:rPr>
                <w:sz w:val="1"/>
                <w:szCs w:val="1"/>
                <w:color w:val="auto"/>
              </w:rPr>
            </w:pPr>
          </w:p>
        </w:tc>
      </w:tr>
      <w:tr>
        <w:trPr>
          <w:trHeight w:val="168"/>
        </w:trPr>
        <w:tc>
          <w:tcPr>
            <w:tcW w:w="1780" w:type="dxa"/>
            <w:vAlign w:val="bottom"/>
          </w:tcPr>
          <w:p>
            <w:pPr>
              <w:ind w:left="140"/>
              <w:spacing w:after="0"/>
              <w:rPr>
                <w:sz w:val="20"/>
                <w:szCs w:val="20"/>
                <w:color w:val="auto"/>
              </w:rPr>
            </w:pPr>
            <w:r>
              <w:rPr>
                <w:rFonts w:ascii="Arial" w:cs="Arial" w:eastAsia="Arial" w:hAnsi="Arial"/>
                <w:sz w:val="13"/>
                <w:szCs w:val="13"/>
                <w:color w:val="auto"/>
              </w:rPr>
              <w:t>Marketable debt securities</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9,459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10,760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12,150</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Accounts and notes</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 net(a)(d)</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12,657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13,333</w:t>
            </w:r>
          </w:p>
        </w:tc>
        <w:tc>
          <w:tcPr>
            <w:tcW w:w="0" w:type="dxa"/>
            <w:vAlign w:val="bottom"/>
          </w:tcPr>
          <w:p>
            <w:pPr>
              <w:spacing w:after="0"/>
              <w:rPr>
                <w:sz w:val="1"/>
                <w:szCs w:val="1"/>
                <w:color w:val="auto"/>
              </w:rPr>
            </w:pPr>
          </w:p>
        </w:tc>
      </w:tr>
      <w:tr>
        <w:trPr>
          <w:trHeight w:val="122"/>
        </w:trPr>
        <w:tc>
          <w:tcPr>
            <w:tcW w:w="1780" w:type="dxa"/>
            <w:vAlign w:val="bottom"/>
          </w:tcPr>
          <w:p>
            <w:pPr>
              <w:ind w:left="140"/>
              <w:spacing w:after="0" w:line="122" w:lineRule="exact"/>
              <w:rPr>
                <w:sz w:val="20"/>
                <w:szCs w:val="20"/>
                <w:color w:val="auto"/>
              </w:rPr>
            </w:pPr>
            <w:r>
              <w:rPr>
                <w:rFonts w:ascii="Arial" w:cs="Arial" w:eastAsia="Arial" w:hAnsi="Arial"/>
                <w:sz w:val="13"/>
                <w:szCs w:val="13"/>
                <w:color w:val="auto"/>
              </w:rPr>
              <w:t>GM Financial receivables,</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140"/>
              <w:spacing w:after="0"/>
              <w:rPr>
                <w:sz w:val="20"/>
                <w:szCs w:val="20"/>
                <w:color w:val="auto"/>
              </w:rPr>
            </w:pPr>
            <w:r>
              <w:rPr>
                <w:rFonts w:ascii="Arial" w:cs="Arial" w:eastAsia="Arial" w:hAnsi="Arial"/>
                <w:sz w:val="13"/>
                <w:szCs w:val="13"/>
                <w:color w:val="auto"/>
              </w:rPr>
              <w:t>net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36,391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36,224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33,811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33,623</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15,366</w:t>
            </w:r>
          </w:p>
        </w:tc>
        <w:tc>
          <w:tcPr>
            <w:tcW w:w="0" w:type="dxa"/>
            <w:vAlign w:val="bottom"/>
          </w:tcPr>
          <w:p>
            <w:pPr>
              <w:spacing w:after="0"/>
              <w:rPr>
                <w:sz w:val="1"/>
                <w:szCs w:val="1"/>
                <w:color w:val="auto"/>
              </w:rPr>
            </w:pPr>
          </w:p>
        </w:tc>
      </w:tr>
      <w:tr>
        <w:trPr>
          <w:trHeight w:val="169"/>
        </w:trPr>
        <w:tc>
          <w:tcPr>
            <w:tcW w:w="17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current assets(b)</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6,010</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7,959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4,912</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6,825</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assets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49,260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44,842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100,451</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8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rPr>
              <w:t>GM Financial receivables,</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45,259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40,702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40,591</w:t>
            </w:r>
          </w:p>
        </w:tc>
        <w:tc>
          <w:tcPr>
            <w:tcW w:w="0" w:type="dxa"/>
            <w:vAlign w:val="bottom"/>
          </w:tcPr>
          <w:p>
            <w:pPr>
              <w:spacing w:after="0"/>
              <w:rPr>
                <w:sz w:val="1"/>
                <w:szCs w:val="1"/>
                <w:color w:val="auto"/>
              </w:rPr>
            </w:pPr>
          </w:p>
        </w:tc>
      </w:tr>
      <w:tr>
        <w:trPr>
          <w:trHeight w:val="122"/>
        </w:trPr>
        <w:tc>
          <w:tcPr>
            <w:tcW w:w="1780" w:type="dxa"/>
            <w:vAlign w:val="bottom"/>
          </w:tcPr>
          <w:p>
            <w:pPr>
              <w:ind w:left="140"/>
              <w:spacing w:after="0" w:line="122" w:lineRule="exact"/>
              <w:rPr>
                <w:sz w:val="20"/>
                <w:szCs w:val="20"/>
                <w:color w:val="auto"/>
              </w:rPr>
            </w:pPr>
            <w:r>
              <w:rPr>
                <w:rFonts w:ascii="Arial" w:cs="Arial" w:eastAsia="Arial" w:hAnsi="Arial"/>
                <w:sz w:val="13"/>
                <w:szCs w:val="13"/>
                <w:color w:val="auto"/>
              </w:rPr>
              <w:t>Equity in net assets of</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300"/>
              <w:spacing w:after="0"/>
              <w:rPr>
                <w:sz w:val="20"/>
                <w:szCs w:val="20"/>
                <w:color w:val="auto"/>
              </w:rPr>
            </w:pPr>
            <w:r>
              <w:rPr>
                <w:rFonts w:ascii="Arial" w:cs="Arial" w:eastAsia="Arial" w:hAnsi="Arial"/>
                <w:sz w:val="13"/>
                <w:szCs w:val="13"/>
                <w:color w:val="auto"/>
                <w:w w:val="99"/>
              </w:rPr>
              <w:t>nonconsolidated affiliates</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1,691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10,549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8,511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1,665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10,176</w:t>
            </w: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net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45,248</w:t>
            </w:r>
          </w:p>
        </w:tc>
        <w:tc>
          <w:tcPr>
            <w:tcW w:w="0" w:type="dxa"/>
            <w:vAlign w:val="bottom"/>
          </w:tcPr>
          <w:p>
            <w:pPr>
              <w:spacing w:after="0"/>
              <w:rPr>
                <w:sz w:val="1"/>
                <w:szCs w:val="1"/>
                <w:color w:val="auto"/>
              </w:rPr>
            </w:pPr>
          </w:p>
        </w:tc>
      </w:tr>
      <w:tr>
        <w:trPr>
          <w:trHeight w:val="121"/>
        </w:trPr>
        <w:tc>
          <w:tcPr>
            <w:tcW w:w="1780" w:type="dxa"/>
            <w:vAlign w:val="bottom"/>
          </w:tcPr>
          <w:p>
            <w:pPr>
              <w:ind w:left="140"/>
              <w:spacing w:after="0" w:line="122" w:lineRule="exact"/>
              <w:rPr>
                <w:sz w:val="20"/>
                <w:szCs w:val="20"/>
                <w:color w:val="auto"/>
              </w:rPr>
            </w:pPr>
            <w:r>
              <w:rPr>
                <w:rFonts w:ascii="Arial" w:cs="Arial" w:eastAsia="Arial" w:hAnsi="Arial"/>
                <w:sz w:val="13"/>
                <w:szCs w:val="13"/>
                <w:color w:val="auto"/>
              </w:rPr>
              <w:t>Goodwill and intangible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300"/>
              <w:spacing w:after="0"/>
              <w:rPr>
                <w:sz w:val="20"/>
                <w:szCs w:val="20"/>
                <w:color w:val="auto"/>
              </w:rPr>
            </w:pPr>
            <w:r>
              <w:rPr>
                <w:rFonts w:ascii="Arial" w:cs="Arial" w:eastAsia="Arial" w:hAnsi="Arial"/>
                <w:sz w:val="13"/>
                <w:szCs w:val="13"/>
                <w:color w:val="auto"/>
              </w:rPr>
              <w:t>assets, net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1,352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1,341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4,945</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Equipment on operating</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leases, net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31,061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32,701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32,701</w:t>
            </w:r>
          </w:p>
        </w:tc>
        <w:tc>
          <w:tcPr>
            <w:tcW w:w="0" w:type="dxa"/>
            <w:vAlign w:val="bottom"/>
          </w:tcPr>
          <w:p>
            <w:pPr>
              <w:spacing w:after="0"/>
              <w:rPr>
                <w:sz w:val="1"/>
                <w:szCs w:val="1"/>
                <w:color w:val="auto"/>
              </w:rPr>
            </w:pPr>
          </w:p>
        </w:tc>
      </w:tr>
      <w:tr>
        <w:trPr>
          <w:trHeight w:val="168"/>
        </w:trPr>
        <w:tc>
          <w:tcPr>
            <w:tcW w:w="178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19,673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(925)</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20,289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20,348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(917)</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20,539</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assets(c)</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9,386</w:t>
            </w:r>
          </w:p>
        </w:tc>
        <w:tc>
          <w:tcPr>
            <w:tcW w:w="0" w:type="dxa"/>
            <w:vAlign w:val="bottom"/>
          </w:tcPr>
          <w:p>
            <w:pPr>
              <w:spacing w:after="0"/>
              <w:rPr>
                <w:sz w:val="1"/>
                <w:szCs w:val="1"/>
                <w:color w:val="auto"/>
              </w:rPr>
            </w:pPr>
          </w:p>
        </w:tc>
      </w:tr>
      <w:tr>
        <w:trPr>
          <w:trHeight w:val="163"/>
        </w:trPr>
        <w:tc>
          <w:tcPr>
            <w:tcW w:w="17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assets</w:t>
            </w: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89,157</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2,718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79,702</w:t>
            </w:r>
          </w:p>
        </w:tc>
        <w:tc>
          <w:tcPr>
            <w:tcW w:w="1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(593)</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170,984</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84,742</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2,254</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76,702</w:t>
            </w:r>
          </w:p>
        </w:tc>
        <w:tc>
          <w:tcPr>
            <w:tcW w:w="1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163,586</w:t>
            </w:r>
          </w:p>
        </w:tc>
        <w:tc>
          <w:tcPr>
            <w:tcW w:w="0" w:type="dxa"/>
            <w:vAlign w:val="bottom"/>
          </w:tcPr>
          <w:p>
            <w:pPr>
              <w:spacing w:after="0"/>
              <w:rPr>
                <w:sz w:val="1"/>
                <w:szCs w:val="1"/>
                <w:color w:val="auto"/>
              </w:rPr>
            </w:pPr>
          </w:p>
        </w:tc>
      </w:tr>
      <w:tr>
        <w:trPr>
          <w:trHeight w:val="201"/>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150,504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128,962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281,705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138,419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121,544</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264,037</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3"/>
                <w:szCs w:val="13"/>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7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140"/>
              <w:spacing w:after="0" w:line="122" w:lineRule="exact"/>
              <w:rPr>
                <w:sz w:val="20"/>
                <w:szCs w:val="20"/>
                <w:color w:val="auto"/>
              </w:rPr>
            </w:pPr>
            <w:r>
              <w:rPr>
                <w:rFonts w:ascii="Arial" w:cs="Arial" w:eastAsia="Arial" w:hAnsi="Arial"/>
                <w:sz w:val="13"/>
                <w:szCs w:val="13"/>
                <w:color w:val="auto"/>
              </w:rPr>
              <w:t>Accounts payable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300"/>
              <w:spacing w:after="0"/>
              <w:rPr>
                <w:sz w:val="20"/>
                <w:szCs w:val="20"/>
                <w:color w:val="auto"/>
              </w:rPr>
            </w:pPr>
            <w:r>
              <w:rPr>
                <w:rFonts w:ascii="Arial" w:cs="Arial" w:eastAsia="Arial" w:hAnsi="Arial"/>
                <w:sz w:val="13"/>
                <w:szCs w:val="13"/>
                <w:color w:val="auto"/>
              </w:rPr>
              <w:t>(principally trade)(a)</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30,238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1,141</w:t>
            </w:r>
          </w:p>
        </w:tc>
        <w:tc>
          <w:tcPr>
            <w:tcW w:w="10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(1,186)</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30,387</w:t>
            </w:r>
          </w:p>
        </w:tc>
        <w:tc>
          <w:tcPr>
            <w:tcW w:w="100" w:type="dxa"/>
            <w:vAlign w:val="bottom"/>
          </w:tcPr>
          <w:p>
            <w:pPr>
              <w:spacing w:after="0"/>
              <w:rPr>
                <w:sz w:val="15"/>
                <w:szCs w:val="15"/>
                <w:color w:val="auto"/>
              </w:rPr>
            </w:pPr>
          </w:p>
        </w:tc>
        <w:tc>
          <w:tcPr>
            <w:tcW w:w="160" w:type="dxa"/>
            <w:vAlign w:val="bottom"/>
          </w:tcPr>
          <w:p>
            <w:pPr>
              <w:jc w:val="right"/>
              <w:ind w:right="19"/>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27,307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712</w:t>
            </w:r>
          </w:p>
        </w:tc>
        <w:tc>
          <w:tcPr>
            <w:tcW w:w="100" w:type="dxa"/>
            <w:vAlign w:val="bottom"/>
          </w:tcPr>
          <w:p>
            <w:pPr>
              <w:spacing w:after="0"/>
              <w:rPr>
                <w:sz w:val="15"/>
                <w:szCs w:val="15"/>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(679)</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27,486</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Short-term debt and current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portion of long-term debt</w:t>
            </w: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80" w:type="dxa"/>
            <w:vAlign w:val="bottom"/>
          </w:tcPr>
          <w:p>
            <w:pPr>
              <w:ind w:left="300"/>
              <w:spacing w:after="0"/>
              <w:rPr>
                <w:sz w:val="20"/>
                <w:szCs w:val="20"/>
                <w:color w:val="auto"/>
              </w:rPr>
            </w:pPr>
            <w:r>
              <w:rPr>
                <w:rFonts w:ascii="Arial" w:cs="Arial" w:eastAsia="Arial" w:hAnsi="Arial"/>
                <w:sz w:val="13"/>
                <w:szCs w:val="13"/>
                <w:color w:val="auto"/>
              </w:rPr>
              <w:t>Automotive(d)</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1,959</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GM Financial</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38,256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36,819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36,819</w:t>
            </w:r>
          </w:p>
        </w:tc>
        <w:tc>
          <w:tcPr>
            <w:tcW w:w="0" w:type="dxa"/>
            <w:vAlign w:val="bottom"/>
          </w:tcPr>
          <w:p>
            <w:pPr>
              <w:spacing w:after="0"/>
              <w:rPr>
                <w:sz w:val="1"/>
                <w:szCs w:val="1"/>
                <w:color w:val="auto"/>
              </w:rPr>
            </w:pPr>
          </w:p>
        </w:tc>
      </w:tr>
      <w:tr>
        <w:trPr>
          <w:trHeight w:val="168"/>
        </w:trPr>
        <w:tc>
          <w:tcPr>
            <w:tcW w:w="1780" w:type="dxa"/>
            <w:vAlign w:val="bottom"/>
          </w:tcPr>
          <w:p>
            <w:pPr>
              <w:ind w:left="300"/>
              <w:spacing w:after="0"/>
              <w:rPr>
                <w:sz w:val="20"/>
                <w:szCs w:val="20"/>
                <w:color w:val="auto"/>
              </w:rPr>
            </w:pPr>
            <w:r>
              <w:rPr>
                <w:rFonts w:ascii="Arial" w:cs="Arial" w:eastAsia="Arial" w:hAnsi="Arial"/>
                <w:sz w:val="13"/>
                <w:szCs w:val="13"/>
                <w:color w:val="auto"/>
              </w:rPr>
              <w:t>Cruise</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liabilities(b)</w:t>
            </w: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20,702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6,852</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27,782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18,662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6,081</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24,910</w:t>
            </w:r>
          </w:p>
        </w:tc>
        <w:tc>
          <w:tcPr>
            <w:tcW w:w="0" w:type="dxa"/>
            <w:vAlign w:val="bottom"/>
          </w:tcPr>
          <w:p>
            <w:pPr>
              <w:spacing w:after="0"/>
              <w:rPr>
                <w:sz w:val="1"/>
                <w:szCs w:val="1"/>
                <w:color w:val="auto"/>
              </w:rPr>
            </w:pPr>
          </w:p>
        </w:tc>
      </w:tr>
      <w:tr>
        <w:trPr>
          <w:trHeight w:val="161"/>
        </w:trPr>
        <w:tc>
          <w:tcPr>
            <w:tcW w:w="1780" w:type="dxa"/>
            <w:vAlign w:val="bottom"/>
          </w:tcPr>
          <w:p>
            <w:pPr>
              <w:ind w:left="140"/>
              <w:spacing w:after="0"/>
              <w:rPr>
                <w:sz w:val="20"/>
                <w:szCs w:val="20"/>
                <w:color w:val="auto"/>
              </w:rPr>
            </w:pPr>
            <w:r>
              <w:rPr>
                <w:rFonts w:ascii="Arial" w:cs="Arial" w:eastAsia="Arial" w:hAnsi="Arial"/>
                <w:sz w:val="13"/>
                <w:szCs w:val="13"/>
                <w:color w:val="auto"/>
              </w:rPr>
              <w:t>Total current liabilities</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51,749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46,250</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96,820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48,113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43,612</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91,173</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780" w:type="dxa"/>
            <w:vAlign w:val="bottom"/>
          </w:tcPr>
          <w:p>
            <w:pPr>
              <w:ind w:left="140"/>
              <w:spacing w:after="0"/>
              <w:rPr>
                <w:sz w:val="20"/>
                <w:szCs w:val="20"/>
                <w:color w:val="auto"/>
              </w:rPr>
            </w:pPr>
            <w:r>
              <w:rPr>
                <w:rFonts w:ascii="Arial" w:cs="Arial" w:eastAsia="Arial" w:hAnsi="Arial"/>
                <w:sz w:val="13"/>
                <w:szCs w:val="13"/>
                <w:color w:val="auto"/>
              </w:rPr>
              <w:t>Long-term debt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Automotive(c)</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15,885</w:t>
            </w:r>
          </w:p>
        </w:tc>
        <w:tc>
          <w:tcPr>
            <w:tcW w:w="0" w:type="dxa"/>
            <w:vAlign w:val="bottom"/>
          </w:tcPr>
          <w:p>
            <w:pPr>
              <w:spacing w:after="0"/>
              <w:rPr>
                <w:sz w:val="1"/>
                <w:szCs w:val="1"/>
                <w:color w:val="auto"/>
              </w:rPr>
            </w:pPr>
          </w:p>
        </w:tc>
      </w:tr>
      <w:tr>
        <w:trPr>
          <w:trHeight w:val="168"/>
        </w:trPr>
        <w:tc>
          <w:tcPr>
            <w:tcW w:w="1780" w:type="dxa"/>
            <w:vAlign w:val="bottom"/>
          </w:tcPr>
          <w:p>
            <w:pPr>
              <w:ind w:left="300"/>
              <w:spacing w:after="0"/>
              <w:rPr>
                <w:sz w:val="20"/>
                <w:szCs w:val="20"/>
                <w:color w:val="auto"/>
              </w:rPr>
            </w:pPr>
            <w:r>
              <w:rPr>
                <w:rFonts w:ascii="Arial" w:cs="Arial" w:eastAsia="Arial" w:hAnsi="Arial"/>
                <w:sz w:val="13"/>
                <w:szCs w:val="13"/>
                <w:color w:val="auto"/>
              </w:rPr>
              <w:t>GM Financial</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64,259</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64,259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60,036</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60,036</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Cruise</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780" w:type="dxa"/>
            <w:vAlign w:val="bottom"/>
          </w:tcPr>
          <w:p>
            <w:pPr>
              <w:ind w:left="140"/>
              <w:spacing w:after="0" w:line="122" w:lineRule="exact"/>
              <w:rPr>
                <w:sz w:val="20"/>
                <w:szCs w:val="20"/>
                <w:color w:val="auto"/>
              </w:rPr>
            </w:pPr>
            <w:r>
              <w:rPr>
                <w:rFonts w:ascii="Arial" w:cs="Arial" w:eastAsia="Arial" w:hAnsi="Arial"/>
                <w:sz w:val="13"/>
                <w:szCs w:val="13"/>
                <w:color w:val="auto"/>
                <w:w w:val="97"/>
              </w:rPr>
              <w:t>Postretirement benefits other</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300"/>
              <w:spacing w:after="0"/>
              <w:rPr>
                <w:sz w:val="20"/>
                <w:szCs w:val="20"/>
                <w:color w:val="auto"/>
              </w:rPr>
            </w:pPr>
            <w:r>
              <w:rPr>
                <w:rFonts w:ascii="Arial" w:cs="Arial" w:eastAsia="Arial" w:hAnsi="Arial"/>
                <w:sz w:val="13"/>
                <w:szCs w:val="13"/>
                <w:color w:val="auto"/>
              </w:rPr>
              <w:t>than pensions</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4,193</w:t>
            </w: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Pensions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5,698</w:t>
            </w:r>
          </w:p>
        </w:tc>
        <w:tc>
          <w:tcPr>
            <w:tcW w:w="0" w:type="dxa"/>
            <w:vAlign w:val="bottom"/>
          </w:tcPr>
          <w:p>
            <w:pPr>
              <w:spacing w:after="0"/>
              <w:rPr>
                <w:sz w:val="1"/>
                <w:szCs w:val="1"/>
                <w:color w:val="auto"/>
              </w:rPr>
            </w:pPr>
          </w:p>
        </w:tc>
      </w:tr>
      <w:tr>
        <w:trPr>
          <w:trHeight w:val="169"/>
        </w:trPr>
        <w:tc>
          <w:tcPr>
            <w:tcW w:w="178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13,276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2,596</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16,320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11,927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2,375</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14,767</w:t>
            </w:r>
          </w:p>
        </w:tc>
        <w:tc>
          <w:tcPr>
            <w:tcW w:w="0" w:type="dxa"/>
            <w:vAlign w:val="bottom"/>
          </w:tcPr>
          <w:p>
            <w:pPr>
              <w:spacing w:after="0"/>
              <w:rPr>
                <w:sz w:val="1"/>
                <w:szCs w:val="1"/>
                <w:color w:val="auto"/>
              </w:rPr>
            </w:pPr>
          </w:p>
        </w:tc>
      </w:tr>
      <w:tr>
        <w:trPr>
          <w:trHeight w:val="176"/>
        </w:trPr>
        <w:tc>
          <w:tcPr>
            <w:tcW w:w="17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non-current liabilities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38,843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66,862</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106,158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37,691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62,417</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100,579</w:t>
            </w:r>
          </w:p>
        </w:tc>
        <w:tc>
          <w:tcPr>
            <w:tcW w:w="0" w:type="dxa"/>
            <w:vAlign w:val="bottom"/>
          </w:tcPr>
          <w:p>
            <w:pPr>
              <w:spacing w:after="0"/>
              <w:rPr>
                <w:sz w:val="1"/>
                <w:szCs w:val="1"/>
                <w:color w:val="auto"/>
              </w:rPr>
            </w:pPr>
          </w:p>
        </w:tc>
      </w:tr>
      <w:tr>
        <w:trPr>
          <w:trHeight w:val="165"/>
        </w:trPr>
        <w:tc>
          <w:tcPr>
            <w:tcW w:w="1780" w:type="dxa"/>
            <w:vAlign w:val="bottom"/>
          </w:tcPr>
          <w:p>
            <w:pPr>
              <w:ind w:left="20"/>
              <w:spacing w:after="0"/>
              <w:rPr>
                <w:sz w:val="20"/>
                <w:szCs w:val="20"/>
                <w:color w:val="auto"/>
              </w:rPr>
            </w:pPr>
            <w:r>
              <w:rPr>
                <w:rFonts w:ascii="Arial" w:cs="Arial" w:eastAsia="Arial" w:hAnsi="Arial"/>
                <w:sz w:val="13"/>
                <w:szCs w:val="13"/>
                <w:b w:val="1"/>
                <w:bCs w:val="1"/>
                <w:color w:val="auto"/>
              </w:rPr>
              <w:t>Total Liabilities</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90,592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113,113</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202,978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85,804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106,029</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191,752</w:t>
            </w:r>
          </w:p>
        </w:tc>
        <w:tc>
          <w:tcPr>
            <w:tcW w:w="0" w:type="dxa"/>
            <w:vAlign w:val="bottom"/>
          </w:tcPr>
          <w:p>
            <w:pPr>
              <w:spacing w:after="0"/>
              <w:rPr>
                <w:sz w:val="1"/>
                <w:szCs w:val="1"/>
                <w:color w:val="auto"/>
              </w:rPr>
            </w:pPr>
          </w:p>
        </w:tc>
      </w:tr>
      <w:tr>
        <w:trPr>
          <w:trHeight w:val="125"/>
        </w:trPr>
        <w:tc>
          <w:tcPr>
            <w:tcW w:w="178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Noncontrolling interest -</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8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Cruise stock incentive</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awards</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80" w:type="dxa"/>
            <w:vAlign w:val="bottom"/>
            <w:shd w:val="clear" w:color="auto" w:fill="CCEEFF"/>
          </w:tcPr>
          <w:p>
            <w:pPr>
              <w:ind w:left="100"/>
              <w:spacing w:after="0" w:line="122" w:lineRule="exact"/>
              <w:rPr>
                <w:sz w:val="20"/>
                <w:szCs w:val="20"/>
                <w:color w:val="auto"/>
              </w:rPr>
            </w:pPr>
            <w:r>
              <w:rPr>
                <w:rFonts w:ascii="Arial" w:cs="Arial" w:eastAsia="Arial" w:hAnsi="Arial"/>
                <w:sz w:val="13"/>
                <w:szCs w:val="13"/>
                <w:color w:val="auto"/>
              </w:rPr>
              <w:t>Common stock, $0.01 par</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value</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8"/>
        </w:trPr>
        <w:tc>
          <w:tcPr>
            <w:tcW w:w="1780" w:type="dxa"/>
            <w:vAlign w:val="bottom"/>
          </w:tcPr>
          <w:p>
            <w:pPr>
              <w:ind w:left="100"/>
              <w:spacing w:after="0"/>
              <w:rPr>
                <w:sz w:val="20"/>
                <w:szCs w:val="20"/>
                <w:color w:val="auto"/>
              </w:rPr>
            </w:pPr>
            <w:r>
              <w:rPr>
                <w:rFonts w:ascii="Arial" w:cs="Arial" w:eastAsia="Arial" w:hAnsi="Arial"/>
                <w:sz w:val="13"/>
                <w:szCs w:val="13"/>
                <w:color w:val="auto"/>
              </w:rPr>
              <w:t>Additional paid-in capital(e)</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25,918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1,374</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26,058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26,313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1,433</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26,428</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15,429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49,251</w:t>
            </w:r>
          </w:p>
        </w:tc>
        <w:tc>
          <w:tcPr>
            <w:tcW w:w="0" w:type="dxa"/>
            <w:vAlign w:val="bottom"/>
          </w:tcPr>
          <w:p>
            <w:pPr>
              <w:spacing w:after="0"/>
              <w:rPr>
                <w:sz w:val="1"/>
                <w:szCs w:val="1"/>
                <w:color w:val="auto"/>
              </w:rPr>
            </w:pPr>
          </w:p>
        </w:tc>
      </w:tr>
      <w:tr>
        <w:trPr>
          <w:trHeight w:val="121"/>
        </w:trPr>
        <w:tc>
          <w:tcPr>
            <w:tcW w:w="1780" w:type="dxa"/>
            <w:vAlign w:val="bottom"/>
          </w:tcPr>
          <w:p>
            <w:pPr>
              <w:ind w:left="140"/>
              <w:spacing w:after="0" w:line="122" w:lineRule="exact"/>
              <w:rPr>
                <w:sz w:val="20"/>
                <w:szCs w:val="20"/>
                <w:color w:val="auto"/>
              </w:rPr>
            </w:pPr>
            <w:r>
              <w:rPr>
                <w:rFonts w:ascii="Arial" w:cs="Arial" w:eastAsia="Arial" w:hAnsi="Arial"/>
                <w:sz w:val="13"/>
                <w:szCs w:val="13"/>
                <w:color w:val="auto"/>
              </w:rPr>
              <w:t>Accumulated other</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80" w:type="dxa"/>
            <w:vAlign w:val="bottom"/>
          </w:tcPr>
          <w:p>
            <w:pPr>
              <w:ind w:left="300"/>
              <w:spacing w:after="0"/>
              <w:rPr>
                <w:sz w:val="20"/>
                <w:szCs w:val="20"/>
                <w:color w:val="auto"/>
              </w:rPr>
            </w:pPr>
            <w:r>
              <w:rPr>
                <w:rFonts w:ascii="Arial" w:cs="Arial" w:eastAsia="Arial" w:hAnsi="Arial"/>
                <w:sz w:val="13"/>
                <w:szCs w:val="13"/>
                <w:color w:val="auto"/>
              </w:rPr>
              <w:t>comprehensive loss</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(6,639)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(1,278)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(1,348)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(7,901)</w:t>
            </w: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59,134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15,850</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74,475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51,829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15,515</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67,792</w:t>
            </w:r>
          </w:p>
        </w:tc>
        <w:tc>
          <w:tcPr>
            <w:tcW w:w="0" w:type="dxa"/>
            <w:vAlign w:val="bottom"/>
          </w:tcPr>
          <w:p>
            <w:pPr>
              <w:spacing w:after="0"/>
              <w:rPr>
                <w:sz w:val="1"/>
                <w:szCs w:val="1"/>
                <w:color w:val="auto"/>
              </w:rPr>
            </w:pPr>
          </w:p>
        </w:tc>
      </w:tr>
      <w:tr>
        <w:trPr>
          <w:trHeight w:val="169"/>
        </w:trPr>
        <w:tc>
          <w:tcPr>
            <w:tcW w:w="1780" w:type="dxa"/>
            <w:vAlign w:val="bottom"/>
          </w:tcPr>
          <w:p>
            <w:pPr>
              <w:ind w:left="100"/>
              <w:spacing w:after="0"/>
              <w:rPr>
                <w:sz w:val="20"/>
                <w:szCs w:val="20"/>
                <w:color w:val="auto"/>
              </w:rPr>
            </w:pPr>
            <w:r>
              <w:rPr>
                <w:rFonts w:ascii="Arial" w:cs="Arial" w:eastAsia="Arial" w:hAnsi="Arial"/>
                <w:sz w:val="13"/>
                <w:szCs w:val="13"/>
                <w:color w:val="auto"/>
              </w:rPr>
              <w:t>Noncontrolling interests(e)</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4,135</w:t>
            </w:r>
          </w:p>
        </w:tc>
        <w:tc>
          <w:tcPr>
            <w:tcW w:w="0" w:type="dxa"/>
            <w:vAlign w:val="bottom"/>
          </w:tcPr>
          <w:p>
            <w:pPr>
              <w:spacing w:after="0"/>
              <w:rPr>
                <w:sz w:val="1"/>
                <w:szCs w:val="1"/>
                <w:color w:val="auto"/>
              </w:rPr>
            </w:pPr>
          </w:p>
        </w:tc>
      </w:tr>
      <w:tr>
        <w:trPr>
          <w:trHeight w:val="171"/>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59,912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15,850</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78,404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52,615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3,797</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15,515</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71,927</w:t>
            </w:r>
          </w:p>
        </w:tc>
        <w:tc>
          <w:tcPr>
            <w:tcW w:w="0" w:type="dxa"/>
            <w:vAlign w:val="bottom"/>
          </w:tcPr>
          <w:p>
            <w:pPr>
              <w:spacing w:after="0"/>
              <w:rPr>
                <w:sz w:val="1"/>
                <w:szCs w:val="1"/>
                <w:color w:val="auto"/>
              </w:rPr>
            </w:pPr>
          </w:p>
        </w:tc>
      </w:tr>
      <w:tr>
        <w:trPr>
          <w:trHeight w:val="173"/>
        </w:trPr>
        <w:tc>
          <w:tcPr>
            <w:tcW w:w="1780" w:type="dxa"/>
            <w:vAlign w:val="bottom"/>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150,504</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4,888</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128,962</w:t>
            </w: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(2,649)</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281,705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138,419</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5,510</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121,544</w:t>
            </w: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264,037</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3" w:lineRule="exact"/>
        <w:rPr>
          <w:sz w:val="20"/>
          <w:szCs w:val="20"/>
          <w:color w:val="auto"/>
        </w:rPr>
      </w:pPr>
    </w:p>
    <w:p>
      <w:pPr>
        <w:ind w:left="340" w:right="20" w:hanging="332"/>
        <w:spacing w:after="0" w:line="230" w:lineRule="auto"/>
        <w:tabs>
          <w:tab w:leader="none" w:pos="337" w:val="left"/>
        </w:tabs>
        <w:numPr>
          <w:ilvl w:val="0"/>
          <w:numId w:val="12"/>
        </w:numPr>
        <w:rPr>
          <w:rFonts w:ascii="Arial" w:cs="Arial" w:eastAsia="Arial" w:hAnsi="Arial"/>
          <w:sz w:val="11"/>
          <w:szCs w:val="11"/>
          <w:color w:val="auto"/>
        </w:rPr>
      </w:pPr>
      <w:r>
        <w:rPr>
          <w:rFonts w:ascii="Arial" w:cs="Arial" w:eastAsia="Arial" w:hAnsi="Arial"/>
          <w:sz w:val="11"/>
          <w:szCs w:val="11"/>
          <w:color w:val="auto"/>
        </w:rPr>
        <w:t>Eliminations primarily include: GM Financial accounts and notes receivable of $0.9 billion due from Automotive; and Automotive accounts receivable of $0.5 million due from GM Financial at September 30, 2023. At December 31, 2022, eliminations primarily include GM Financial accounts and notes receivable of $0.5 billion due from Automotive and Automotive accounts receivable of $0.1 billion due from GM Financial.</w:t>
      </w:r>
    </w:p>
    <w:p>
      <w:pPr>
        <w:ind w:left="320" w:hanging="312"/>
        <w:spacing w:after="0"/>
        <w:tabs>
          <w:tab w:leader="none" w:pos="3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Eliminations primarily related to intercompany asset transfers between Automotive and Cruise for AV capital.</w:t>
      </w:r>
    </w:p>
    <w:p>
      <w:pPr>
        <w:spacing w:after="0" w:line="3" w:lineRule="exact"/>
        <w:rPr>
          <w:rFonts w:ascii="Arial" w:cs="Arial" w:eastAsia="Arial" w:hAnsi="Arial"/>
          <w:sz w:val="11"/>
          <w:szCs w:val="11"/>
          <w:color w:val="auto"/>
        </w:rPr>
      </w:pPr>
    </w:p>
    <w:p>
      <w:pPr>
        <w:ind w:left="340" w:hanging="332"/>
        <w:spacing w:after="0" w:line="243" w:lineRule="auto"/>
        <w:tabs>
          <w:tab w:leader="none" w:pos="331" w:val="left"/>
        </w:tabs>
        <w:numPr>
          <w:ilvl w:val="0"/>
          <w:numId w:val="12"/>
        </w:numPr>
        <w:rPr>
          <w:rFonts w:ascii="Arial" w:cs="Arial" w:eastAsia="Arial" w:hAnsi="Arial"/>
          <w:sz w:val="11"/>
          <w:szCs w:val="11"/>
          <w:color w:val="auto"/>
        </w:rPr>
      </w:pPr>
      <w:r>
        <w:rPr>
          <w:rFonts w:ascii="Arial" w:cs="Arial" w:eastAsia="Arial" w:hAnsi="Arial"/>
          <w:sz w:val="11"/>
          <w:szCs w:val="11"/>
          <w:color w:val="auto"/>
        </w:rPr>
        <w:t>Eliminations related to deferral agreement between Cruise and Automotive as regards engineering and capital spending incurred by Automotive on behalf of Cruise resulting in a long-term payable for Cruise offset by a long-term receivable for Automotive.</w:t>
      </w:r>
    </w:p>
    <w:p>
      <w:pPr>
        <w:ind w:left="320" w:hanging="312"/>
        <w:spacing w:after="0"/>
        <w:tabs>
          <w:tab w:leader="none" w:pos="3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Eliminations primarily related to Intercompany loans due from Automotive to GM Financial in the nine months ended September 30, 2023.</w:t>
      </w:r>
    </w:p>
    <w:p>
      <w:pPr>
        <w:spacing w:after="0" w:line="8" w:lineRule="exact"/>
        <w:rPr>
          <w:rFonts w:ascii="Arial" w:cs="Arial" w:eastAsia="Arial" w:hAnsi="Arial"/>
          <w:sz w:val="11"/>
          <w:szCs w:val="11"/>
          <w:color w:val="auto"/>
        </w:rPr>
      </w:pPr>
    </w:p>
    <w:p>
      <w:pPr>
        <w:ind w:left="320" w:hanging="312"/>
        <w:spacing w:after="0"/>
        <w:tabs>
          <w:tab w:leader="none" w:pos="3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Primarily reclassification of GM Financial Cumulative Perpetual Preferred Stock, Series A, B and C. The preferred stock is classified as noncontrolling interests in our condensed consolidated balance sheet.</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50" w:right="339" w:bottom="1440" w:gutter="0" w:footer="0" w:header="0"/>
          <w:type w:val="continuous"/>
        </w:sectPr>
      </w:pPr>
    </w:p>
    <w:bookmarkStart w:id="15" w:name="page16"/>
    <w:bookmarkEnd w:id="15"/>
    <w:p>
      <w:pPr>
        <w:jc w:val="right"/>
        <w:ind w:right="396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140"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Combining Cash Flow Information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35" w:lineRule="exact"/>
        <w:rPr>
          <w:sz w:val="20"/>
          <w:szCs w:val="20"/>
          <w:color w:val="auto"/>
        </w:rPr>
      </w:pPr>
    </w:p>
    <w:tbl>
      <w:tblPr>
        <w:tblLayout w:type="fixed"/>
        <w:tblInd w:w="1860" w:type="dxa"/>
        <w:tblCellMar>
          <w:top w:w="0" w:type="dxa"/>
          <w:left w:w="0" w:type="dxa"/>
          <w:bottom w:w="0" w:type="dxa"/>
          <w:right w:w="0" w:type="dxa"/>
        </w:tblCellMar>
      </w:tblPr>
      <w:tr>
        <w:trPr>
          <w:trHeight w:val="180"/>
        </w:trPr>
        <w:tc>
          <w:tcPr>
            <w:tcW w:w="800" w:type="dxa"/>
            <w:vAlign w:val="bottom"/>
          </w:tcPr>
          <w:p>
            <w:pPr>
              <w:spacing w:after="0"/>
              <w:rPr>
                <w:sz w:val="15"/>
                <w:szCs w:val="15"/>
                <w:color w:val="auto"/>
              </w:rPr>
            </w:pPr>
          </w:p>
        </w:tc>
        <w:tc>
          <w:tcPr>
            <w:tcW w:w="3900" w:type="dxa"/>
            <w:vAlign w:val="bottom"/>
            <w:gridSpan w:val="3"/>
          </w:tcPr>
          <w:p>
            <w:pPr>
              <w:ind w:left="300"/>
              <w:spacing w:after="0"/>
              <w:rPr>
                <w:sz w:val="20"/>
                <w:szCs w:val="20"/>
                <w:color w:val="auto"/>
              </w:rPr>
            </w:pPr>
            <w:r>
              <w:rPr>
                <w:rFonts w:ascii="Arial" w:cs="Arial" w:eastAsia="Arial" w:hAnsi="Arial"/>
                <w:sz w:val="13"/>
                <w:szCs w:val="13"/>
                <w:b w:val="1"/>
                <w:bCs w:val="1"/>
                <w:color w:val="auto"/>
              </w:rPr>
              <w:t>Nine Months Ended September 30, 2023</w:t>
            </w:r>
          </w:p>
        </w:tc>
        <w:tc>
          <w:tcPr>
            <w:tcW w:w="820" w:type="dxa"/>
            <w:vAlign w:val="bottom"/>
          </w:tcPr>
          <w:p>
            <w:pPr>
              <w:spacing w:after="0"/>
              <w:rPr>
                <w:sz w:val="15"/>
                <w:szCs w:val="15"/>
                <w:color w:val="auto"/>
              </w:rPr>
            </w:pPr>
          </w:p>
        </w:tc>
        <w:tc>
          <w:tcPr>
            <w:tcW w:w="3860" w:type="dxa"/>
            <w:vAlign w:val="bottom"/>
            <w:gridSpan w:val="2"/>
          </w:tcPr>
          <w:p>
            <w:pPr>
              <w:ind w:left="340"/>
              <w:spacing w:after="0"/>
              <w:rPr>
                <w:sz w:val="20"/>
                <w:szCs w:val="20"/>
                <w:color w:val="auto"/>
              </w:rPr>
            </w:pPr>
            <w:r>
              <w:rPr>
                <w:rFonts w:ascii="Arial" w:cs="Arial" w:eastAsia="Arial" w:hAnsi="Arial"/>
                <w:sz w:val="13"/>
                <w:szCs w:val="13"/>
                <w:b w:val="1"/>
                <w:bCs w:val="1"/>
                <w:color w:val="auto"/>
              </w:rPr>
              <w:t>Nine Months Ended September 30, 2022</w:t>
            </w:r>
          </w:p>
        </w:tc>
        <w:tc>
          <w:tcPr>
            <w:tcW w:w="0" w:type="dxa"/>
            <w:vAlign w:val="bottom"/>
          </w:tcPr>
          <w:p>
            <w:pPr>
              <w:spacing w:after="0"/>
              <w:rPr>
                <w:sz w:val="1"/>
                <w:szCs w:val="1"/>
                <w:color w:val="auto"/>
              </w:rPr>
            </w:pPr>
          </w:p>
        </w:tc>
      </w:tr>
      <w:tr>
        <w:trPr>
          <w:trHeight w:val="106"/>
        </w:trPr>
        <w:tc>
          <w:tcPr>
            <w:tcW w:w="800" w:type="dxa"/>
            <w:vAlign w:val="bottom"/>
            <w:tcBorders>
              <w:top w:val="single" w:sz="8" w:color="auto"/>
            </w:tcBorders>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640" w:type="dxa"/>
            <w:vAlign w:val="bottom"/>
            <w:tcBorders>
              <w:top w:val="single" w:sz="8" w:color="auto"/>
            </w:tcBorders>
            <w:vMerge w:val="restart"/>
          </w:tcPr>
          <w:p>
            <w:pPr>
              <w:ind w:left="140"/>
              <w:spacing w:after="0"/>
              <w:rPr>
                <w:sz w:val="20"/>
                <w:szCs w:val="20"/>
                <w:color w:val="auto"/>
              </w:rPr>
            </w:pPr>
            <w:r>
              <w:rPr>
                <w:rFonts w:ascii="Arial" w:cs="Arial" w:eastAsia="Arial" w:hAnsi="Arial"/>
                <w:sz w:val="11"/>
                <w:szCs w:val="11"/>
                <w:b w:val="1"/>
                <w:bCs w:val="1"/>
                <w:color w:val="auto"/>
              </w:rPr>
              <w:t>Cruise</w:t>
            </w:r>
          </w:p>
        </w:tc>
        <w:tc>
          <w:tcPr>
            <w:tcW w:w="3160" w:type="dxa"/>
            <w:vAlign w:val="bottom"/>
            <w:tcBorders>
              <w:top w:val="single" w:sz="8" w:color="auto"/>
            </w:tcBorders>
          </w:tcPr>
          <w:p>
            <w:pPr>
              <w:ind w:left="300"/>
              <w:spacing w:after="0" w:line="106" w:lineRule="exact"/>
              <w:rPr>
                <w:sz w:val="20"/>
                <w:szCs w:val="20"/>
                <w:color w:val="auto"/>
              </w:rPr>
            </w:pPr>
            <w:r>
              <w:rPr>
                <w:rFonts w:ascii="Arial" w:cs="Arial" w:eastAsia="Arial" w:hAnsi="Arial"/>
                <w:sz w:val="11"/>
                <w:szCs w:val="11"/>
                <w:b w:val="1"/>
                <w:bCs w:val="1"/>
                <w:color w:val="auto"/>
              </w:rPr>
              <w:t>GM</w:t>
            </w:r>
          </w:p>
        </w:tc>
        <w:tc>
          <w:tcPr>
            <w:tcW w:w="100" w:type="dxa"/>
            <w:vAlign w:val="bottom"/>
          </w:tcPr>
          <w:p>
            <w:pPr>
              <w:spacing w:after="0"/>
              <w:rPr>
                <w:sz w:val="9"/>
                <w:szCs w:val="9"/>
                <w:color w:val="auto"/>
              </w:rPr>
            </w:pPr>
          </w:p>
        </w:tc>
        <w:tc>
          <w:tcPr>
            <w:tcW w:w="820" w:type="dxa"/>
            <w:vAlign w:val="bottom"/>
            <w:tcBorders>
              <w:top w:val="single" w:sz="8" w:color="auto"/>
            </w:tcBorders>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640" w:type="dxa"/>
            <w:vAlign w:val="bottom"/>
            <w:tcBorders>
              <w:top w:val="single" w:sz="8" w:color="auto"/>
            </w:tcBorders>
            <w:vMerge w:val="restart"/>
          </w:tcPr>
          <w:p>
            <w:pPr>
              <w:ind w:left="160"/>
              <w:spacing w:after="0"/>
              <w:rPr>
                <w:sz w:val="20"/>
                <w:szCs w:val="20"/>
                <w:color w:val="auto"/>
              </w:rPr>
            </w:pPr>
            <w:r>
              <w:rPr>
                <w:rFonts w:ascii="Arial" w:cs="Arial" w:eastAsia="Arial" w:hAnsi="Arial"/>
                <w:sz w:val="11"/>
                <w:szCs w:val="11"/>
                <w:b w:val="1"/>
                <w:bCs w:val="1"/>
                <w:color w:val="auto"/>
              </w:rPr>
              <w:t>Cruise</w:t>
            </w:r>
          </w:p>
        </w:tc>
        <w:tc>
          <w:tcPr>
            <w:tcW w:w="3220" w:type="dxa"/>
            <w:vAlign w:val="bottom"/>
            <w:tcBorders>
              <w:top w:val="single" w:sz="8" w:color="auto"/>
            </w:tcBorders>
          </w:tcPr>
          <w:p>
            <w:pPr>
              <w:ind w:left="320"/>
              <w:spacing w:after="0" w:line="106" w:lineRule="exact"/>
              <w:rPr>
                <w:sz w:val="20"/>
                <w:szCs w:val="20"/>
                <w:color w:val="auto"/>
              </w:rPr>
            </w:pPr>
            <w:r>
              <w:rPr>
                <w:rFonts w:ascii="Arial" w:cs="Arial" w:eastAsia="Arial" w:hAnsi="Arial"/>
                <w:sz w:val="11"/>
                <w:szCs w:val="11"/>
                <w:b w:val="1"/>
                <w:bCs w:val="1"/>
                <w:color w:val="auto"/>
              </w:rPr>
              <w:t>GM</w:t>
            </w:r>
          </w:p>
        </w:tc>
        <w:tc>
          <w:tcPr>
            <w:tcW w:w="0" w:type="dxa"/>
            <w:vAlign w:val="bottom"/>
          </w:tcPr>
          <w:p>
            <w:pPr>
              <w:spacing w:after="0"/>
              <w:rPr>
                <w:sz w:val="1"/>
                <w:szCs w:val="1"/>
                <w:color w:val="auto"/>
              </w:rPr>
            </w:pPr>
          </w:p>
        </w:tc>
      </w:tr>
      <w:tr>
        <w:trPr>
          <w:trHeight w:val="150"/>
        </w:trPr>
        <w:tc>
          <w:tcPr>
            <w:tcW w:w="8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3260" w:type="dxa"/>
            <w:vAlign w:val="bottom"/>
            <w:gridSpan w:val="2"/>
          </w:tcPr>
          <w:p>
            <w:pPr>
              <w:ind w:left="140"/>
              <w:spacing w:after="0"/>
              <w:rPr>
                <w:sz w:val="20"/>
                <w:szCs w:val="20"/>
                <w:color w:val="auto"/>
              </w:rPr>
            </w:pPr>
            <w:r>
              <w:rPr>
                <w:rFonts w:ascii="Arial" w:cs="Arial" w:eastAsia="Arial" w:hAnsi="Arial"/>
                <w:sz w:val="11"/>
                <w:szCs w:val="11"/>
                <w:b w:val="1"/>
                <w:bCs w:val="1"/>
                <w:color w:val="auto"/>
              </w:rPr>
              <w:t>Financial   Reclassifications/Eliminations   Combined</w:t>
            </w:r>
          </w:p>
        </w:tc>
        <w:tc>
          <w:tcPr>
            <w:tcW w:w="8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3220" w:type="dxa"/>
            <w:vAlign w:val="bottom"/>
          </w:tcPr>
          <w:p>
            <w:pPr>
              <w:ind w:left="160"/>
              <w:spacing w:after="0"/>
              <w:rPr>
                <w:sz w:val="20"/>
                <w:szCs w:val="20"/>
                <w:color w:val="auto"/>
              </w:rPr>
            </w:pPr>
            <w:r>
              <w:rPr>
                <w:rFonts w:ascii="Arial" w:cs="Arial" w:eastAsia="Arial" w:hAnsi="Arial"/>
                <w:sz w:val="11"/>
                <w:szCs w:val="11"/>
                <w:b w:val="1"/>
                <w:bCs w:val="1"/>
                <w:color w:val="auto"/>
              </w:rPr>
              <w:t>Financial    Reclassifications/Eliminations    Combined</w:t>
            </w:r>
          </w:p>
        </w:tc>
        <w:tc>
          <w:tcPr>
            <w:tcW w:w="0" w:type="dxa"/>
            <w:vAlign w:val="bottom"/>
          </w:tcPr>
          <w:p>
            <w:pPr>
              <w:spacing w:after="0"/>
              <w:rPr>
                <w:sz w:val="1"/>
                <w:szCs w:val="1"/>
                <w:color w:val="auto"/>
              </w:rPr>
            </w:pPr>
          </w:p>
        </w:tc>
      </w:tr>
    </w:tbl>
    <w:p>
      <w:pPr>
        <w:ind w:left="20"/>
        <w:spacing w:after="0" w:line="226" w:lineRule="auto"/>
        <w:rPr>
          <w:sz w:val="20"/>
          <w:szCs w:val="20"/>
          <w:color w:val="auto"/>
        </w:rPr>
      </w:pPr>
      <w:r>
        <w:rPr>
          <w:rFonts w:ascii="Arial" w:cs="Arial" w:eastAsia="Arial" w:hAnsi="Arial"/>
          <w:sz w:val="13"/>
          <w:szCs w:val="13"/>
          <w:b w:val="1"/>
          <w:bCs w:val="1"/>
          <w:color w:val="auto"/>
        </w:rPr>
        <w:t>Cash flows from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-81280</wp:posOffset>
            </wp:positionV>
            <wp:extent cx="5957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3"/>
          <w:szCs w:val="13"/>
          <w:b w:val="1"/>
          <w:bCs w:val="1"/>
          <w:color w:val="auto"/>
        </w:rPr>
        <w:t>activities</w:t>
      </w:r>
    </w:p>
    <w:p>
      <w:pPr>
        <w:sectPr>
          <w:pgSz w:w="11900" w:h="16838" w:orient="portrait"/>
          <w:cols w:equalWidth="0" w:num="1">
            <w:col w:w="11240"/>
          </w:cols>
          <w:pgMar w:left="320" w:top="850" w:right="339" w:bottom="1440" w:gutter="0" w:footer="0" w:header="0"/>
        </w:sectPr>
      </w:pPr>
    </w:p>
    <w:p>
      <w:pPr>
        <w:spacing w:after="0" w:line="32"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3"/>
          <w:szCs w:val="13"/>
          <w:color w:val="auto"/>
        </w:rPr>
        <w:t>Net income (loss)</w:t>
      </w:r>
      <w:r>
        <w:rPr>
          <w:sz w:val="20"/>
          <w:szCs w:val="20"/>
          <w:color w:val="auto"/>
        </w:rPr>
        <w:tab/>
      </w:r>
      <w:r>
        <w:rPr>
          <w:rFonts w:ascii="Arial" w:cs="Arial" w:eastAsia="Arial" w:hAnsi="Arial"/>
          <w:sz w:val="10"/>
          <w:szCs w:val="10"/>
          <w:color w:val="auto"/>
        </w:rPr>
        <w:t>$</w:t>
      </w:r>
    </w:p>
    <w:p>
      <w:pPr>
        <w:spacing w:after="0" w:line="26" w:lineRule="exact"/>
        <w:rPr>
          <w:sz w:val="20"/>
          <w:szCs w:val="20"/>
          <w:color w:val="auto"/>
        </w:rPr>
      </w:pPr>
    </w:p>
    <w:p>
      <w:pPr>
        <w:jc w:val="both"/>
        <w:ind w:left="300" w:right="160" w:hanging="161"/>
        <w:spacing w:after="0" w:line="215" w:lineRule="auto"/>
        <w:rPr>
          <w:sz w:val="20"/>
          <w:szCs w:val="20"/>
          <w:color w:val="auto"/>
        </w:rPr>
      </w:pPr>
      <w:r>
        <w:rPr>
          <w:rFonts w:ascii="Arial" w:cs="Arial" w:eastAsia="Arial" w:hAnsi="Arial"/>
          <w:sz w:val="13"/>
          <w:szCs w:val="13"/>
          <w:color w:val="auto"/>
        </w:rPr>
        <w:t>Depreciation and impairment of Equipment on operating leases, net</w:t>
      </w:r>
    </w:p>
    <w:p>
      <w:pPr>
        <w:spacing w:after="0" w:line="30" w:lineRule="exact"/>
        <w:rPr>
          <w:sz w:val="20"/>
          <w:szCs w:val="20"/>
          <w:color w:val="auto"/>
        </w:rPr>
      </w:pPr>
    </w:p>
    <w:p>
      <w:pPr>
        <w:ind w:left="300" w:right="100" w:hanging="161"/>
        <w:spacing w:after="0" w:line="215" w:lineRule="auto"/>
        <w:rPr>
          <w:sz w:val="20"/>
          <w:szCs w:val="20"/>
          <w:color w:val="auto"/>
        </w:rPr>
      </w:pPr>
      <w:r>
        <w:rPr>
          <w:rFonts w:ascii="Arial" w:cs="Arial" w:eastAsia="Arial" w:hAnsi="Arial"/>
          <w:sz w:val="13"/>
          <w:szCs w:val="13"/>
          <w:color w:val="auto"/>
        </w:rPr>
        <w:t>Depreciation, amortization and impairment charges on Property, net</w:t>
      </w:r>
    </w:p>
    <w:p>
      <w:pPr>
        <w:spacing w:after="0" w:line="30" w:lineRule="exact"/>
        <w:rPr>
          <w:sz w:val="20"/>
          <w:szCs w:val="20"/>
          <w:color w:val="auto"/>
        </w:rPr>
      </w:pPr>
    </w:p>
    <w:p>
      <w:pPr>
        <w:ind w:left="300" w:right="200" w:hanging="161"/>
        <w:spacing w:after="0" w:line="233" w:lineRule="auto"/>
        <w:rPr>
          <w:sz w:val="20"/>
          <w:szCs w:val="20"/>
          <w:color w:val="auto"/>
        </w:rPr>
      </w:pPr>
      <w:r>
        <w:rPr>
          <w:rFonts w:ascii="Arial" w:cs="Arial" w:eastAsia="Arial" w:hAnsi="Arial"/>
          <w:sz w:val="12"/>
          <w:szCs w:val="12"/>
          <w:color w:val="auto"/>
        </w:rPr>
        <w:t>Foreign currency remeasurement and transaction (gains) losses</w:t>
      </w:r>
    </w:p>
    <w:p>
      <w:pPr>
        <w:spacing w:after="0" w:line="30" w:lineRule="exact"/>
        <w:rPr>
          <w:sz w:val="20"/>
          <w:szCs w:val="20"/>
          <w:color w:val="auto"/>
        </w:rPr>
      </w:pPr>
    </w:p>
    <w:p>
      <w:pPr>
        <w:ind w:left="300" w:right="180" w:hanging="161"/>
        <w:spacing w:after="0" w:line="215" w:lineRule="auto"/>
        <w:rPr>
          <w:sz w:val="20"/>
          <w:szCs w:val="20"/>
          <w:color w:val="auto"/>
        </w:rPr>
      </w:pPr>
      <w:r>
        <w:rPr>
          <w:rFonts w:ascii="Arial" w:cs="Arial" w:eastAsia="Arial" w:hAnsi="Arial"/>
          <w:sz w:val="13"/>
          <w:szCs w:val="13"/>
          <w:color w:val="auto"/>
        </w:rPr>
        <w:t>Undistributed earnings of nonconsolidated affiliates, net</w:t>
      </w:r>
    </w:p>
    <w:p>
      <w:pPr>
        <w:spacing w:after="0" w:line="30" w:lineRule="exact"/>
        <w:rPr>
          <w:sz w:val="20"/>
          <w:szCs w:val="20"/>
          <w:color w:val="auto"/>
        </w:rPr>
      </w:pPr>
    </w:p>
    <w:p>
      <w:pPr>
        <w:ind w:left="300" w:right="340" w:hanging="161"/>
        <w:spacing w:after="0" w:line="225" w:lineRule="auto"/>
        <w:rPr>
          <w:sz w:val="20"/>
          <w:szCs w:val="20"/>
          <w:color w:val="auto"/>
        </w:rPr>
      </w:pPr>
      <w:r>
        <w:rPr>
          <w:rFonts w:ascii="Arial" w:cs="Arial" w:eastAsia="Arial" w:hAnsi="Arial"/>
          <w:sz w:val="13"/>
          <w:szCs w:val="13"/>
          <w:color w:val="auto"/>
        </w:rPr>
        <w:t>Pension contributions and OPEB payments</w:t>
      </w:r>
    </w:p>
    <w:p>
      <w:pPr>
        <w:spacing w:after="0" w:line="30" w:lineRule="exact"/>
        <w:rPr>
          <w:sz w:val="20"/>
          <w:szCs w:val="20"/>
          <w:color w:val="auto"/>
        </w:rPr>
      </w:pPr>
    </w:p>
    <w:p>
      <w:pPr>
        <w:ind w:left="300" w:right="240" w:hanging="161"/>
        <w:spacing w:after="0" w:line="225" w:lineRule="auto"/>
        <w:rPr>
          <w:sz w:val="20"/>
          <w:szCs w:val="20"/>
          <w:color w:val="auto"/>
        </w:rPr>
      </w:pPr>
      <w:r>
        <w:rPr>
          <w:rFonts w:ascii="Arial" w:cs="Arial" w:eastAsia="Arial" w:hAnsi="Arial"/>
          <w:sz w:val="13"/>
          <w:szCs w:val="13"/>
          <w:color w:val="auto"/>
        </w:rPr>
        <w:t>Pension and OPEB income, net</w:t>
      </w:r>
    </w:p>
    <w:p>
      <w:pPr>
        <w:spacing w:after="0" w:line="30" w:lineRule="exact"/>
        <w:rPr>
          <w:sz w:val="20"/>
          <w:szCs w:val="20"/>
          <w:color w:val="auto"/>
        </w:rPr>
      </w:pPr>
    </w:p>
    <w:p>
      <w:pPr>
        <w:ind w:left="300" w:right="600" w:hanging="161"/>
        <w:spacing w:after="0" w:line="225" w:lineRule="auto"/>
        <w:rPr>
          <w:sz w:val="20"/>
          <w:szCs w:val="20"/>
          <w:color w:val="auto"/>
        </w:rPr>
      </w:pPr>
      <w:r>
        <w:rPr>
          <w:rFonts w:ascii="Arial" w:cs="Arial" w:eastAsia="Arial" w:hAnsi="Arial"/>
          <w:sz w:val="13"/>
          <w:szCs w:val="13"/>
          <w:color w:val="auto"/>
        </w:rPr>
        <w:t>Provision (benefit) for deferred taxes</w:t>
      </w:r>
    </w:p>
    <w:p>
      <w:pPr>
        <w:spacing w:after="0" w:line="30" w:lineRule="exact"/>
        <w:rPr>
          <w:sz w:val="20"/>
          <w:szCs w:val="20"/>
          <w:color w:val="auto"/>
        </w:rPr>
      </w:pPr>
    </w:p>
    <w:p>
      <w:pPr>
        <w:ind w:left="300" w:right="200" w:hanging="161"/>
        <w:spacing w:after="0" w:line="249" w:lineRule="auto"/>
        <w:rPr>
          <w:sz w:val="20"/>
          <w:szCs w:val="20"/>
          <w:color w:val="auto"/>
        </w:rPr>
      </w:pPr>
      <w:r>
        <w:rPr>
          <w:rFonts w:ascii="Arial" w:cs="Arial" w:eastAsia="Arial" w:hAnsi="Arial"/>
          <w:sz w:val="12"/>
          <w:szCs w:val="12"/>
          <w:color w:val="auto"/>
        </w:rPr>
        <w:t>Change in other operating assets and liabilities(a)(c)</w:t>
      </w:r>
    </w:p>
    <w:p>
      <w:pPr>
        <w:spacing w:after="0" w:line="16"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Net cash provided by (used</w:t>
      </w:r>
    </w:p>
    <w:p>
      <w:pPr>
        <w:jc w:val="center"/>
        <w:ind w:right="240"/>
        <w:spacing w:after="0"/>
        <w:rPr>
          <w:sz w:val="20"/>
          <w:szCs w:val="20"/>
          <w:color w:val="auto"/>
        </w:rPr>
      </w:pPr>
      <w:r>
        <w:rPr>
          <w:rFonts w:ascii="Arial" w:cs="Arial" w:eastAsia="Arial" w:hAnsi="Arial"/>
          <w:sz w:val="13"/>
          <w:szCs w:val="13"/>
          <w:b w:val="1"/>
          <w:bCs w:val="1"/>
          <w:color w:val="auto"/>
        </w:rPr>
        <w:t>in) operating activities</w:t>
      </w:r>
    </w:p>
    <w:p>
      <w:pPr>
        <w:spacing w:after="0" w:line="24" w:lineRule="exact"/>
        <w:rPr>
          <w:sz w:val="20"/>
          <w:szCs w:val="20"/>
          <w:color w:val="auto"/>
        </w:rPr>
      </w:pPr>
    </w:p>
    <w:p>
      <w:pPr>
        <w:ind w:left="180" w:right="340" w:hanging="161"/>
        <w:spacing w:after="0" w:line="238" w:lineRule="auto"/>
        <w:rPr>
          <w:sz w:val="20"/>
          <w:szCs w:val="20"/>
          <w:color w:val="auto"/>
        </w:rPr>
      </w:pPr>
      <w:r>
        <w:rPr>
          <w:rFonts w:ascii="Arial" w:cs="Arial" w:eastAsia="Arial" w:hAnsi="Arial"/>
          <w:sz w:val="13"/>
          <w:szCs w:val="13"/>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540" w:type="dxa"/>
            <w:vAlign w:val="bottom"/>
          </w:tcPr>
          <w:p>
            <w:pPr>
              <w:jc w:val="right"/>
              <w:ind w:right="97"/>
              <w:spacing w:after="0"/>
              <w:rPr>
                <w:sz w:val="20"/>
                <w:szCs w:val="20"/>
                <w:color w:val="auto"/>
              </w:rPr>
            </w:pPr>
            <w:r>
              <w:rPr>
                <w:rFonts w:ascii="Arial" w:cs="Arial" w:eastAsia="Arial" w:hAnsi="Arial"/>
                <w:sz w:val="13"/>
                <w:szCs w:val="13"/>
                <w:color w:val="auto"/>
              </w:rPr>
              <w:t>7,537</w:t>
            </w:r>
          </w:p>
        </w:tc>
        <w:tc>
          <w:tcPr>
            <w:tcW w:w="600" w:type="dxa"/>
            <w:vAlign w:val="bottom"/>
          </w:tcPr>
          <w:p>
            <w:pPr>
              <w:jc w:val="right"/>
              <w:spacing w:after="0"/>
              <w:rPr>
                <w:sz w:val="20"/>
                <w:szCs w:val="20"/>
                <w:color w:val="auto"/>
              </w:rPr>
            </w:pPr>
            <w:r>
              <w:rPr>
                <w:rFonts w:ascii="Arial" w:cs="Arial" w:eastAsia="Arial" w:hAnsi="Arial"/>
                <w:sz w:val="13"/>
                <w:szCs w:val="13"/>
                <w:color w:val="auto"/>
              </w:rPr>
              <w:t>$ (1,336)</w:t>
            </w:r>
          </w:p>
        </w:tc>
        <w:tc>
          <w:tcPr>
            <w:tcW w:w="80" w:type="dxa"/>
            <w:vAlign w:val="bottom"/>
          </w:tcPr>
          <w:p>
            <w:pPr>
              <w:spacing w:after="0"/>
              <w:rPr>
                <w:sz w:val="13"/>
                <w:szCs w:val="13"/>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1,645</w:t>
            </w:r>
          </w:p>
        </w:tc>
        <w:tc>
          <w:tcPr>
            <w:tcW w:w="80" w:type="dxa"/>
            <w:vAlign w:val="bottom"/>
          </w:tcPr>
          <w:p>
            <w:pPr>
              <w:spacing w:after="0"/>
              <w:rPr>
                <w:sz w:val="13"/>
                <w:szCs w:val="13"/>
                <w:color w:val="auto"/>
              </w:rPr>
            </w:pPr>
          </w:p>
        </w:tc>
        <w:tc>
          <w:tcPr>
            <w:tcW w:w="64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220" w:type="dxa"/>
            <w:vAlign w:val="bottom"/>
            <w:gridSpan w:val="3"/>
          </w:tcPr>
          <w:p>
            <w:pPr>
              <w:ind w:left="780"/>
              <w:spacing w:after="0"/>
              <w:rPr>
                <w:sz w:val="20"/>
                <w:szCs w:val="20"/>
                <w:color w:val="auto"/>
              </w:rPr>
            </w:pPr>
            <w:r>
              <w:rPr>
                <w:rFonts w:ascii="Arial" w:cs="Arial" w:eastAsia="Arial" w:hAnsi="Arial"/>
                <w:sz w:val="13"/>
                <w:szCs w:val="13"/>
                <w:color w:val="auto"/>
              </w:rPr>
              <w:t>—   $</w:t>
            </w:r>
          </w:p>
        </w:tc>
        <w:tc>
          <w:tcPr>
            <w:tcW w:w="520" w:type="dxa"/>
            <w:vAlign w:val="bottom"/>
          </w:tcPr>
          <w:p>
            <w:pPr>
              <w:jc w:val="right"/>
              <w:spacing w:after="0"/>
              <w:rPr>
                <w:sz w:val="20"/>
                <w:szCs w:val="20"/>
                <w:color w:val="auto"/>
              </w:rPr>
            </w:pPr>
            <w:r>
              <w:rPr>
                <w:rFonts w:ascii="Arial" w:cs="Arial" w:eastAsia="Arial" w:hAnsi="Arial"/>
                <w:sz w:val="13"/>
                <w:szCs w:val="13"/>
                <w:color w:val="auto"/>
              </w:rPr>
              <w:t>7,846</w:t>
            </w:r>
          </w:p>
        </w:tc>
        <w:tc>
          <w:tcPr>
            <w:tcW w:w="100" w:type="dxa"/>
            <w:vAlign w:val="bottom"/>
          </w:tcPr>
          <w:p>
            <w:pPr>
              <w:spacing w:after="0"/>
              <w:rPr>
                <w:sz w:val="13"/>
                <w:szCs w:val="13"/>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6,747</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 (1,546)</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2,495</w:t>
            </w:r>
          </w:p>
        </w:tc>
        <w:tc>
          <w:tcPr>
            <w:tcW w:w="120" w:type="dxa"/>
            <w:vAlign w:val="bottom"/>
          </w:tcPr>
          <w:p>
            <w:pPr>
              <w:spacing w:after="0"/>
              <w:rPr>
                <w:sz w:val="13"/>
                <w:szCs w:val="13"/>
                <w:color w:val="auto"/>
              </w:rPr>
            </w:pPr>
          </w:p>
        </w:tc>
        <w:tc>
          <w:tcPr>
            <w:tcW w:w="620" w:type="dxa"/>
            <w:vAlign w:val="bottom"/>
          </w:tcPr>
          <w:p>
            <w:pPr>
              <w:jc w:val="right"/>
              <w:ind w:right="47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7,701</w:t>
            </w:r>
          </w:p>
        </w:tc>
      </w:tr>
      <w:tr>
        <w:trPr>
          <w:trHeight w:val="432"/>
        </w:trPr>
        <w:tc>
          <w:tcPr>
            <w:tcW w:w="5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3,697</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3"/>
          </w:tcPr>
          <w:p>
            <w:pPr>
              <w:ind w:left="7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3,697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3,628</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3,628</w:t>
            </w:r>
          </w:p>
        </w:tc>
      </w:tr>
      <w:tr>
        <w:trPr>
          <w:trHeight w:val="432"/>
        </w:trPr>
        <w:tc>
          <w:tcPr>
            <w:tcW w:w="540" w:type="dxa"/>
            <w:vAlign w:val="bottom"/>
          </w:tcPr>
          <w:p>
            <w:pPr>
              <w:jc w:val="right"/>
              <w:ind w:right="97"/>
              <w:spacing w:after="0"/>
              <w:rPr>
                <w:sz w:val="20"/>
                <w:szCs w:val="20"/>
                <w:color w:val="auto"/>
              </w:rPr>
            </w:pPr>
            <w:r>
              <w:rPr>
                <w:rFonts w:ascii="Arial" w:cs="Arial" w:eastAsia="Arial" w:hAnsi="Arial"/>
                <w:sz w:val="13"/>
                <w:szCs w:val="13"/>
                <w:color w:val="auto"/>
              </w:rPr>
              <w:t>4,984</w:t>
            </w:r>
          </w:p>
        </w:tc>
        <w:tc>
          <w:tcPr>
            <w:tcW w:w="60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3"/>
          </w:tcPr>
          <w:p>
            <w:pPr>
              <w:ind w:left="7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5,041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4,815</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4,892</w:t>
            </w:r>
          </w:p>
        </w:tc>
      </w:tr>
      <w:tr>
        <w:trPr>
          <w:trHeight w:val="432"/>
        </w:trPr>
        <w:tc>
          <w:tcPr>
            <w:tcW w:w="540" w:type="dxa"/>
            <w:vAlign w:val="bottom"/>
          </w:tcPr>
          <w:p>
            <w:pPr>
              <w:jc w:val="right"/>
              <w:ind w:right="97"/>
              <w:spacing w:after="0"/>
              <w:rPr>
                <w:sz w:val="20"/>
                <w:szCs w:val="20"/>
                <w:color w:val="auto"/>
              </w:rPr>
            </w:pPr>
            <w:r>
              <w:rPr>
                <w:rFonts w:ascii="Arial" w:cs="Arial" w:eastAsia="Arial" w:hAnsi="Arial"/>
                <w:sz w:val="13"/>
                <w:szCs w:val="13"/>
                <w:color w:val="auto"/>
              </w:rPr>
              <w:t>111</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3"/>
          </w:tcPr>
          <w:p>
            <w:pPr>
              <w:ind w:left="7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432"/>
        </w:trPr>
        <w:tc>
          <w:tcPr>
            <w:tcW w:w="540" w:type="dxa"/>
            <w:vAlign w:val="bottom"/>
          </w:tcPr>
          <w:p>
            <w:pPr>
              <w:jc w:val="right"/>
              <w:ind w:right="97"/>
              <w:spacing w:after="0"/>
              <w:rPr>
                <w:sz w:val="20"/>
                <w:szCs w:val="20"/>
                <w:color w:val="auto"/>
              </w:rPr>
            </w:pPr>
            <w:r>
              <w:rPr>
                <w:rFonts w:ascii="Arial" w:cs="Arial" w:eastAsia="Arial" w:hAnsi="Arial"/>
                <w:sz w:val="13"/>
                <w:szCs w:val="13"/>
                <w:color w:val="auto"/>
              </w:rPr>
              <w:t>77</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3"/>
          </w:tcPr>
          <w:p>
            <w:pPr>
              <w:ind w:left="7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(124)</w:t>
            </w:r>
          </w:p>
        </w:tc>
      </w:tr>
      <w:tr>
        <w:trPr>
          <w:trHeight w:val="310"/>
        </w:trPr>
        <w:tc>
          <w:tcPr>
            <w:tcW w:w="540" w:type="dxa"/>
            <w:vAlign w:val="bottom"/>
          </w:tcPr>
          <w:p>
            <w:pPr>
              <w:jc w:val="right"/>
              <w:ind w:right="57"/>
              <w:spacing w:after="0"/>
              <w:rPr>
                <w:sz w:val="20"/>
                <w:szCs w:val="20"/>
                <w:color w:val="auto"/>
              </w:rPr>
            </w:pPr>
            <w:r>
              <w:rPr>
                <w:rFonts w:ascii="Arial" w:cs="Arial" w:eastAsia="Arial" w:hAnsi="Arial"/>
                <w:sz w:val="13"/>
                <w:szCs w:val="13"/>
                <w:color w:val="auto"/>
              </w:rPr>
              <w:t>(676)</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24"/>
                <w:szCs w:val="24"/>
                <w:color w:val="auto"/>
              </w:rPr>
            </w:pPr>
          </w:p>
        </w:tc>
        <w:tc>
          <w:tcPr>
            <w:tcW w:w="1220" w:type="dxa"/>
            <w:vAlign w:val="bottom"/>
            <w:gridSpan w:val="3"/>
          </w:tcPr>
          <w:p>
            <w:pPr>
              <w:ind w:left="7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(676)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(586)</w:t>
            </w:r>
          </w:p>
        </w:tc>
      </w:tr>
      <w:tr>
        <w:trPr>
          <w:trHeight w:val="311"/>
        </w:trPr>
        <w:tc>
          <w:tcPr>
            <w:tcW w:w="540" w:type="dxa"/>
            <w:vAlign w:val="bottom"/>
          </w:tcPr>
          <w:p>
            <w:pPr>
              <w:jc w:val="right"/>
              <w:ind w:right="57"/>
              <w:spacing w:after="0"/>
              <w:rPr>
                <w:sz w:val="20"/>
                <w:szCs w:val="20"/>
                <w:color w:val="auto"/>
              </w:rPr>
            </w:pPr>
            <w:r>
              <w:rPr>
                <w:rFonts w:ascii="Arial" w:cs="Arial" w:eastAsia="Arial" w:hAnsi="Arial"/>
                <w:sz w:val="13"/>
                <w:szCs w:val="13"/>
                <w:color w:val="auto"/>
              </w:rPr>
              <w:t>(65)</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3"/>
          </w:tcPr>
          <w:p>
            <w:pPr>
              <w:ind w:left="7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(901)</w:t>
            </w:r>
          </w:p>
        </w:tc>
      </w:tr>
      <w:tr>
        <w:trPr>
          <w:trHeight w:val="310"/>
        </w:trPr>
        <w:tc>
          <w:tcPr>
            <w:tcW w:w="540" w:type="dxa"/>
            <w:vAlign w:val="bottom"/>
          </w:tcPr>
          <w:p>
            <w:pPr>
              <w:jc w:val="right"/>
              <w:ind w:right="97"/>
              <w:spacing w:after="0"/>
              <w:rPr>
                <w:sz w:val="20"/>
                <w:szCs w:val="20"/>
                <w:color w:val="auto"/>
              </w:rPr>
            </w:pPr>
            <w:r>
              <w:rPr>
                <w:rFonts w:ascii="Arial" w:cs="Arial" w:eastAsia="Arial" w:hAnsi="Arial"/>
                <w:sz w:val="13"/>
                <w:szCs w:val="13"/>
                <w:color w:val="auto"/>
              </w:rPr>
              <w:t>879</w:t>
            </w:r>
          </w:p>
        </w:tc>
        <w:tc>
          <w:tcPr>
            <w:tcW w:w="600" w:type="dxa"/>
            <w:vAlign w:val="bottom"/>
          </w:tcPr>
          <w:p>
            <w:pPr>
              <w:jc w:val="right"/>
              <w:spacing w:after="0"/>
              <w:rPr>
                <w:sz w:val="20"/>
                <w:szCs w:val="20"/>
                <w:color w:val="auto"/>
              </w:rPr>
            </w:pPr>
            <w:r>
              <w:rPr>
                <w:rFonts w:ascii="Arial" w:cs="Arial" w:eastAsia="Arial" w:hAnsi="Arial"/>
                <w:sz w:val="13"/>
                <w:szCs w:val="13"/>
                <w:color w:val="auto"/>
              </w:rPr>
              <w:t>(694)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3"/>
          </w:tcPr>
          <w:p>
            <w:pPr>
              <w:ind w:left="7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1,264</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339</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504</w:t>
            </w:r>
          </w:p>
        </w:tc>
      </w:tr>
      <w:tr>
        <w:trPr>
          <w:trHeight w:val="320"/>
        </w:trPr>
        <w:tc>
          <w:tcPr>
            <w:tcW w:w="540" w:type="dxa"/>
            <w:vAlign w:val="bottom"/>
          </w:tcPr>
          <w:p>
            <w:pPr>
              <w:jc w:val="right"/>
              <w:ind w:right="97"/>
              <w:spacing w:after="0"/>
              <w:rPr>
                <w:sz w:val="20"/>
                <w:szCs w:val="20"/>
                <w:color w:val="auto"/>
              </w:rPr>
            </w:pPr>
            <w:r>
              <w:rPr>
                <w:rFonts w:ascii="Arial" w:cs="Arial" w:eastAsia="Arial" w:hAnsi="Arial"/>
                <w:sz w:val="13"/>
                <w:szCs w:val="13"/>
                <w:color w:val="auto"/>
              </w:rPr>
              <w:t>3,293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(454)</w:t>
            </w: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w w:val="97"/>
              </w:rPr>
              <w:t>(2,309)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(2,548)</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(4,722)</w:t>
            </w:r>
          </w:p>
        </w:tc>
      </w:tr>
      <w:tr>
        <w:trPr>
          <w:trHeight w:val="281"/>
        </w:trPr>
        <w:tc>
          <w:tcPr>
            <w:tcW w:w="540" w:type="dxa"/>
            <w:vAlign w:val="bottom"/>
          </w:tcPr>
          <w:p>
            <w:pPr>
              <w:jc w:val="right"/>
              <w:ind w:right="97"/>
              <w:spacing w:after="0"/>
              <w:rPr>
                <w:sz w:val="20"/>
                <w:szCs w:val="20"/>
                <w:color w:val="auto"/>
              </w:rPr>
            </w:pPr>
            <w:r>
              <w:rPr>
                <w:rFonts w:ascii="Arial" w:cs="Arial" w:eastAsia="Arial" w:hAnsi="Arial"/>
                <w:sz w:val="13"/>
                <w:szCs w:val="13"/>
                <w:color w:val="auto"/>
                <w:w w:val="90"/>
              </w:rPr>
              <w:t>16,140</w:t>
            </w:r>
          </w:p>
        </w:tc>
        <w:tc>
          <w:tcPr>
            <w:tcW w:w="600" w:type="dxa"/>
            <w:vAlign w:val="bottom"/>
          </w:tcPr>
          <w:p>
            <w:pPr>
              <w:jc w:val="right"/>
              <w:spacing w:after="0"/>
              <w:rPr>
                <w:sz w:val="20"/>
                <w:szCs w:val="20"/>
                <w:color w:val="auto"/>
              </w:rPr>
            </w:pPr>
            <w:r>
              <w:rPr>
                <w:rFonts w:ascii="Arial" w:cs="Arial" w:eastAsia="Arial" w:hAnsi="Arial"/>
                <w:sz w:val="13"/>
                <w:szCs w:val="13"/>
                <w:color w:val="auto"/>
              </w:rPr>
              <w:t>(1,420)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4,862</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ind w:left="540"/>
              <w:spacing w:after="0"/>
              <w:rPr>
                <w:sz w:val="20"/>
                <w:szCs w:val="20"/>
                <w:color w:val="auto"/>
              </w:rPr>
            </w:pPr>
            <w:r>
              <w:rPr>
                <w:rFonts w:ascii="Arial" w:cs="Arial" w:eastAsia="Arial" w:hAnsi="Arial"/>
                <w:sz w:val="13"/>
                <w:szCs w:val="13"/>
                <w:color w:val="auto"/>
                <w:w w:val="97"/>
              </w:rPr>
              <w:t>(2,309)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17,273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11,606</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3,830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10,419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-2183765</wp:posOffset>
            </wp:positionV>
            <wp:extent cx="7132320" cy="111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-1798320</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-1249680</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-777875</wp:posOffset>
            </wp:positionV>
            <wp:extent cx="713232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-383540</wp:posOffset>
            </wp:positionV>
            <wp:extent cx="713232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326" w:lineRule="exact"/>
        <w:rPr>
          <w:sz w:val="20"/>
          <w:szCs w:val="20"/>
          <w:color w:val="auto"/>
        </w:rPr>
      </w:pPr>
    </w:p>
    <w:p>
      <w:pPr>
        <w:sectPr>
          <w:pgSz w:w="11900" w:h="16838" w:orient="portrait"/>
          <w:cols w:equalWidth="0" w:num="2">
            <w:col w:w="1940" w:space="200"/>
            <w:col w:w="9100"/>
          </w:cols>
          <w:pgMar w:left="320" w:top="850" w:right="3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1860" w:type="dxa"/>
            <w:vAlign w:val="bottom"/>
          </w:tcPr>
          <w:p>
            <w:pPr>
              <w:ind w:left="14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(7,072)</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(5,771)</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(5,933)</w:t>
            </w:r>
          </w:p>
        </w:tc>
        <w:tc>
          <w:tcPr>
            <w:tcW w:w="0" w:type="dxa"/>
            <w:vAlign w:val="bottom"/>
          </w:tcPr>
          <w:p>
            <w:pPr>
              <w:spacing w:after="0"/>
              <w:rPr>
                <w:sz w:val="1"/>
                <w:szCs w:val="1"/>
                <w:color w:val="auto"/>
              </w:rPr>
            </w:pPr>
          </w:p>
        </w:tc>
      </w:tr>
      <w:tr>
        <w:trPr>
          <w:trHeight w:val="129"/>
        </w:trPr>
        <w:tc>
          <w:tcPr>
            <w:tcW w:w="18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Available-for-sale marketable</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securities, acquisitions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(2,430)</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(7,450)</w:t>
            </w:r>
          </w:p>
        </w:tc>
        <w:tc>
          <w:tcPr>
            <w:tcW w:w="0" w:type="dxa"/>
            <w:vAlign w:val="bottom"/>
          </w:tcPr>
          <w:p>
            <w:pPr>
              <w:spacing w:after="0"/>
              <w:rPr>
                <w:sz w:val="1"/>
                <w:szCs w:val="1"/>
                <w:color w:val="auto"/>
              </w:rPr>
            </w:pPr>
          </w:p>
        </w:tc>
      </w:tr>
      <w:tr>
        <w:trPr>
          <w:trHeight w:val="122"/>
        </w:trPr>
        <w:tc>
          <w:tcPr>
            <w:tcW w:w="1860" w:type="dxa"/>
            <w:vAlign w:val="bottom"/>
          </w:tcPr>
          <w:p>
            <w:pPr>
              <w:ind w:left="140"/>
              <w:spacing w:after="0" w:line="122" w:lineRule="exact"/>
              <w:rPr>
                <w:sz w:val="20"/>
                <w:szCs w:val="20"/>
                <w:color w:val="auto"/>
              </w:rPr>
            </w:pPr>
            <w:r>
              <w:rPr>
                <w:rFonts w:ascii="Arial" w:cs="Arial" w:eastAsia="Arial" w:hAnsi="Arial"/>
                <w:sz w:val="13"/>
                <w:szCs w:val="13"/>
                <w:color w:val="auto"/>
              </w:rPr>
              <w:t>Available-for-sale marketable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60" w:type="dxa"/>
            <w:vAlign w:val="bottom"/>
          </w:tcPr>
          <w:p>
            <w:pPr>
              <w:ind w:left="300"/>
              <w:spacing w:after="0"/>
              <w:rPr>
                <w:sz w:val="20"/>
                <w:szCs w:val="20"/>
                <w:color w:val="auto"/>
              </w:rPr>
            </w:pPr>
            <w:r>
              <w:rPr>
                <w:rFonts w:ascii="Arial" w:cs="Arial" w:eastAsia="Arial" w:hAnsi="Arial"/>
                <w:sz w:val="13"/>
                <w:szCs w:val="13"/>
                <w:color w:val="auto"/>
              </w:rPr>
              <w:t>securities, liquidations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4,966</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1,709</w:t>
            </w:r>
          </w:p>
        </w:tc>
        <w:tc>
          <w:tcPr>
            <w:tcW w:w="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6,675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3,743</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2,416</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6,145</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Purchases of finance</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receivables, net(a)</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(28,376)</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(29,212)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2,768</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(26,444)</w:t>
            </w:r>
          </w:p>
        </w:tc>
        <w:tc>
          <w:tcPr>
            <w:tcW w:w="0" w:type="dxa"/>
            <w:vAlign w:val="bottom"/>
          </w:tcPr>
          <w:p>
            <w:pPr>
              <w:spacing w:after="0"/>
              <w:rPr>
                <w:sz w:val="1"/>
                <w:szCs w:val="1"/>
                <w:color w:val="auto"/>
              </w:rPr>
            </w:pPr>
          </w:p>
        </w:tc>
      </w:tr>
      <w:tr>
        <w:trPr>
          <w:trHeight w:val="121"/>
        </w:trPr>
        <w:tc>
          <w:tcPr>
            <w:tcW w:w="1860" w:type="dxa"/>
            <w:vAlign w:val="bottom"/>
          </w:tcPr>
          <w:p>
            <w:pPr>
              <w:ind w:left="140"/>
              <w:spacing w:after="0" w:line="122" w:lineRule="exact"/>
              <w:rPr>
                <w:sz w:val="20"/>
                <w:szCs w:val="20"/>
                <w:color w:val="auto"/>
              </w:rPr>
            </w:pPr>
            <w:r>
              <w:rPr>
                <w:rFonts w:ascii="Arial" w:cs="Arial" w:eastAsia="Arial" w:hAnsi="Arial"/>
                <w:sz w:val="13"/>
                <w:szCs w:val="13"/>
                <w:color w:val="auto"/>
              </w:rPr>
              <w:t>Principal collections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tcPr>
          <w:p>
            <w:pPr>
              <w:ind w:left="300"/>
              <w:spacing w:after="0" w:line="122" w:lineRule="exact"/>
              <w:rPr>
                <w:sz w:val="20"/>
                <w:szCs w:val="20"/>
                <w:color w:val="auto"/>
              </w:rPr>
            </w:pPr>
            <w:r>
              <w:rPr>
                <w:rFonts w:ascii="Arial" w:cs="Arial" w:eastAsia="Arial" w:hAnsi="Arial"/>
                <w:sz w:val="13"/>
                <w:szCs w:val="13"/>
                <w:color w:val="auto"/>
              </w:rPr>
              <w:t>recoveries on finance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60" w:type="dxa"/>
            <w:vAlign w:val="bottom"/>
          </w:tcPr>
          <w:p>
            <w:pPr>
              <w:ind w:left="300"/>
              <w:spacing w:after="0"/>
              <w:rPr>
                <w:sz w:val="20"/>
                <w:szCs w:val="20"/>
                <w:color w:val="auto"/>
              </w:rPr>
            </w:pPr>
            <w:r>
              <w:rPr>
                <w:rFonts w:ascii="Arial" w:cs="Arial" w:eastAsia="Arial" w:hAnsi="Arial"/>
                <w:sz w:val="13"/>
                <w:szCs w:val="13"/>
                <w:color w:val="auto"/>
              </w:rPr>
              <w:t>receivables</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21,132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21,135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20,604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20,522</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w w:val="98"/>
              </w:rPr>
              <w:t>Purchases of leased vehicles,</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(10,247)</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(9,062)</w:t>
            </w:r>
          </w:p>
        </w:tc>
        <w:tc>
          <w:tcPr>
            <w:tcW w:w="0" w:type="dxa"/>
            <w:vAlign w:val="bottom"/>
          </w:tcPr>
          <w:p>
            <w:pPr>
              <w:spacing w:after="0"/>
              <w:rPr>
                <w:sz w:val="1"/>
                <w:szCs w:val="1"/>
                <w:color w:val="auto"/>
              </w:rPr>
            </w:pPr>
          </w:p>
        </w:tc>
      </w:tr>
      <w:tr>
        <w:trPr>
          <w:trHeight w:val="122"/>
        </w:trPr>
        <w:tc>
          <w:tcPr>
            <w:tcW w:w="1860" w:type="dxa"/>
            <w:vAlign w:val="bottom"/>
          </w:tcPr>
          <w:p>
            <w:pPr>
              <w:ind w:left="140"/>
              <w:spacing w:after="0" w:line="122" w:lineRule="exact"/>
              <w:rPr>
                <w:sz w:val="20"/>
                <w:szCs w:val="20"/>
                <w:color w:val="auto"/>
              </w:rPr>
            </w:pPr>
            <w:r>
              <w:rPr>
                <w:rFonts w:ascii="Arial" w:cs="Arial" w:eastAsia="Arial" w:hAnsi="Arial"/>
                <w:sz w:val="13"/>
                <w:szCs w:val="13"/>
                <w:color w:val="auto"/>
              </w:rPr>
              <w:t>Proceeds from termination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60" w:type="dxa"/>
            <w:vAlign w:val="bottom"/>
          </w:tcPr>
          <w:p>
            <w:pPr>
              <w:ind w:left="300"/>
              <w:spacing w:after="0"/>
              <w:rPr>
                <w:sz w:val="20"/>
                <w:szCs w:val="20"/>
                <w:color w:val="auto"/>
              </w:rPr>
            </w:pPr>
            <w:r>
              <w:rPr>
                <w:rFonts w:ascii="Arial" w:cs="Arial" w:eastAsia="Arial" w:hAnsi="Arial"/>
                <w:sz w:val="13"/>
                <w:szCs w:val="13"/>
                <w:color w:val="auto"/>
              </w:rPr>
              <w:t>leased vehicles</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9,860</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9,860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11,052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11,052</w:t>
            </w:r>
          </w:p>
        </w:tc>
        <w:tc>
          <w:tcPr>
            <w:tcW w:w="0" w:type="dxa"/>
            <w:vAlign w:val="bottom"/>
          </w:tcPr>
          <w:p>
            <w:pPr>
              <w:spacing w:after="0"/>
              <w:rPr>
                <w:sz w:val="1"/>
                <w:szCs w:val="1"/>
                <w:color w:val="auto"/>
              </w:rPr>
            </w:pPr>
          </w:p>
        </w:tc>
      </w:tr>
      <w:tr>
        <w:trPr>
          <w:trHeight w:val="184"/>
        </w:trPr>
        <w:tc>
          <w:tcPr>
            <w:tcW w:w="186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Other investing activities(b)(d)</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(4,020)</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4,299</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01"/>
        </w:trPr>
        <w:tc>
          <w:tcPr>
            <w:tcW w:w="18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cash provided by (used</w:t>
            </w: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180"/>
              <w:spacing w:after="0"/>
              <w:rPr>
                <w:sz w:val="20"/>
                <w:szCs w:val="20"/>
                <w:color w:val="auto"/>
              </w:rPr>
            </w:pPr>
            <w:r>
              <w:rPr>
                <w:rFonts w:ascii="Arial" w:cs="Arial" w:eastAsia="Arial" w:hAnsi="Arial"/>
                <w:sz w:val="13"/>
                <w:szCs w:val="13"/>
                <w:b w:val="1"/>
                <w:bCs w:val="1"/>
                <w:color w:val="auto"/>
              </w:rPr>
              <w:t>in) investing activities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(7,076)</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1,169</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(7,903)</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1,710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(12,100)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(11,067)</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(6,726)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6,976</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(10,971)</w:t>
            </w:r>
          </w:p>
        </w:tc>
        <w:tc>
          <w:tcPr>
            <w:tcW w:w="0" w:type="dxa"/>
            <w:vAlign w:val="bottom"/>
          </w:tcPr>
          <w:p>
            <w:pPr>
              <w:spacing w:after="0"/>
              <w:rPr>
                <w:sz w:val="1"/>
                <w:szCs w:val="1"/>
                <w:color w:val="auto"/>
              </w:rPr>
            </w:pPr>
          </w:p>
        </w:tc>
      </w:tr>
      <w:tr>
        <w:trPr>
          <w:trHeight w:val="128"/>
        </w:trPr>
        <w:tc>
          <w:tcPr>
            <w:tcW w:w="18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rPr>
              <w:t>Cash flows from financing</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860" w:type="dxa"/>
            <w:vAlign w:val="bottom"/>
          </w:tcPr>
          <w:p>
            <w:pPr>
              <w:ind w:left="140"/>
              <w:spacing w:after="0" w:line="122" w:lineRule="exact"/>
              <w:rPr>
                <w:sz w:val="20"/>
                <w:szCs w:val="20"/>
                <w:color w:val="auto"/>
              </w:rPr>
            </w:pPr>
            <w:r>
              <w:rPr>
                <w:rFonts w:ascii="Arial" w:cs="Arial" w:eastAsia="Arial" w:hAnsi="Arial"/>
                <w:sz w:val="13"/>
                <w:szCs w:val="13"/>
                <w:color w:val="auto"/>
              </w:rPr>
              <w:t>Net increase (decrease) in</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60" w:type="dxa"/>
            <w:vAlign w:val="bottom"/>
          </w:tcPr>
          <w:p>
            <w:pPr>
              <w:ind w:left="300"/>
              <w:spacing w:after="0"/>
              <w:rPr>
                <w:sz w:val="20"/>
                <w:szCs w:val="20"/>
                <w:color w:val="auto"/>
              </w:rPr>
            </w:pPr>
            <w:r>
              <w:rPr>
                <w:rFonts w:ascii="Arial" w:cs="Arial" w:eastAsia="Arial" w:hAnsi="Arial"/>
                <w:sz w:val="13"/>
                <w:szCs w:val="13"/>
                <w:color w:val="auto"/>
              </w:rPr>
              <w:t>short-term debt(d)</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1,189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1,208</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Proceeds from issuance of</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debt (original maturities</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greater than three months)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37,339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33,805</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36,053</w:t>
            </w:r>
          </w:p>
        </w:tc>
        <w:tc>
          <w:tcPr>
            <w:tcW w:w="0" w:type="dxa"/>
            <w:vAlign w:val="bottom"/>
          </w:tcPr>
          <w:p>
            <w:pPr>
              <w:spacing w:after="0"/>
              <w:rPr>
                <w:sz w:val="1"/>
                <w:szCs w:val="1"/>
                <w:color w:val="auto"/>
              </w:rPr>
            </w:pPr>
          </w:p>
        </w:tc>
      </w:tr>
      <w:tr>
        <w:trPr>
          <w:trHeight w:val="121"/>
        </w:trPr>
        <w:tc>
          <w:tcPr>
            <w:tcW w:w="1860" w:type="dxa"/>
            <w:vAlign w:val="bottom"/>
          </w:tcPr>
          <w:p>
            <w:pPr>
              <w:ind w:left="140"/>
              <w:spacing w:after="0" w:line="122" w:lineRule="exact"/>
              <w:rPr>
                <w:sz w:val="20"/>
                <w:szCs w:val="20"/>
                <w:color w:val="auto"/>
              </w:rPr>
            </w:pPr>
            <w:r>
              <w:rPr>
                <w:rFonts w:ascii="Arial" w:cs="Arial" w:eastAsia="Arial" w:hAnsi="Arial"/>
                <w:sz w:val="13"/>
                <w:szCs w:val="13"/>
                <w:color w:val="auto"/>
              </w:rPr>
              <w:t>Payments on debt (original</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tcPr>
          <w:p>
            <w:pPr>
              <w:ind w:left="300"/>
              <w:spacing w:after="0" w:line="122" w:lineRule="exact"/>
              <w:rPr>
                <w:sz w:val="20"/>
                <w:szCs w:val="20"/>
                <w:color w:val="auto"/>
              </w:rPr>
            </w:pPr>
            <w:r>
              <w:rPr>
                <w:rFonts w:ascii="Arial" w:cs="Arial" w:eastAsia="Arial" w:hAnsi="Arial"/>
                <w:sz w:val="13"/>
                <w:szCs w:val="13"/>
                <w:color w:val="auto"/>
              </w:rPr>
              <w:t>maturities greater than</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60" w:type="dxa"/>
            <w:vAlign w:val="bottom"/>
          </w:tcPr>
          <w:p>
            <w:pPr>
              <w:ind w:left="300"/>
              <w:spacing w:after="0"/>
              <w:rPr>
                <w:sz w:val="20"/>
                <w:szCs w:val="20"/>
                <w:color w:val="auto"/>
              </w:rPr>
            </w:pPr>
            <w:r>
              <w:rPr>
                <w:rFonts w:ascii="Arial" w:cs="Arial" w:eastAsia="Arial" w:hAnsi="Arial"/>
                <w:sz w:val="13"/>
                <w:szCs w:val="13"/>
                <w:color w:val="auto"/>
              </w:rPr>
              <w:t>three months)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(1,612)</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(31,650)</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(33,269)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(31,336)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(31,649)</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Payment to purchase</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common stock</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0" w:type="dxa"/>
            <w:vAlign w:val="bottom"/>
          </w:tcPr>
          <w:p>
            <w:pPr>
              <w:spacing w:after="0"/>
              <w:rPr>
                <w:sz w:val="1"/>
                <w:szCs w:val="1"/>
                <w:color w:val="auto"/>
              </w:rPr>
            </w:pPr>
          </w:p>
        </w:tc>
      </w:tr>
      <w:tr>
        <w:trPr>
          <w:trHeight w:val="121"/>
        </w:trPr>
        <w:tc>
          <w:tcPr>
            <w:tcW w:w="1860" w:type="dxa"/>
            <w:vAlign w:val="bottom"/>
          </w:tcPr>
          <w:p>
            <w:pPr>
              <w:ind w:left="140"/>
              <w:spacing w:after="0" w:line="122" w:lineRule="exact"/>
              <w:rPr>
                <w:sz w:val="20"/>
                <w:szCs w:val="20"/>
                <w:color w:val="auto"/>
              </w:rPr>
            </w:pPr>
            <w:r>
              <w:rPr>
                <w:rFonts w:ascii="Arial" w:cs="Arial" w:eastAsia="Arial" w:hAnsi="Arial"/>
                <w:sz w:val="13"/>
                <w:szCs w:val="13"/>
                <w:color w:val="auto"/>
              </w:rPr>
              <w:t>Issuance (redemption)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60" w:type="dxa"/>
            <w:vAlign w:val="bottom"/>
          </w:tcPr>
          <w:p>
            <w:pPr>
              <w:ind w:left="300"/>
              <w:spacing w:after="0"/>
              <w:rPr>
                <w:sz w:val="20"/>
                <w:szCs w:val="20"/>
                <w:color w:val="auto"/>
              </w:rPr>
            </w:pPr>
            <w:r>
              <w:rPr>
                <w:rFonts w:ascii="Arial" w:cs="Arial" w:eastAsia="Arial" w:hAnsi="Arial"/>
                <w:sz w:val="13"/>
                <w:szCs w:val="13"/>
                <w:color w:val="auto"/>
              </w:rPr>
              <w:t>subsidiary stock(b)</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362</w:t>
            </w:r>
          </w:p>
        </w:tc>
        <w:tc>
          <w:tcPr>
            <w:tcW w:w="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(362)</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2,139</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(4,261)</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(2,121)</w:t>
            </w:r>
          </w:p>
        </w:tc>
        <w:tc>
          <w:tcPr>
            <w:tcW w:w="0" w:type="dxa"/>
            <w:vAlign w:val="bottom"/>
          </w:tcPr>
          <w:p>
            <w:pPr>
              <w:spacing w:after="0"/>
              <w:rPr>
                <w:sz w:val="1"/>
                <w:szCs w:val="1"/>
                <w:color w:val="auto"/>
              </w:rPr>
            </w:pPr>
          </w:p>
        </w:tc>
      </w:tr>
      <w:tr>
        <w:trPr>
          <w:trHeight w:val="184"/>
        </w:trPr>
        <w:tc>
          <w:tcPr>
            <w:tcW w:w="1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paid(c)</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69"/>
        </w:trPr>
        <w:tc>
          <w:tcPr>
            <w:tcW w:w="1860" w:type="dxa"/>
            <w:vAlign w:val="bottom"/>
          </w:tcPr>
          <w:p>
            <w:pPr>
              <w:ind w:left="140"/>
              <w:spacing w:after="0"/>
              <w:rPr>
                <w:sz w:val="20"/>
                <w:szCs w:val="20"/>
                <w:color w:val="auto"/>
              </w:rPr>
            </w:pPr>
            <w:r>
              <w:rPr>
                <w:rFonts w:ascii="Arial" w:cs="Arial" w:eastAsia="Arial" w:hAnsi="Arial"/>
                <w:sz w:val="13"/>
                <w:szCs w:val="13"/>
                <w:color w:val="auto"/>
              </w:rPr>
              <w:t>Other financing activities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(571)</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(1,022)</w:t>
            </w:r>
          </w:p>
        </w:tc>
        <w:tc>
          <w:tcPr>
            <w:tcW w:w="0" w:type="dxa"/>
            <w:vAlign w:val="bottom"/>
          </w:tcPr>
          <w:p>
            <w:pPr>
              <w:spacing w:after="0"/>
              <w:rPr>
                <w:sz w:val="1"/>
                <w:szCs w:val="1"/>
                <w:color w:val="auto"/>
              </w:rPr>
            </w:pPr>
          </w:p>
        </w:tc>
      </w:tr>
      <w:tr>
        <w:trPr>
          <w:trHeight w:val="108"/>
        </w:trPr>
        <w:tc>
          <w:tcPr>
            <w:tcW w:w="18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Net cash provided by (used</w:t>
            </w: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in) financing activities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4,080</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1,569</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2,408</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(3,275)</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0" w:type="dxa"/>
            <w:vAlign w:val="bottom"/>
          </w:tcPr>
          <w:p>
            <w:pPr>
              <w:spacing w:after="0"/>
              <w:rPr>
                <w:sz w:val="1"/>
                <w:szCs w:val="1"/>
                <w:color w:val="auto"/>
              </w:rPr>
            </w:pPr>
          </w:p>
        </w:tc>
      </w:tr>
      <w:tr>
        <w:trPr>
          <w:trHeight w:val="122"/>
        </w:trPr>
        <w:tc>
          <w:tcPr>
            <w:tcW w:w="1860" w:type="dxa"/>
            <w:vAlign w:val="bottom"/>
          </w:tcPr>
          <w:p>
            <w:pPr>
              <w:ind w:left="140"/>
              <w:spacing w:after="0" w:line="122" w:lineRule="exact"/>
              <w:rPr>
                <w:sz w:val="20"/>
                <w:szCs w:val="20"/>
                <w:color w:val="auto"/>
              </w:rPr>
            </w:pPr>
            <w:r>
              <w:rPr>
                <w:rFonts w:ascii="Arial" w:cs="Arial" w:eastAsia="Arial" w:hAnsi="Arial"/>
                <w:sz w:val="13"/>
                <w:szCs w:val="13"/>
                <w:color w:val="auto"/>
              </w:rPr>
              <w:t>Effect of exchange rate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60" w:type="dxa"/>
            <w:vAlign w:val="bottom"/>
          </w:tcPr>
          <w:p>
            <w:pPr>
              <w:ind w:left="300"/>
              <w:spacing w:after="0" w:line="122" w:lineRule="exact"/>
              <w:rPr>
                <w:sz w:val="20"/>
                <w:szCs w:val="20"/>
                <w:color w:val="auto"/>
              </w:rPr>
            </w:pPr>
            <w:r>
              <w:rPr>
                <w:rFonts w:ascii="Arial" w:cs="Arial" w:eastAsia="Arial" w:hAnsi="Arial"/>
                <w:sz w:val="13"/>
                <w:szCs w:val="13"/>
                <w:color w:val="auto"/>
              </w:rPr>
              <w:t>changes on cash, cash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60" w:type="dxa"/>
            <w:vAlign w:val="bottom"/>
          </w:tcPr>
          <w:p>
            <w:pPr>
              <w:ind w:left="300"/>
              <w:spacing w:after="0" w:line="134" w:lineRule="exact"/>
              <w:rPr>
                <w:sz w:val="20"/>
                <w:szCs w:val="20"/>
                <w:color w:val="auto"/>
              </w:rPr>
            </w:pPr>
            <w:r>
              <w:rPr>
                <w:rFonts w:ascii="Arial" w:cs="Arial" w:eastAsia="Arial" w:hAnsi="Arial"/>
                <w:sz w:val="13"/>
                <w:szCs w:val="13"/>
                <w:color w:val="auto"/>
              </w:rPr>
              <w:t>equivalents and restricted</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860" w:type="dxa"/>
            <w:vAlign w:val="bottom"/>
          </w:tcPr>
          <w:p>
            <w:pPr>
              <w:ind w:left="300"/>
              <w:spacing w:after="0"/>
              <w:rPr>
                <w:sz w:val="20"/>
                <w:szCs w:val="20"/>
                <w:color w:val="auto"/>
              </w:rPr>
            </w:pPr>
            <w:r>
              <w:rPr>
                <w:rFonts w:ascii="Arial" w:cs="Arial" w:eastAsia="Arial" w:hAnsi="Arial"/>
                <w:sz w:val="13"/>
                <w:szCs w:val="13"/>
                <w:color w:val="auto"/>
              </w:rPr>
              <w:t>cash</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08"/>
        </w:trPr>
        <w:tc>
          <w:tcPr>
            <w:tcW w:w="1860" w:type="dxa"/>
            <w:vAlign w:val="bottom"/>
            <w:tcBorders>
              <w:top w:val="single" w:sz="8" w:color="CCEEFF"/>
            </w:tcBorders>
            <w:shd w:val="clear" w:color="auto" w:fill="CCEEFF"/>
          </w:tcPr>
          <w:p>
            <w:pPr>
              <w:ind w:left="140"/>
              <w:spacing w:after="0" w:line="108" w:lineRule="exact"/>
              <w:rPr>
                <w:sz w:val="20"/>
                <w:szCs w:val="20"/>
                <w:color w:val="auto"/>
              </w:rPr>
            </w:pPr>
            <w:r>
              <w:rPr>
                <w:rFonts w:ascii="Arial" w:cs="Arial" w:eastAsia="Arial" w:hAnsi="Arial"/>
                <w:sz w:val="12"/>
                <w:szCs w:val="12"/>
                <w:color w:val="auto"/>
              </w:rPr>
              <w:t>Net increase (decrease) in</w:t>
            </w: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w w:val="98"/>
              </w:rPr>
              <w:t>cash, cash equivalents and</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restricted cash</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1,079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21"/>
        </w:trPr>
        <w:tc>
          <w:tcPr>
            <w:tcW w:w="1860" w:type="dxa"/>
            <w:vAlign w:val="bottom"/>
          </w:tcPr>
          <w:p>
            <w:pPr>
              <w:ind w:left="20"/>
              <w:spacing w:after="0" w:line="122" w:lineRule="exact"/>
              <w:rPr>
                <w:sz w:val="20"/>
                <w:szCs w:val="20"/>
                <w:color w:val="auto"/>
              </w:rPr>
            </w:pPr>
            <w:r>
              <w:rPr>
                <w:rFonts w:ascii="Arial" w:cs="Arial" w:eastAsia="Arial" w:hAnsi="Arial"/>
                <w:sz w:val="13"/>
                <w:szCs w:val="13"/>
                <w:color w:val="auto"/>
              </w:rPr>
              <w:t>Cash, cash equivalents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60" w:type="dxa"/>
            <w:vAlign w:val="bottom"/>
          </w:tcPr>
          <w:p>
            <w:pPr>
              <w:ind w:left="180"/>
              <w:spacing w:after="0" w:line="122" w:lineRule="exact"/>
              <w:rPr>
                <w:sz w:val="20"/>
                <w:szCs w:val="20"/>
                <w:color w:val="auto"/>
              </w:rPr>
            </w:pPr>
            <w:r>
              <w:rPr>
                <w:rFonts w:ascii="Arial" w:cs="Arial" w:eastAsia="Arial" w:hAnsi="Arial"/>
                <w:sz w:val="13"/>
                <w:szCs w:val="13"/>
                <w:color w:val="auto"/>
              </w:rPr>
              <w:t>restricted cash at beginning</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60" w:type="dxa"/>
            <w:vAlign w:val="bottom"/>
          </w:tcPr>
          <w:p>
            <w:pPr>
              <w:ind w:left="180"/>
              <w:spacing w:after="0"/>
              <w:rPr>
                <w:sz w:val="20"/>
                <w:szCs w:val="20"/>
                <w:color w:val="auto"/>
              </w:rPr>
            </w:pPr>
            <w:r>
              <w:rPr>
                <w:rFonts w:ascii="Arial" w:cs="Arial" w:eastAsia="Arial" w:hAnsi="Arial"/>
                <w:sz w:val="13"/>
                <w:szCs w:val="13"/>
                <w:color w:val="auto"/>
              </w:rPr>
              <w:t>of period</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13,746</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1,526</w:t>
            </w:r>
          </w:p>
        </w:tc>
        <w:tc>
          <w:tcPr>
            <w:tcW w:w="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6,676</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21,948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14,774</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1,584</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7,183</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23,542</w:t>
            </w:r>
          </w:p>
        </w:tc>
        <w:tc>
          <w:tcPr>
            <w:tcW w:w="0" w:type="dxa"/>
            <w:vAlign w:val="bottom"/>
          </w:tcPr>
          <w:p>
            <w:pPr>
              <w:spacing w:after="0"/>
              <w:rPr>
                <w:sz w:val="1"/>
                <w:szCs w:val="1"/>
                <w:color w:val="auto"/>
              </w:rPr>
            </w:pPr>
          </w:p>
        </w:tc>
      </w:tr>
      <w:tr>
        <w:trPr>
          <w:trHeight w:val="108"/>
        </w:trPr>
        <w:tc>
          <w:tcPr>
            <w:tcW w:w="18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Cash, cash equivalents and</w:t>
            </w: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6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restricted cash at end of</w:t>
            </w: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19,663</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1,560</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   7,755</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28,978</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15,132</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1,683</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6,684</w:t>
            </w: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477"/>
              <w:spacing w:after="0"/>
              <w:rPr>
                <w:sz w:val="20"/>
                <w:szCs w:val="20"/>
                <w:color w:val="auto"/>
              </w:rPr>
            </w:pPr>
            <w:r>
              <w:rPr>
                <w:rFonts w:ascii="Arial" w:cs="Arial" w:eastAsia="Arial" w:hAnsi="Arial"/>
                <w:sz w:val="13"/>
                <w:szCs w:val="13"/>
                <w:color w:val="auto"/>
                <w:w w:val="82"/>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23,499</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period</w:t>
            </w:r>
          </w:p>
        </w:tc>
        <w:tc>
          <w:tcPr>
            <w:tcW w:w="1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11" w:lineRule="exact"/>
        <w:rPr>
          <w:sz w:val="20"/>
          <w:szCs w:val="20"/>
          <w:color w:val="auto"/>
        </w:rPr>
      </w:pPr>
    </w:p>
    <w:p>
      <w:pPr>
        <w:ind w:left="340" w:hanging="332"/>
        <w:spacing w:after="0" w:line="248" w:lineRule="auto"/>
        <w:tabs>
          <w:tab w:leader="none" w:pos="337"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Includes reclassifications of $1.0 billion and $2.7 billion in the nine months ended September 30, 2023 and 2022 for purchases/collections of wholesale finance receivables resulting from vehicles sold by GM to dealers that have arranged their inventory floor plan financing through GM Financial.</w:t>
      </w:r>
    </w:p>
    <w:p>
      <w:pPr>
        <w:ind w:left="340" w:hanging="332"/>
        <w:spacing w:after="0" w:line="243" w:lineRule="auto"/>
        <w:tabs>
          <w:tab w:leader="none" w:pos="337"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Includes eliminations of $0.4 billion and $2.1 billion in the nine months ended September 30, 2023 and 2022 for Automotive investment in Cruise and reclassifications of $2.1 billion in the nine months ended September 30, 2022 for redemption of Cruise preferred shares from SoftBank.</w:t>
      </w:r>
    </w:p>
    <w:p>
      <w:pPr>
        <w:ind w:left="320" w:hanging="312"/>
        <w:spacing w:after="0"/>
        <w:tabs>
          <w:tab w:leader="none" w:pos="3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Eliminations include dividends issued by GM Financial to Automotive in the nine months ended September 30, 2023 and 2022.</w:t>
      </w:r>
    </w:p>
    <w:p>
      <w:pPr>
        <w:spacing w:after="0" w:line="3" w:lineRule="exact"/>
        <w:rPr>
          <w:rFonts w:ascii="Arial" w:cs="Arial" w:eastAsia="Arial" w:hAnsi="Arial"/>
          <w:sz w:val="11"/>
          <w:szCs w:val="11"/>
          <w:color w:val="auto"/>
        </w:rPr>
      </w:pPr>
    </w:p>
    <w:p>
      <w:pPr>
        <w:ind w:left="320" w:hanging="312"/>
        <w:spacing w:after="0"/>
        <w:tabs>
          <w:tab w:leader="none" w:pos="3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Includes eliminations of $0.3 billion of Intercompany loans due from Automotive to GM Financial in the nine months ended September 30, 2023.</w:t>
      </w:r>
    </w:p>
    <w:p>
      <w:pPr>
        <w:sectPr>
          <w:pgSz w:w="11900" w:h="16838" w:orient="portrait"/>
          <w:cols w:equalWidth="0" w:num="1">
            <w:col w:w="11240"/>
          </w:cols>
          <w:pgMar w:left="320" w:top="850" w:right="33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sectPr>
      <w:pgSz w:w="11900" w:h="16838" w:orient="portrait"/>
      <w:cols w:equalWidth="0" w:num="1">
        <w:col w:w="11240"/>
      </w:cols>
      <w:pgMar w:left="320" w:top="85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2023-10-24T06:24:03Z</dcterms:created>
  <dcterms:modified xsi:type="dcterms:W3CDTF">2023-10-24T06:24:03Z</dcterms:modified>
</cp:coreProperties>
</file>