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Free Writing Prospectus 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 the Preliminary Prospectus Supplement</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July 28, 2022 to the Prospectus dated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5, 2020. Registration Statement</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 333-236276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as of July 28, 2022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Senior Notes due 2029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5.600% Senior Notes due 2032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 Bonds</w:t>
      </w:r>
    </w:p>
    <w:p>
      <w:pPr>
        <w:spacing w:after="0" w:line="205"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relates only to the offering of the Securities and should be read together with the preliminary prospectus supplement of General Motors Company dated July 28, 2022 (the “Preliminary Prospectus Supplement”) to its prospectus dated February 5, 2020,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137160</wp:posOffset>
            </wp:positionV>
            <wp:extent cx="1491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Applicable to the Securities</w:t>
      </w:r>
    </w:p>
    <w:p>
      <w:pPr>
        <w:sectPr>
          <w:pgSz w:w="11900" w:h="16838" w:orient="portrait"/>
          <w:cols w:equalWidth="0" w:num="1">
            <w:col w:w="11240"/>
          </w:cols>
          <w:pgMar w:left="320" w:top="229" w:right="339" w:bottom="1440" w:gutter="0" w:footer="0" w:header="0"/>
        </w:sect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192" w:lineRule="exact"/>
        <w:rPr>
          <w:sz w:val="24"/>
          <w:szCs w:val="24"/>
          <w:color w:val="auto"/>
        </w:rPr>
      </w:pPr>
    </w:p>
    <w:p>
      <w:pPr>
        <w:sectPr>
          <w:pgSz w:w="11900" w:h="16838" w:orient="portrait"/>
          <w:cols w:equalWidth="0" w:num="2">
            <w:col w:w="2780" w:space="720"/>
            <w:col w:w="774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July 28, 2022</w:t>
      </w:r>
    </w:p>
    <w:p>
      <w:pPr>
        <w:spacing w:after="0" w:line="192" w:lineRule="exact"/>
        <w:rPr>
          <w:sz w:val="24"/>
          <w:szCs w:val="24"/>
          <w:color w:val="auto"/>
        </w:rPr>
      </w:pPr>
    </w:p>
    <w:p>
      <w:pPr>
        <w:sectPr>
          <w:pgSz w:w="11900" w:h="16838" w:orient="portrait"/>
          <w:cols w:equalWidth="0" w:num="2">
            <w:col w:w="2780" w:space="720"/>
            <w:col w:w="774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August 2, 2022 (T+3)*</w:t>
      </w:r>
    </w:p>
    <w:p>
      <w:pPr>
        <w:spacing w:after="0" w:line="192" w:lineRule="exact"/>
        <w:rPr>
          <w:sz w:val="24"/>
          <w:szCs w:val="24"/>
          <w:color w:val="auto"/>
        </w:rPr>
      </w:pPr>
    </w:p>
    <w:p>
      <w:pPr>
        <w:sectPr>
          <w:pgSz w:w="11900" w:h="16838" w:orient="portrait"/>
          <w:cols w:equalWidth="0" w:num="2">
            <w:col w:w="2780" w:space="720"/>
            <w:col w:w="774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Credit Agricole Securities (USA) Inc.</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76" w:lineRule="exact"/>
        <w:rPr>
          <w:sz w:val="24"/>
          <w:szCs w:val="24"/>
          <w:color w:val="auto"/>
        </w:rPr>
      </w:pPr>
    </w:p>
    <w:p>
      <w:pPr>
        <w:sectPr>
          <w:pgSz w:w="11900" w:h="16838" w:orient="portrait"/>
          <w:cols w:equalWidth="0" w:num="2">
            <w:col w:w="2780" w:space="720"/>
            <w:col w:w="774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Joint Lead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Intesa Sanpaolo S.p.A.</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Lloyds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Santander Investment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SG Americas Securities,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187" w:lineRule="exact"/>
        <w:rPr>
          <w:sz w:val="24"/>
          <w:szCs w:val="24"/>
          <w:color w:val="auto"/>
        </w:rPr>
      </w:pPr>
    </w:p>
    <w:p>
      <w:pPr>
        <w:sectPr>
          <w:pgSz w:w="11900" w:h="16838" w:orient="portrait"/>
          <w:cols w:equalWidth="0" w:num="2">
            <w:col w:w="2780" w:space="720"/>
            <w:col w:w="774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Commerz Markets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ING Financial Markets LLC</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ectPr>
          <w:pgSz w:w="11900" w:h="16838" w:orient="portrait"/>
          <w:cols w:equalWidth="0" w:num="2">
            <w:col w:w="2780" w:space="720"/>
            <w:col w:w="7740"/>
          </w:cols>
          <w:pgMar w:left="320" w:top="229" w:right="339" w:bottom="1440" w:gutter="0" w:footer="0" w:header="0"/>
          <w:type w:val="continuous"/>
        </w:sectPr>
      </w:pPr>
    </w:p>
    <w:bookmarkStart w:id="1" w:name="page2"/>
    <w:bookmarkEnd w:id="1"/>
    <w:p>
      <w:pPr>
        <w:ind w:left="3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Truist Securities, Inc.</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UniCredit Capital Markets LLC</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C.L. King &amp; Associates, Inc.</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Mischler Financial Group, Inc.</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Samuel A. Ramirez &amp; Company, Inc.</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Terms Applicable to the</w:t>
      </w:r>
    </w:p>
    <w:p>
      <w:pPr>
        <w:spacing w:after="0" w:line="1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5.400% Senior Notes due 2029</w:t>
      </w:r>
    </w:p>
    <w:p>
      <w:pPr>
        <w:sectPr>
          <w:pgSz w:w="11900" w:h="16838" w:orient="portrait"/>
          <w:cols w:equalWidth="0" w:num="1">
            <w:col w:w="10139"/>
          </w:cols>
          <w:pgMar w:left="320" w:top="270" w:right="1440"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5.400% Senior Notes due 2029</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Security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Senior Unsecured Notes</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$1,000,000,000</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99.908%, plus accrued and unpaid interest, if any, from August 2, 2022</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October 15, 2029</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5.400% per year</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5.417%</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+ 270 bps</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3.250% due June 30, 2029</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103-11; 2.717%</w:t>
      </w:r>
    </w:p>
    <w:p>
      <w:pPr>
        <w:spacing w:after="0" w:line="192" w:lineRule="exact"/>
        <w:rPr>
          <w:sz w:val="20"/>
          <w:szCs w:val="20"/>
          <w:color w:val="auto"/>
        </w:rPr>
      </w:pPr>
    </w:p>
    <w:p>
      <w:pPr>
        <w:sectPr>
          <w:pgSz w:w="11900" w:h="16838" w:orient="portrait"/>
          <w:cols w:equalWidth="0" w:num="2">
            <w:col w:w="2940" w:space="56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15 and October 15, beginning October 15, 2022</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1 and October 1</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 / 360</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Make-whole Call:</w:t>
      </w:r>
    </w:p>
    <w:p>
      <w:pPr>
        <w:spacing w:after="0" w:line="20" w:lineRule="exact"/>
        <w:rPr>
          <w:sz w:val="20"/>
          <w:szCs w:val="20"/>
          <w:color w:val="auto"/>
        </w:rPr>
      </w:pPr>
      <w:r>
        <w:rPr>
          <w:sz w:val="20"/>
          <w:szCs w:val="20"/>
          <w:color w:val="auto"/>
        </w:rPr>
        <w:br w:type="column"/>
      </w:r>
    </w:p>
    <w:p>
      <w:pPr>
        <w:jc w:val="center"/>
        <w:ind w:right="2119"/>
        <w:spacing w:after="0"/>
        <w:rPr>
          <w:sz w:val="20"/>
          <w:szCs w:val="20"/>
          <w:color w:val="auto"/>
        </w:rPr>
      </w:pPr>
      <w:r>
        <w:rPr>
          <w:rFonts w:ascii="Times New Roman" w:cs="Times New Roman" w:eastAsia="Times New Roman" w:hAnsi="Times New Roman"/>
          <w:sz w:val="17"/>
          <w:szCs w:val="17"/>
          <w:color w:val="auto"/>
        </w:rPr>
        <w:t>45 bps prior to August 15, 2029 (two months prior to maturity)</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On or after August 15, 2029 (two months prior to maturity)</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92"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Expected 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Baa3 by Moody’s Investors Service,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BBB by Standard &amp; Poor’s Ratings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BBB- by Fitch Ratings</w:t>
      </w:r>
    </w:p>
    <w:p>
      <w:pPr>
        <w:spacing w:after="0" w:line="176" w:lineRule="exact"/>
        <w:rPr>
          <w:sz w:val="20"/>
          <w:szCs w:val="20"/>
          <w:color w:val="auto"/>
        </w:rPr>
      </w:pPr>
    </w:p>
    <w:p>
      <w:pPr>
        <w:sectPr>
          <w:pgSz w:w="11900" w:h="16838" w:orient="portrait"/>
          <w:cols w:equalWidth="0" w:num="2">
            <w:col w:w="2780" w:space="720"/>
            <w:col w:w="6639"/>
          </w:cols>
          <w:pgMar w:left="32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37045VAY6 / US37045VAY65</w:t>
      </w:r>
    </w:p>
    <w:p>
      <w:pPr>
        <w:sectPr>
          <w:pgSz w:w="11900" w:h="16838" w:orient="portrait"/>
          <w:cols w:equalWidth="0" w:num="2">
            <w:col w:w="2780" w:space="720"/>
            <w:col w:w="6639"/>
          </w:cols>
          <w:pgMar w:left="320" w:top="270"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18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9"/>
              </w:rPr>
              <w:t>Terms Applicable to the</w:t>
            </w:r>
          </w:p>
        </w:tc>
      </w:tr>
      <w:tr>
        <w:trPr>
          <w:trHeight w:val="324"/>
        </w:trPr>
        <w:tc>
          <w:tcPr>
            <w:tcW w:w="1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8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5.600% Senior Notes due 2032</w:t>
            </w:r>
          </w:p>
        </w:tc>
      </w:tr>
      <w:tr>
        <w:trPr>
          <w:trHeight w:val="459"/>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5.600% Senior Notes due 2032</w:t>
            </w:r>
          </w:p>
        </w:tc>
      </w:tr>
      <w:tr>
        <w:trPr>
          <w:trHeight w:val="391"/>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Senior Unsecured Notes</w:t>
            </w: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3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$1,250,000,000</w:t>
            </w:r>
          </w:p>
        </w:tc>
        <w:tc>
          <w:tcPr>
            <w:tcW w:w="1820" w:type="dxa"/>
            <w:vAlign w:val="bottom"/>
          </w:tcPr>
          <w:p>
            <w:pPr>
              <w:spacing w:after="0"/>
              <w:rPr>
                <w:sz w:val="24"/>
                <w:szCs w:val="24"/>
                <w:color w:val="auto"/>
              </w:rPr>
            </w:pP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Price to Public:</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99.756%, plus accrued and unpaid interest, if any, from August 2, 2022</w:t>
            </w: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October 15, 2032</w:t>
            </w:r>
          </w:p>
        </w:tc>
      </w:tr>
      <w:tr>
        <w:trPr>
          <w:trHeight w:val="391"/>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Coupon (Interest Rate):</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5.600% per year</w:t>
            </w: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1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5.633%</w:t>
            </w:r>
          </w:p>
        </w:tc>
        <w:tc>
          <w:tcPr>
            <w:tcW w:w="23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+ 295 bps</w:t>
            </w: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2.875% due May 15, 2032</w:t>
            </w:r>
          </w:p>
        </w:tc>
      </w:tr>
      <w:tr>
        <w:trPr>
          <w:trHeight w:val="391"/>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Benchmark Treasury Price and Yield:</w:t>
            </w:r>
          </w:p>
        </w:tc>
        <w:tc>
          <w:tcPr>
            <w:tcW w:w="3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101-20+; 2.683%</w:t>
            </w:r>
          </w:p>
        </w:tc>
        <w:tc>
          <w:tcPr>
            <w:tcW w:w="1820" w:type="dxa"/>
            <w:vAlign w:val="bottom"/>
          </w:tcPr>
          <w:p>
            <w:pPr>
              <w:spacing w:after="0"/>
              <w:rPr>
                <w:sz w:val="24"/>
                <w:szCs w:val="24"/>
                <w:color w:val="auto"/>
              </w:rPr>
            </w:pP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April 15 and October 15, beginning October 15, 2022</w:t>
            </w: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April 1 and October 1</w:t>
            </w: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tc>
        <w:tc>
          <w:tcPr>
            <w:tcW w:w="1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30/360</w:t>
            </w:r>
          </w:p>
        </w:tc>
        <w:tc>
          <w:tcPr>
            <w:tcW w:w="23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91"/>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Make-whole Call:</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45 bps prior to July 15, 2032 (three months prior to maturity)</w:t>
            </w: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 Call:</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On or after July 15, 2032 (three months prior to maturity)</w:t>
            </w: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r>
      <w:tr>
        <w:trPr>
          <w:trHeight w:val="373"/>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Expected Ratings**:</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Baa3 by Moody’s Investors Service, Inc.</w:t>
            </w:r>
          </w:p>
        </w:tc>
      </w:tr>
      <w:tr>
        <w:trPr>
          <w:trHeight w:val="216"/>
        </w:trPr>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BBB by Standard &amp; Poor’s Ratings Services</w:t>
            </w:r>
          </w:p>
        </w:tc>
      </w:tr>
      <w:tr>
        <w:trPr>
          <w:trHeight w:val="234"/>
        </w:trPr>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BBB- by Fitch Ratings</w:t>
            </w:r>
          </w:p>
        </w:tc>
      </w:tr>
      <w:tr>
        <w:trPr>
          <w:trHeight w:val="405"/>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 ISIN:</w:t>
            </w:r>
          </w:p>
        </w:tc>
        <w:tc>
          <w:tcPr>
            <w:tcW w:w="5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37045V AZ3 / US37045VAZ31</w:t>
            </w:r>
          </w:p>
        </w:tc>
      </w:tr>
      <w:tr>
        <w:trPr>
          <w:trHeight w:val="229"/>
        </w:trPr>
        <w:tc>
          <w:tcPr>
            <w:tcW w:w="1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1820" w:type="dxa"/>
            <w:vAlign w:val="bottom"/>
          </w:tcPr>
          <w:p>
            <w:pPr>
              <w:spacing w:after="0"/>
              <w:rPr>
                <w:sz w:val="19"/>
                <w:szCs w:val="19"/>
                <w:color w:val="auto"/>
              </w:rPr>
            </w:pPr>
          </w:p>
        </w:tc>
      </w:tr>
      <w:tr>
        <w:trPr>
          <w:trHeight w:val="304"/>
        </w:trPr>
        <w:tc>
          <w:tcPr>
            <w:tcW w:w="124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firstLine="8"/>
        <w:spacing w:after="0" w:line="262" w:lineRule="auto"/>
        <w:tabs>
          <w:tab w:leader="none" w:pos="13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 Rule 15c6-1 of the Exchange Act, trades in the secondary market are generally required to settle in two business days, unless the parties to any such trade expressly agree otherwise. Accordingly, purchasers who wish to trade notes before the second business day prior to settlement will be required, by virtue of the fact that the notes initially will settle T + 3, to specify an alternative settlement cycle at the time of any such trade to prevent a failed settlement. Purchasers of the notes who wish to trade the notes prior to settlement should consult their own advisor.</w:t>
      </w:r>
    </w:p>
    <w:p>
      <w:pPr>
        <w:spacing w:after="0" w:line="68"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A security rating is not a recommendation to buy, sell or hold securities and may be subject to revision or withdrawal at any time.</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contacting Barclays Capital Inc., c/o Broadridge Financial Solutions, 1155 Long Island Avenue, Edgewood, New York 11717 (or by email at barclaysprospectus@broadridge.com or telephone at 1-888-603-5847), BNP Paribas Securities Corp.,</w:t>
      </w:r>
    </w:p>
    <w:p>
      <w:pPr>
        <w:sectPr>
          <w:pgSz w:w="11900" w:h="16838" w:orient="portrait"/>
          <w:cols w:equalWidth="0" w:num="1">
            <w:col w:w="11180"/>
          </w:cols>
          <w:pgMar w:left="320" w:top="266"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787 7th Avenue, 3rd Floor New York, New York 10019 or by calling toll-free at 1-800-854-5674, BofA Securities, Inc., 200 North College Street,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NC1-004-03-43, Charlotte, North Carolina 28255-0001, Attn: Prospectus Department, Toll-free: 1-800-294-1322,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dg.prospectus_requests@bofa.com, Citigroup Global Markets Inc., c/o Broadridge Financial Solutions, 1155 Long Island Avenue, Edgewood,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11717 or by telephone at 1-800-831-9146, Credit Agricole Securities (USA) Inc., Attention: Fixed Income Syndicate, 1301 Avenue of the Americas,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17th Floor, New York, New York 10019 or by calling toll-free at 1-866-807-6030, Goldman Sachs &amp; Co. LLC, Attention: Prospectus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200 West Street, New York, New York 10282, telephone: 1-866-471-2526, facsimile: 212-902-9316 or by emailing prospectus-ny@ny.email.gs.com,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 Morgan Securities LLC collect at 1-212-834-4533, or Morgan Stanley &amp; Co. LLC, Attention: Prospectus Department, 180 Varick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2nd Floor, New York, NY 10014 or by calling toll-free at 1-866-718-1649.</w:t>
      </w:r>
    </w:p>
    <w:p>
      <w:pPr>
        <w:spacing w:after="0" w:line="9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Securities in any state or jurisdiction in which such offer, solicitation or sale would be unlawful.</w:t>
      </w:r>
    </w:p>
    <w:p>
      <w:pPr>
        <w:spacing w:after="0" w:line="6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160"/>
      </w:cols>
      <w:pgMar w:left="320" w:top="26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2022-07-29T05:25:00Z</dcterms:created>
  <dcterms:modified xsi:type="dcterms:W3CDTF">2022-07-29T05:25:00Z</dcterms:modified>
</cp:coreProperties>
</file>