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Motors Company (“GM”) held its 2021 Annual Meeting of Shareholders on June 14, 2021.</w:t>
      </w:r>
    </w:p>
    <w:p>
      <w:pPr>
        <w:spacing w:after="0" w:line="130" w:lineRule="exact"/>
        <w:rPr>
          <w:rFonts w:ascii="Arial" w:cs="Arial" w:eastAsia="Arial" w:hAnsi="Arial"/>
          <w:sz w:val="18"/>
          <w:szCs w:val="18"/>
          <w:color w:val="auto"/>
        </w:rPr>
      </w:pPr>
    </w:p>
    <w:p>
      <w:pPr>
        <w:ind w:left="424" w:right="320" w:hanging="424"/>
        <w:spacing w:after="0" w:line="25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GM shareholders voted on the matters set forth below, with final voting results indicated. For the election of Directors, each nominee who received a majority of votes cast (</w:t>
      </w:r>
      <w:r>
        <w:rPr>
          <w:rFonts w:ascii="Arial" w:cs="Arial" w:eastAsia="Arial" w:hAnsi="Arial"/>
          <w:sz w:val="18"/>
          <w:szCs w:val="18"/>
          <w:i w:val="1"/>
          <w:iCs w:val="1"/>
          <w:color w:val="auto"/>
        </w:rPr>
        <w:t>i.e.</w:t>
      </w:r>
      <w:r>
        <w:rPr>
          <w:rFonts w:ascii="Arial" w:cs="Arial" w:eastAsia="Arial" w:hAnsi="Arial"/>
          <w:sz w:val="18"/>
          <w:szCs w:val="18"/>
          <w:color w:val="auto"/>
        </w:rPr>
        <w:t>, votes for exceeded votes against, with abstentions having no effect) was elected as a Director. All other items were approved if the number of shares voted for exceeded the number of shares voted against, with abstentions counted as votes against. The proposals are further described in the Company’s definitive proxy statement on Schedule 14A filed with the U.S. Securities and Exchange Commission on April 30, 2021.</w:t>
      </w:r>
    </w:p>
    <w:p>
      <w:pPr>
        <w:spacing w:after="0" w:line="79" w:lineRule="exact"/>
        <w:rPr>
          <w:rFonts w:ascii="Arial" w:cs="Arial" w:eastAsia="Arial" w:hAnsi="Arial"/>
          <w:sz w:val="18"/>
          <w:szCs w:val="18"/>
          <w:color w:val="auto"/>
        </w:rPr>
      </w:pPr>
    </w:p>
    <w:p>
      <w:pPr>
        <w:ind w:left="824" w:hanging="384"/>
        <w:spacing w:after="0"/>
        <w:tabs>
          <w:tab w:leader="none" w:pos="824"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Election of Directors. </w:t>
      </w:r>
      <w:r>
        <w:rPr>
          <w:rFonts w:ascii="Arial" w:cs="Arial" w:eastAsia="Arial" w:hAnsi="Arial"/>
          <w:sz w:val="18"/>
          <w:szCs w:val="18"/>
          <w:color w:val="auto"/>
        </w:rPr>
        <w:t>GM’s shareholders elected the Board’s nominees for one-year terms: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640" w:type="dxa"/>
            <w:vAlign w:val="bottom"/>
          </w:tcPr>
          <w:p>
            <w:pPr>
              <w:ind w:left="2680"/>
              <w:spacing w:after="0"/>
              <w:rPr>
                <w:sz w:val="20"/>
                <w:szCs w:val="20"/>
                <w:color w:val="auto"/>
              </w:rPr>
            </w:pPr>
            <w:r>
              <w:rPr>
                <w:rFonts w:ascii="Arial" w:cs="Arial" w:eastAsia="Arial" w:hAnsi="Arial"/>
                <w:sz w:val="14"/>
                <w:szCs w:val="14"/>
                <w:b w:val="1"/>
                <w:bCs w:val="1"/>
                <w:color w:val="auto"/>
              </w:rPr>
              <w:t>Director</w:t>
            </w:r>
          </w:p>
        </w:tc>
        <w:tc>
          <w:tcPr>
            <w:tcW w:w="2560" w:type="dxa"/>
            <w:vAlign w:val="bottom"/>
          </w:tcPr>
          <w:p>
            <w:pPr>
              <w:jc w:val="right"/>
              <w:ind w:right="271"/>
              <w:spacing w:after="0"/>
              <w:rPr>
                <w:sz w:val="20"/>
                <w:szCs w:val="20"/>
                <w:color w:val="auto"/>
              </w:rPr>
            </w:pPr>
            <w:r>
              <w:rPr>
                <w:rFonts w:ascii="Arial" w:cs="Arial" w:eastAsia="Arial" w:hAnsi="Arial"/>
                <w:sz w:val="14"/>
                <w:szCs w:val="14"/>
                <w:b w:val="1"/>
                <w:bCs w:val="1"/>
                <w:color w:val="auto"/>
              </w:rPr>
              <w:t>Votes For</w:t>
            </w:r>
          </w:p>
        </w:tc>
        <w:tc>
          <w:tcPr>
            <w:tcW w:w="600" w:type="dxa"/>
            <w:vAlign w:val="bottom"/>
          </w:tcPr>
          <w:p>
            <w:pPr>
              <w:jc w:val="right"/>
              <w:ind w:right="151"/>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Votes Against</w:t>
            </w:r>
          </w:p>
        </w:tc>
        <w:tc>
          <w:tcPr>
            <w:tcW w:w="940" w:type="dxa"/>
            <w:vAlign w:val="bottom"/>
          </w:tcPr>
          <w:p>
            <w:pPr>
              <w:jc w:val="right"/>
              <w:ind w:right="31"/>
              <w:spacing w:after="0"/>
              <w:rPr>
                <w:sz w:val="20"/>
                <w:szCs w:val="20"/>
                <w:color w:val="auto"/>
              </w:rPr>
            </w:pPr>
            <w:r>
              <w:rPr>
                <w:rFonts w:ascii="Arial" w:cs="Arial" w:eastAsia="Arial" w:hAnsi="Arial"/>
                <w:sz w:val="14"/>
                <w:szCs w:val="14"/>
                <w:b w:val="1"/>
                <w:bCs w:val="1"/>
                <w:color w:val="auto"/>
                <w:w w:val="98"/>
              </w:rPr>
              <w:t>Abstentions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7"/>
              </w:rPr>
              <w:t>Broker Non-Votes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Mary T. Barra</w:t>
            </w:r>
          </w:p>
        </w:tc>
        <w:tc>
          <w:tcPr>
            <w:tcW w:w="2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1,040,792,842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46,960,109</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5,528,783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Wesley G. Bush</w:t>
            </w:r>
          </w:p>
        </w:tc>
        <w:tc>
          <w:tcPr>
            <w:tcW w:w="2560" w:type="dxa"/>
            <w:vAlign w:val="bottom"/>
          </w:tcPr>
          <w:p>
            <w:pPr>
              <w:jc w:val="right"/>
              <w:ind w:right="11"/>
              <w:spacing w:after="0"/>
              <w:rPr>
                <w:sz w:val="20"/>
                <w:szCs w:val="20"/>
                <w:color w:val="auto"/>
              </w:rPr>
            </w:pPr>
            <w:r>
              <w:rPr>
                <w:rFonts w:ascii="Arial" w:cs="Arial" w:eastAsia="Arial" w:hAnsi="Arial"/>
                <w:sz w:val="18"/>
                <w:szCs w:val="18"/>
                <w:color w:val="auto"/>
              </w:rPr>
              <w:t>1,083,219,771</w:t>
            </w:r>
          </w:p>
        </w:tc>
        <w:tc>
          <w:tcPr>
            <w:tcW w:w="600" w:type="dxa"/>
            <w:vAlign w:val="bottom"/>
          </w:tcPr>
          <w:p>
            <w:pPr>
              <w:jc w:val="right"/>
              <w:spacing w:after="0"/>
              <w:rPr>
                <w:sz w:val="20"/>
                <w:szCs w:val="20"/>
                <w:color w:val="auto"/>
              </w:rPr>
            </w:pPr>
            <w:r>
              <w:rPr>
                <w:rFonts w:ascii="Arial" w:cs="Arial" w:eastAsia="Arial" w:hAnsi="Arial"/>
                <w:sz w:val="18"/>
                <w:szCs w:val="18"/>
                <w:color w:val="auto"/>
              </w:rPr>
              <w:t>99.21</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8,677,233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1,384,730</w:t>
            </w:r>
          </w:p>
        </w:tc>
        <w:tc>
          <w:tcPr>
            <w:tcW w:w="1240" w:type="dxa"/>
            <w:vAlign w:val="bottom"/>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Linda R. Gooden</w:t>
            </w:r>
          </w:p>
        </w:tc>
        <w:tc>
          <w:tcPr>
            <w:tcW w:w="2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1,086,947,103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5,338,151</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996,480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Joseph Jimenez</w:t>
            </w:r>
          </w:p>
        </w:tc>
        <w:tc>
          <w:tcPr>
            <w:tcW w:w="2560" w:type="dxa"/>
            <w:vAlign w:val="bottom"/>
          </w:tcPr>
          <w:p>
            <w:pPr>
              <w:jc w:val="right"/>
              <w:ind w:right="11"/>
              <w:spacing w:after="0"/>
              <w:rPr>
                <w:sz w:val="20"/>
                <w:szCs w:val="20"/>
                <w:color w:val="auto"/>
              </w:rPr>
            </w:pPr>
            <w:r>
              <w:rPr>
                <w:rFonts w:ascii="Arial" w:cs="Arial" w:eastAsia="Arial" w:hAnsi="Arial"/>
                <w:sz w:val="18"/>
                <w:szCs w:val="18"/>
                <w:color w:val="auto"/>
              </w:rPr>
              <w:t>1,086,248,464</w:t>
            </w:r>
          </w:p>
        </w:tc>
        <w:tc>
          <w:tcPr>
            <w:tcW w:w="600" w:type="dxa"/>
            <w:vAlign w:val="bottom"/>
          </w:tcPr>
          <w:p>
            <w:pPr>
              <w:jc w:val="right"/>
              <w:spacing w:after="0"/>
              <w:rPr>
                <w:sz w:val="20"/>
                <w:szCs w:val="20"/>
                <w:color w:val="auto"/>
              </w:rPr>
            </w:pPr>
            <w:r>
              <w:rPr>
                <w:rFonts w:ascii="Arial" w:cs="Arial" w:eastAsia="Arial" w:hAnsi="Arial"/>
                <w:sz w:val="18"/>
                <w:szCs w:val="18"/>
                <w:color w:val="auto"/>
              </w:rPr>
              <w:t>99.46</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5,943,467</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1,089,803</w:t>
            </w:r>
          </w:p>
        </w:tc>
        <w:tc>
          <w:tcPr>
            <w:tcW w:w="1240" w:type="dxa"/>
            <w:vAlign w:val="bottom"/>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Jane L. Mendillo</w:t>
            </w:r>
          </w:p>
        </w:tc>
        <w:tc>
          <w:tcPr>
            <w:tcW w:w="2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1,082,069,722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10,172,673</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1,039,339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Judith A. Miscik</w:t>
            </w:r>
          </w:p>
        </w:tc>
        <w:tc>
          <w:tcPr>
            <w:tcW w:w="2560" w:type="dxa"/>
            <w:vAlign w:val="bottom"/>
          </w:tcPr>
          <w:p>
            <w:pPr>
              <w:jc w:val="right"/>
              <w:ind w:right="11"/>
              <w:spacing w:after="0"/>
              <w:rPr>
                <w:sz w:val="20"/>
                <w:szCs w:val="20"/>
                <w:color w:val="auto"/>
              </w:rPr>
            </w:pPr>
            <w:r>
              <w:rPr>
                <w:rFonts w:ascii="Arial" w:cs="Arial" w:eastAsia="Arial" w:hAnsi="Arial"/>
                <w:sz w:val="18"/>
                <w:szCs w:val="18"/>
                <w:color w:val="auto"/>
              </w:rPr>
              <w:t>1,076,334,551</w:t>
            </w:r>
          </w:p>
        </w:tc>
        <w:tc>
          <w:tcPr>
            <w:tcW w:w="600" w:type="dxa"/>
            <w:vAlign w:val="bottom"/>
          </w:tcPr>
          <w:p>
            <w:pPr>
              <w:jc w:val="right"/>
              <w:spacing w:after="0"/>
              <w:rPr>
                <w:sz w:val="20"/>
                <w:szCs w:val="20"/>
                <w:color w:val="auto"/>
              </w:rPr>
            </w:pPr>
            <w:r>
              <w:rPr>
                <w:rFonts w:ascii="Arial" w:cs="Arial" w:eastAsia="Arial" w:hAnsi="Arial"/>
                <w:sz w:val="18"/>
                <w:szCs w:val="18"/>
                <w:color w:val="auto"/>
              </w:rPr>
              <w:t>98.61</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15,117,023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1,830,160</w:t>
            </w:r>
          </w:p>
        </w:tc>
        <w:tc>
          <w:tcPr>
            <w:tcW w:w="1240" w:type="dxa"/>
            <w:vAlign w:val="bottom"/>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Patricia F. Russo</w:t>
            </w:r>
          </w:p>
        </w:tc>
        <w:tc>
          <w:tcPr>
            <w:tcW w:w="2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989,022,872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95,538,219</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8,720,643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Thomas M. Schoewe</w:t>
            </w:r>
          </w:p>
        </w:tc>
        <w:tc>
          <w:tcPr>
            <w:tcW w:w="2560" w:type="dxa"/>
            <w:vAlign w:val="bottom"/>
          </w:tcPr>
          <w:p>
            <w:pPr>
              <w:jc w:val="right"/>
              <w:ind w:right="11"/>
              <w:spacing w:after="0"/>
              <w:rPr>
                <w:sz w:val="20"/>
                <w:szCs w:val="20"/>
                <w:color w:val="auto"/>
              </w:rPr>
            </w:pPr>
            <w:r>
              <w:rPr>
                <w:rFonts w:ascii="Arial" w:cs="Arial" w:eastAsia="Arial" w:hAnsi="Arial"/>
                <w:sz w:val="18"/>
                <w:szCs w:val="18"/>
                <w:color w:val="auto"/>
              </w:rPr>
              <w:t>1,080,096,714</w:t>
            </w:r>
          </w:p>
        </w:tc>
        <w:tc>
          <w:tcPr>
            <w:tcW w:w="600" w:type="dxa"/>
            <w:vAlign w:val="bottom"/>
          </w:tcPr>
          <w:p>
            <w:pPr>
              <w:jc w:val="right"/>
              <w:spacing w:after="0"/>
              <w:rPr>
                <w:sz w:val="20"/>
                <w:szCs w:val="20"/>
                <w:color w:val="auto"/>
              </w:rPr>
            </w:pPr>
            <w:r>
              <w:rPr>
                <w:rFonts w:ascii="Arial" w:cs="Arial" w:eastAsia="Arial" w:hAnsi="Arial"/>
                <w:sz w:val="18"/>
                <w:szCs w:val="18"/>
                <w:color w:val="auto"/>
              </w:rPr>
              <w:t>98.92</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11,785,544</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1,399,476</w:t>
            </w:r>
          </w:p>
        </w:tc>
        <w:tc>
          <w:tcPr>
            <w:tcW w:w="1240" w:type="dxa"/>
            <w:vAlign w:val="bottom"/>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Carol M. Stephenson</w:t>
            </w:r>
          </w:p>
        </w:tc>
        <w:tc>
          <w:tcPr>
            <w:tcW w:w="2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1,063,118,693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28,703,896</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1,459,145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Mark A. Tatum</w:t>
            </w:r>
          </w:p>
        </w:tc>
        <w:tc>
          <w:tcPr>
            <w:tcW w:w="2560" w:type="dxa"/>
            <w:vAlign w:val="bottom"/>
          </w:tcPr>
          <w:p>
            <w:pPr>
              <w:jc w:val="right"/>
              <w:ind w:right="11"/>
              <w:spacing w:after="0"/>
              <w:rPr>
                <w:sz w:val="20"/>
                <w:szCs w:val="20"/>
                <w:color w:val="auto"/>
              </w:rPr>
            </w:pPr>
            <w:r>
              <w:rPr>
                <w:rFonts w:ascii="Arial" w:cs="Arial" w:eastAsia="Arial" w:hAnsi="Arial"/>
                <w:sz w:val="18"/>
                <w:szCs w:val="18"/>
                <w:color w:val="auto"/>
              </w:rPr>
              <w:t>1,090,260,370</w:t>
            </w:r>
          </w:p>
        </w:tc>
        <w:tc>
          <w:tcPr>
            <w:tcW w:w="600" w:type="dxa"/>
            <w:vAlign w:val="bottom"/>
          </w:tcPr>
          <w:p>
            <w:pPr>
              <w:jc w:val="right"/>
              <w:spacing w:after="0"/>
              <w:rPr>
                <w:sz w:val="20"/>
                <w:szCs w:val="20"/>
                <w:color w:val="auto"/>
              </w:rPr>
            </w:pPr>
            <w:r>
              <w:rPr>
                <w:rFonts w:ascii="Arial" w:cs="Arial" w:eastAsia="Arial" w:hAnsi="Arial"/>
                <w:sz w:val="18"/>
                <w:szCs w:val="18"/>
                <w:color w:val="auto"/>
              </w:rPr>
              <w:t>99.82</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1,928,091</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1,093,273</w:t>
            </w:r>
          </w:p>
        </w:tc>
        <w:tc>
          <w:tcPr>
            <w:tcW w:w="1240" w:type="dxa"/>
            <w:vAlign w:val="bottom"/>
          </w:tcPr>
          <w:p>
            <w:pPr>
              <w:jc w:val="right"/>
              <w:spacing w:after="0"/>
              <w:rPr>
                <w:sz w:val="20"/>
                <w:szCs w:val="20"/>
                <w:color w:val="auto"/>
              </w:rPr>
            </w:pPr>
            <w:r>
              <w:rPr>
                <w:rFonts w:ascii="Arial" w:cs="Arial" w:eastAsia="Arial" w:hAnsi="Arial"/>
                <w:sz w:val="18"/>
                <w:szCs w:val="18"/>
                <w:color w:val="auto"/>
              </w:rPr>
              <w:t>132,611,618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Devin N. Wenig</w:t>
            </w:r>
          </w:p>
        </w:tc>
        <w:tc>
          <w:tcPr>
            <w:tcW w:w="2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1,089,784,412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2,393,435</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1,103,887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132,611,618</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Margaret C. Whitman</w:t>
            </w:r>
          </w:p>
        </w:tc>
        <w:tc>
          <w:tcPr>
            <w:tcW w:w="2560" w:type="dxa"/>
            <w:vAlign w:val="bottom"/>
          </w:tcPr>
          <w:p>
            <w:pPr>
              <w:jc w:val="right"/>
              <w:ind w:right="11"/>
              <w:spacing w:after="0"/>
              <w:rPr>
                <w:sz w:val="20"/>
                <w:szCs w:val="20"/>
                <w:color w:val="auto"/>
              </w:rPr>
            </w:pPr>
            <w:r>
              <w:rPr>
                <w:rFonts w:ascii="Arial" w:cs="Arial" w:eastAsia="Arial" w:hAnsi="Arial"/>
                <w:sz w:val="18"/>
                <w:szCs w:val="18"/>
                <w:color w:val="auto"/>
              </w:rPr>
              <w:t>1,089,916,888</w:t>
            </w:r>
          </w:p>
        </w:tc>
        <w:tc>
          <w:tcPr>
            <w:tcW w:w="600" w:type="dxa"/>
            <w:vAlign w:val="bottom"/>
          </w:tcPr>
          <w:p>
            <w:pPr>
              <w:jc w:val="right"/>
              <w:spacing w:after="0"/>
              <w:rPr>
                <w:sz w:val="20"/>
                <w:szCs w:val="20"/>
                <w:color w:val="auto"/>
              </w:rPr>
            </w:pPr>
            <w:r>
              <w:rPr>
                <w:rFonts w:ascii="Arial" w:cs="Arial" w:eastAsia="Arial" w:hAnsi="Arial"/>
                <w:sz w:val="18"/>
                <w:szCs w:val="18"/>
                <w:color w:val="auto"/>
              </w:rPr>
              <w:t>99.79</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2,305,587</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1,059,259</w:t>
            </w:r>
          </w:p>
        </w:tc>
        <w:tc>
          <w:tcPr>
            <w:tcW w:w="1240" w:type="dxa"/>
            <w:vAlign w:val="bottom"/>
          </w:tcPr>
          <w:p>
            <w:pPr>
              <w:jc w:val="right"/>
              <w:spacing w:after="0"/>
              <w:rPr>
                <w:sz w:val="20"/>
                <w:szCs w:val="20"/>
                <w:color w:val="auto"/>
              </w:rPr>
            </w:pPr>
            <w:r>
              <w:rPr>
                <w:rFonts w:ascii="Arial" w:cs="Arial" w:eastAsia="Arial" w:hAnsi="Arial"/>
                <w:sz w:val="18"/>
                <w:szCs w:val="18"/>
                <w:color w:val="auto"/>
              </w:rPr>
              <w:t>132,611,618</w:t>
            </w:r>
          </w:p>
        </w:tc>
      </w:tr>
    </w:tbl>
    <w:p>
      <w:pPr>
        <w:spacing w:after="0" w:line="187" w:lineRule="exact"/>
        <w:rPr>
          <w:sz w:val="20"/>
          <w:szCs w:val="20"/>
          <w:color w:val="auto"/>
        </w:rPr>
      </w:pPr>
    </w:p>
    <w:p>
      <w:pPr>
        <w:ind w:left="444" w:right="340" w:hanging="4"/>
        <w:spacing w:after="0" w:line="277" w:lineRule="auto"/>
        <w:tabs>
          <w:tab w:leader="none" w:pos="834"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Board Proposal to Approve, on an Advisory Basis, Named Executive Officer Compensation. </w:t>
      </w:r>
      <w:r>
        <w:rPr>
          <w:rFonts w:ascii="Arial" w:cs="Arial" w:eastAsia="Arial" w:hAnsi="Arial"/>
          <w:sz w:val="18"/>
          <w:szCs w:val="18"/>
          <w:color w:val="auto"/>
        </w:rPr>
        <w:t>GM’s shareholders approved, by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the compensation of GM’s named executive officers.</w:t>
      </w:r>
    </w:p>
    <w:p>
      <w:pPr>
        <w:spacing w:after="0" w:line="212"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3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1,041,571,689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3700" w:type="dxa"/>
            <w:vAlign w:val="bottom"/>
          </w:tcPr>
          <w:p>
            <w:pPr>
              <w:jc w:val="right"/>
              <w:ind w:right="70"/>
              <w:spacing w:after="0"/>
              <w:rPr>
                <w:sz w:val="20"/>
                <w:szCs w:val="20"/>
                <w:color w:val="auto"/>
              </w:rPr>
            </w:pPr>
            <w:r>
              <w:rPr>
                <w:rFonts w:ascii="Arial" w:cs="Arial" w:eastAsia="Arial" w:hAnsi="Arial"/>
                <w:sz w:val="18"/>
                <w:szCs w:val="18"/>
                <w:color w:val="auto"/>
              </w:rPr>
              <w:t>49,557,454</w:t>
            </w:r>
          </w:p>
        </w:tc>
        <w:tc>
          <w:tcPr>
            <w:tcW w:w="7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3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2,152,591</w:t>
            </w:r>
          </w:p>
        </w:tc>
        <w:tc>
          <w:tcPr>
            <w:tcW w:w="780" w:type="dxa"/>
            <w:vAlign w:val="bottom"/>
            <w:shd w:val="clear" w:color="auto" w:fill="CCEEFF"/>
          </w:tcPr>
          <w:p>
            <w:pPr>
              <w:spacing w:after="0"/>
              <w:rPr>
                <w:sz w:val="18"/>
                <w:szCs w:val="18"/>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3700" w:type="dxa"/>
            <w:vAlign w:val="bottom"/>
          </w:tcPr>
          <w:p>
            <w:pPr>
              <w:jc w:val="right"/>
              <w:ind w:right="70"/>
              <w:spacing w:after="0"/>
              <w:rPr>
                <w:sz w:val="20"/>
                <w:szCs w:val="20"/>
                <w:color w:val="auto"/>
              </w:rPr>
            </w:pPr>
            <w:r>
              <w:rPr>
                <w:rFonts w:ascii="Arial" w:cs="Arial" w:eastAsia="Arial" w:hAnsi="Arial"/>
                <w:sz w:val="18"/>
                <w:szCs w:val="18"/>
                <w:color w:val="auto"/>
              </w:rPr>
              <w:t>132,611,618</w:t>
            </w:r>
          </w:p>
        </w:tc>
        <w:tc>
          <w:tcPr>
            <w:tcW w:w="780" w:type="dxa"/>
            <w:vAlign w:val="bottom"/>
          </w:tcPr>
          <w:p>
            <w:pPr>
              <w:spacing w:after="0"/>
              <w:rPr>
                <w:sz w:val="20"/>
                <w:szCs w:val="20"/>
                <w:color w:val="auto"/>
              </w:rPr>
            </w:pPr>
          </w:p>
        </w:tc>
      </w:tr>
    </w:tbl>
    <w:p>
      <w:pPr>
        <w:spacing w:after="0" w:line="183" w:lineRule="exact"/>
        <w:rPr>
          <w:sz w:val="20"/>
          <w:szCs w:val="20"/>
          <w:color w:val="auto"/>
        </w:rPr>
      </w:pPr>
    </w:p>
    <w:p>
      <w:pPr>
        <w:ind w:left="444" w:right="360" w:hanging="4"/>
        <w:spacing w:after="0" w:line="342" w:lineRule="auto"/>
        <w:tabs>
          <w:tab w:leader="none" w:pos="834"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Board Proposal to Ratify the Selection of Ernst &amp; Young LLP as the Company’s Independent Registered Public Accounting Firm for 2021. </w:t>
      </w:r>
      <w:r>
        <w:rPr>
          <w:rFonts w:ascii="Arial" w:cs="Arial" w:eastAsia="Arial" w:hAnsi="Arial"/>
          <w:sz w:val="16"/>
          <w:szCs w:val="16"/>
          <w:color w:val="auto"/>
        </w:rPr>
        <w:t>GM’s shareholders ratified the appointment of Ernst &amp; Young LLP as GM’s independent registered public accounting firm for 2021.</w:t>
      </w:r>
    </w:p>
    <w:p>
      <w:pPr>
        <w:spacing w:after="0" w:line="165"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3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1,219,955,584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3700" w:type="dxa"/>
            <w:vAlign w:val="bottom"/>
          </w:tcPr>
          <w:p>
            <w:pPr>
              <w:jc w:val="right"/>
              <w:ind w:right="70"/>
              <w:spacing w:after="0"/>
              <w:rPr>
                <w:sz w:val="20"/>
                <w:szCs w:val="20"/>
                <w:color w:val="auto"/>
              </w:rPr>
            </w:pPr>
            <w:r>
              <w:rPr>
                <w:rFonts w:ascii="Arial" w:cs="Arial" w:eastAsia="Arial" w:hAnsi="Arial"/>
                <w:sz w:val="18"/>
                <w:szCs w:val="18"/>
                <w:color w:val="auto"/>
              </w:rPr>
              <w:t>4,799,525</w:t>
            </w:r>
          </w:p>
        </w:tc>
        <w:tc>
          <w:tcPr>
            <w:tcW w:w="7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3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1,138,243</w:t>
            </w:r>
          </w:p>
        </w:tc>
        <w:tc>
          <w:tcPr>
            <w:tcW w:w="780" w:type="dxa"/>
            <w:vAlign w:val="bottom"/>
            <w:shd w:val="clear" w:color="auto" w:fill="CCEEFF"/>
          </w:tcPr>
          <w:p>
            <w:pPr>
              <w:spacing w:after="0"/>
              <w:rPr>
                <w:sz w:val="18"/>
                <w:szCs w:val="18"/>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37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20"/>
                <w:szCs w:val="20"/>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ind w:left="4" w:hanging="4"/>
        <w:spacing w:after="0" w:line="277" w:lineRule="auto"/>
        <w:tabs>
          <w:tab w:leader="none" w:pos="393"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Shareholder Proposal Regarding Shareholder Written Consent. </w:t>
      </w:r>
      <w:r>
        <w:rPr>
          <w:rFonts w:ascii="Arial" w:cs="Arial" w:eastAsia="Arial" w:hAnsi="Arial"/>
          <w:sz w:val="18"/>
          <w:szCs w:val="18"/>
          <w:color w:val="auto"/>
        </w:rPr>
        <w:t>GM’s shareholders did not approve the shareholder proposal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written consent.</w:t>
      </w:r>
    </w:p>
    <w:p>
      <w:pPr>
        <w:spacing w:after="0" w:line="212"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3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541,477,920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3640" w:type="dxa"/>
            <w:vAlign w:val="bottom"/>
          </w:tcPr>
          <w:p>
            <w:pPr>
              <w:jc w:val="right"/>
              <w:ind w:right="70"/>
              <w:spacing w:after="0"/>
              <w:rPr>
                <w:sz w:val="20"/>
                <w:szCs w:val="20"/>
                <w:color w:val="auto"/>
              </w:rPr>
            </w:pPr>
            <w:r>
              <w:rPr>
                <w:rFonts w:ascii="Arial" w:cs="Arial" w:eastAsia="Arial" w:hAnsi="Arial"/>
                <w:sz w:val="18"/>
                <w:szCs w:val="18"/>
                <w:color w:val="auto"/>
              </w:rPr>
              <w:t>546,534,712</w:t>
            </w:r>
          </w:p>
        </w:tc>
        <w:tc>
          <w:tcPr>
            <w:tcW w:w="7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3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5,269,102</w:t>
            </w:r>
          </w:p>
        </w:tc>
        <w:tc>
          <w:tcPr>
            <w:tcW w:w="78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3640" w:type="dxa"/>
            <w:vAlign w:val="bottom"/>
          </w:tcPr>
          <w:p>
            <w:pPr>
              <w:jc w:val="right"/>
              <w:ind w:right="70"/>
              <w:spacing w:after="0"/>
              <w:rPr>
                <w:sz w:val="20"/>
                <w:szCs w:val="20"/>
                <w:color w:val="auto"/>
              </w:rPr>
            </w:pPr>
            <w:r>
              <w:rPr>
                <w:rFonts w:ascii="Arial" w:cs="Arial" w:eastAsia="Arial" w:hAnsi="Arial"/>
                <w:sz w:val="18"/>
                <w:szCs w:val="18"/>
                <w:color w:val="auto"/>
              </w:rPr>
              <w:t>132,611,618</w:t>
            </w:r>
          </w:p>
        </w:tc>
        <w:tc>
          <w:tcPr>
            <w:tcW w:w="780" w:type="dxa"/>
            <w:vAlign w:val="bottom"/>
          </w:tcPr>
          <w:p>
            <w:pPr>
              <w:spacing w:after="0"/>
              <w:rPr>
                <w:sz w:val="20"/>
                <w:szCs w:val="20"/>
                <w:color w:val="auto"/>
              </w:rPr>
            </w:pPr>
          </w:p>
        </w:tc>
      </w:tr>
    </w:tbl>
    <w:p>
      <w:pPr>
        <w:spacing w:after="0" w:line="183" w:lineRule="exact"/>
        <w:rPr>
          <w:sz w:val="20"/>
          <w:szCs w:val="20"/>
          <w:color w:val="auto"/>
        </w:rPr>
      </w:pPr>
    </w:p>
    <w:p>
      <w:pPr>
        <w:ind w:left="4" w:right="400" w:hanging="4"/>
        <w:spacing w:after="0" w:line="263" w:lineRule="auto"/>
        <w:tabs>
          <w:tab w:leader="none" w:pos="393"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 Shareholder Proposal Regarding A Report on Greenhouse Gas Emissions Targets as a Performance Element of Executive Compensation. </w:t>
      </w:r>
      <w:r>
        <w:rPr>
          <w:rFonts w:ascii="Arial" w:cs="Arial" w:eastAsia="Arial" w:hAnsi="Arial"/>
          <w:sz w:val="18"/>
          <w:szCs w:val="18"/>
          <w:color w:val="auto"/>
        </w:rPr>
        <w:t>GM’s shareholders did not approve the shareholder proposal regarding a report on greenhouse gas emissions targets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element of executive compensation.</w:t>
      </w:r>
    </w:p>
    <w:p>
      <w:pPr>
        <w:spacing w:after="0" w:line="225"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3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171,614,149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3640" w:type="dxa"/>
            <w:vAlign w:val="bottom"/>
          </w:tcPr>
          <w:p>
            <w:pPr>
              <w:jc w:val="right"/>
              <w:ind w:right="70"/>
              <w:spacing w:after="0"/>
              <w:rPr>
                <w:sz w:val="20"/>
                <w:szCs w:val="20"/>
                <w:color w:val="auto"/>
              </w:rPr>
            </w:pPr>
            <w:r>
              <w:rPr>
                <w:rFonts w:ascii="Arial" w:cs="Arial" w:eastAsia="Arial" w:hAnsi="Arial"/>
                <w:sz w:val="18"/>
                <w:szCs w:val="18"/>
                <w:color w:val="auto"/>
              </w:rPr>
              <w:t>882,422,286</w:t>
            </w:r>
          </w:p>
        </w:tc>
        <w:tc>
          <w:tcPr>
            <w:tcW w:w="7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3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39,245,299</w:t>
            </w:r>
          </w:p>
        </w:tc>
        <w:tc>
          <w:tcPr>
            <w:tcW w:w="78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3640" w:type="dxa"/>
            <w:vAlign w:val="bottom"/>
          </w:tcPr>
          <w:p>
            <w:pPr>
              <w:jc w:val="right"/>
              <w:ind w:right="70"/>
              <w:spacing w:after="0"/>
              <w:rPr>
                <w:sz w:val="20"/>
                <w:szCs w:val="20"/>
                <w:color w:val="auto"/>
              </w:rPr>
            </w:pPr>
            <w:r>
              <w:rPr>
                <w:rFonts w:ascii="Arial" w:cs="Arial" w:eastAsia="Arial" w:hAnsi="Arial"/>
                <w:sz w:val="18"/>
                <w:szCs w:val="18"/>
                <w:color w:val="auto"/>
              </w:rPr>
              <w:t>132,611,618</w:t>
            </w:r>
          </w:p>
        </w:tc>
        <w:tc>
          <w:tcPr>
            <w:tcW w:w="780" w:type="dxa"/>
            <w:vAlign w:val="bottom"/>
          </w:tcPr>
          <w:p>
            <w:pPr>
              <w:spacing w:after="0"/>
              <w:rPr>
                <w:sz w:val="20"/>
                <w:szCs w:val="20"/>
                <w:color w:val="auto"/>
              </w:rPr>
            </w:pPr>
          </w:p>
        </w:tc>
      </w:tr>
    </w:tbl>
    <w:p>
      <w:pPr>
        <w:sectPr>
          <w:pgSz w:w="11900" w:h="16838" w:orient="portrait"/>
          <w:cols w:equalWidth="0" w:num="1">
            <w:col w:w="10224"/>
          </w:cols>
          <w:pgMar w:left="876" w:top="301" w:right="79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9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Ann Cathcart Chaplin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Ann Cathcart Chaplin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Secretary &amp; Deputy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sectPr>
      <w:pgSz w:w="11900" w:h="16838" w:orient="portrait"/>
      <w:cols w:equalWidth="0" w:num="1">
        <w:col w:w="10420"/>
      </w:cols>
      <w:pgMar w:left="440" w:top="297"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2021-06-16T15:33:30Z</dcterms:created>
  <dcterms:modified xsi:type="dcterms:W3CDTF">2021-06-16T15:33:30Z</dcterms:modified>
</cp:coreProperties>
</file>