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3,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January 3,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On January 3, 2013, General Motors Company issued a news release announcing December sales. The release and charts are attached as Exhibit 99.1.</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January 3,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800"/>
          </w:cols>
          <w:pgMar w:left="240" w:top="796" w:right="8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8"/>
                <w:szCs w:val="18"/>
                <w:color w:val="auto"/>
              </w:rPr>
              <w:t>Date: January 4, 2013</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25400</wp:posOffset>
            </wp:positionV>
            <wp:extent cx="252158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Jan. 3, 2013, 10 a.m. 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Sales up 5 percent in December</w:t>
      </w:r>
    </w:p>
    <w:p>
      <w:pPr>
        <w:spacing w:after="0" w:line="233" w:lineRule="exact"/>
        <w:rPr>
          <w:sz w:val="20"/>
          <w:szCs w:val="20"/>
          <w:color w:val="auto"/>
        </w:rPr>
      </w:pPr>
    </w:p>
    <w:p>
      <w:pPr>
        <w:ind w:right="280"/>
        <w:spacing w:after="0" w:line="272"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Co.'s (NYSE: GM) U.S. dealers delivered the company's highest December sales in five years, with</w:t>
      </w:r>
      <w:r>
        <w:rPr>
          <w:rFonts w:ascii="Arial" w:cs="Arial" w:eastAsia="Arial" w:hAnsi="Arial"/>
          <w:sz w:val="20"/>
          <w:szCs w:val="20"/>
          <w:b w:val="1"/>
          <w:bCs w:val="1"/>
          <w:color w:val="auto"/>
        </w:rPr>
        <w:t xml:space="preserve"> </w:t>
      </w:r>
      <w:r>
        <w:rPr>
          <w:rFonts w:ascii="Arial" w:cs="Arial" w:eastAsia="Arial" w:hAnsi="Arial"/>
          <w:sz w:val="20"/>
          <w:szCs w:val="20"/>
          <w:color w:val="auto"/>
        </w:rPr>
        <w:t>deliveries up 5 percent year over year to 245,733 vehicles.</w:t>
      </w:r>
    </w:p>
    <w:p>
      <w:pPr>
        <w:spacing w:after="0" w:line="178" w:lineRule="exact"/>
        <w:rPr>
          <w:sz w:val="20"/>
          <w:szCs w:val="20"/>
          <w:color w:val="auto"/>
        </w:rPr>
      </w:pPr>
    </w:p>
    <w:p>
      <w:pPr>
        <w:ind w:right="360"/>
        <w:spacing w:after="0" w:line="243" w:lineRule="auto"/>
        <w:rPr>
          <w:sz w:val="20"/>
          <w:szCs w:val="20"/>
          <w:color w:val="auto"/>
        </w:rPr>
      </w:pPr>
      <w:r>
        <w:rPr>
          <w:rFonts w:ascii="Arial" w:cs="Arial" w:eastAsia="Arial" w:hAnsi="Arial"/>
          <w:sz w:val="20"/>
          <w:szCs w:val="20"/>
          <w:color w:val="auto"/>
        </w:rPr>
        <w:t>December was also GM's best retail sales month of 2012. Retail volume was up 38 percent from November - about double the industry's estimated increase. Incentive spending was competitive with industry-wide levels, according to J.D. Power PIN estimates, and remains below many Asian and domestic competitors.</w:t>
      </w:r>
    </w:p>
    <w:p>
      <w:pPr>
        <w:spacing w:after="0" w:line="206"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“All four GM brands increased their sales year over year in December and we were strong across the board in cars, crossovers and pickup trucks,” said Kurt McNeil, vice president of U.S. sales operations. “We also achieved an important fuel economy milestone. In December, GM became the first U.S. automaker to sell more than 1 million vehicles in a single year that get an EPA-estimated 30 mpg or better on the highway.”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Highlights</w:t>
      </w:r>
    </w:p>
    <w:p>
      <w:pPr>
        <w:spacing w:after="0" w:line="24" w:lineRule="exact"/>
        <w:rPr>
          <w:sz w:val="20"/>
          <w:szCs w:val="20"/>
          <w:color w:val="auto"/>
        </w:rPr>
      </w:pPr>
    </w:p>
    <w:p>
      <w:pPr>
        <w:ind w:left="340" w:right="16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Total GM passenger car sales increased 14 percent compared with a year ago. Crossover sales were up 2 percent and sales of trucks, which include pickups, vans and SUVs, were equal to a year ago.</w:t>
      </w:r>
    </w:p>
    <w:p>
      <w:pPr>
        <w:spacing w:after="0" w:line="1" w:lineRule="exact"/>
        <w:rPr>
          <w:rFonts w:ascii="Arial" w:cs="Arial" w:eastAsia="Arial" w:hAnsi="Arial"/>
          <w:sz w:val="18"/>
          <w:szCs w:val="18"/>
          <w:color w:val="auto"/>
        </w:rPr>
      </w:pPr>
    </w:p>
    <w:p>
      <w:pPr>
        <w:ind w:left="340" w:right="78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Compared with November, total car sales increased 18 percent, truck sales increased 52 percent and crossover sales increased 22 percent.</w:t>
      </w:r>
    </w:p>
    <w:p>
      <w:pPr>
        <w:spacing w:after="0" w:line="1" w:lineRule="exact"/>
        <w:rPr>
          <w:rFonts w:ascii="Arial" w:cs="Arial" w:eastAsia="Arial" w:hAnsi="Arial"/>
          <w:sz w:val="18"/>
          <w:szCs w:val="18"/>
          <w:color w:val="auto"/>
        </w:rPr>
      </w:pPr>
    </w:p>
    <w:p>
      <w:pPr>
        <w:ind w:left="340" w:right="18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Combined mini, small and compact car sales were up 52 percent year over year driven by continued strong Buick Verano, Chevrolet Spark and Sonic sales; a 27 percent increase for the Chevrolet Cruze; and a 72 percent increase for the Chevrolet Volt.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posted a double-digit year-over-year sales increase for the third consecutive month.</w:t>
      </w:r>
    </w:p>
    <w:p>
      <w:pPr>
        <w:ind w:left="340" w:right="94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passenger car sales increased 64 percent year over year as the all-new ATS and XTS continue to establish themselves in the luxury market.</w:t>
      </w:r>
    </w:p>
    <w:p>
      <w:pPr>
        <w:spacing w:after="0" w:line="1" w:lineRule="exact"/>
        <w:rPr>
          <w:rFonts w:ascii="Arial" w:cs="Arial" w:eastAsia="Arial" w:hAnsi="Arial"/>
          <w:sz w:val="18"/>
          <w:szCs w:val="18"/>
          <w:color w:val="auto"/>
        </w:rPr>
      </w:pPr>
    </w:p>
    <w:p>
      <w:pPr>
        <w:ind w:left="340" w:right="420" w:hanging="332"/>
        <w:spacing w:after="0" w:line="24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Year-over-year sales of the Chevrolet Silverado increased 6 percent and sales of the GMC Sierra were up 13 percent. GM pickup sales were the highest since September 2008.</w:t>
      </w:r>
    </w:p>
    <w:p>
      <w:pPr>
        <w:spacing w:after="0" w:line="321" w:lineRule="exact"/>
        <w:rPr>
          <w:sz w:val="20"/>
          <w:szCs w:val="20"/>
          <w:color w:val="auto"/>
        </w:rPr>
      </w:pPr>
    </w:p>
    <w:tbl>
      <w:tblPr>
        <w:tblLayout w:type="fixed"/>
        <w:tblInd w:w="390" w:type="dxa"/>
        <w:tblCellMar>
          <w:top w:w="0" w:type="dxa"/>
          <w:left w:w="0" w:type="dxa"/>
          <w:bottom w:w="0" w:type="dxa"/>
          <w:right w:w="0" w:type="dxa"/>
        </w:tblCellMar>
      </w:tblPr>
      <w:tr>
        <w:trPr>
          <w:trHeight w:val="166"/>
        </w:trPr>
        <w:tc>
          <w:tcPr>
            <w:tcW w:w="15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Highlights</w:t>
            </w:r>
          </w:p>
        </w:tc>
        <w:tc>
          <w:tcPr>
            <w:tcW w:w="11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w w:val="98"/>
              </w:rPr>
              <w:t>Dec. Total Sales</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 Retail</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Retail Change vs.</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2012CY</w:t>
            </w:r>
          </w:p>
        </w:tc>
        <w:tc>
          <w:tcPr>
            <w:tcW w:w="960" w:type="dxa"/>
            <w:vAlign w:val="bottom"/>
            <w:tcBorders>
              <w:top w:val="single" w:sz="8" w:color="auto"/>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w w:val="93"/>
              </w:rPr>
              <w:t>2012 vs. 2011</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2012 Retail</w:t>
            </w:r>
          </w:p>
        </w:tc>
        <w:tc>
          <w:tcPr>
            <w:tcW w:w="1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w w:val="93"/>
              </w:rPr>
              <w:t>Retail Change 2012 vs.</w:t>
            </w:r>
          </w:p>
        </w:tc>
        <w:tc>
          <w:tcPr>
            <w:tcW w:w="0" w:type="dxa"/>
            <w:vAlign w:val="bottom"/>
          </w:tcPr>
          <w:p>
            <w:pPr>
              <w:spacing w:after="0"/>
              <w:rPr>
                <w:sz w:val="1"/>
                <w:szCs w:val="1"/>
                <w:color w:val="auto"/>
              </w:rPr>
            </w:pPr>
          </w:p>
        </w:tc>
      </w:tr>
      <w:tr>
        <w:trPr>
          <w:trHeight w:val="105"/>
        </w:trPr>
        <w:tc>
          <w:tcPr>
            <w:tcW w:w="1520" w:type="dxa"/>
            <w:vAlign w:val="bottom"/>
            <w:tcBorders>
              <w:left w:val="single" w:sz="8" w:color="auto"/>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Dec. 2011</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Sales</w:t>
            </w:r>
          </w:p>
        </w:tc>
        <w:tc>
          <w:tcPr>
            <w:tcW w:w="116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Dec. 2011</w:t>
            </w:r>
          </w:p>
        </w:tc>
        <w:tc>
          <w:tcPr>
            <w:tcW w:w="10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Sales</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87"/>
        </w:trPr>
        <w:tc>
          <w:tcPr>
            <w:tcW w:w="1520" w:type="dxa"/>
            <w:vAlign w:val="bottom"/>
            <w:tcBorders>
              <w:left w:val="single" w:sz="8" w:color="auto"/>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Chevrolet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167,091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123,021</w:t>
            </w:r>
          </w:p>
        </w:tc>
        <w:tc>
          <w:tcPr>
            <w:tcW w:w="11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0.9%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1,851,646</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4.3%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1,269,679</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3.0%</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GMC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43,921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37,626</w:t>
            </w:r>
          </w:p>
        </w:tc>
        <w:tc>
          <w:tcPr>
            <w:tcW w:w="11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(0.6)%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413,881</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4.0%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349,168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2.4%</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Buick</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16,473</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15,659</w:t>
            </w:r>
          </w:p>
        </w:tc>
        <w:tc>
          <w:tcPr>
            <w:tcW w:w="11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8.9%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180,408</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1.6%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162,986</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5.7%</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Cadillac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18,248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12.2%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16,775</w:t>
            </w:r>
          </w:p>
        </w:tc>
        <w:tc>
          <w:tcPr>
            <w:tcW w:w="11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5.0%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149,782</w:t>
            </w:r>
          </w:p>
        </w:tc>
        <w:tc>
          <w:tcPr>
            <w:tcW w:w="96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(1.7)%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140,625</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2.4%</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Total GM</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245,733</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193,081</w:t>
            </w:r>
          </w:p>
        </w:tc>
        <w:tc>
          <w:tcPr>
            <w:tcW w:w="11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1.5%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2,595,717</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3.7%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1,922,458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“GM's strong finish in 2012, the industry's momentum and the overall health of the U.S. economy make us optimistic about 2013,” McNeil said. “The budget compromise reached in Washington this week</w:t>
      </w:r>
    </w:p>
    <w:p>
      <w:pPr>
        <w:sectPr>
          <w:pgSz w:w="11900" w:h="16838" w:orient="portrait"/>
          <w:cols w:equalWidth="0" w:num="1">
            <w:col w:w="11420"/>
          </w:cols>
          <w:pgMar w:left="240" w:top="81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removes uncertainty and clears the way for full-year light vehicle sales to rise to the 15 million to 15.5 million unit range in 2013.”</w:t>
      </w:r>
    </w:p>
    <w:p>
      <w:pPr>
        <w:spacing w:after="0" w:line="200" w:lineRule="exact"/>
        <w:rPr>
          <w:sz w:val="20"/>
          <w:szCs w:val="20"/>
          <w:color w:val="auto"/>
        </w:rPr>
      </w:pPr>
    </w:p>
    <w:p>
      <w:pPr>
        <w:spacing w:after="0" w:line="350" w:lineRule="exact"/>
        <w:rPr>
          <w:sz w:val="20"/>
          <w:szCs w:val="20"/>
          <w:color w:val="auto"/>
        </w:rPr>
      </w:pPr>
    </w:p>
    <w:tbl>
      <w:tblPr>
        <w:tblLayout w:type="fixed"/>
        <w:tblInd w:w="1930" w:type="dxa"/>
        <w:tblCellMar>
          <w:top w:w="0" w:type="dxa"/>
          <w:left w:w="0" w:type="dxa"/>
          <w:bottom w:w="0" w:type="dxa"/>
          <w:right w:w="0" w:type="dxa"/>
        </w:tblCellMar>
      </w:tblPr>
      <w:tr>
        <w:trPr>
          <w:trHeight w:val="166"/>
        </w:trPr>
        <w:tc>
          <w:tcPr>
            <w:tcW w:w="1180" w:type="dxa"/>
            <w:vAlign w:val="bottom"/>
            <w:tcBorders>
              <w:top w:val="single" w:sz="8" w:color="auto"/>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8"/>
              </w:rPr>
              <w:t>Inventory</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Units @</w:t>
            </w:r>
          </w:p>
        </w:tc>
        <w:tc>
          <w:tcPr>
            <w:tcW w:w="15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Days Supply (selling day</w:t>
            </w: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right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5"/>
              </w:rPr>
              <w:t>Units @</w:t>
            </w:r>
          </w:p>
        </w:tc>
        <w:tc>
          <w:tcPr>
            <w:tcW w:w="166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Days Supply (selling day</w:t>
            </w:r>
          </w:p>
        </w:tc>
        <w:tc>
          <w:tcPr>
            <w:tcW w:w="0" w:type="dxa"/>
            <w:vAlign w:val="bottom"/>
          </w:tcPr>
          <w:p>
            <w:pPr>
              <w:spacing w:after="0"/>
              <w:rPr>
                <w:sz w:val="1"/>
                <w:szCs w:val="1"/>
                <w:color w:val="auto"/>
              </w:rPr>
            </w:pPr>
          </w:p>
        </w:tc>
      </w:tr>
      <w:tr>
        <w:trPr>
          <w:trHeight w:val="105"/>
        </w:trPr>
        <w:tc>
          <w:tcPr>
            <w:tcW w:w="1180" w:type="dxa"/>
            <w:vAlign w:val="bottom"/>
            <w:tcBorders>
              <w:left w:val="single" w:sz="8" w:color="auto"/>
              <w:right w:val="single" w:sz="8" w:color="auto"/>
            </w:tcBorders>
            <w:gridSpan w:val="2"/>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Dec. 31, 2012</w:t>
            </w:r>
          </w:p>
        </w:tc>
        <w:tc>
          <w:tcPr>
            <w:tcW w:w="220" w:type="dxa"/>
            <w:vAlign w:val="bottom"/>
          </w:tcPr>
          <w:p>
            <w:pPr>
              <w:spacing w:after="0"/>
              <w:rPr>
                <w:sz w:val="9"/>
                <w:szCs w:val="9"/>
                <w:color w:val="auto"/>
              </w:rPr>
            </w:pPr>
          </w:p>
        </w:tc>
        <w:tc>
          <w:tcPr>
            <w:tcW w:w="1360" w:type="dxa"/>
            <w:vAlign w:val="bottom"/>
            <w:tcBorders>
              <w:right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3"/>
              </w:rPr>
              <w:t>adjusted)</w:t>
            </w:r>
          </w:p>
        </w:tc>
        <w:tc>
          <w:tcPr>
            <w:tcW w:w="340" w:type="dxa"/>
            <w:vAlign w:val="bottom"/>
          </w:tcPr>
          <w:p>
            <w:pPr>
              <w:spacing w:after="0"/>
              <w:rPr>
                <w:sz w:val="9"/>
                <w:szCs w:val="9"/>
                <w:color w:val="auto"/>
              </w:rPr>
            </w:pPr>
          </w:p>
        </w:tc>
        <w:tc>
          <w:tcPr>
            <w:tcW w:w="1320" w:type="dxa"/>
            <w:vAlign w:val="bottom"/>
            <w:tcBorders>
              <w:right w:val="single" w:sz="8" w:color="auto"/>
            </w:tcBorders>
            <w:vMerge w:val="restart"/>
          </w:tcPr>
          <w:p>
            <w:pPr>
              <w:jc w:val="center"/>
              <w:ind w:right="308"/>
              <w:spacing w:after="0"/>
              <w:rPr>
                <w:sz w:val="20"/>
                <w:szCs w:val="20"/>
                <w:color w:val="auto"/>
              </w:rPr>
            </w:pPr>
            <w:r>
              <w:rPr>
                <w:rFonts w:ascii="Arial" w:cs="Arial" w:eastAsia="Arial" w:hAnsi="Arial"/>
                <w:sz w:val="14"/>
                <w:szCs w:val="14"/>
                <w:b w:val="1"/>
                <w:bCs w:val="1"/>
                <w:color w:val="auto"/>
                <w:w w:val="92"/>
              </w:rPr>
              <w:t>Nov. 30, 2012</w:t>
            </w:r>
          </w:p>
        </w:tc>
        <w:tc>
          <w:tcPr>
            <w:tcW w:w="16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adjusted)</w:t>
            </w:r>
          </w:p>
        </w:tc>
        <w:tc>
          <w:tcPr>
            <w:tcW w:w="0" w:type="dxa"/>
            <w:vAlign w:val="bottom"/>
          </w:tcPr>
          <w:p>
            <w:pPr>
              <w:spacing w:after="0"/>
              <w:rPr>
                <w:sz w:val="1"/>
                <w:szCs w:val="1"/>
                <w:color w:val="auto"/>
              </w:rPr>
            </w:pPr>
          </w:p>
        </w:tc>
      </w:tr>
      <w:tr>
        <w:trPr>
          <w:trHeight w:val="87"/>
        </w:trPr>
        <w:tc>
          <w:tcPr>
            <w:tcW w:w="980" w:type="dxa"/>
            <w:vAlign w:val="bottom"/>
            <w:tcBorders>
              <w:left w:val="single" w:sz="8" w:color="auto"/>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6"/>
              </w:rPr>
              <w:t>All Vehicles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717,025</w:t>
            </w:r>
          </w:p>
        </w:tc>
        <w:tc>
          <w:tcPr>
            <w:tcW w:w="1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76</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w w:val="94"/>
              </w:rPr>
              <w:t>788,194</w:t>
            </w:r>
          </w:p>
        </w:tc>
        <w:tc>
          <w:tcPr>
            <w:tcW w:w="16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85"/>
              </w:rPr>
              <w:t>106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5"/>
              </w:rPr>
              <w:t>Full-size Pickups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221,649</w:t>
            </w:r>
          </w:p>
        </w:tc>
        <w:tc>
          <w:tcPr>
            <w:tcW w:w="1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80</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w w:val="94"/>
              </w:rPr>
              <w:t>245,853</w:t>
            </w:r>
          </w:p>
        </w:tc>
        <w:tc>
          <w:tcPr>
            <w:tcW w:w="16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85"/>
              </w:rPr>
              <w:t>139</w:t>
            </w:r>
          </w:p>
        </w:tc>
        <w:tc>
          <w:tcPr>
            <w:tcW w:w="0" w:type="dxa"/>
            <w:vAlign w:val="bottom"/>
          </w:tcPr>
          <w:p>
            <w:pPr>
              <w:spacing w:after="0"/>
              <w:rPr>
                <w:sz w:val="1"/>
                <w:szCs w:val="1"/>
                <w:color w:val="auto"/>
              </w:rPr>
            </w:pPr>
          </w:p>
        </w:tc>
      </w:tr>
      <w:tr>
        <w:trPr>
          <w:trHeight w:val="567"/>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spacing w:after="0"/>
              <w:rPr>
                <w:sz w:val="24"/>
                <w:szCs w:val="24"/>
                <w:color w:val="auto"/>
              </w:rPr>
            </w:pPr>
          </w:p>
        </w:tc>
        <w:tc>
          <w:tcPr>
            <w:tcW w:w="29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80" w:type="dxa"/>
            <w:vAlign w:val="bottom"/>
            <w:tcBorders>
              <w:right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Industry Sales</w:t>
            </w:r>
          </w:p>
        </w:tc>
        <w:tc>
          <w:tcPr>
            <w:tcW w:w="220" w:type="dxa"/>
            <w:vAlign w:val="bottom"/>
            <w:tcBorders>
              <w:top w:val="single" w:sz="8" w:color="auto"/>
              <w:bottom w:val="single" w:sz="8" w:color="auto"/>
              <w:right w:val="single" w:sz="8" w:color="auto"/>
            </w:tcBorders>
          </w:tcPr>
          <w:p>
            <w:pPr>
              <w:spacing w:after="0"/>
              <w:rPr>
                <w:sz w:val="16"/>
                <w:szCs w:val="16"/>
                <w:color w:val="auto"/>
              </w:rPr>
            </w:pPr>
          </w:p>
        </w:tc>
        <w:tc>
          <w:tcPr>
            <w:tcW w:w="170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Dec. SAAR (est.)</w:t>
            </w:r>
          </w:p>
        </w:tc>
        <w:tc>
          <w:tcPr>
            <w:tcW w:w="204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Calendar Year (est.)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Light Vehicles</w:t>
            </w:r>
          </w:p>
        </w:tc>
        <w:tc>
          <w:tcPr>
            <w:tcW w:w="2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4"/>
                <w:szCs w:val="14"/>
                <w:color w:val="auto"/>
              </w:rPr>
              <w:t>15.6 million range</w:t>
            </w:r>
          </w:p>
        </w:tc>
        <w:tc>
          <w:tcPr>
            <w:tcW w:w="20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5"/>
              </w:rPr>
              <w:t>14.5 million range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595"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December</w:t>
            </w:r>
          </w:p>
        </w:tc>
        <w:tc>
          <w:tcPr>
            <w:tcW w:w="10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3"/>
              </w:rPr>
              <w:t>January - December</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2012</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6,052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5,555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8.9</w:t>
            </w:r>
          </w:p>
        </w:tc>
        <w:tc>
          <w:tcPr>
            <w:tcW w:w="1040" w:type="dxa"/>
            <w:vAlign w:val="bottom"/>
          </w:tcPr>
          <w:p>
            <w:pPr>
              <w:jc w:val="right"/>
              <w:spacing w:after="0"/>
              <w:rPr>
                <w:sz w:val="20"/>
                <w:szCs w:val="20"/>
                <w:color w:val="auto"/>
              </w:rPr>
            </w:pPr>
            <w:r>
              <w:rPr>
                <w:rFonts w:ascii="Arial" w:cs="Arial" w:eastAsia="Arial" w:hAnsi="Arial"/>
                <w:sz w:val="14"/>
                <w:szCs w:val="14"/>
                <w:color w:val="auto"/>
              </w:rPr>
              <w:t>56,703</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58,392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4,074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5,360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(24.0)</w:t>
            </w:r>
          </w:p>
        </w:tc>
        <w:tc>
          <w:tcPr>
            <w:tcW w:w="1040" w:type="dxa"/>
            <w:vAlign w:val="bottom"/>
          </w:tcPr>
          <w:p>
            <w:pPr>
              <w:jc w:val="right"/>
              <w:spacing w:after="0"/>
              <w:rPr>
                <w:sz w:val="20"/>
                <w:szCs w:val="20"/>
                <w:color w:val="auto"/>
              </w:rPr>
            </w:pPr>
            <w:r>
              <w:rPr>
                <w:rFonts w:ascii="Arial" w:cs="Arial" w:eastAsia="Arial" w:hAnsi="Arial"/>
                <w:sz w:val="14"/>
                <w:szCs w:val="14"/>
                <w:color w:val="auto"/>
              </w:rPr>
              <w:t>57,076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58,474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712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(99.9)</w:t>
            </w:r>
          </w:p>
        </w:tc>
        <w:tc>
          <w:tcPr>
            <w:tcW w:w="1040" w:type="dxa"/>
            <w:vAlign w:val="bottom"/>
          </w:tcPr>
          <w:p>
            <w:pPr>
              <w:jc w:val="right"/>
              <w:spacing w:after="0"/>
              <w:rPr>
                <w:sz w:val="20"/>
                <w:szCs w:val="20"/>
                <w:color w:val="auto"/>
              </w:rPr>
            </w:pPr>
            <w:r>
              <w:rPr>
                <w:rFonts w:ascii="Arial" w:cs="Arial" w:eastAsia="Arial" w:hAnsi="Arial"/>
                <w:sz w:val="14"/>
                <w:szCs w:val="14"/>
                <w:color w:val="auto"/>
              </w:rPr>
              <w:t>971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20,358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(95.2)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1,526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3,086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(50.6)</w:t>
            </w:r>
          </w:p>
        </w:tc>
        <w:tc>
          <w:tcPr>
            <w:tcW w:w="1040" w:type="dxa"/>
            <w:vAlign w:val="bottom"/>
          </w:tcPr>
          <w:p>
            <w:pPr>
              <w:jc w:val="right"/>
              <w:spacing w:after="0"/>
              <w:rPr>
                <w:sz w:val="20"/>
                <w:szCs w:val="20"/>
                <w:color w:val="auto"/>
              </w:rPr>
            </w:pPr>
            <w:r>
              <w:rPr>
                <w:rFonts w:ascii="Arial" w:cs="Arial" w:eastAsia="Arial" w:hAnsi="Arial"/>
                <w:sz w:val="14"/>
                <w:szCs w:val="14"/>
                <w:color w:val="auto"/>
              </w:rPr>
              <w:t>24,616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40,144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(38.7)</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4,820</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41,042</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265</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Buick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16,473</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14,974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180,408</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177,633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1.6</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2,979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7,008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3,372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5,420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(37.8)</w:t>
            </w:r>
          </w:p>
        </w:tc>
        <w:tc>
          <w:tcPr>
            <w:tcW w:w="1040" w:type="dxa"/>
            <w:vAlign w:val="bottom"/>
          </w:tcPr>
          <w:p>
            <w:pPr>
              <w:jc w:val="right"/>
              <w:spacing w:after="0"/>
              <w:rPr>
                <w:sz w:val="20"/>
                <w:szCs w:val="20"/>
                <w:color w:val="auto"/>
              </w:rPr>
            </w:pPr>
            <w:r>
              <w:rPr>
                <w:rFonts w:ascii="Arial" w:cs="Arial" w:eastAsia="Arial" w:hAnsi="Arial"/>
                <w:sz w:val="14"/>
                <w:szCs w:val="14"/>
                <w:color w:val="auto"/>
              </w:rPr>
              <w:t>46,979</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55,042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166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465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11,589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(96.0)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1,371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1,890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(27.5)</w:t>
            </w:r>
          </w:p>
        </w:tc>
        <w:tc>
          <w:tcPr>
            <w:tcW w:w="1040" w:type="dxa"/>
            <w:vAlign w:val="bottom"/>
          </w:tcPr>
          <w:p>
            <w:pPr>
              <w:jc w:val="right"/>
              <w:spacing w:after="0"/>
              <w:rPr>
                <w:sz w:val="20"/>
                <w:szCs w:val="20"/>
                <w:color w:val="auto"/>
              </w:rPr>
            </w:pPr>
            <w:r>
              <w:rPr>
                <w:rFonts w:ascii="Arial" w:cs="Arial" w:eastAsia="Arial" w:hAnsi="Arial"/>
                <w:sz w:val="14"/>
                <w:szCs w:val="14"/>
                <w:color w:val="auto"/>
              </w:rPr>
              <w:t>12,615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15,079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(16.3)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927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1,119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(17.2)</w:t>
            </w:r>
          </w:p>
        </w:tc>
        <w:tc>
          <w:tcPr>
            <w:tcW w:w="1040" w:type="dxa"/>
            <w:vAlign w:val="bottom"/>
          </w:tcPr>
          <w:p>
            <w:pPr>
              <w:jc w:val="right"/>
              <w:spacing w:after="0"/>
              <w:rPr>
                <w:sz w:val="20"/>
                <w:szCs w:val="20"/>
                <w:color w:val="auto"/>
              </w:rPr>
            </w:pPr>
            <w:r>
              <w:rPr>
                <w:rFonts w:ascii="Arial" w:cs="Arial" w:eastAsia="Arial" w:hAnsi="Arial"/>
                <w:sz w:val="14"/>
                <w:szCs w:val="14"/>
                <w:color w:val="auto"/>
              </w:rPr>
              <w:t>8,083</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8,388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256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262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1040" w:type="dxa"/>
            <w:vAlign w:val="bottom"/>
          </w:tcPr>
          <w:p>
            <w:pPr>
              <w:jc w:val="right"/>
              <w:spacing w:after="0"/>
              <w:rPr>
                <w:sz w:val="20"/>
                <w:szCs w:val="20"/>
                <w:color w:val="auto"/>
              </w:rPr>
            </w:pPr>
            <w:r>
              <w:rPr>
                <w:rFonts w:ascii="Arial" w:cs="Arial" w:eastAsia="Arial" w:hAnsi="Arial"/>
                <w:sz w:val="14"/>
                <w:szCs w:val="14"/>
                <w:color w:val="auto"/>
              </w:rPr>
              <w:t>1,934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2,036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6,400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7,324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(12.6)</w:t>
            </w:r>
          </w:p>
        </w:tc>
        <w:tc>
          <w:tcPr>
            <w:tcW w:w="1040" w:type="dxa"/>
            <w:vAlign w:val="bottom"/>
          </w:tcPr>
          <w:p>
            <w:pPr>
              <w:jc w:val="right"/>
              <w:spacing w:after="0"/>
              <w:rPr>
                <w:sz w:val="20"/>
                <w:szCs w:val="20"/>
                <w:color w:val="auto"/>
              </w:rPr>
            </w:pPr>
            <w:r>
              <w:rPr>
                <w:rFonts w:ascii="Arial" w:cs="Arial" w:eastAsia="Arial" w:hAnsi="Arial"/>
                <w:sz w:val="14"/>
                <w:szCs w:val="14"/>
                <w:color w:val="auto"/>
              </w:rPr>
              <w:t>57,485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56,905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(94.9)</w:t>
            </w:r>
          </w:p>
        </w:tc>
        <w:tc>
          <w:tcPr>
            <w:tcW w:w="1040" w:type="dxa"/>
            <w:vAlign w:val="bottom"/>
          </w:tcPr>
          <w:p>
            <w:pPr>
              <w:jc w:val="right"/>
              <w:spacing w:after="0"/>
              <w:rPr>
                <w:sz w:val="20"/>
                <w:szCs w:val="20"/>
                <w:color w:val="auto"/>
              </w:rPr>
            </w:pPr>
            <w:r>
              <w:rPr>
                <w:rFonts w:ascii="Arial" w:cs="Arial" w:eastAsia="Arial" w:hAnsi="Arial"/>
                <w:sz w:val="14"/>
                <w:szCs w:val="14"/>
                <w:color w:val="auto"/>
              </w:rPr>
              <w:t>164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3,338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(95.1)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XLR</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2,939</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15,049</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18,248</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16,259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149,782</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152,389</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(1.7)</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2,737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2,546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7.5</w:t>
            </w:r>
          </w:p>
        </w:tc>
        <w:tc>
          <w:tcPr>
            <w:tcW w:w="1040" w:type="dxa"/>
            <w:vAlign w:val="bottom"/>
          </w:tcPr>
          <w:p>
            <w:pPr>
              <w:jc w:val="right"/>
              <w:spacing w:after="0"/>
              <w:rPr>
                <w:sz w:val="20"/>
                <w:szCs w:val="20"/>
                <w:color w:val="auto"/>
              </w:rPr>
            </w:pPr>
            <w:r>
              <w:rPr>
                <w:rFonts w:ascii="Arial" w:cs="Arial" w:eastAsia="Arial" w:hAnsi="Arial"/>
                <w:sz w:val="14"/>
                <w:szCs w:val="14"/>
                <w:color w:val="auto"/>
              </w:rPr>
              <w:t>23,995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20,088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(87.5)</w:t>
            </w:r>
          </w:p>
        </w:tc>
        <w:tc>
          <w:tcPr>
            <w:tcW w:w="1040" w:type="dxa"/>
            <w:vAlign w:val="bottom"/>
          </w:tcPr>
          <w:p>
            <w:pPr>
              <w:jc w:val="right"/>
              <w:spacing w:after="0"/>
              <w:rPr>
                <w:sz w:val="20"/>
                <w:szCs w:val="20"/>
                <w:color w:val="auto"/>
              </w:rPr>
            </w:pPr>
            <w:r>
              <w:rPr>
                <w:rFonts w:ascii="Arial" w:cs="Arial" w:eastAsia="Arial" w:hAnsi="Arial"/>
                <w:sz w:val="14"/>
                <w:szCs w:val="14"/>
                <w:color w:val="auto"/>
              </w:rPr>
              <w:t>67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28,601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5,837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6,754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c>
          <w:tcPr>
            <w:tcW w:w="1040" w:type="dxa"/>
            <w:vAlign w:val="bottom"/>
          </w:tcPr>
          <w:p>
            <w:pPr>
              <w:jc w:val="right"/>
              <w:spacing w:after="0"/>
              <w:rPr>
                <w:sz w:val="20"/>
                <w:szCs w:val="20"/>
                <w:color w:val="auto"/>
              </w:rPr>
            </w:pPr>
            <w:r>
              <w:rPr>
                <w:rFonts w:ascii="Arial" w:cs="Arial" w:eastAsia="Arial" w:hAnsi="Arial"/>
                <w:sz w:val="14"/>
                <w:szCs w:val="14"/>
                <w:color w:val="auto"/>
              </w:rPr>
              <w:t>84,391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88,249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99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147.5</w:t>
            </w:r>
          </w:p>
        </w:tc>
        <w:tc>
          <w:tcPr>
            <w:tcW w:w="1040" w:type="dxa"/>
            <w:vAlign w:val="bottom"/>
          </w:tcPr>
          <w:p>
            <w:pPr>
              <w:jc w:val="right"/>
              <w:spacing w:after="0"/>
              <w:rPr>
                <w:sz w:val="20"/>
                <w:szCs w:val="20"/>
                <w:color w:val="auto"/>
              </w:rPr>
            </w:pPr>
            <w:r>
              <w:rPr>
                <w:rFonts w:ascii="Arial" w:cs="Arial" w:eastAsia="Arial" w:hAnsi="Arial"/>
                <w:sz w:val="14"/>
                <w:szCs w:val="14"/>
                <w:color w:val="auto"/>
              </w:rPr>
              <w:t>3,734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880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324.3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2,707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1,983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36.5</w:t>
            </w:r>
          </w:p>
        </w:tc>
        <w:tc>
          <w:tcPr>
            <w:tcW w:w="1040" w:type="dxa"/>
            <w:vAlign w:val="bottom"/>
          </w:tcPr>
          <w:p>
            <w:pPr>
              <w:jc w:val="right"/>
              <w:spacing w:after="0"/>
              <w:rPr>
                <w:sz w:val="20"/>
                <w:szCs w:val="20"/>
                <w:color w:val="auto"/>
              </w:rPr>
            </w:pPr>
            <w:r>
              <w:rPr>
                <w:rFonts w:ascii="Arial" w:cs="Arial" w:eastAsia="Arial" w:hAnsi="Arial"/>
                <w:sz w:val="14"/>
                <w:szCs w:val="14"/>
                <w:color w:val="auto"/>
              </w:rPr>
              <w:t>36,935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7,038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424.8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856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1,293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2,970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(56.5)</w:t>
            </w:r>
          </w:p>
        </w:tc>
        <w:tc>
          <w:tcPr>
            <w:tcW w:w="1040" w:type="dxa"/>
            <w:vAlign w:val="bottom"/>
          </w:tcPr>
          <w:p>
            <w:pPr>
              <w:jc w:val="right"/>
              <w:spacing w:after="0"/>
              <w:rPr>
                <w:sz w:val="20"/>
                <w:szCs w:val="20"/>
                <w:color w:val="auto"/>
              </w:rPr>
            </w:pPr>
            <w:r>
              <w:rPr>
                <w:rFonts w:ascii="Arial" w:cs="Arial" w:eastAsia="Arial" w:hAnsi="Arial"/>
                <w:sz w:val="14"/>
                <w:szCs w:val="14"/>
                <w:color w:val="auto"/>
              </w:rPr>
              <w:t>36,840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31,026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1,291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1,038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24.4</w:t>
            </w:r>
          </w:p>
        </w:tc>
        <w:tc>
          <w:tcPr>
            <w:tcW w:w="1040" w:type="dxa"/>
            <w:vAlign w:val="bottom"/>
          </w:tcPr>
          <w:p>
            <w:pPr>
              <w:jc w:val="right"/>
              <w:spacing w:after="0"/>
              <w:rPr>
                <w:sz w:val="20"/>
                <w:szCs w:val="20"/>
                <w:color w:val="auto"/>
              </w:rPr>
            </w:pPr>
            <w:r>
              <w:rPr>
                <w:rFonts w:ascii="Arial" w:cs="Arial" w:eastAsia="Arial" w:hAnsi="Arial"/>
                <w:sz w:val="14"/>
                <w:szCs w:val="14"/>
                <w:color w:val="auto"/>
              </w:rPr>
              <w:t>14,132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13,164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21,230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16,675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27.3</w:t>
            </w:r>
          </w:p>
        </w:tc>
        <w:tc>
          <w:tcPr>
            <w:tcW w:w="1040" w:type="dxa"/>
            <w:vAlign w:val="bottom"/>
          </w:tcPr>
          <w:p>
            <w:pPr>
              <w:jc w:val="right"/>
              <w:spacing w:after="0"/>
              <w:rPr>
                <w:sz w:val="20"/>
                <w:szCs w:val="20"/>
                <w:color w:val="auto"/>
              </w:rPr>
            </w:pPr>
            <w:r>
              <w:rPr>
                <w:rFonts w:ascii="Arial" w:cs="Arial" w:eastAsia="Arial" w:hAnsi="Arial"/>
                <w:sz w:val="14"/>
                <w:szCs w:val="14"/>
                <w:color w:val="auto"/>
              </w:rPr>
              <w:t>237,758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231,732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19,551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18,195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7.5</w:t>
            </w:r>
          </w:p>
        </w:tc>
        <w:tc>
          <w:tcPr>
            <w:tcW w:w="1040" w:type="dxa"/>
            <w:vAlign w:val="bottom"/>
          </w:tcPr>
          <w:p>
            <w:pPr>
              <w:jc w:val="right"/>
              <w:spacing w:after="0"/>
              <w:rPr>
                <w:sz w:val="20"/>
                <w:szCs w:val="20"/>
                <w:color w:val="auto"/>
              </w:rPr>
            </w:pPr>
            <w:r>
              <w:rPr>
                <w:rFonts w:ascii="Arial" w:cs="Arial" w:eastAsia="Arial" w:hAnsi="Arial"/>
                <w:sz w:val="14"/>
                <w:szCs w:val="14"/>
                <w:color w:val="auto"/>
              </w:rPr>
              <w:t>218,621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193,274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7,387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8,461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(12.7)</w:t>
            </w:r>
          </w:p>
        </w:tc>
        <w:tc>
          <w:tcPr>
            <w:tcW w:w="1040" w:type="dxa"/>
            <w:vAlign w:val="bottom"/>
          </w:tcPr>
          <w:p>
            <w:pPr>
              <w:jc w:val="right"/>
              <w:spacing w:after="0"/>
              <w:rPr>
                <w:sz w:val="20"/>
                <w:szCs w:val="20"/>
                <w:color w:val="auto"/>
              </w:rPr>
            </w:pPr>
            <w:r>
              <w:rPr>
                <w:rFonts w:ascii="Arial" w:cs="Arial" w:eastAsia="Arial" w:hAnsi="Arial"/>
                <w:sz w:val="14"/>
                <w:szCs w:val="14"/>
                <w:color w:val="auto"/>
              </w:rPr>
              <w:t>76,808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71,943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150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37,012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9,641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10,479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(8.0)</w:t>
            </w:r>
          </w:p>
        </w:tc>
        <w:tc>
          <w:tcPr>
            <w:tcW w:w="1040" w:type="dxa"/>
            <w:vAlign w:val="bottom"/>
          </w:tcPr>
          <w:p>
            <w:pPr>
              <w:jc w:val="right"/>
              <w:spacing w:after="0"/>
              <w:rPr>
                <w:sz w:val="20"/>
                <w:szCs w:val="20"/>
                <w:color w:val="auto"/>
              </w:rPr>
            </w:pPr>
            <w:r>
              <w:rPr>
                <w:rFonts w:ascii="Arial" w:cs="Arial" w:eastAsia="Arial" w:hAnsi="Arial"/>
                <w:sz w:val="14"/>
                <w:szCs w:val="14"/>
                <w:color w:val="auto"/>
              </w:rPr>
              <w:t>169,351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171,434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Kodiak 4/5 Series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11,630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13,034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(10.8)</w:t>
            </w:r>
          </w:p>
        </w:tc>
        <w:tc>
          <w:tcPr>
            <w:tcW w:w="1040" w:type="dxa"/>
            <w:vAlign w:val="bottom"/>
          </w:tcPr>
          <w:p>
            <w:pPr>
              <w:jc w:val="right"/>
              <w:spacing w:after="0"/>
              <w:rPr>
                <w:sz w:val="20"/>
                <w:szCs w:val="20"/>
                <w:color w:val="auto"/>
              </w:rPr>
            </w:pPr>
            <w:r>
              <w:rPr>
                <w:rFonts w:ascii="Arial" w:cs="Arial" w:eastAsia="Arial" w:hAnsi="Arial"/>
                <w:sz w:val="14"/>
                <w:szCs w:val="14"/>
                <w:color w:val="auto"/>
              </w:rPr>
              <w:t>210,951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204,808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50,699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47,787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6.1</w:t>
            </w:r>
          </w:p>
        </w:tc>
        <w:tc>
          <w:tcPr>
            <w:tcW w:w="1040" w:type="dxa"/>
            <w:vAlign w:val="bottom"/>
          </w:tcPr>
          <w:p>
            <w:pPr>
              <w:jc w:val="right"/>
              <w:spacing w:after="0"/>
              <w:rPr>
                <w:sz w:val="20"/>
                <w:szCs w:val="20"/>
                <w:color w:val="auto"/>
              </w:rPr>
            </w:pPr>
            <w:r>
              <w:rPr>
                <w:rFonts w:ascii="Arial" w:cs="Arial" w:eastAsia="Arial" w:hAnsi="Arial"/>
                <w:sz w:val="14"/>
                <w:szCs w:val="14"/>
                <w:color w:val="auto"/>
              </w:rPr>
              <w:t>418,312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415,130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5,990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5,743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4.3</w:t>
            </w:r>
          </w:p>
        </w:tc>
        <w:tc>
          <w:tcPr>
            <w:tcW w:w="1040" w:type="dxa"/>
            <w:vAlign w:val="bottom"/>
          </w:tcPr>
          <w:p>
            <w:pPr>
              <w:jc w:val="right"/>
              <w:spacing w:after="0"/>
              <w:rPr>
                <w:sz w:val="20"/>
                <w:szCs w:val="20"/>
                <w:color w:val="auto"/>
              </w:rPr>
            </w:pPr>
            <w:r>
              <w:rPr>
                <w:rFonts w:ascii="Arial" w:cs="Arial" w:eastAsia="Arial" w:hAnsi="Arial"/>
                <w:sz w:val="14"/>
                <w:szCs w:val="14"/>
                <w:color w:val="auto"/>
              </w:rPr>
              <w:t>81,247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15,778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414.9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2,229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12,385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5,956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5,930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0.4</w:t>
            </w:r>
          </w:p>
        </w:tc>
        <w:tc>
          <w:tcPr>
            <w:tcW w:w="1040" w:type="dxa"/>
            <w:vAlign w:val="bottom"/>
          </w:tcPr>
          <w:p>
            <w:pPr>
              <w:jc w:val="right"/>
              <w:spacing w:after="0"/>
              <w:rPr>
                <w:sz w:val="20"/>
                <w:szCs w:val="20"/>
                <w:color w:val="auto"/>
              </w:rPr>
            </w:pPr>
            <w:r>
              <w:rPr>
                <w:rFonts w:ascii="Arial" w:cs="Arial" w:eastAsia="Arial" w:hAnsi="Arial"/>
                <w:sz w:val="14"/>
                <w:szCs w:val="14"/>
                <w:color w:val="auto"/>
              </w:rPr>
              <w:t>48,116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49,427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8,602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8,430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w:t>
            </w:r>
          </w:p>
        </w:tc>
        <w:tc>
          <w:tcPr>
            <w:tcW w:w="1040" w:type="dxa"/>
            <w:vAlign w:val="bottom"/>
          </w:tcPr>
          <w:p>
            <w:pPr>
              <w:jc w:val="right"/>
              <w:spacing w:after="0"/>
              <w:rPr>
                <w:sz w:val="20"/>
                <w:szCs w:val="20"/>
                <w:color w:val="auto"/>
              </w:rPr>
            </w:pPr>
            <w:r>
              <w:rPr>
                <w:rFonts w:ascii="Arial" w:cs="Arial" w:eastAsia="Arial" w:hAnsi="Arial"/>
                <w:sz w:val="14"/>
                <w:szCs w:val="14"/>
                <w:color w:val="auto"/>
              </w:rPr>
              <w:t>68,904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80,527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TrailBlazer</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7,430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9,326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(20.3)</w:t>
            </w:r>
          </w:p>
        </w:tc>
        <w:tc>
          <w:tcPr>
            <w:tcW w:w="1040" w:type="dxa"/>
            <w:vAlign w:val="bottom"/>
          </w:tcPr>
          <w:p>
            <w:pPr>
              <w:jc w:val="right"/>
              <w:spacing w:after="0"/>
              <w:rPr>
                <w:sz w:val="20"/>
                <w:szCs w:val="20"/>
                <w:color w:val="auto"/>
              </w:rPr>
            </w:pPr>
            <w:r>
              <w:rPr>
                <w:rFonts w:ascii="Arial" w:cs="Arial" w:eastAsia="Arial" w:hAnsi="Arial"/>
                <w:sz w:val="14"/>
                <w:szCs w:val="14"/>
                <w:color w:val="auto"/>
              </w:rPr>
              <w:t>85,606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107,131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(20.1)</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2,633</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1,529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23,461</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7,671</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205.8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Chevrolet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167,091</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161,158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1,851,646</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1,775,812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4.3</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5,179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7,355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(29.6)</w:t>
            </w:r>
          </w:p>
        </w:tc>
        <w:tc>
          <w:tcPr>
            <w:tcW w:w="1040" w:type="dxa"/>
            <w:vAlign w:val="bottom"/>
          </w:tcPr>
          <w:p>
            <w:pPr>
              <w:jc w:val="right"/>
              <w:spacing w:after="0"/>
              <w:rPr>
                <w:sz w:val="20"/>
                <w:szCs w:val="20"/>
                <w:color w:val="auto"/>
              </w:rPr>
            </w:pPr>
            <w:r>
              <w:rPr>
                <w:rFonts w:ascii="Arial" w:cs="Arial" w:eastAsia="Arial" w:hAnsi="Arial"/>
                <w:sz w:val="14"/>
                <w:szCs w:val="14"/>
                <w:color w:val="auto"/>
              </w:rPr>
              <w:t>78,280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79,288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315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716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(56.0)</w:t>
            </w:r>
          </w:p>
        </w:tc>
        <w:tc>
          <w:tcPr>
            <w:tcW w:w="1040" w:type="dxa"/>
            <w:vAlign w:val="bottom"/>
          </w:tcPr>
          <w:p>
            <w:pPr>
              <w:jc w:val="right"/>
              <w:spacing w:after="0"/>
              <w:rPr>
                <w:sz w:val="20"/>
                <w:szCs w:val="20"/>
                <w:color w:val="auto"/>
              </w:rPr>
            </w:pPr>
            <w:r>
              <w:rPr>
                <w:rFonts w:ascii="Arial" w:cs="Arial" w:eastAsia="Arial" w:hAnsi="Arial"/>
                <w:sz w:val="14"/>
                <w:szCs w:val="14"/>
                <w:color w:val="auto"/>
              </w:rPr>
              <w:t>8,735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9,590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Envoy</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1,330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2,530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(47.4)</w:t>
            </w:r>
          </w:p>
        </w:tc>
        <w:tc>
          <w:tcPr>
            <w:tcW w:w="1040" w:type="dxa"/>
            <w:vAlign w:val="bottom"/>
          </w:tcPr>
          <w:p>
            <w:pPr>
              <w:jc w:val="right"/>
              <w:spacing w:after="0"/>
              <w:rPr>
                <w:sz w:val="20"/>
                <w:szCs w:val="20"/>
                <w:color w:val="auto"/>
              </w:rPr>
            </w:pPr>
            <w:r>
              <w:rPr>
                <w:rFonts w:ascii="Arial" w:cs="Arial" w:eastAsia="Arial" w:hAnsi="Arial"/>
                <w:sz w:val="14"/>
                <w:szCs w:val="14"/>
                <w:color w:val="auto"/>
              </w:rPr>
              <w:t>20,650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17,268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18,710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16,495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13.4</w:t>
            </w:r>
          </w:p>
        </w:tc>
        <w:tc>
          <w:tcPr>
            <w:tcW w:w="1040" w:type="dxa"/>
            <w:vAlign w:val="bottom"/>
          </w:tcPr>
          <w:p>
            <w:pPr>
              <w:jc w:val="right"/>
              <w:spacing w:after="0"/>
              <w:rPr>
                <w:sz w:val="20"/>
                <w:szCs w:val="20"/>
                <w:color w:val="auto"/>
              </w:rPr>
            </w:pPr>
            <w:r>
              <w:rPr>
                <w:rFonts w:ascii="Arial" w:cs="Arial" w:eastAsia="Arial" w:hAnsi="Arial"/>
                <w:sz w:val="14"/>
                <w:szCs w:val="14"/>
                <w:color w:val="auto"/>
              </w:rPr>
              <w:t>157,185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149,170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11,516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7,724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49.1</w:t>
            </w:r>
          </w:p>
        </w:tc>
        <w:tc>
          <w:tcPr>
            <w:tcW w:w="1040" w:type="dxa"/>
            <w:vAlign w:val="bottom"/>
          </w:tcPr>
          <w:p>
            <w:pPr>
              <w:jc w:val="right"/>
              <w:spacing w:after="0"/>
              <w:rPr>
                <w:sz w:val="20"/>
                <w:szCs w:val="20"/>
                <w:color w:val="auto"/>
              </w:rPr>
            </w:pPr>
            <w:r>
              <w:rPr>
                <w:rFonts w:ascii="Arial" w:cs="Arial" w:eastAsia="Arial" w:hAnsi="Arial"/>
                <w:sz w:val="14"/>
                <w:szCs w:val="14"/>
                <w:color w:val="auto"/>
              </w:rPr>
              <w:t>97,786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83,179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4/5 Series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6/7/8 Series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3,942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3,968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(0.7)</w:t>
            </w:r>
          </w:p>
        </w:tc>
        <w:tc>
          <w:tcPr>
            <w:tcW w:w="1040" w:type="dxa"/>
            <w:vAlign w:val="bottom"/>
          </w:tcPr>
          <w:p>
            <w:pPr>
              <w:jc w:val="right"/>
              <w:spacing w:after="0"/>
              <w:rPr>
                <w:sz w:val="20"/>
                <w:szCs w:val="20"/>
                <w:color w:val="auto"/>
              </w:rPr>
            </w:pPr>
            <w:r>
              <w:rPr>
                <w:rFonts w:ascii="Arial" w:cs="Arial" w:eastAsia="Arial" w:hAnsi="Arial"/>
                <w:sz w:val="14"/>
                <w:szCs w:val="14"/>
                <w:color w:val="auto"/>
              </w:rPr>
              <w:t>27,818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34,250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(18.8)</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2,929</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3,172</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(7.7)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23,427</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25,223</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(7.1)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43,921</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41,960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413,881</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397,986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4.0</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GM Vehicle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245,733</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234,351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2,595,717</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2,503,820</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3.7</w:t>
            </w:r>
          </w:p>
        </w:tc>
      </w:tr>
    </w:tbl>
    <w:p>
      <w:pPr>
        <w:spacing w:after="0" w:line="76" w:lineRule="exact"/>
        <w:rPr>
          <w:sz w:val="20"/>
          <w:szCs w:val="20"/>
          <w:color w:val="auto"/>
        </w:rPr>
      </w:pPr>
    </w:p>
    <w:p>
      <w:pPr>
        <w:sectPr>
          <w:pgSz w:w="11900" w:h="16838" w:orient="portrait"/>
          <w:cols w:equalWidth="0" w:num="1">
            <w:col w:w="9440"/>
          </w:cols>
          <w:pgMar w:left="1240" w:top="714" w:right="1219" w:bottom="0" w:gutter="0" w:footer="0" w:header="0"/>
        </w:sectPr>
      </w:pPr>
    </w:p>
    <w:p>
      <w:pPr>
        <w:ind w:left="60"/>
        <w:spacing w:after="0"/>
        <w:rPr>
          <w:sz w:val="20"/>
          <w:szCs w:val="20"/>
          <w:color w:val="auto"/>
        </w:rPr>
      </w:pPr>
      <w:r>
        <w:rPr>
          <w:rFonts w:ascii="Arial" w:cs="Arial" w:eastAsia="Arial" w:hAnsi="Arial"/>
          <w:sz w:val="13"/>
          <w:szCs w:val="13"/>
          <w:color w:val="auto"/>
        </w:rPr>
        <w:t>* 26 selling days for the December period this year and 27 for last year.</w:t>
      </w:r>
    </w:p>
    <w:p>
      <w:pPr>
        <w:sectPr>
          <w:pgSz w:w="11900" w:h="16838" w:orient="portrait"/>
          <w:cols w:equalWidth="0" w:num="1">
            <w:col w:w="9440"/>
          </w:cols>
          <w:pgMar w:left="1240" w:top="714" w:right="1219" w:bottom="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2019-12-07T21:04:54Z</dcterms:created>
  <dcterms:modified xsi:type="dcterms:W3CDTF">2019-12-07T21:04:54Z</dcterms:modified>
</cp:coreProperties>
</file>