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3"/>
          <w:szCs w:val="13"/>
          <w:b w:val="1"/>
          <w:bCs w:val="1"/>
          <w:color w:val="auto"/>
        </w:rPr>
        <w:t>As filed with the Securities and Exchange Commission on February 7, 2017</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227965</wp:posOffset>
            </wp:positionV>
            <wp:extent cx="15779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975"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245110</wp:posOffset>
            </wp:positionV>
            <wp:extent cx="1577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S-3</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228600</wp:posOffset>
            </wp:positionV>
            <wp:extent cx="1577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975"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245745</wp:posOffset>
            </wp:positionV>
            <wp:extent cx="15779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General Motors Company</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88" w:right="239" w:bottom="1440" w:gutter="0" w:footer="0" w:header="0"/>
        </w:sectPr>
      </w:pPr>
    </w:p>
    <w:p>
      <w:pPr>
        <w:spacing w:after="0" w:line="367"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27-0756180</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860" w:space="720"/>
            <w:col w:w="3840"/>
          </w:cols>
          <w:pgMar w:left="240" w:top="688" w:right="239" w:bottom="1440" w:gutter="0" w:footer="0" w:header="0"/>
          <w:type w:val="continuous"/>
        </w:sectPr>
      </w:pP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 Renaissance Center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(313) 556-5000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5" w:lineRule="exact"/>
        <w:rPr>
          <w:sz w:val="24"/>
          <w:szCs w:val="24"/>
          <w:color w:val="auto"/>
        </w:rPr>
      </w:pPr>
    </w:p>
    <w:p>
      <w:pPr>
        <w:ind w:left="4960"/>
        <w:spacing w:after="0"/>
        <w:rPr>
          <w:sz w:val="20"/>
          <w:szCs w:val="20"/>
          <w:color w:val="auto"/>
        </w:rPr>
      </w:pPr>
      <w:r>
        <w:rPr>
          <w:rFonts w:ascii="Arial" w:cs="Arial" w:eastAsia="Arial" w:hAnsi="Arial"/>
          <w:sz w:val="13"/>
          <w:szCs w:val="13"/>
          <w:color w:val="auto"/>
        </w:rPr>
        <w:t>________________________</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Thomas S. Timko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Vice President, Controller and Chief Accounting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(313) 556-5000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5" w:lineRule="exact"/>
        <w:rPr>
          <w:sz w:val="24"/>
          <w:szCs w:val="24"/>
          <w:color w:val="auto"/>
        </w:rPr>
      </w:pPr>
    </w:p>
    <w:p>
      <w:pPr>
        <w:ind w:left="4960"/>
        <w:spacing w:after="0"/>
        <w:rPr>
          <w:sz w:val="20"/>
          <w:szCs w:val="20"/>
          <w:color w:val="auto"/>
        </w:rPr>
      </w:pPr>
      <w:r>
        <w:rPr>
          <w:rFonts w:ascii="Arial" w:cs="Arial" w:eastAsia="Arial" w:hAnsi="Arial"/>
          <w:sz w:val="13"/>
          <w:szCs w:val="13"/>
          <w:color w:val="auto"/>
        </w:rPr>
        <w:t>________________________</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Copies of all communications, including communications sent to agent for service, should be sent to:</w:t>
      </w:r>
    </w:p>
    <w:p>
      <w:pPr>
        <w:spacing w:after="0" w:line="400" w:lineRule="exact"/>
        <w:rPr>
          <w:sz w:val="24"/>
          <w:szCs w:val="24"/>
          <w:color w:val="auto"/>
        </w:rPr>
      </w:pPr>
    </w:p>
    <w:tbl>
      <w:tblPr>
        <w:tblLayout w:type="fixed"/>
        <w:tblInd w:w="1920" w:type="dxa"/>
        <w:tblCellMar>
          <w:top w:w="0" w:type="dxa"/>
          <w:left w:w="0" w:type="dxa"/>
          <w:bottom w:w="0" w:type="dxa"/>
          <w:right w:w="0" w:type="dxa"/>
        </w:tblCellMar>
      </w:tblPr>
      <w:tr>
        <w:trPr>
          <w:trHeight w:val="216"/>
        </w:trPr>
        <w:tc>
          <w:tcPr>
            <w:tcW w:w="382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Jill E. Sutton, Esq.</w:t>
            </w:r>
          </w:p>
        </w:tc>
        <w:tc>
          <w:tcPr>
            <w:tcW w:w="3720" w:type="dxa"/>
            <w:vAlign w:val="bottom"/>
          </w:tcPr>
          <w:p>
            <w:pPr>
              <w:jc w:val="center"/>
              <w:ind w:left="1470"/>
              <w:spacing w:after="0"/>
              <w:rPr>
                <w:sz w:val="20"/>
                <w:szCs w:val="20"/>
                <w:color w:val="auto"/>
              </w:rPr>
            </w:pPr>
            <w:r>
              <w:rPr>
                <w:rFonts w:ascii="Arial" w:cs="Arial" w:eastAsia="Arial" w:hAnsi="Arial"/>
                <w:sz w:val="18"/>
                <w:szCs w:val="18"/>
                <w:b w:val="1"/>
                <w:bCs w:val="1"/>
                <w:color w:val="auto"/>
                <w:w w:val="88"/>
              </w:rPr>
              <w:t>Joseph P. Gromacki, Esq.</w:t>
            </w:r>
          </w:p>
        </w:tc>
      </w:tr>
      <w:tr>
        <w:trPr>
          <w:trHeight w:val="216"/>
        </w:trPr>
        <w:tc>
          <w:tcPr>
            <w:tcW w:w="3820" w:type="dxa"/>
            <w:vAlign w:val="bottom"/>
          </w:tcPr>
          <w:p>
            <w:pPr>
              <w:jc w:val="center"/>
              <w:ind w:right="1470"/>
              <w:spacing w:after="0"/>
              <w:rPr>
                <w:sz w:val="20"/>
                <w:szCs w:val="20"/>
                <w:color w:val="auto"/>
              </w:rPr>
            </w:pPr>
            <w:r>
              <w:rPr>
                <w:rFonts w:ascii="Arial" w:cs="Arial" w:eastAsia="Arial" w:hAnsi="Arial"/>
                <w:sz w:val="18"/>
                <w:szCs w:val="18"/>
                <w:b w:val="1"/>
                <w:bCs w:val="1"/>
                <w:color w:val="auto"/>
                <w:w w:val="92"/>
              </w:rPr>
              <w:t>General Motors Company</w:t>
            </w:r>
          </w:p>
        </w:tc>
        <w:tc>
          <w:tcPr>
            <w:tcW w:w="3720" w:type="dxa"/>
            <w:vAlign w:val="bottom"/>
          </w:tcPr>
          <w:p>
            <w:pPr>
              <w:jc w:val="center"/>
              <w:ind w:left="1450"/>
              <w:spacing w:after="0"/>
              <w:rPr>
                <w:sz w:val="20"/>
                <w:szCs w:val="20"/>
                <w:color w:val="auto"/>
              </w:rPr>
            </w:pPr>
            <w:r>
              <w:rPr>
                <w:rFonts w:ascii="Arial" w:cs="Arial" w:eastAsia="Arial" w:hAnsi="Arial"/>
                <w:sz w:val="18"/>
                <w:szCs w:val="18"/>
                <w:b w:val="1"/>
                <w:bCs w:val="1"/>
                <w:color w:val="auto"/>
                <w:w w:val="92"/>
              </w:rPr>
              <w:t>William L. Tolbert, Jr., Esq.</w:t>
            </w:r>
          </w:p>
        </w:tc>
      </w:tr>
      <w:tr>
        <w:trPr>
          <w:trHeight w:val="216"/>
        </w:trPr>
        <w:tc>
          <w:tcPr>
            <w:tcW w:w="3820" w:type="dxa"/>
            <w:vAlign w:val="bottom"/>
          </w:tcPr>
          <w:p>
            <w:pPr>
              <w:jc w:val="center"/>
              <w:ind w:right="1470"/>
              <w:spacing w:after="0"/>
              <w:rPr>
                <w:sz w:val="20"/>
                <w:szCs w:val="20"/>
                <w:color w:val="auto"/>
              </w:rPr>
            </w:pPr>
            <w:r>
              <w:rPr>
                <w:rFonts w:ascii="Arial" w:cs="Arial" w:eastAsia="Arial" w:hAnsi="Arial"/>
                <w:sz w:val="18"/>
                <w:szCs w:val="18"/>
                <w:b w:val="1"/>
                <w:bCs w:val="1"/>
                <w:color w:val="auto"/>
                <w:w w:val="87"/>
              </w:rPr>
              <w:t>300 Renaissance Center</w:t>
            </w:r>
          </w:p>
        </w:tc>
        <w:tc>
          <w:tcPr>
            <w:tcW w:w="372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Brian R. Boch, Esq.</w:t>
            </w:r>
          </w:p>
        </w:tc>
      </w:tr>
      <w:tr>
        <w:trPr>
          <w:trHeight w:val="216"/>
        </w:trPr>
        <w:tc>
          <w:tcPr>
            <w:tcW w:w="3820" w:type="dxa"/>
            <w:vAlign w:val="bottom"/>
          </w:tcPr>
          <w:p>
            <w:pPr>
              <w:jc w:val="center"/>
              <w:ind w:right="1450"/>
              <w:spacing w:after="0"/>
              <w:rPr>
                <w:sz w:val="20"/>
                <w:szCs w:val="20"/>
                <w:color w:val="auto"/>
              </w:rPr>
            </w:pPr>
            <w:r>
              <w:rPr>
                <w:rFonts w:ascii="Arial" w:cs="Arial" w:eastAsia="Arial" w:hAnsi="Arial"/>
                <w:sz w:val="18"/>
                <w:szCs w:val="18"/>
                <w:b w:val="1"/>
                <w:bCs w:val="1"/>
                <w:color w:val="auto"/>
                <w:w w:val="92"/>
              </w:rPr>
              <w:t>Detroit, Michigan 48265-3000</w:t>
            </w:r>
          </w:p>
        </w:tc>
        <w:tc>
          <w:tcPr>
            <w:tcW w:w="3720" w:type="dxa"/>
            <w:vAlign w:val="bottom"/>
          </w:tcPr>
          <w:p>
            <w:pPr>
              <w:jc w:val="center"/>
              <w:ind w:left="1470"/>
              <w:spacing w:after="0"/>
              <w:rPr>
                <w:sz w:val="20"/>
                <w:szCs w:val="20"/>
                <w:color w:val="auto"/>
              </w:rPr>
            </w:pPr>
            <w:r>
              <w:rPr>
                <w:rFonts w:ascii="Arial" w:cs="Arial" w:eastAsia="Arial" w:hAnsi="Arial"/>
                <w:sz w:val="18"/>
                <w:szCs w:val="18"/>
                <w:b w:val="1"/>
                <w:bCs w:val="1"/>
                <w:color w:val="auto"/>
                <w:w w:val="94"/>
              </w:rPr>
              <w:t>Jenner &amp; Block LLP</w:t>
            </w:r>
          </w:p>
        </w:tc>
      </w:tr>
      <w:tr>
        <w:trPr>
          <w:trHeight w:val="216"/>
        </w:trPr>
        <w:tc>
          <w:tcPr>
            <w:tcW w:w="3820" w:type="dxa"/>
            <w:vAlign w:val="bottom"/>
          </w:tcPr>
          <w:p>
            <w:pPr>
              <w:jc w:val="center"/>
              <w:ind w:right="1450"/>
              <w:spacing w:after="0"/>
              <w:rPr>
                <w:sz w:val="20"/>
                <w:szCs w:val="20"/>
                <w:color w:val="auto"/>
              </w:rPr>
            </w:pPr>
            <w:r>
              <w:rPr>
                <w:rFonts w:ascii="Arial" w:cs="Arial" w:eastAsia="Arial" w:hAnsi="Arial"/>
                <w:sz w:val="18"/>
                <w:szCs w:val="18"/>
                <w:b w:val="1"/>
                <w:bCs w:val="1"/>
                <w:color w:val="auto"/>
                <w:w w:val="90"/>
              </w:rPr>
              <w:t>(313) 556-5000</w:t>
            </w:r>
          </w:p>
        </w:tc>
        <w:tc>
          <w:tcPr>
            <w:tcW w:w="3720" w:type="dxa"/>
            <w:vAlign w:val="bottom"/>
          </w:tcPr>
          <w:p>
            <w:pPr>
              <w:jc w:val="center"/>
              <w:ind w:left="1470"/>
              <w:spacing w:after="0"/>
              <w:rPr>
                <w:sz w:val="20"/>
                <w:szCs w:val="20"/>
                <w:color w:val="auto"/>
              </w:rPr>
            </w:pPr>
            <w:r>
              <w:rPr>
                <w:rFonts w:ascii="Arial" w:cs="Arial" w:eastAsia="Arial" w:hAnsi="Arial"/>
                <w:sz w:val="18"/>
                <w:szCs w:val="18"/>
                <w:b w:val="1"/>
                <w:bCs w:val="1"/>
                <w:color w:val="auto"/>
                <w:w w:val="93"/>
              </w:rPr>
              <w:t>353 N. Clark Street</w:t>
            </w:r>
          </w:p>
        </w:tc>
      </w:tr>
      <w:tr>
        <w:trPr>
          <w:trHeight w:val="234"/>
        </w:trPr>
        <w:tc>
          <w:tcPr>
            <w:tcW w:w="3820" w:type="dxa"/>
            <w:vAlign w:val="bottom"/>
          </w:tcPr>
          <w:p>
            <w:pPr>
              <w:spacing w:after="0"/>
              <w:rPr>
                <w:sz w:val="20"/>
                <w:szCs w:val="20"/>
                <w:color w:val="auto"/>
              </w:rPr>
            </w:pPr>
          </w:p>
        </w:tc>
        <w:tc>
          <w:tcPr>
            <w:tcW w:w="372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Chicago, Illinois 60654-3456</w:t>
            </w:r>
          </w:p>
        </w:tc>
      </w:tr>
      <w:tr>
        <w:trPr>
          <w:trHeight w:val="243"/>
        </w:trPr>
        <w:tc>
          <w:tcPr>
            <w:tcW w:w="3820" w:type="dxa"/>
            <w:vAlign w:val="bottom"/>
          </w:tcPr>
          <w:p>
            <w:pPr>
              <w:spacing w:after="0"/>
              <w:rPr>
                <w:sz w:val="21"/>
                <w:szCs w:val="21"/>
                <w:color w:val="auto"/>
              </w:rPr>
            </w:pPr>
          </w:p>
        </w:tc>
        <w:tc>
          <w:tcPr>
            <w:tcW w:w="372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(312) 222-9350</w:t>
            </w:r>
          </w:p>
        </w:tc>
      </w:tr>
    </w:tbl>
    <w:p>
      <w:pPr>
        <w:spacing w:after="0" w:line="36" w:lineRule="exact"/>
        <w:rPr>
          <w:sz w:val="24"/>
          <w:szCs w:val="24"/>
          <w:color w:val="auto"/>
        </w:rPr>
      </w:pPr>
    </w:p>
    <w:p>
      <w:pPr>
        <w:ind w:left="660" w:right="140"/>
        <w:spacing w:after="0" w:line="361"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207" w:lineRule="exact"/>
        <w:rPr>
          <w:sz w:val="20"/>
          <w:szCs w:val="20"/>
          <w:color w:val="auto"/>
        </w:rPr>
      </w:pPr>
      <w:r>
        <w:rPr>
          <w:rFonts w:ascii="Arial" w:cs="Arial" w:eastAsia="Arial" w:hAnsi="Arial"/>
          <w:sz w:val="18"/>
          <w:szCs w:val="18"/>
          <w:color w:val="auto"/>
        </w:rPr>
        <w:t xml:space="preserve">box. </w:t>
      </w:r>
      <w:r>
        <w:rPr>
          <w:rFonts w:ascii="MS PGothic" w:cs="MS PGothic" w:eastAsia="MS PGothic" w:hAnsi="MS PGothic"/>
          <w:sz w:val="18"/>
          <w:szCs w:val="18"/>
          <w:color w:val="auto"/>
        </w:rPr>
        <w:t>☐</w:t>
      </w:r>
    </w:p>
    <w:p>
      <w:pPr>
        <w:spacing w:after="0" w:line="108"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right="140" w:firstLine="648"/>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420"/>
          </w:cols>
          <w:pgMar w:left="240" w:top="688" w:right="239" w:bottom="1440" w:gutter="0" w:footer="0" w:header="0"/>
          <w:type w:val="continuous"/>
        </w:sectPr>
      </w:pPr>
    </w:p>
    <w:bookmarkStart w:id="1" w:name="page2"/>
    <w:bookmarkEnd w:id="1"/>
    <w:p>
      <w:pPr>
        <w:ind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180" w:firstLine="648"/>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040" w:type="dxa"/>
            <w:vAlign w:val="bottom"/>
          </w:tcPr>
          <w:p>
            <w:pPr>
              <w:ind w:left="2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58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4"/>
              </w:rPr>
              <w:t xml:space="preserve">Accelerated filer </w:t>
            </w:r>
            <w:r>
              <w:rPr>
                <w:rFonts w:ascii="MS PGothic" w:cs="MS PGothic" w:eastAsia="MS PGothic" w:hAnsi="MS PGothic"/>
                <w:sz w:val="18"/>
                <w:szCs w:val="18"/>
                <w:color w:val="auto"/>
                <w:w w:val="94"/>
              </w:rPr>
              <w:t>☐</w:t>
            </w:r>
          </w:p>
        </w:tc>
        <w:tc>
          <w:tcPr>
            <w:tcW w:w="2680" w:type="dxa"/>
            <w:vAlign w:val="bottom"/>
            <w:gridSpan w:val="2"/>
            <w:vMerge w:val="restart"/>
          </w:tcPr>
          <w:p>
            <w:pPr>
              <w:ind w:left="400"/>
              <w:spacing w:after="0" w:line="207" w:lineRule="exact"/>
              <w:rPr>
                <w:sz w:val="20"/>
                <w:szCs w:val="20"/>
                <w:color w:val="auto"/>
              </w:rPr>
            </w:pPr>
            <w:r>
              <w:rPr>
                <w:rFonts w:ascii="Arial" w:cs="Arial" w:eastAsia="Arial" w:hAnsi="Arial"/>
                <w:sz w:val="18"/>
                <w:szCs w:val="18"/>
                <w:color w:val="auto"/>
                <w:w w:val="94"/>
              </w:rPr>
              <w:t xml:space="preserve">Smaller reporting company </w:t>
            </w:r>
            <w:r>
              <w:rPr>
                <w:rFonts w:ascii="MS PGothic" w:cs="MS PGothic" w:eastAsia="MS PGothic" w:hAnsi="MS PGothic"/>
                <w:sz w:val="18"/>
                <w:szCs w:val="18"/>
                <w:color w:val="auto"/>
                <w:w w:val="94"/>
              </w:rPr>
              <w:t>☐</w:t>
            </w:r>
          </w:p>
        </w:tc>
        <w:tc>
          <w:tcPr>
            <w:tcW w:w="1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20" w:type="dxa"/>
            <w:vAlign w:val="bottom"/>
            <w:gridSpan w:val="3"/>
          </w:tcPr>
          <w:p>
            <w:pPr>
              <w:ind w:left="260"/>
              <w:spacing w:after="0" w:line="207" w:lineRule="exact"/>
              <w:rPr>
                <w:sz w:val="20"/>
                <w:szCs w:val="20"/>
                <w:color w:val="auto"/>
              </w:rPr>
            </w:pPr>
            <w:r>
              <w:rPr>
                <w:rFonts w:ascii="Arial" w:cs="Arial" w:eastAsia="Arial" w:hAnsi="Arial"/>
                <w:sz w:val="18"/>
                <w:szCs w:val="18"/>
                <w:color w:val="auto"/>
                <w:w w:val="91"/>
              </w:rPr>
              <w:t xml:space="preserve">Non-accelerated filer </w:t>
            </w: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(Do not check if a smaller reporting</w:t>
            </w:r>
          </w:p>
        </w:tc>
        <w:tc>
          <w:tcPr>
            <w:tcW w:w="2680" w:type="dxa"/>
            <w:vAlign w:val="bottom"/>
            <w:gridSpan w:val="2"/>
            <w:vMerge w:val="continue"/>
          </w:tcPr>
          <w:p>
            <w:pPr>
              <w:spacing w:after="0"/>
              <w:rPr>
                <w:sz w:val="21"/>
                <w:szCs w:val="21"/>
                <w:color w:val="auto"/>
              </w:rPr>
            </w:pPr>
          </w:p>
        </w:tc>
        <w:tc>
          <w:tcPr>
            <w:tcW w:w="17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60"/>
              <w:spacing w:after="0"/>
              <w:rPr>
                <w:sz w:val="20"/>
                <w:szCs w:val="20"/>
                <w:color w:val="auto"/>
              </w:rPr>
            </w:pPr>
            <w:r>
              <w:rPr>
                <w:rFonts w:ascii="Arial" w:cs="Arial" w:eastAsia="Arial" w:hAnsi="Arial"/>
                <w:sz w:val="18"/>
                <w:szCs w:val="18"/>
                <w:color w:val="auto"/>
              </w:rPr>
              <w:t>company)</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Borders>
              <w:bottom w:val="single" w:sz="8" w:color="auto"/>
            </w:tcBorders>
            <w:gridSpan w:val="3"/>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80" w:type="dxa"/>
            <w:vAlign w:val="bottom"/>
            <w:tcBorders>
              <w:bottom w:val="single" w:sz="8" w:color="auto"/>
            </w:tcBorders>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gridSpan w:val="3"/>
          </w:tcPr>
          <w:p>
            <w:pPr>
              <w:ind w:left="260"/>
              <w:spacing w:after="0"/>
              <w:rPr>
                <w:sz w:val="20"/>
                <w:szCs w:val="20"/>
                <w:color w:val="auto"/>
              </w:rPr>
            </w:pPr>
            <w:r>
              <w:rPr>
                <w:rFonts w:ascii="Arial" w:cs="Arial" w:eastAsia="Arial" w:hAnsi="Arial"/>
                <w:sz w:val="18"/>
                <w:szCs w:val="18"/>
                <w:b w:val="1"/>
                <w:bCs w:val="1"/>
                <w:color w:val="auto"/>
              </w:rPr>
              <w:t>CALCULATION OF REGISTRATION FEE</w:t>
            </w: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center"/>
              <w:ind w:left="168"/>
              <w:spacing w:after="0"/>
              <w:rPr>
                <w:sz w:val="20"/>
                <w:szCs w:val="20"/>
                <w:color w:val="auto"/>
              </w:rPr>
            </w:pPr>
            <w:r>
              <w:rPr>
                <w:rFonts w:ascii="Arial" w:cs="Arial" w:eastAsia="Arial" w:hAnsi="Arial"/>
                <w:sz w:val="14"/>
                <w:szCs w:val="14"/>
                <w:b w:val="1"/>
                <w:bCs w:val="1"/>
                <w:color w:val="auto"/>
                <w:w w:val="89"/>
              </w:rPr>
              <w:t>Proposed</w:t>
            </w:r>
          </w:p>
        </w:tc>
        <w:tc>
          <w:tcPr>
            <w:tcW w:w="172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Proposed</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4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Title of Each Class of</w:t>
            </w: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vMerge w:val="restart"/>
          </w:tcPr>
          <w:p>
            <w:pPr>
              <w:jc w:val="center"/>
              <w:ind w:right="305"/>
              <w:spacing w:after="0"/>
              <w:rPr>
                <w:sz w:val="20"/>
                <w:szCs w:val="20"/>
                <w:color w:val="auto"/>
              </w:rPr>
            </w:pPr>
            <w:r>
              <w:rPr>
                <w:rFonts w:ascii="Arial" w:cs="Arial" w:eastAsia="Arial" w:hAnsi="Arial"/>
                <w:sz w:val="14"/>
                <w:szCs w:val="14"/>
                <w:b w:val="1"/>
                <w:bCs w:val="1"/>
                <w:color w:val="auto"/>
                <w:w w:val="93"/>
              </w:rPr>
              <w:t>Amount to be</w:t>
            </w:r>
          </w:p>
        </w:tc>
        <w:tc>
          <w:tcPr>
            <w:tcW w:w="142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9"/>
              </w:rPr>
              <w:t>Maximum</w:t>
            </w:r>
          </w:p>
        </w:tc>
        <w:tc>
          <w:tcPr>
            <w:tcW w:w="172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2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7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9"/>
              </w:rPr>
              <w:t>Aggregate</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4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w w:val="94"/>
              </w:rPr>
              <w:t>Securities to be Registered</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05"/>
              <w:spacing w:after="0"/>
              <w:rPr>
                <w:sz w:val="20"/>
                <w:szCs w:val="20"/>
                <w:color w:val="auto"/>
              </w:rPr>
            </w:pPr>
            <w:r>
              <w:rPr>
                <w:rFonts w:ascii="Arial" w:cs="Arial" w:eastAsia="Arial" w:hAnsi="Arial"/>
                <w:sz w:val="14"/>
                <w:szCs w:val="14"/>
                <w:b w:val="1"/>
                <w:bCs w:val="1"/>
                <w:color w:val="auto"/>
                <w:w w:val="88"/>
              </w:rPr>
              <w:t>Registered</w:t>
            </w:r>
          </w:p>
        </w:tc>
        <w:tc>
          <w:tcPr>
            <w:tcW w:w="14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2"/>
              </w:rPr>
              <w:t>Per Security</w:t>
            </w:r>
          </w:p>
        </w:tc>
        <w:tc>
          <w:tcPr>
            <w:tcW w:w="172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90"/>
        </w:trPr>
        <w:tc>
          <w:tcPr>
            <w:tcW w:w="3040" w:type="dxa"/>
            <w:vAlign w:val="bottom"/>
          </w:tcPr>
          <w:p>
            <w:pPr>
              <w:ind w:left="20"/>
              <w:spacing w:after="0"/>
              <w:rPr>
                <w:sz w:val="20"/>
                <w:szCs w:val="20"/>
                <w:color w:val="auto"/>
              </w:rPr>
            </w:pPr>
            <w:r>
              <w:rPr>
                <w:rFonts w:ascii="Arial" w:cs="Arial" w:eastAsia="Arial" w:hAnsi="Arial"/>
                <w:sz w:val="14"/>
                <w:szCs w:val="14"/>
                <w:color w:val="auto"/>
              </w:rPr>
              <w:t>Debt securities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jc w:val="center"/>
              <w:ind w:right="305"/>
              <w:spacing w:after="0"/>
              <w:rPr>
                <w:sz w:val="20"/>
                <w:szCs w:val="20"/>
                <w:color w:val="auto"/>
              </w:rPr>
            </w:pPr>
            <w:r>
              <w:rPr>
                <w:rFonts w:ascii="Arial" w:cs="Arial" w:eastAsia="Arial" w:hAnsi="Arial"/>
                <w:sz w:val="14"/>
                <w:szCs w:val="14"/>
                <w:color w:val="auto"/>
                <w:w w:val="93"/>
              </w:rPr>
              <w:t>(1)</w:t>
            </w:r>
          </w:p>
        </w:tc>
        <w:tc>
          <w:tcPr>
            <w:tcW w:w="1420" w:type="dxa"/>
            <w:vAlign w:val="bottom"/>
          </w:tcPr>
          <w:p>
            <w:pPr>
              <w:jc w:val="center"/>
              <w:ind w:left="148"/>
              <w:spacing w:after="0"/>
              <w:rPr>
                <w:sz w:val="20"/>
                <w:szCs w:val="20"/>
                <w:color w:val="auto"/>
              </w:rPr>
            </w:pPr>
            <w:r>
              <w:rPr>
                <w:rFonts w:ascii="Arial" w:cs="Arial" w:eastAsia="Arial" w:hAnsi="Arial"/>
                <w:sz w:val="14"/>
                <w:szCs w:val="14"/>
                <w:color w:val="auto"/>
                <w:w w:val="93"/>
              </w:rPr>
              <w:t>(1)</w:t>
            </w:r>
          </w:p>
        </w:tc>
        <w:tc>
          <w:tcPr>
            <w:tcW w:w="1720" w:type="dxa"/>
            <w:vAlign w:val="bottom"/>
          </w:tcPr>
          <w:p>
            <w:pPr>
              <w:jc w:val="center"/>
              <w:ind w:left="188"/>
              <w:spacing w:after="0"/>
              <w:rPr>
                <w:sz w:val="20"/>
                <w:szCs w:val="20"/>
                <w:color w:val="auto"/>
              </w:rPr>
            </w:pPr>
            <w:r>
              <w:rPr>
                <w:rFonts w:ascii="Arial" w:cs="Arial" w:eastAsia="Arial" w:hAnsi="Arial"/>
                <w:sz w:val="14"/>
                <w:szCs w:val="14"/>
                <w:color w:val="auto"/>
              </w:rPr>
              <w:t>(1)</w:t>
            </w:r>
          </w:p>
        </w:tc>
        <w:tc>
          <w:tcPr>
            <w:tcW w:w="160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rPr>
                <w:sz w:val="20"/>
                <w:szCs w:val="20"/>
                <w:color w:val="auto"/>
              </w:rPr>
            </w:pPr>
            <w:r>
              <w:rPr>
                <w:rFonts w:ascii="Arial" w:cs="Arial" w:eastAsia="Arial" w:hAnsi="Arial"/>
                <w:sz w:val="14"/>
                <w:szCs w:val="14"/>
                <w:color w:val="auto"/>
              </w:rPr>
              <w:t>Preferred stock, par value $0.01 per share</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jc w:val="center"/>
              <w:ind w:right="305"/>
              <w:spacing w:after="0"/>
              <w:rPr>
                <w:sz w:val="20"/>
                <w:szCs w:val="20"/>
                <w:color w:val="auto"/>
              </w:rPr>
            </w:pPr>
            <w:r>
              <w:rPr>
                <w:rFonts w:ascii="Arial" w:cs="Arial" w:eastAsia="Arial" w:hAnsi="Arial"/>
                <w:sz w:val="14"/>
                <w:szCs w:val="14"/>
                <w:color w:val="auto"/>
                <w:w w:val="93"/>
              </w:rPr>
              <w:t>(1)</w:t>
            </w:r>
          </w:p>
        </w:tc>
        <w:tc>
          <w:tcPr>
            <w:tcW w:w="1420" w:type="dxa"/>
            <w:vAlign w:val="bottom"/>
          </w:tcPr>
          <w:p>
            <w:pPr>
              <w:jc w:val="center"/>
              <w:ind w:left="148"/>
              <w:spacing w:after="0"/>
              <w:rPr>
                <w:sz w:val="20"/>
                <w:szCs w:val="20"/>
                <w:color w:val="auto"/>
              </w:rPr>
            </w:pPr>
            <w:r>
              <w:rPr>
                <w:rFonts w:ascii="Arial" w:cs="Arial" w:eastAsia="Arial" w:hAnsi="Arial"/>
                <w:sz w:val="14"/>
                <w:szCs w:val="14"/>
                <w:color w:val="auto"/>
                <w:w w:val="93"/>
              </w:rPr>
              <w:t>(1)</w:t>
            </w:r>
          </w:p>
        </w:tc>
        <w:tc>
          <w:tcPr>
            <w:tcW w:w="1720" w:type="dxa"/>
            <w:vAlign w:val="bottom"/>
          </w:tcPr>
          <w:p>
            <w:pPr>
              <w:jc w:val="center"/>
              <w:ind w:left="188"/>
              <w:spacing w:after="0"/>
              <w:rPr>
                <w:sz w:val="20"/>
                <w:szCs w:val="20"/>
                <w:color w:val="auto"/>
              </w:rPr>
            </w:pPr>
            <w:r>
              <w:rPr>
                <w:rFonts w:ascii="Arial" w:cs="Arial" w:eastAsia="Arial" w:hAnsi="Arial"/>
                <w:sz w:val="14"/>
                <w:szCs w:val="14"/>
                <w:color w:val="auto"/>
              </w:rPr>
              <w:t>(1)</w:t>
            </w:r>
          </w:p>
        </w:tc>
        <w:tc>
          <w:tcPr>
            <w:tcW w:w="160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rPr>
                <w:sz w:val="20"/>
                <w:szCs w:val="20"/>
                <w:color w:val="auto"/>
              </w:rPr>
            </w:pPr>
            <w:r>
              <w:rPr>
                <w:rFonts w:ascii="Arial" w:cs="Arial" w:eastAsia="Arial" w:hAnsi="Arial"/>
                <w:sz w:val="14"/>
                <w:szCs w:val="14"/>
                <w:color w:val="auto"/>
              </w:rPr>
              <w:t>Common stock, par value $0.01 per share</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jc w:val="center"/>
              <w:ind w:right="305"/>
              <w:spacing w:after="0"/>
              <w:rPr>
                <w:sz w:val="20"/>
                <w:szCs w:val="20"/>
                <w:color w:val="auto"/>
              </w:rPr>
            </w:pPr>
            <w:r>
              <w:rPr>
                <w:rFonts w:ascii="Arial" w:cs="Arial" w:eastAsia="Arial" w:hAnsi="Arial"/>
                <w:sz w:val="14"/>
                <w:szCs w:val="14"/>
                <w:color w:val="auto"/>
                <w:w w:val="93"/>
              </w:rPr>
              <w:t>(1)</w:t>
            </w:r>
          </w:p>
        </w:tc>
        <w:tc>
          <w:tcPr>
            <w:tcW w:w="1420" w:type="dxa"/>
            <w:vAlign w:val="bottom"/>
          </w:tcPr>
          <w:p>
            <w:pPr>
              <w:jc w:val="center"/>
              <w:ind w:left="148"/>
              <w:spacing w:after="0"/>
              <w:rPr>
                <w:sz w:val="20"/>
                <w:szCs w:val="20"/>
                <w:color w:val="auto"/>
              </w:rPr>
            </w:pPr>
            <w:r>
              <w:rPr>
                <w:rFonts w:ascii="Arial" w:cs="Arial" w:eastAsia="Arial" w:hAnsi="Arial"/>
                <w:sz w:val="14"/>
                <w:szCs w:val="14"/>
                <w:color w:val="auto"/>
                <w:w w:val="93"/>
              </w:rPr>
              <w:t>(1)</w:t>
            </w:r>
          </w:p>
        </w:tc>
        <w:tc>
          <w:tcPr>
            <w:tcW w:w="1720" w:type="dxa"/>
            <w:vAlign w:val="bottom"/>
          </w:tcPr>
          <w:p>
            <w:pPr>
              <w:jc w:val="center"/>
              <w:ind w:left="188"/>
              <w:spacing w:after="0"/>
              <w:rPr>
                <w:sz w:val="20"/>
                <w:szCs w:val="20"/>
                <w:color w:val="auto"/>
              </w:rPr>
            </w:pPr>
            <w:r>
              <w:rPr>
                <w:rFonts w:ascii="Arial" w:cs="Arial" w:eastAsia="Arial" w:hAnsi="Arial"/>
                <w:sz w:val="14"/>
                <w:szCs w:val="14"/>
                <w:color w:val="auto"/>
              </w:rPr>
              <w:t>(1)</w:t>
            </w:r>
          </w:p>
        </w:tc>
        <w:tc>
          <w:tcPr>
            <w:tcW w:w="160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Warrants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305"/>
              <w:spacing w:after="0"/>
              <w:rPr>
                <w:sz w:val="20"/>
                <w:szCs w:val="20"/>
                <w:color w:val="auto"/>
              </w:rPr>
            </w:pPr>
            <w:r>
              <w:rPr>
                <w:rFonts w:ascii="Arial" w:cs="Arial" w:eastAsia="Arial" w:hAnsi="Arial"/>
                <w:sz w:val="14"/>
                <w:szCs w:val="14"/>
                <w:color w:val="auto"/>
                <w:w w:val="93"/>
              </w:rPr>
              <w:t>(1)</w:t>
            </w:r>
          </w:p>
        </w:tc>
        <w:tc>
          <w:tcPr>
            <w:tcW w:w="14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w w:val="93"/>
              </w:rPr>
              <w:t>(1)</w:t>
            </w:r>
          </w:p>
        </w:tc>
        <w:tc>
          <w:tcPr>
            <w:tcW w:w="17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(1)</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171450</wp:posOffset>
            </wp:positionV>
            <wp:extent cx="6749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188595</wp:posOffset>
            </wp:positionV>
            <wp:extent cx="67494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03" w:lineRule="exact"/>
        <w:rPr>
          <w:sz w:val="20"/>
          <w:szCs w:val="20"/>
          <w:color w:val="auto"/>
        </w:rPr>
      </w:pPr>
    </w:p>
    <w:p>
      <w:pPr>
        <w:jc w:val="both"/>
        <w:ind w:left="760" w:right="480" w:hanging="333"/>
        <w:spacing w:after="0" w:line="254" w:lineRule="auto"/>
        <w:tabs>
          <w:tab w:leader="none" w:pos="691" w:val="left"/>
        </w:tabs>
        <w:numPr>
          <w:ilvl w:val="0"/>
          <w:numId w:val="1"/>
        </w:numPr>
        <w:rPr>
          <w:rFonts w:ascii="Arial" w:cs="Arial" w:eastAsia="Arial" w:hAnsi="Arial"/>
          <w:sz w:val="18"/>
          <w:szCs w:val="18"/>
          <w:color w:val="auto"/>
        </w:rPr>
      </w:pPr>
      <w:r>
        <w:rPr>
          <w:rFonts w:ascii="Arial" w:cs="Arial" w:eastAsia="Arial" w:hAnsi="Arial"/>
          <w:sz w:val="18"/>
          <w:szCs w:val="18"/>
          <w:color w:val="auto"/>
        </w:rPr>
        <w:t>Omitted pursuant to General Instructions II.E of Form S-3. An indeterminate aggregate initial offering price and number or amount of the securities of each identified class is being registered as may from time to time be sold at indeterminate prices. Separate consideration may or may not be received for securities that are issuable upon conversion of, or in exchange for, or upon exercise of, convertible or exchangeable securities.</w:t>
      </w:r>
    </w:p>
    <w:p>
      <w:pPr>
        <w:spacing w:after="0" w:line="2" w:lineRule="exact"/>
        <w:rPr>
          <w:rFonts w:ascii="Arial" w:cs="Arial" w:eastAsia="Arial" w:hAnsi="Arial"/>
          <w:sz w:val="18"/>
          <w:szCs w:val="18"/>
          <w:color w:val="auto"/>
        </w:rPr>
      </w:pPr>
    </w:p>
    <w:p>
      <w:pPr>
        <w:ind w:left="680" w:hanging="253"/>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Rules 456(b) and 457(r) under the Securities Act, the registrant is deferring payment of all of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22860</wp:posOffset>
            </wp:positionV>
            <wp:extent cx="67494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40005</wp:posOffset>
            </wp:positionV>
            <wp:extent cx="6749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875030" cy="875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7503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GENERAL MOTORS COMPANY</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Debt Securities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Preferred Stock</w:t>
      </w:r>
    </w:p>
    <w:p>
      <w:pPr>
        <w:jc w:val="center"/>
        <w:ind w:right="-59"/>
        <w:spacing w:after="0"/>
        <w:rPr>
          <w:sz w:val="20"/>
          <w:szCs w:val="20"/>
          <w:color w:val="auto"/>
        </w:rPr>
      </w:pPr>
      <w:r>
        <w:rPr>
          <w:rFonts w:ascii="Arial" w:cs="Arial" w:eastAsia="Arial" w:hAnsi="Arial"/>
          <w:sz w:val="20"/>
          <w:szCs w:val="20"/>
          <w:b w:val="1"/>
          <w:bCs w:val="1"/>
          <w:color w:val="auto"/>
        </w:rPr>
        <w:t>Common Stock</w:t>
      </w:r>
    </w:p>
    <w:p>
      <w:pPr>
        <w:jc w:val="center"/>
        <w:ind w:right="-59"/>
        <w:spacing w:after="0"/>
        <w:rPr>
          <w:sz w:val="20"/>
          <w:szCs w:val="20"/>
          <w:color w:val="auto"/>
        </w:rPr>
      </w:pPr>
      <w:r>
        <w:rPr>
          <w:rFonts w:ascii="Arial" w:cs="Arial" w:eastAsia="Arial" w:hAnsi="Arial"/>
          <w:sz w:val="20"/>
          <w:szCs w:val="20"/>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86360</wp:posOffset>
            </wp:positionV>
            <wp:extent cx="1655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5445"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103505</wp:posOffset>
            </wp:positionV>
            <wp:extent cx="1655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prospectus contains summaries of the general terms of the securities we may offer from time to time:</w:t>
      </w:r>
    </w:p>
    <w:p>
      <w:pPr>
        <w:spacing w:after="0" w:line="225"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 in one or more series,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3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“GM” and on the Toronto Stock Exchange under the symbol “GMM.”</w:t>
      </w:r>
    </w:p>
    <w:p>
      <w:pPr>
        <w:spacing w:after="0" w:line="6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203200</wp:posOffset>
            </wp:positionV>
            <wp:extent cx="1655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5445"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220345</wp:posOffset>
            </wp:positionV>
            <wp:extent cx="1655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Investment in our securities involves risk. See “Risk Factors” beginning on page 2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60325</wp:posOffset>
            </wp:positionV>
            <wp:extent cx="1655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55445"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78105</wp:posOffset>
            </wp:positionV>
            <wp:extent cx="1655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87" w:lineRule="exact"/>
        <w:rPr>
          <w:sz w:val="20"/>
          <w:szCs w:val="20"/>
          <w:color w:val="auto"/>
        </w:rPr>
      </w:pPr>
    </w:p>
    <w:p>
      <w:pPr>
        <w:ind w:right="300" w:firstLine="648"/>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34"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date of this prospectus is February 7, 2017.</w:t>
      </w:r>
    </w:p>
    <w:p>
      <w:pPr>
        <w:sectPr>
          <w:pgSz w:w="11900" w:h="16838" w:orient="portrait"/>
          <w:cols w:equalWidth="0" w:num="1">
            <w:col w:w="11380"/>
          </w:cols>
          <w:pgMar w:left="240" w:top="1013"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520" w:type="dxa"/>
            <w:vAlign w:val="bottom"/>
            <w:gridSpan w:val="3"/>
          </w:tcPr>
          <w:p>
            <w:pPr>
              <w:ind w:left="4620"/>
              <w:spacing w:after="0"/>
              <w:rPr>
                <w:sz w:val="20"/>
                <w:szCs w:val="20"/>
                <w:color w:val="auto"/>
              </w:rPr>
            </w:pPr>
            <w:r>
              <w:rPr>
                <w:rFonts w:ascii="Arial" w:cs="Arial" w:eastAsia="Arial" w:hAnsi="Arial"/>
                <w:sz w:val="20"/>
                <w:szCs w:val="20"/>
                <w:b w:val="1"/>
                <w:bCs w:val="1"/>
                <w:color w:val="auto"/>
              </w:rPr>
              <w:t>TABLE OF CONTENTS</w:t>
            </w:r>
          </w:p>
        </w:tc>
        <w:tc>
          <w:tcPr>
            <w:tcW w:w="760" w:type="dxa"/>
            <w:vAlign w:val="bottom"/>
          </w:tcPr>
          <w:p>
            <w:pPr>
              <w:spacing w:after="0"/>
              <w:rPr>
                <w:sz w:val="19"/>
                <w:szCs w:val="19"/>
                <w:color w:val="auto"/>
              </w:rPr>
            </w:pPr>
          </w:p>
        </w:tc>
      </w:tr>
      <w:tr>
        <w:trPr>
          <w:trHeight w:val="308"/>
        </w:trPr>
        <w:tc>
          <w:tcPr>
            <w:tcW w:w="4620" w:type="dxa"/>
            <w:vAlign w:val="bottom"/>
          </w:tcPr>
          <w:p>
            <w:pPr>
              <w:spacing w:after="0"/>
              <w:rPr>
                <w:sz w:val="20"/>
                <w:szCs w:val="20"/>
                <w:color w:val="auto"/>
              </w:rPr>
            </w:pPr>
            <w:r>
              <w:rPr>
                <w:rFonts w:ascii="Arial" w:cs="Arial" w:eastAsia="Arial" w:hAnsi="Arial"/>
                <w:sz w:val="20"/>
                <w:szCs w:val="20"/>
                <w:color w:val="auto"/>
              </w:rPr>
              <w:t>ABOUT THIS PROSPECTUS</w:t>
            </w:r>
          </w:p>
        </w:tc>
        <w:tc>
          <w:tcPr>
            <w:tcW w:w="2120" w:type="dxa"/>
            <w:vAlign w:val="bottom"/>
            <w:tcBorders>
              <w:top w:val="single" w:sz="8" w:color="auto"/>
            </w:tcBorders>
          </w:tcPr>
          <w:p>
            <w:pPr>
              <w:spacing w:after="0"/>
              <w:rPr>
                <w:sz w:val="24"/>
                <w:szCs w:val="24"/>
                <w:color w:val="auto"/>
              </w:rPr>
            </w:pPr>
          </w:p>
        </w:tc>
        <w:tc>
          <w:tcPr>
            <w:tcW w:w="37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INCORPORATION OF CERTAIN DOCUMENTS BY REFERENCE</w:t>
            </w:r>
          </w:p>
        </w:tc>
        <w:tc>
          <w:tcPr>
            <w:tcW w:w="7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RISK FACTORS</w:t>
            </w:r>
          </w:p>
        </w:tc>
        <w:tc>
          <w:tcPr>
            <w:tcW w:w="7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GENERAL MOTORS COMPANY</w:t>
            </w:r>
          </w:p>
        </w:tc>
        <w:tc>
          <w:tcPr>
            <w:tcW w:w="7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CONSOLIDATED RATIO OF EARNINGS TO FIXED CHARGES</w:t>
            </w:r>
          </w:p>
        </w:tc>
        <w:tc>
          <w:tcPr>
            <w:tcW w:w="7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CONSOLIDATED RATIO OF EARNINGS TO COMBINED FIXED CHARGES AND PREFERRED STOCK DIVIDENDS</w:t>
            </w:r>
          </w:p>
        </w:tc>
        <w:tc>
          <w:tcPr>
            <w:tcW w:w="7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USE OF PROCEEDS</w:t>
            </w:r>
          </w:p>
        </w:tc>
        <w:tc>
          <w:tcPr>
            <w:tcW w:w="7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FORWARD-LOOKING STATEMENTS</w:t>
            </w:r>
          </w:p>
        </w:tc>
        <w:tc>
          <w:tcPr>
            <w:tcW w:w="7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OVERVIEW OF OUR CAPITAL STOCK</w:t>
            </w:r>
          </w:p>
        </w:tc>
        <w:tc>
          <w:tcPr>
            <w:tcW w:w="7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GENERAL DESCRIPTION OF SECURITIES THAT MAY BE OFFERED</w:t>
            </w:r>
          </w:p>
        </w:tc>
        <w:tc>
          <w:tcPr>
            <w:tcW w:w="7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DESCRIPTION OF DEBT SECURITIES</w:t>
            </w:r>
          </w:p>
        </w:tc>
        <w:tc>
          <w:tcPr>
            <w:tcW w:w="7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DESCRIPTION OF PREFERRED STOCK</w:t>
            </w:r>
          </w:p>
        </w:tc>
        <w:tc>
          <w:tcPr>
            <w:tcW w:w="7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DESCRIPTION OF COMMON STOCK</w:t>
            </w:r>
          </w:p>
        </w:tc>
        <w:tc>
          <w:tcPr>
            <w:tcW w:w="7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DESCRIPTION OF WARRANTS</w:t>
            </w:r>
          </w:p>
        </w:tc>
        <w:tc>
          <w:tcPr>
            <w:tcW w:w="7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PLAN OF DISTRIBUTION</w:t>
            </w:r>
          </w:p>
        </w:tc>
        <w:tc>
          <w:tcPr>
            <w:tcW w:w="7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LEGAL MATTERS</w:t>
            </w:r>
          </w:p>
        </w:tc>
        <w:tc>
          <w:tcPr>
            <w:tcW w:w="7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EXPERTS</w:t>
            </w:r>
          </w:p>
        </w:tc>
        <w:tc>
          <w:tcPr>
            <w:tcW w:w="7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WHERE YOU CAN FIND MORE INFORMATION</w:t>
            </w:r>
          </w:p>
        </w:tc>
        <w:tc>
          <w:tcPr>
            <w:tcW w:w="760" w:type="dxa"/>
            <w:vAlign w:val="bottom"/>
          </w:tcPr>
          <w:p>
            <w:pPr>
              <w:jc w:val="right"/>
              <w:spacing w:after="0"/>
              <w:rPr>
                <w:sz w:val="20"/>
                <w:szCs w:val="20"/>
                <w:color w:val="auto"/>
              </w:rPr>
            </w:pPr>
            <w:r>
              <w:rPr>
                <w:rFonts w:ascii="Arial" w:cs="Arial" w:eastAsia="Arial" w:hAnsi="Arial"/>
                <w:sz w:val="20"/>
                <w:szCs w:val="20"/>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80" w:top="936"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013" w:right="259" w:bottom="1440" w:gutter="0" w:footer="0" w:header="0"/>
        </w:sectPr>
      </w:pPr>
    </w:p>
    <w:bookmarkStart w:id="5" w:name="page6"/>
    <w:bookmarkEnd w:id="5"/>
    <w:p>
      <w:pPr>
        <w:jc w:val="center"/>
        <w:ind w:left="4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prospectus does not incorporate by reference any documents, reports or filings, or portions of any documents, reports or filings, that are deemed to be furnished and not filed under applicable SEC rules):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60" w:type="dxa"/>
            <w:vAlign w:val="bottom"/>
          </w:tcPr>
          <w:p>
            <w:pPr>
              <w:spacing w:after="0"/>
              <w:rPr>
                <w:sz w:val="20"/>
                <w:szCs w:val="20"/>
                <w:color w:val="auto"/>
              </w:rPr>
            </w:pPr>
            <w:r>
              <w:rPr>
                <w:rFonts w:ascii="Arial" w:cs="Arial" w:eastAsia="Arial" w:hAnsi="Arial"/>
                <w:sz w:val="18"/>
                <w:szCs w:val="18"/>
                <w:b w:val="1"/>
                <w:bCs w:val="1"/>
                <w:color w:val="auto"/>
                <w:w w:val="92"/>
              </w:rPr>
              <w:t>GM SEC Filings (File No. 001-34960)</w:t>
            </w:r>
          </w:p>
        </w:tc>
        <w:tc>
          <w:tcPr>
            <w:tcW w:w="1600" w:type="dxa"/>
            <w:vAlign w:val="bottom"/>
          </w:tcPr>
          <w:p>
            <w:pPr>
              <w:spacing w:after="0"/>
              <w:rPr>
                <w:sz w:val="17"/>
                <w:szCs w:val="17"/>
                <w:color w:val="auto"/>
              </w:rPr>
            </w:pPr>
          </w:p>
        </w:tc>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r>
      <w:tr>
        <w:trPr>
          <w:trHeight w:val="20"/>
        </w:trPr>
        <w:tc>
          <w:tcPr>
            <w:tcW w:w="28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91"/>
        </w:trPr>
        <w:tc>
          <w:tcPr>
            <w:tcW w:w="2860" w:type="dxa"/>
            <w:vAlign w:val="bottom"/>
          </w:tcPr>
          <w:p>
            <w:pPr>
              <w:spacing w:after="0"/>
              <w:rPr>
                <w:sz w:val="20"/>
                <w:szCs w:val="20"/>
                <w:color w:val="auto"/>
              </w:rPr>
            </w:pPr>
            <w:r>
              <w:rPr>
                <w:rFonts w:ascii="Arial" w:cs="Arial" w:eastAsia="Arial" w:hAnsi="Arial"/>
                <w:sz w:val="18"/>
                <w:szCs w:val="18"/>
                <w:color w:val="auto"/>
              </w:rPr>
              <w:t>Annual Report on Form 10-K</w:t>
            </w:r>
          </w:p>
        </w:tc>
        <w:tc>
          <w:tcPr>
            <w:tcW w:w="16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89"/>
              </w:rPr>
              <w:t>Year ended December 31, 2016 (filed with the SEC on February 7, 2017)</w:t>
            </w: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5260" w:type="dxa"/>
            <w:vAlign w:val="bottom"/>
            <w:gridSpan w:val="2"/>
          </w:tcPr>
          <w:p>
            <w:pPr>
              <w:spacing w:after="0"/>
              <w:rPr>
                <w:sz w:val="20"/>
                <w:szCs w:val="20"/>
                <w:color w:val="auto"/>
              </w:rPr>
            </w:pPr>
            <w:r>
              <w:rPr>
                <w:rFonts w:ascii="Arial" w:cs="Arial" w:eastAsia="Arial" w:hAnsi="Arial"/>
                <w:sz w:val="18"/>
                <w:szCs w:val="18"/>
                <w:color w:val="auto"/>
              </w:rPr>
              <w:t>Dates filed: January 10, 2017 (with respect to Item 8.01 only)</w:t>
            </w:r>
          </w:p>
        </w:tc>
      </w:tr>
      <w:tr>
        <w:trPr>
          <w:trHeight w:val="256"/>
        </w:trPr>
        <w:tc>
          <w:tcPr>
            <w:tcW w:w="4460" w:type="dxa"/>
            <w:vAlign w:val="bottom"/>
            <w:gridSpan w:val="2"/>
          </w:tcPr>
          <w:p>
            <w:pPr>
              <w:spacing w:after="0"/>
              <w:rPr>
                <w:sz w:val="20"/>
                <w:szCs w:val="20"/>
                <w:color w:val="auto"/>
              </w:rPr>
            </w:pPr>
            <w:r>
              <w:rPr>
                <w:rFonts w:ascii="Arial" w:cs="Arial" w:eastAsia="Arial" w:hAnsi="Arial"/>
                <w:sz w:val="18"/>
                <w:szCs w:val="18"/>
                <w:color w:val="auto"/>
              </w:rPr>
              <w:t>The description of the common stock set forth in our</w:t>
            </w:r>
          </w:p>
        </w:tc>
        <w:tc>
          <w:tcPr>
            <w:tcW w:w="500" w:type="dxa"/>
            <w:vAlign w:val="bottom"/>
          </w:tcPr>
          <w:p>
            <w:pPr>
              <w:spacing w:after="0"/>
              <w:rPr>
                <w:sz w:val="22"/>
                <w:szCs w:val="22"/>
                <w:color w:val="auto"/>
              </w:rPr>
            </w:pPr>
          </w:p>
        </w:tc>
        <w:tc>
          <w:tcPr>
            <w:tcW w:w="4760" w:type="dxa"/>
            <w:vAlign w:val="bottom"/>
          </w:tcPr>
          <w:p>
            <w:pPr>
              <w:spacing w:after="0"/>
              <w:rPr>
                <w:sz w:val="22"/>
                <w:szCs w:val="22"/>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registration statement on Form 8-A filed November 10,</w:t>
            </w:r>
          </w:p>
        </w:tc>
        <w:tc>
          <w:tcPr>
            <w:tcW w:w="50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2010.</w:t>
            </w: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760" w:type="dxa"/>
            <w:vAlign w:val="bottom"/>
          </w:tcPr>
          <w:p>
            <w:pPr>
              <w:spacing w:after="0"/>
              <w:rPr>
                <w:sz w:val="20"/>
                <w:szCs w:val="20"/>
                <w:color w:val="auto"/>
              </w:rPr>
            </w:pPr>
          </w:p>
        </w:tc>
      </w:tr>
    </w:tbl>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(313) 556-5000</w:t>
      </w:r>
    </w:p>
    <w:p>
      <w:pPr>
        <w:spacing w:after="0" w:line="23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to our Annual Report on Form 10-K for the year ended December 31, 2016, as updated by our subsequent filings under the Exchange Act, including Forms 10-Q and 8-K, and the risk factors contained or incorporated by reference in the accompanying prospectus supplement before acquiring any of the securities.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013" w:right="25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GENERAL MOTORS COMPANY</w:t>
      </w:r>
    </w:p>
    <w:p>
      <w:pPr>
        <w:spacing w:after="0" w:line="229"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General Motors Company was incorporated as a Delaware corporation in 2009. We design, build and sell cars, trucks, crossovers and automobile parts worldwide. We also provide automotive financing services through General Motors Financial Company, Inc. (GM Financial).</w:t>
      </w:r>
    </w:p>
    <w:p>
      <w:pPr>
        <w:spacing w:after="0" w:line="14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automotive operations meet the demands of our customers through our automotive segments: GM North America (GMNA), GM Europe (GME), GM International Operations (GMIO) and GM South America (GMSA).</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consolidated ratio of our earnings to fixed charges for each of the periods indicated:</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Years Ended December 31</w:t>
      </w:r>
      <w:r>
        <w:rPr>
          <w:rFonts w:ascii="Arial" w:cs="Arial" w:eastAsia="Arial" w:hAnsi="Arial"/>
          <w:sz w:val="14"/>
          <w:szCs w:val="14"/>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23495</wp:posOffset>
            </wp:positionV>
            <wp:extent cx="32327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3" w:lineRule="exact"/>
        <w:rPr>
          <w:sz w:val="20"/>
          <w:szCs w:val="20"/>
          <w:color w:val="auto"/>
        </w:rPr>
      </w:pPr>
    </w:p>
    <w:tbl>
      <w:tblPr>
        <w:tblLayout w:type="fixed"/>
        <w:tblInd w:w="3160" w:type="dxa"/>
        <w:tblCellMar>
          <w:top w:w="0" w:type="dxa"/>
          <w:left w:w="0" w:type="dxa"/>
          <w:bottom w:w="0" w:type="dxa"/>
          <w:right w:w="0" w:type="dxa"/>
        </w:tblCellMar>
      </w:tblPr>
      <w:tr>
        <w:trPr>
          <w:trHeight w:val="192"/>
        </w:trPr>
        <w:tc>
          <w:tcPr>
            <w:tcW w:w="8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900" w:type="dxa"/>
            <w:vAlign w:val="bottom"/>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860" w:type="dxa"/>
            <w:vAlign w:val="bottom"/>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020" w:type="dxa"/>
            <w:vAlign w:val="bottom"/>
          </w:tcPr>
          <w:p>
            <w:pPr>
              <w:jc w:val="right"/>
              <w:ind w:right="279"/>
              <w:spacing w:after="0"/>
              <w:rPr>
                <w:sz w:val="20"/>
                <w:szCs w:val="20"/>
                <w:color w:val="auto"/>
              </w:rPr>
            </w:pPr>
            <w:r>
              <w:rPr>
                <w:rFonts w:ascii="Arial" w:cs="Arial" w:eastAsia="Arial" w:hAnsi="Arial"/>
                <w:sz w:val="14"/>
                <w:szCs w:val="14"/>
                <w:b w:val="1"/>
                <w:bCs w:val="1"/>
                <w:color w:val="auto"/>
              </w:rPr>
              <w:t>2013</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2012</w:t>
            </w:r>
          </w:p>
        </w:tc>
      </w:tr>
      <w:tr>
        <w:trPr>
          <w:trHeight w:val="263"/>
        </w:trPr>
        <w:tc>
          <w:tcPr>
            <w:tcW w:w="8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2"/>
                <w:szCs w:val="22"/>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5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in the year ended December 31, 2012 were inadequate to cover fixed charges. Additional earnings of $28.8 billion in the year ended December 31, 2012 would have been necessary to bring the ratio for this period to 1.0.</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RATIO OF EARNINGS TO COMBINED FIXED CHARGES AND PREFERRED STOCK DIVIDENDS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presents the consolidated ratio of our earnings to combined fixed charges and preferred stock dividends for each of the periods indicated:</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23495</wp:posOffset>
            </wp:positionV>
            <wp:extent cx="31902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03" w:lineRule="exact"/>
        <w:rPr>
          <w:sz w:val="20"/>
          <w:szCs w:val="20"/>
          <w:color w:val="auto"/>
        </w:rPr>
      </w:pPr>
    </w:p>
    <w:tbl>
      <w:tblPr>
        <w:tblLayout w:type="fixed"/>
        <w:tblInd w:w="3200" w:type="dxa"/>
        <w:tblCellMar>
          <w:top w:w="0" w:type="dxa"/>
          <w:left w:w="0" w:type="dxa"/>
          <w:bottom w:w="0" w:type="dxa"/>
          <w:right w:w="0" w:type="dxa"/>
        </w:tblCellMar>
      </w:tblPr>
      <w:tr>
        <w:trPr>
          <w:trHeight w:val="192"/>
        </w:trPr>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2012</w:t>
            </w:r>
          </w:p>
        </w:tc>
      </w:tr>
      <w:tr>
        <w:trPr>
          <w:trHeight w:val="263"/>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(b)</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December 2014 we redeemed the remaining outstanding shares of our Series A Fixed Rate Cumulative Perpetual Preferred Stock, and no shares of preferred stock were outstanding during the years ended December 31, 2016 and 2015.</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Earnings in the year ended December 31, 2012 were inadequate to cover combined fixed charges and preferred stock dividends. Additional earnings of $29.7 billion in the year ended December 31, 2012 would have been necessary to bring the ratio for this period to 1.0.</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of a particular offering will identify the use of proceeds for the offering.</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1013" w:right="3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This prospectus and any accompanying prospectus supplement may include or incorporate by reference “forward-looking statements” within the meaning of Section 27A of the Securities Act of 1933, as amended (Securities Act), and Section 21E of the Exchange Act. Our use of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other similar expressions is intended to identify forward-looking statements that represent our current judgment about possible future events. All statements included or incorporated by reference in this prospectus and any accompanying prospectus supplement,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7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“Forward-Looking Statements” and elsewhere in those documents.</w:t>
      </w:r>
    </w:p>
    <w:p>
      <w:pPr>
        <w:spacing w:after="0" w:line="17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013" w:right="2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OVERVIEW OF OUR CAPITAL STOCK</w:t>
      </w: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following description of the material provisions of our capital stock is based upon our certificate of incorporation, as amended (Certificate of Incorporation), our bylaws, as amended (Bylaws), the warrant agreement for our outstanding warrants and applicable provisions of law, in each case as currently in effect as of the date of this prospectus, and is qualified in its entirety by reference to the provisions of those documents.</w:t>
      </w:r>
    </w:p>
    <w:p>
      <w:pPr>
        <w:spacing w:after="0" w:line="147"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As of January 31, 2017, 1,497,964,557 shares of our common stock were issued and outstanding. The general terms of our common stock are described below within the section of this prospectus entitled “Description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During 2009, we issued a set of warrants to acquire 136,363,635 shares of common stock that are exercisable at any time prior to 5:00 p.m. New York City time, on July 10, 2019 at an exercise price of $18.33 per share and that are listed on the New York Stock Exchange under the symbol “GM.WS.B.”</w:t>
      </w:r>
    </w:p>
    <w:p>
      <w:pPr>
        <w:spacing w:after="0" w:line="124"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As of January 31, 2017, there were a total of 41,873,696 of such warrants outstanding. The number of the warrants and the per share exercise price thereof are subject to adjustment as a result of certain events, including stock splits, reverse stock splits and stock dividends.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18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Bylaws provide that any vacancy occurring in our board of directors (Board of Directors) for any reason may be filled by a majority of the remaining members of our Board of Directors then in office, even if they do not constitute a quorum. Each director so elected shall hold office for a term expiring at the same time as the terms of the directors serving at the time the director joins the Board of Directors. Each such director shall hold office until his or her successor is elected and qualified, unless the director dies, resigns or otherwise leaves the Board of Directors before then.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25%, in the aggregate, of the voting power</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013" w:right="29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of the outstanding shares of all classes of shares entitled to vote at such a meeting, subject to requirements and limitations set forth in our Bylaws.</w:t>
      </w:r>
    </w:p>
    <w:p>
      <w:pPr>
        <w:spacing w:after="0" w:line="23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Under our Bylaws, nominations for the election of directors may be made by the Board of Directors in accordance with the stockholders agreement dated October 15, 2009 among us and the other parties thereto or by any stockholder entitled to vote for the election of directors who complies with the applicable notice and other requirements set forth in our Bylaws.</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Proxy Access Nominations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shareholder that satisfies (or by a group of no more than 20 shareholders that satisfy) various notice and other requirements specified in our Bylaws. Among other requirements in our Bylaws, such shareholder or group of shareholders would need to provide evidence verifying that the shareholder or group owns, and has owned continuously for the preceding three years, at least 3% of the issued and outstanding voting shares of the Company. Our Bylaws contain limitations on the maximum number of nominees submitted by shareholders that we would be required to include in our proxy statement for an annual meeting.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181" w:lineRule="exact"/>
        <w:rPr>
          <w:sz w:val="20"/>
          <w:szCs w:val="20"/>
          <w:color w:val="auto"/>
        </w:rPr>
      </w:pPr>
    </w:p>
    <w:p>
      <w:pPr>
        <w:ind w:left="980" w:right="2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70"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2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10" w:name="page11"/>
    <w:bookmarkEnd w:id="10"/>
    <w:p>
      <w:pPr>
        <w:ind w:left="2820"/>
        <w:spacing w:after="0"/>
        <w:rPr>
          <w:sz w:val="20"/>
          <w:szCs w:val="20"/>
          <w:color w:val="auto"/>
        </w:rPr>
      </w:pPr>
      <w:r>
        <w:rPr>
          <w:rFonts w:ascii="Arial" w:cs="Arial" w:eastAsia="Arial" w:hAnsi="Arial"/>
          <w:sz w:val="18"/>
          <w:szCs w:val="18"/>
          <w:b w:val="1"/>
          <w:bCs w:val="1"/>
          <w:color w:val="auto"/>
        </w:rPr>
        <w:t>GENERAL DESCRIPTION OF SECURITIES THAT MAY BE OFFERED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securities may be offered, at any time and from time to time, pursuant to this prospectus:</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debt securities, in one or more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debt securities offered by this prospectus will be issued under an indenture dated as of September 27, 2013 between us and The Bank of New York Mellon, as trustee, a copy of which has been filed as an exhibit to the registration statement of which this prospectus is a part and which is incorporated by reference herein,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5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7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debt securities of that series;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of that series;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or any tranche thereof, is payable;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013" w:right="259" w:bottom="1440" w:gutter="0" w:footer="0" w:header="0"/>
        </w:sectPr>
      </w:pPr>
    </w:p>
    <w:bookmarkStart w:id="11" w:name="page12"/>
    <w:bookmarkEnd w:id="11"/>
    <w:p>
      <w:pPr>
        <w:ind w:left="980" w:right="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or rates at which the debt securities of that series, or any tranche thereof, will bear interest, or any formula or other method or means by which such rate or rates shall be determined, by reference to an index or other fact or event or otherwise;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and the dates on which such interest will be payable;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right, if any, to extend the interest payment periods and the duration of any such extension;</w:t>
      </w:r>
    </w:p>
    <w:p>
      <w:pPr>
        <w:spacing w:after="0" w:line="117"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62" w:lineRule="exact"/>
        <w:rPr>
          <w:rFonts w:ascii="Arial" w:cs="Arial" w:eastAsia="Arial" w:hAnsi="Arial"/>
          <w:sz w:val="18"/>
          <w:szCs w:val="18"/>
          <w:color w:val="auto"/>
        </w:rPr>
      </w:pPr>
    </w:p>
    <w:p>
      <w:pPr>
        <w:ind w:left="980" w:hanging="324"/>
        <w:spacing w:after="0" w:line="31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38"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terms, if any, on which the debt securities of that series will be subordinate in right and priority of payment to any of our other debt;</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denominations in which the debt securities of that series will be issuable;</w:t>
      </w:r>
    </w:p>
    <w:p>
      <w:pPr>
        <w:spacing w:after="0" w:line="117"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6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other than U.S. dollars, the currency or currencies in which the principal of or any premium or interest on the debt securities of that series will be payable;</w:t>
      </w:r>
    </w:p>
    <w:p>
      <w:pPr>
        <w:spacing w:after="0" w:line="62" w:lineRule="exact"/>
        <w:rPr>
          <w:rFonts w:ascii="Arial" w:cs="Arial" w:eastAsia="Arial" w:hAnsi="Arial"/>
          <w:sz w:val="18"/>
          <w:szCs w:val="18"/>
          <w:color w:val="auto"/>
        </w:rPr>
      </w:pPr>
    </w:p>
    <w:p>
      <w:pPr>
        <w:ind w:left="980" w:right="4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78"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apply to, and covenants for the benefit of the holders of, the debt securities of that series;</w:t>
      </w:r>
    </w:p>
    <w:p>
      <w:pPr>
        <w:spacing w:after="0" w:line="62"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of that series may be converted into or exchanged for securities or other property of us or any other person;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nature and terms of any collateral security, assurance or guaranty for the debt securities of that series;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guaranteed by any of our subsidiaries;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that series.</w:t>
      </w:r>
    </w:p>
    <w:p>
      <w:pPr>
        <w:spacing w:after="0" w:line="333"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will describe any restrictive covenants for any series of debt securities in the applicable prospectus supplement for such debt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may terminate our obligations with respect to the debt securities of any series under the indenture (with the exception of specified provisions as provided in the indenture), when:</w:t>
      </w:r>
    </w:p>
    <w:p>
      <w:pPr>
        <w:spacing w:after="0" w:line="170"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debt securities of such series previously authenticated and delivered have been delivered to the trustee for cancellation; or</w:t>
      </w:r>
    </w:p>
    <w:p>
      <w:pPr>
        <w:spacing w:after="0" w:line="236" w:lineRule="exact"/>
        <w:rPr>
          <w:rFonts w:ascii="Arial" w:cs="Arial" w:eastAsia="Arial" w:hAnsi="Arial"/>
          <w:sz w:val="17"/>
          <w:szCs w:val="17"/>
          <w:color w:val="auto"/>
        </w:rPr>
      </w:pPr>
    </w:p>
    <w:p>
      <w:pPr>
        <w:ind w:left="1620" w:right="260" w:hanging="315"/>
        <w:spacing w:after="0" w:line="277"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debt securities of such series not previously delivered to the trustee for cancellation (i) have become due and payable (whether at stated maturity, early redemption or otherwise), (ii) will become due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12" w:name="page13"/>
    <w:bookmarkEnd w:id="12"/>
    <w:p>
      <w:pPr>
        <w:ind w:left="1620"/>
        <w:spacing w:after="0" w:line="320" w:lineRule="auto"/>
        <w:rPr>
          <w:sz w:val="20"/>
          <w:szCs w:val="20"/>
          <w:color w:val="auto"/>
        </w:rPr>
      </w:pPr>
      <w:r>
        <w:rPr>
          <w:rFonts w:ascii="Arial" w:cs="Arial" w:eastAsia="Arial" w:hAnsi="Arial"/>
          <w:sz w:val="17"/>
          <w:szCs w:val="17"/>
          <w:color w:val="auto"/>
        </w:rPr>
        <w:t>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 and</w:t>
      </w:r>
    </w:p>
    <w:p>
      <w:pPr>
        <w:spacing w:after="0" w:line="153"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by us with respect to such series; and</w:t>
      </w:r>
    </w:p>
    <w:p>
      <w:pPr>
        <w:spacing w:after="0" w:line="225" w:lineRule="exact"/>
        <w:rPr>
          <w:rFonts w:ascii="Arial" w:cs="Arial" w:eastAsia="Arial" w:hAnsi="Arial"/>
          <w:sz w:val="18"/>
          <w:szCs w:val="18"/>
          <w:color w:val="auto"/>
        </w:rPr>
      </w:pPr>
    </w:p>
    <w:p>
      <w:pPr>
        <w:ind w:left="1300" w:right="56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2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187" w:lineRule="exact"/>
        <w:rPr>
          <w:sz w:val="20"/>
          <w:szCs w:val="20"/>
          <w:color w:val="auto"/>
        </w:rPr>
      </w:pPr>
    </w:p>
    <w:p>
      <w:pPr>
        <w:ind w:left="1300" w:right="6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rights of holders of the debt securities of such series to receive, solely from the funds deposited with the trustee, payment of the principal of (and premium, if any) and interest when due;</w:t>
      </w:r>
    </w:p>
    <w:p>
      <w:pPr>
        <w:spacing w:after="0" w:line="170" w:lineRule="exact"/>
        <w:rPr>
          <w:rFonts w:ascii="Arial" w:cs="Arial" w:eastAsia="Arial" w:hAnsi="Arial"/>
          <w:sz w:val="18"/>
          <w:szCs w:val="18"/>
          <w:color w:val="auto"/>
        </w:rPr>
      </w:pPr>
    </w:p>
    <w:p>
      <w:pPr>
        <w:ind w:left="1300" w:right="40" w:hanging="644"/>
        <w:spacing w:after="0" w:line="312"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conditions to the applications of legal defeasance or covenant defeasance to any series of debt securities:</w:t>
      </w:r>
    </w:p>
    <w:p>
      <w:pPr>
        <w:spacing w:after="0" w:line="225" w:lineRule="exact"/>
        <w:rPr>
          <w:sz w:val="20"/>
          <w:szCs w:val="20"/>
          <w:color w:val="auto"/>
        </w:rPr>
      </w:pPr>
    </w:p>
    <w:p>
      <w:pPr>
        <w:ind w:left="1300" w:right="56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cash in dollars (or such other currency or composite currency in which such debt securities are denominated) in an amount sufficient;</w:t>
      </w:r>
    </w:p>
    <w:p>
      <w:pPr>
        <w:spacing w:after="0" w:line="248" w:lineRule="exact"/>
        <w:rPr>
          <w:rFonts w:ascii="Arial" w:cs="Arial" w:eastAsia="Arial" w:hAnsi="Arial"/>
          <w:sz w:val="16"/>
          <w:szCs w:val="16"/>
          <w:color w:val="auto"/>
        </w:rPr>
      </w:pPr>
    </w:p>
    <w:p>
      <w:pPr>
        <w:ind w:left="1620" w:right="140" w:hanging="315"/>
        <w:spacing w:after="0" w:line="277"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combination of such cash and eligible obligations in an amount sufficient,</w:t>
      </w:r>
    </w:p>
    <w:p>
      <w:pPr>
        <w:spacing w:after="0" w:line="225"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in each case, in the written opinion of a nationally recognized firm of independent certified public accountants, to pay and discharge (1) the principal of (and premium, if any) and interest on such debt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11" w:right="239" w:bottom="1440" w:gutter="0" w:footer="0" w:header="0"/>
        </w:sectPr>
      </w:pPr>
    </w:p>
    <w:bookmarkStart w:id="13" w:name="page14"/>
    <w:bookmarkEnd w:id="13"/>
    <w:p>
      <w:pPr>
        <w:ind w:left="1300" w:right="460"/>
        <w:spacing w:after="0" w:line="277" w:lineRule="auto"/>
        <w:rPr>
          <w:sz w:val="20"/>
          <w:szCs w:val="20"/>
          <w:color w:val="auto"/>
        </w:rPr>
      </w:pPr>
      <w:r>
        <w:rPr>
          <w:rFonts w:ascii="Arial" w:cs="Arial" w:eastAsia="Arial" w:hAnsi="Arial"/>
          <w:sz w:val="18"/>
          <w:szCs w:val="18"/>
          <w:color w:val="auto"/>
        </w:rPr>
        <w:t>securities of such series at the stated maturity or redemption date and (2) any mandatory sinking fund payments applicable to the debt securities of such series on the day on which such payments are due and payable;</w:t>
      </w:r>
    </w:p>
    <w:p>
      <w:pPr>
        <w:spacing w:after="0" w:line="170" w:lineRule="exact"/>
        <w:rPr>
          <w:sz w:val="20"/>
          <w:szCs w:val="20"/>
          <w:color w:val="auto"/>
        </w:rPr>
      </w:pPr>
    </w:p>
    <w:p>
      <w:pPr>
        <w:ind w:left="1300" w:right="60" w:hanging="644"/>
        <w:spacing w:after="0" w:line="279"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171" w:lineRule="exact"/>
        <w:rPr>
          <w:rFonts w:ascii="Arial" w:cs="Arial" w:eastAsia="Arial" w:hAnsi="Arial"/>
          <w:sz w:val="17"/>
          <w:szCs w:val="17"/>
          <w:color w:val="auto"/>
        </w:rPr>
      </w:pPr>
    </w:p>
    <w:p>
      <w:pPr>
        <w:ind w:left="1300" w:right="20" w:hanging="644"/>
        <w:spacing w:after="0" w:line="31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146" w:lineRule="exact"/>
        <w:rPr>
          <w:rFonts w:ascii="Arial" w:cs="Arial" w:eastAsia="Arial" w:hAnsi="Arial"/>
          <w:sz w:val="16"/>
          <w:szCs w:val="16"/>
          <w:color w:val="auto"/>
        </w:rPr>
      </w:pPr>
    </w:p>
    <w:p>
      <w:pPr>
        <w:ind w:left="1300" w:right="6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170" w:lineRule="exact"/>
        <w:rPr>
          <w:rFonts w:ascii="Arial" w:cs="Arial" w:eastAsia="Arial" w:hAnsi="Arial"/>
          <w:sz w:val="18"/>
          <w:szCs w:val="18"/>
          <w:color w:val="auto"/>
        </w:rPr>
      </w:pPr>
    </w:p>
    <w:p>
      <w:pPr>
        <w:ind w:left="1300" w:right="4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shall have delivered to the trustee an agreement whereby we irrevocably agree to forfeit our rights, if any, to extend the interest payment periods on such debt securities pursuant to the indenture;</w:t>
      </w:r>
    </w:p>
    <w:p>
      <w:pPr>
        <w:spacing w:after="0" w:line="170" w:lineRule="exact"/>
        <w:rPr>
          <w:rFonts w:ascii="Arial" w:cs="Arial" w:eastAsia="Arial" w:hAnsi="Arial"/>
          <w:sz w:val="18"/>
          <w:szCs w:val="18"/>
          <w:color w:val="auto"/>
        </w:rPr>
      </w:pPr>
    </w:p>
    <w:p>
      <w:pPr>
        <w:ind w:left="1300" w:right="280" w:hanging="644"/>
        <w:spacing w:after="0" w:line="31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146" w:lineRule="exact"/>
        <w:rPr>
          <w:rFonts w:ascii="Arial" w:cs="Arial" w:eastAsia="Arial" w:hAnsi="Arial"/>
          <w:sz w:val="16"/>
          <w:szCs w:val="16"/>
          <w:color w:val="auto"/>
        </w:rPr>
      </w:pPr>
    </w:p>
    <w:p>
      <w:pPr>
        <w:ind w:left="1300" w:right="28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170" w:lineRule="exact"/>
        <w:rPr>
          <w:rFonts w:ascii="Arial" w:cs="Arial" w:eastAsia="Arial" w:hAnsi="Arial"/>
          <w:sz w:val="18"/>
          <w:szCs w:val="18"/>
          <w:color w:val="auto"/>
        </w:rPr>
      </w:pPr>
    </w:p>
    <w:p>
      <w:pPr>
        <w:ind w:left="1300" w:right="40" w:hanging="644"/>
        <w:spacing w:after="0" w:line="276"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170" w:lineRule="exact"/>
        <w:rPr>
          <w:sz w:val="20"/>
          <w:szCs w:val="20"/>
          <w:color w:val="auto"/>
        </w:rPr>
      </w:pPr>
    </w:p>
    <w:p>
      <w:pPr>
        <w:ind w:left="1300" w:right="40" w:hanging="644"/>
        <w:spacing w:after="0" w:line="276"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 expressly assume by a supplemental indenture the due and punctual payment of the principal of (and premium, if any) and interest on all of the outstanding debt securities and the performance of our covenants under the indenture;</w:t>
      </w:r>
    </w:p>
    <w:p>
      <w:pPr>
        <w:spacing w:after="0" w:line="172" w:lineRule="exact"/>
        <w:rPr>
          <w:rFonts w:ascii="Arial" w:cs="Arial" w:eastAsia="Arial" w:hAnsi="Arial"/>
          <w:sz w:val="17"/>
          <w:szCs w:val="17"/>
          <w:color w:val="auto"/>
        </w:rPr>
      </w:pPr>
    </w:p>
    <w:p>
      <w:pPr>
        <w:ind w:left="1300" w:right="5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84" w:right="279" w:bottom="1440" w:gutter="0" w:footer="0" w:header="0"/>
        </w:sectPr>
      </w:pPr>
    </w:p>
    <w:bookmarkStart w:id="14" w:name="page15"/>
    <w:bookmarkEnd w:id="14"/>
    <w:p>
      <w:pPr>
        <w:ind w:left="1300" w:right="8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without the consent of the holder of each outstanding debt security so affected, no such supplemental indenture may:</w:t>
      </w:r>
    </w:p>
    <w:p>
      <w:pPr>
        <w:spacing w:after="0" w:line="182" w:lineRule="exact"/>
        <w:rPr>
          <w:sz w:val="20"/>
          <w:szCs w:val="20"/>
          <w:color w:val="auto"/>
        </w:rPr>
      </w:pPr>
    </w:p>
    <w:p>
      <w:pPr>
        <w:ind w:left="1300" w:right="140" w:hanging="644"/>
        <w:spacing w:after="0" w:line="291"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w:t>
      </w:r>
    </w:p>
    <w:p>
      <w:pPr>
        <w:spacing w:after="0" w:line="167" w:lineRule="exact"/>
        <w:rPr>
          <w:rFonts w:ascii="Arial" w:cs="Arial" w:eastAsia="Arial" w:hAnsi="Arial"/>
          <w:sz w:val="16"/>
          <w:szCs w:val="16"/>
          <w:color w:val="auto"/>
        </w:rPr>
      </w:pPr>
    </w:p>
    <w:p>
      <w:pPr>
        <w:ind w:left="1300" w:right="160" w:hanging="644"/>
        <w:spacing w:after="0" w:line="286"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165" w:lineRule="exact"/>
        <w:rPr>
          <w:rFonts w:ascii="Arial" w:cs="Arial" w:eastAsia="Arial" w:hAnsi="Arial"/>
          <w:sz w:val="17"/>
          <w:szCs w:val="17"/>
          <w:color w:val="auto"/>
        </w:rPr>
      </w:pPr>
    </w:p>
    <w:p>
      <w:pPr>
        <w:ind w:left="1300" w:right="40" w:hanging="644"/>
        <w:spacing w:after="0" w:line="286"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modify any of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 or</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modify any of the above provisions.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indenture contains provisions permitting us and the trustee to enter into supplemental indentures, without the consent of the holders of any debt securities, for any of the following purposes:</w:t>
      </w:r>
    </w:p>
    <w:p>
      <w:pPr>
        <w:spacing w:after="0" w:line="170" w:lineRule="exact"/>
        <w:rPr>
          <w:sz w:val="20"/>
          <w:szCs w:val="20"/>
          <w:color w:val="auto"/>
        </w:rPr>
      </w:pPr>
    </w:p>
    <w:p>
      <w:pPr>
        <w:ind w:left="1300" w:right="3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any such successor of the covenants applicable to us under the indenture and in the debt securities;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to the covenants applicable to us for the benefit of the holders of all or any series of debt securities, or to surrender any right or power conferred upon us under the indenture;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all or any series of debt securities; or</w:t>
      </w:r>
    </w:p>
    <w:p>
      <w:pPr>
        <w:spacing w:after="0" w:line="225" w:lineRule="exact"/>
        <w:rPr>
          <w:rFonts w:ascii="Arial" w:cs="Arial" w:eastAsia="Arial" w:hAnsi="Arial"/>
          <w:sz w:val="18"/>
          <w:szCs w:val="18"/>
          <w:color w:val="auto"/>
        </w:rPr>
      </w:pPr>
    </w:p>
    <w:p>
      <w:pPr>
        <w:jc w:val="both"/>
        <w:ind w:left="1300" w:right="36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5" w:name="page16"/>
    <w:bookmarkEnd w:id="15"/>
    <w:p>
      <w:pPr>
        <w:ind w:left="1300" w:right="120" w:hanging="644"/>
        <w:spacing w:after="0" w:line="25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the indenture, or to add any new provision to the indenture, in respect of one or more series of debt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 or</w:t>
      </w:r>
    </w:p>
    <w:p>
      <w:pPr>
        <w:spacing w:after="0" w:line="188" w:lineRule="exact"/>
        <w:rPr>
          <w:rFonts w:ascii="Arial" w:cs="Arial" w:eastAsia="Arial" w:hAnsi="Arial"/>
          <w:sz w:val="18"/>
          <w:szCs w:val="18"/>
          <w:color w:val="auto"/>
        </w:rPr>
      </w:pPr>
    </w:p>
    <w:p>
      <w:pPr>
        <w:ind w:left="1300" w:right="8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collateral security with respect to the debt securities of any series and to provide for the terms and conditions of release or substitution thereof; or</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establish the issuance of and establish the form, terms and conditions of any additional debt securities of any series or tranche thereof as permitted by the indenture;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all, or any series or tranche of, certificated debt securities; or</w:t>
      </w:r>
    </w:p>
    <w:p>
      <w:pPr>
        <w:spacing w:after="0" w:line="236" w:lineRule="exact"/>
        <w:rPr>
          <w:rFonts w:ascii="Arial" w:cs="Arial" w:eastAsia="Arial" w:hAnsi="Arial"/>
          <w:sz w:val="17"/>
          <w:szCs w:val="17"/>
          <w:color w:val="auto"/>
        </w:rPr>
      </w:pPr>
    </w:p>
    <w:p>
      <w:pPr>
        <w:ind w:left="1300" w:right="180" w:hanging="644"/>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 or</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a separate trustee or co-trustee; or</w:t>
      </w:r>
    </w:p>
    <w:p>
      <w:pPr>
        <w:spacing w:after="0" w:line="225" w:lineRule="exact"/>
        <w:rPr>
          <w:rFonts w:ascii="Arial" w:cs="Arial" w:eastAsia="Arial" w:hAnsi="Arial"/>
          <w:sz w:val="18"/>
          <w:szCs w:val="18"/>
          <w:color w:val="auto"/>
        </w:rPr>
      </w:pPr>
    </w:p>
    <w:p>
      <w:pPr>
        <w:ind w:left="1300" w:right="100" w:hanging="644"/>
        <w:spacing w:after="0" w:line="259"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 or</w:t>
      </w:r>
    </w:p>
    <w:p>
      <w:pPr>
        <w:spacing w:after="0" w:line="186" w:lineRule="exact"/>
        <w:rPr>
          <w:rFonts w:ascii="Arial" w:cs="Arial" w:eastAsia="Arial" w:hAnsi="Arial"/>
          <w:sz w:val="18"/>
          <w:szCs w:val="18"/>
          <w:color w:val="auto"/>
        </w:rPr>
      </w:pPr>
    </w:p>
    <w:p>
      <w:pPr>
        <w:ind w:left="1300" w:right="40" w:hanging="644"/>
        <w:spacing w:after="0" w:line="259"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action shall not adversely affect the interests of the holders of debt securities of such series or tranche or any other series of debt securities in any material respect; or</w:t>
      </w:r>
    </w:p>
    <w:p>
      <w:pPr>
        <w:spacing w:after="0" w:line="186"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 or</w:t>
      </w:r>
    </w:p>
    <w:p>
      <w:pPr>
        <w:spacing w:after="0" w:line="123" w:lineRule="exact"/>
        <w:rPr>
          <w:rFonts w:ascii="Arial" w:cs="Arial" w:eastAsia="Arial" w:hAnsi="Arial"/>
          <w:sz w:val="16"/>
          <w:szCs w:val="16"/>
          <w:color w:val="auto"/>
        </w:rPr>
      </w:pPr>
    </w:p>
    <w:p>
      <w:pPr>
        <w:ind w:left="1300" w:right="280" w:hanging="644"/>
        <w:spacing w:after="0" w:line="30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146" w:lineRule="exact"/>
        <w:rPr>
          <w:rFonts w:ascii="Arial" w:cs="Arial" w:eastAsia="Arial" w:hAnsi="Arial"/>
          <w:sz w:val="17"/>
          <w:szCs w:val="17"/>
          <w:color w:val="auto"/>
        </w:rPr>
      </w:pPr>
    </w:p>
    <w:p>
      <w:pPr>
        <w:ind w:left="1300" w:right="26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to make any other provisions with respect to matters or questions arising under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147" w:lineRule="exact"/>
        <w:rPr>
          <w:sz w:val="20"/>
          <w:szCs w:val="20"/>
          <w:color w:val="auto"/>
        </w:rPr>
      </w:pPr>
    </w:p>
    <w:p>
      <w:pPr>
        <w:ind w:left="1300" w:right="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default in the payment of interest on any debt security of that series when it becomes due and payable, and continuance of such default for a period of 30 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valid extension of the interest payment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00" w:right="259" w:bottom="1440" w:gutter="0" w:footer="0" w:header="0"/>
        </w:sectPr>
      </w:pPr>
    </w:p>
    <w:bookmarkStart w:id="16" w:name="page17"/>
    <w:bookmarkEnd w:id="16"/>
    <w:p>
      <w:pPr>
        <w:ind w:left="1300"/>
        <w:spacing w:after="0"/>
        <w:rPr>
          <w:sz w:val="20"/>
          <w:szCs w:val="20"/>
          <w:color w:val="auto"/>
        </w:rPr>
      </w:pPr>
      <w:r>
        <w:rPr>
          <w:rFonts w:ascii="Arial" w:cs="Arial" w:eastAsia="Arial" w:hAnsi="Arial"/>
          <w:sz w:val="16"/>
          <w:szCs w:val="16"/>
          <w:color w:val="auto"/>
        </w:rPr>
        <w:t>period by us as permitted under the terms of any debt security of that series shall not constitute a failure to pay interest for this purpose;</w:t>
      </w:r>
    </w:p>
    <w:p>
      <w:pPr>
        <w:spacing w:after="0" w:line="262" w:lineRule="exact"/>
        <w:rPr>
          <w:sz w:val="20"/>
          <w:szCs w:val="20"/>
          <w:color w:val="auto"/>
        </w:rPr>
      </w:pPr>
    </w:p>
    <w:p>
      <w:pPr>
        <w:ind w:left="1300" w:right="12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170"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debt security of that series and continuance of such default for a period of 30 days; or</w:t>
      </w:r>
    </w:p>
    <w:p>
      <w:pPr>
        <w:spacing w:after="0" w:line="170" w:lineRule="exact"/>
        <w:rPr>
          <w:rFonts w:ascii="Arial" w:cs="Arial" w:eastAsia="Arial" w:hAnsi="Arial"/>
          <w:sz w:val="18"/>
          <w:szCs w:val="18"/>
          <w:color w:val="auto"/>
        </w:rPr>
      </w:pPr>
    </w:p>
    <w:p>
      <w:pPr>
        <w:ind w:left="1300" w:right="100" w:hanging="644"/>
        <w:spacing w:after="0" w:line="25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 or</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certain events of bankruptcy, insolvency, reorganization, administration or similar proceedings with respect to us have occurred; or</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8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 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69"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147"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holder has previously given written notice to the trustee of a continuing event of default with respect to the debt securities of that series;</w:t>
      </w:r>
    </w:p>
    <w:p>
      <w:pPr>
        <w:spacing w:after="0" w:line="236" w:lineRule="exact"/>
        <w:rPr>
          <w:rFonts w:ascii="Arial" w:cs="Arial" w:eastAsia="Arial" w:hAnsi="Arial"/>
          <w:sz w:val="17"/>
          <w:szCs w:val="17"/>
          <w:color w:val="auto"/>
        </w:rPr>
      </w:pPr>
    </w:p>
    <w:p>
      <w:pPr>
        <w:ind w:left="980" w:right="16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that series have made written request to the trustee to institute the action;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11" w:right="239" w:bottom="1440" w:gutter="0" w:footer="0" w:header="0"/>
        </w:sectPr>
      </w:pPr>
    </w:p>
    <w:bookmarkStart w:id="17" w:name="page18"/>
    <w:bookmarkEnd w:id="17"/>
    <w:p>
      <w:pPr>
        <w:ind w:left="980" w:right="3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against the reasonable expenses and liabilities to be incurred in complying with the request;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receipt of the request and offer of indemnity; and</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 event of default has occurred and is continuing with respect to more than one series of debt securities of equal ranking, the holders of a 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170" w:lineRule="exact"/>
        <w:rPr>
          <w:sz w:val="20"/>
          <w:szCs w:val="20"/>
          <w:color w:val="auto"/>
        </w:rPr>
      </w:pPr>
    </w:p>
    <w:p>
      <w:pPr>
        <w:ind w:left="980" w:right="6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170"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Beneficial interests in a global security may not be exchanged for debt securities in physical, certificated form except in the limited circumstances described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Book-Entry Procedures for the Global Securities</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DTC has advised us that it is:</w:t>
      </w:r>
    </w:p>
    <w:p>
      <w:pPr>
        <w:spacing w:after="0" w:line="22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25" w:lineRule="exact"/>
        <w:rPr>
          <w:rFonts w:ascii="Arial" w:cs="Arial" w:eastAsia="Arial" w:hAnsi="Arial"/>
          <w:sz w:val="18"/>
          <w:szCs w:val="18"/>
          <w:color w:val="auto"/>
        </w:rPr>
      </w:pPr>
    </w:p>
    <w:p>
      <w:pPr>
        <w:ind w:left="5620" w:right="3620" w:hanging="4964"/>
        <w:spacing w:after="0" w:line="559" w:lineRule="auto"/>
        <w:tabs>
          <w:tab w:leader="none" w:pos="9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 14</w:t>
      </w:r>
    </w:p>
    <w:p>
      <w:pPr>
        <w:sectPr>
          <w:pgSz w:w="11900" w:h="16838" w:orient="portrait"/>
          <w:cols w:equalWidth="0" w:num="1">
            <w:col w:w="11400"/>
          </w:cols>
          <w:pgMar w:left="240" w:top="800" w:right="259" w:bottom="1440" w:gutter="0" w:footer="0" w:header="0"/>
        </w:sectPr>
      </w:pPr>
    </w:p>
    <w:bookmarkStart w:id="18" w:name="page19"/>
    <w:bookmarkEnd w:id="18"/>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5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18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not be entitled to have a debt security represented by the global security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not receive or be entitled to receive a physical, certificated debt security; and</w:t>
      </w:r>
    </w:p>
    <w:p>
      <w:pPr>
        <w:spacing w:after="0" w:line="225"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a result, each investor who owns a beneficial interest in a global security must rely on the procedures of DTC to exercise any rights of a holder of the debt security under the indenture (and, if the investor is not a participant or an indirect participant in DTC, on the procedures of the DTC participant through which the investor owns its interest).</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71"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global security may be exchanged for debt securities in physical, certificated form (which would be registered in such names as DTC shall direct)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only if:</w:t>
      </w:r>
    </w:p>
    <w:p>
      <w:pPr>
        <w:spacing w:after="0" w:line="211" w:lineRule="exact"/>
        <w:rPr>
          <w:sz w:val="20"/>
          <w:szCs w:val="20"/>
          <w:color w:val="auto"/>
        </w:rPr>
      </w:pPr>
    </w:p>
    <w:p>
      <w:pPr>
        <w:ind w:left="980" w:right="50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security and a successor depositary is not appointed within 90 days;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DTC ceases to be registered as a clearing agency under the Exchange Act and a successor depositary is not appointed within 90 days;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events of default with respect to the debt securities under the indenture should occur and be continuing.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January 31, 2017, there were no shares of preferred stock outstanding. The terms of any shares of preferred stock offered pursuant to this prospectus will be set forth in an applicable prospectus supplement.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only class of common stock is our common stock, par value $0.01 per share. Our Certificate of Incorporation currently authorizes our Board of Directors to issue 5,000,000,000 shares of common stock. As of January 31, 2017 1,497,964,557 shares of our common stock were issued and outstanding. There are no redemption or sinking fund provisions applicable to our common stock. All outstanding shares of our common stock are fully paid and non-assessable.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 - the extent by which the fair market value of our net assets exceeds the amount of our capital - 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exclusive right to vote for the election of directors and for all other purposes. Our common stockholders do not possess cumulative voting rights.</w:t>
      </w:r>
    </w:p>
    <w:p>
      <w:pPr>
        <w:spacing w:after="0" w:line="2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“GM” and on the Toronto Stock Exchange under the symbol “GMM.”</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Jenner &amp; Block LLP.</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84" w:right="27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financial statements of General Motors Company incorporated in this Prospectus by reference from the Company’s Annual Report on Form 10-K, and the effectiveness of General Motors Company’s internal control over financial reporting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financial statements of SAIC General Motors Corp., Ltd. incorporated in this Prospectus by reference from the Company’s Annual Report on Form 10-K have been audited by Deloitte Touche Tohmatsu Certified Public Accountants LLP, independent auditors, as stated in their report, which is incorporated herein by reference. Such financial statements have been so incorporated in reliance upon the report of such firm given upon their authority as experts in accounting and auditing.</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with the SEC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Reports and other information can also be inspected at the offices of the New York Stock Exchange, Inc., 20 Broad Street, New York, New York 10005, where our common stock is listed.</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796" w:right="3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sets forth the various expenses we have incurred or expect to incur in connection with the sale of the securities registered pursuant to this registration statement.</w:t>
      </w:r>
    </w:p>
    <w:p>
      <w:pPr>
        <w:spacing w:after="0" w:line="333" w:lineRule="exact"/>
        <w:rPr>
          <w:sz w:val="20"/>
          <w:szCs w:val="20"/>
          <w:color w:val="auto"/>
        </w:rPr>
      </w:pPr>
    </w:p>
    <w:tbl>
      <w:tblPr>
        <w:tblLayout w:type="fixed"/>
        <w:tblInd w:w="124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SEC registration fee</w:t>
            </w:r>
          </w:p>
        </w:tc>
        <w:tc>
          <w:tcPr>
            <w:tcW w:w="3320" w:type="dxa"/>
            <w:vAlign w:val="bottom"/>
          </w:tcPr>
          <w:p>
            <w:pPr>
              <w:jc w:val="right"/>
              <w:ind w:right="1170"/>
              <w:spacing w:after="0"/>
              <w:rPr>
                <w:sz w:val="20"/>
                <w:szCs w:val="20"/>
                <w:color w:val="auto"/>
              </w:rPr>
            </w:pPr>
            <w:r>
              <w:rPr>
                <w:rFonts w:ascii="Arial" w:cs="Arial" w:eastAsia="Arial" w:hAnsi="Arial"/>
                <w:sz w:val="18"/>
                <w:szCs w:val="18"/>
                <w:color w:val="auto"/>
              </w:rPr>
              <w:t>$ #</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Printing and engraving costs</w:t>
            </w:r>
          </w:p>
        </w:tc>
        <w:tc>
          <w:tcPr>
            <w:tcW w:w="3320" w:type="dxa"/>
            <w:vAlign w:val="bottom"/>
          </w:tcPr>
          <w:p>
            <w:pPr>
              <w:jc w:val="right"/>
              <w:ind w:right="650"/>
              <w:spacing w:after="0"/>
              <w:rPr>
                <w:sz w:val="20"/>
                <w:szCs w:val="20"/>
                <w:color w:val="auto"/>
              </w:rPr>
            </w:pPr>
            <w:r>
              <w:rPr>
                <w:rFonts w:ascii="Arial" w:cs="Arial" w:eastAsia="Arial" w:hAnsi="Arial"/>
                <w:sz w:val="18"/>
                <w:szCs w:val="18"/>
                <w:color w:val="auto"/>
              </w:rPr>
              <w:t>*</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320" w:type="dxa"/>
            <w:vAlign w:val="bottom"/>
          </w:tcPr>
          <w:p>
            <w:pPr>
              <w:jc w:val="right"/>
              <w:ind w:right="650"/>
              <w:spacing w:after="0"/>
              <w:rPr>
                <w:sz w:val="20"/>
                <w:szCs w:val="20"/>
                <w:color w:val="auto"/>
              </w:rPr>
            </w:pPr>
            <w:r>
              <w:rPr>
                <w:rFonts w:ascii="Arial" w:cs="Arial" w:eastAsia="Arial" w:hAnsi="Arial"/>
                <w:sz w:val="18"/>
                <w:szCs w:val="18"/>
                <w:color w:val="auto"/>
              </w:rPr>
              <w:t>*</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320" w:type="dxa"/>
            <w:vAlign w:val="bottom"/>
          </w:tcPr>
          <w:p>
            <w:pPr>
              <w:jc w:val="right"/>
              <w:ind w:right="650"/>
              <w:spacing w:after="0"/>
              <w:rPr>
                <w:sz w:val="20"/>
                <w:szCs w:val="20"/>
                <w:color w:val="auto"/>
              </w:rPr>
            </w:pPr>
            <w:r>
              <w:rPr>
                <w:rFonts w:ascii="Arial" w:cs="Arial" w:eastAsia="Arial" w:hAnsi="Arial"/>
                <w:sz w:val="18"/>
                <w:szCs w:val="18"/>
                <w:color w:val="auto"/>
              </w:rPr>
              <w:t>*</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Trustee fees and expenses</w:t>
            </w:r>
          </w:p>
        </w:tc>
        <w:tc>
          <w:tcPr>
            <w:tcW w:w="3320" w:type="dxa"/>
            <w:vAlign w:val="bottom"/>
          </w:tcPr>
          <w:p>
            <w:pPr>
              <w:jc w:val="right"/>
              <w:ind w:right="650"/>
              <w:spacing w:after="0"/>
              <w:rPr>
                <w:sz w:val="20"/>
                <w:szCs w:val="20"/>
                <w:color w:val="auto"/>
              </w:rPr>
            </w:pPr>
            <w:r>
              <w:rPr>
                <w:rFonts w:ascii="Arial" w:cs="Arial" w:eastAsia="Arial" w:hAnsi="Arial"/>
                <w:sz w:val="18"/>
                <w:szCs w:val="18"/>
                <w:color w:val="auto"/>
              </w:rPr>
              <w:t>*</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Miscellaneous</w:t>
            </w:r>
          </w:p>
        </w:tc>
        <w:tc>
          <w:tcPr>
            <w:tcW w:w="3320" w:type="dxa"/>
            <w:vAlign w:val="bottom"/>
          </w:tcPr>
          <w:p>
            <w:pPr>
              <w:jc w:val="right"/>
              <w:ind w:right="650"/>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3320" w:type="dxa"/>
            <w:vAlign w:val="bottom"/>
          </w:tcPr>
          <w:p>
            <w:pPr>
              <w:jc w:val="right"/>
              <w:ind w:right="1170"/>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17145</wp:posOffset>
            </wp:positionV>
            <wp:extent cx="57111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1190" cy="17145"/>
                    </a:xfrm>
                    <a:prstGeom prst="rect">
                      <a:avLst/>
                    </a:prstGeom>
                    <a:noFill/>
                  </pic:spPr>
                </pic:pic>
              </a:graphicData>
            </a:graphic>
          </wp:anchor>
        </w:drawing>
      </w:r>
    </w:p>
    <w:p>
      <w:pPr>
        <w:spacing w:after="0" w:line="4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Omitted because the registration fee is being deferred pursuant to Rule 456(b).</w:t>
      </w:r>
    </w:p>
    <w:p>
      <w:pPr>
        <w:spacing w:after="0" w:line="23" w:lineRule="exact"/>
        <w:rPr>
          <w:sz w:val="20"/>
          <w:szCs w:val="20"/>
          <w:color w:val="auto"/>
        </w:rPr>
      </w:pPr>
    </w:p>
    <w:p>
      <w:pPr>
        <w:ind w:left="1240" w:right="1220" w:firstLine="4"/>
        <w:spacing w:after="0" w:line="261" w:lineRule="auto"/>
        <w:tabs>
          <w:tab w:leader="none" w:pos="13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estimated at this time.</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Section 145 of the Delaware General Corporation Law, General Motors is empowered to indemnify its directors and officers as provided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therein.</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General Motors’ Restated Certificate of Incorporation, as amended (the “Certificate”), provides that no director shall be personally liable to General Motors or its stockholders for monetary damages for breach of fiduciary duty as a director, except for liability (i) for any breach of the director’s duty of loyalty to General Motors or its stockholders, (ii) for acts or omissions not in good faith or which involve intentional misconduct or a knowing violation of law, (iii) under Section 174, or any successor provision thereto, of the Delaware General Corporation Law, or (iv) for any transaction from which the director derived an improper personal benefit.</w:t>
      </w:r>
    </w:p>
    <w:p>
      <w:pPr>
        <w:spacing w:after="0" w:line="18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Under Article V of its Amended and Restated Bylaws (the “Bylaws”), General Motors shall indemnify and advance expenses to every director and officer (and to such person’s heirs, executors, administrators or other legal representatives) in the manner and to the full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General Motors, or is or was serving at the request of General Motors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General Motors shall not be required to indemnify a person in connection with a proceeding initiated by such person if the proceeding was not authorized by the Board of Directors of General Motors. General Motors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Article V of the Bylaws or otherwise. If a claim for indemnification or advancement of expenses by an officer or director under Article V of the Bylaws is not paid in full within ninety days after a written claim therefor has been received by General Motors, the claimant may file suit to recover the unpaid amount of such claim and, if successful in whole or in part, shall be entitled to be paid the expense of prosecuting such claim. In any such action, General Motors shall have the burden of proving that the claimant was not entitled to the requested indemnification or advancement of expenses under applicable law. The rights conferred on any person by Article V of the Bylaws shall not be exclusive of any other rights which such person may have or hereafter acquire under any statute, provision of the Certificate or Bylaws, agreement, vote of stockholders or disinterested directors or otherwise.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580" w:right="259" w:bottom="1440" w:gutter="0" w:footer="0" w:header="0"/>
        </w:sectPr>
      </w:pPr>
    </w:p>
    <w:bookmarkStart w:id="23" w:name="page24"/>
    <w:bookmarkEnd w:id="23"/>
    <w:p>
      <w:pPr>
        <w:ind w:firstLine="648"/>
        <w:spacing w:after="0" w:line="291" w:lineRule="auto"/>
        <w:rPr>
          <w:sz w:val="20"/>
          <w:szCs w:val="20"/>
          <w:color w:val="auto"/>
        </w:rPr>
      </w:pPr>
      <w:r>
        <w:rPr>
          <w:rFonts w:ascii="Arial" w:cs="Arial" w:eastAsia="Arial" w:hAnsi="Arial"/>
          <w:sz w:val="16"/>
          <w:szCs w:val="16"/>
          <w:color w:val="auto"/>
        </w:rPr>
        <w:t>The Board of Directors may, to the fullest extent permitted by applicable law as it presently exists, or may hereafter be amended from time to time, authorize an appropriate officer or officers to purchase and maintain at General Motors’ expense insurance: (a) to reimburse General Motors for any obligation which it incurs under the provisions of Article V of the Bylaws as a result of the indemnification of past, present or future directors, officers, employees, agents and any persons who have served in the past, are now serving or in the future will serve at the request of General Motors as a director, officer, employee or agent of another corporation, partnership, joint venture, trust or other enterprise; and (b) to pay on behalf of or to indemnify such persons against liability in instances in which they may not otherwise be indemnified by the Company under the provisions of Article V of the Bylaws, whether or not General Motors would have the power to indemnify such persons against such liability under Article V of the Bylaws or under applicable law.</w:t>
      </w:r>
    </w:p>
    <w:p>
      <w:pPr>
        <w:spacing w:after="0" w:line="16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General Motors maintains directors’ and officers’ liability insurance under which its directors and officers are insured against loss (as defined by the terms of insurance) as a result of claims brought against them alleging breach of duty, neglect, error or misstatement while acting in such capacities.</w:t>
      </w:r>
    </w:p>
    <w:p>
      <w:pPr>
        <w:spacing w:after="0" w:line="12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addition to the above described provisions in the Certificate and Bylaws, General Motors has entered into an indemnification agreement with each of its directors and executive officers, which provides, among other things, that General Motors will indemnify and defend each such person to the fullest extent permitted by law, subject to certain conditions, against all expenses and certain other amounts actually and reasonably incurred by such person in connection with proceedings in which such person is involved, or is threatened to become involved, by reason of any action or inaction by such person in his or her capacity as a director or officer of General Motors, or by reason of the fact that such person is or was serving at the request of General Motors as a director, officer, trustee, manager, member, fiduciary, employee or agent of any other organization or enterprise. The indemnification agreement also requires General Motors to advance expenses incurred by such person in connection with the investigation, defense, or appeal of any such proceedings. Additionally, in any proceeding for which indemnification is not otherwise available, the indemnification agreement requires General Motors to contribute to the indemnifiable losses based on the relative benefits received by, and/or the losses and relative faults of, the indemnitee and General Motors.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list of exhibits filed with this registration statement on Form S-3 is set forth on the Exhibit Index and is incorporated herein by reference.</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300" w:right="60" w:hanging="320"/>
        <w:spacing w:after="0" w:line="272" w:lineRule="auto"/>
        <w:tabs>
          <w:tab w:leader="none" w:pos="1300" w:val="left"/>
        </w:tabs>
        <w:numPr>
          <w:ilvl w:val="2"/>
          <w:numId w:val="30"/>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1300" w:right="360" w:hanging="320"/>
        <w:spacing w:after="0" w:line="277" w:lineRule="auto"/>
        <w:tabs>
          <w:tab w:leader="none" w:pos="13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340" w:right="100"/>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(a)(1)(ii) and (a)(1)(iii) of this section do not apply if the registration statement is on Form S-3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800" w:right="259" w:bottom="1440" w:gutter="0" w:footer="0" w:header="0"/>
        </w:sectPr>
      </w:pPr>
    </w:p>
    <w:bookmarkStart w:id="24" w:name="page25"/>
    <w:bookmarkEnd w:id="24"/>
    <w:p>
      <w:pPr>
        <w:ind w:left="332" w:right="60"/>
        <w:spacing w:after="0" w:line="264" w:lineRule="auto"/>
        <w:rPr>
          <w:sz w:val="20"/>
          <w:szCs w:val="20"/>
          <w:color w:val="auto"/>
        </w:rPr>
      </w:pPr>
      <w:r>
        <w:rPr>
          <w:rFonts w:ascii="Arial" w:cs="Arial" w:eastAsia="Arial" w:hAnsi="Arial"/>
          <w:sz w:val="18"/>
          <w:szCs w:val="18"/>
          <w:i w:val="1"/>
          <w:iCs w:val="1"/>
          <w:color w:val="auto"/>
        </w:rPr>
        <w:t xml:space="preserve">provided, further, however, </w:t>
      </w:r>
      <w:r>
        <w:rPr>
          <w:rFonts w:ascii="Arial" w:cs="Arial" w:eastAsia="Arial" w:hAnsi="Arial"/>
          <w:sz w:val="18"/>
          <w:szCs w:val="18"/>
          <w:color w:val="auto"/>
        </w:rPr>
        <w:t>that paragraphs (a)(1)(i) and (a)(1)(ii) do not apply if the registration statement is for an offering of asset-backed securities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S-1 or Form S-3, and the information required to be included in a post-effective amendment is provided pursuant to Item 1100(c) of Regulation AB.</w:t>
      </w:r>
    </w:p>
    <w:p>
      <w:pPr>
        <w:spacing w:after="0" w:line="73" w:lineRule="exact"/>
        <w:rPr>
          <w:sz w:val="20"/>
          <w:szCs w:val="20"/>
          <w:color w:val="auto"/>
        </w:rPr>
      </w:pPr>
    </w:p>
    <w:p>
      <w:pPr>
        <w:ind w:left="652" w:right="60" w:hanging="328"/>
        <w:spacing w:after="0" w:line="264" w:lineRule="auto"/>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left="652" w:hanging="328"/>
        <w:spacing w:after="0" w:line="277" w:lineRule="auto"/>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652" w:hanging="328"/>
        <w:spacing w:after="0"/>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292" w:hanging="320"/>
        <w:spacing w:after="0"/>
        <w:tabs>
          <w:tab w:leader="none" w:pos="1292"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7" w:lineRule="exact"/>
        <w:rPr>
          <w:rFonts w:ascii="Arial" w:cs="Arial" w:eastAsia="Arial" w:hAnsi="Arial"/>
          <w:sz w:val="18"/>
          <w:szCs w:val="18"/>
          <w:color w:val="auto"/>
        </w:rPr>
      </w:pPr>
    </w:p>
    <w:p>
      <w:pPr>
        <w:ind w:left="1952" w:hanging="331"/>
        <w:spacing w:after="0" w:line="277" w:lineRule="auto"/>
        <w:tabs>
          <w:tab w:leader="none" w:pos="1952" w:val="left"/>
        </w:tabs>
        <w:numPr>
          <w:ilvl w:val="2"/>
          <w:numId w:val="3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952" w:right="20" w:hanging="331"/>
        <w:spacing w:after="0" w:line="287" w:lineRule="auto"/>
        <w:tabs>
          <w:tab w:leader="none" w:pos="1952" w:val="left"/>
        </w:tabs>
        <w:numPr>
          <w:ilvl w:val="2"/>
          <w:numId w:val="31"/>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60" w:lineRule="exact"/>
        <w:rPr>
          <w:rFonts w:ascii="Arial" w:cs="Arial" w:eastAsia="Arial" w:hAnsi="Arial"/>
          <w:sz w:val="16"/>
          <w:szCs w:val="16"/>
          <w:color w:val="auto"/>
        </w:rPr>
      </w:pPr>
    </w:p>
    <w:p>
      <w:pPr>
        <w:ind w:left="652" w:right="100" w:hanging="328"/>
        <w:spacing w:after="0" w:line="257" w:lineRule="auto"/>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Arial" w:cs="Arial" w:eastAsia="Arial" w:hAnsi="Arial"/>
          <w:sz w:val="18"/>
          <w:szCs w:val="18"/>
          <w:color w:val="auto"/>
        </w:rPr>
      </w:pPr>
    </w:p>
    <w:p>
      <w:pPr>
        <w:ind w:left="1292" w:hanging="320"/>
        <w:spacing w:after="0"/>
        <w:tabs>
          <w:tab w:leader="none" w:pos="1292"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sz w:val="20"/>
          <w:szCs w:val="20"/>
          <w:color w:val="auto"/>
        </w:rPr>
      </w:pPr>
    </w:p>
    <w:p>
      <w:pPr>
        <w:ind w:left="1292" w:right="380" w:hanging="320"/>
        <w:spacing w:after="0" w:line="277" w:lineRule="auto"/>
        <w:tabs>
          <w:tab w:leader="none" w:pos="12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1292" w:right="20" w:hanging="320"/>
        <w:spacing w:after="0" w:line="277" w:lineRule="auto"/>
        <w:tabs>
          <w:tab w:leader="none" w:pos="12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62" w:lineRule="exact"/>
        <w:rPr>
          <w:rFonts w:ascii="Arial" w:cs="Arial" w:eastAsia="Arial" w:hAnsi="Arial"/>
          <w:sz w:val="18"/>
          <w:szCs w:val="18"/>
          <w:color w:val="auto"/>
        </w:rPr>
      </w:pPr>
    </w:p>
    <w:p>
      <w:pPr>
        <w:ind w:left="1292" w:hanging="320"/>
        <w:spacing w:after="0"/>
        <w:tabs>
          <w:tab w:leader="none" w:pos="12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332" w:right="60" w:hanging="332"/>
        <w:spacing w:after="0" w:line="257" w:lineRule="auto"/>
        <w:tabs>
          <w:tab w:leader="none" w:pos="3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Arial" w:cs="Arial" w:eastAsia="Arial" w:hAnsi="Arial"/>
          <w:sz w:val="18"/>
          <w:szCs w:val="18"/>
          <w:color w:val="auto"/>
        </w:rPr>
      </w:pPr>
    </w:p>
    <w:p>
      <w:pPr>
        <w:ind w:left="332" w:right="40" w:hanging="332"/>
        <w:spacing w:after="0" w:line="259" w:lineRule="auto"/>
        <w:tabs>
          <w:tab w:leader="none" w:pos="3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w:t>
      </w:r>
    </w:p>
    <w:p>
      <w:pPr>
        <w:spacing w:after="0" w:line="3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92"/>
          </w:cols>
          <w:pgMar w:left="248" w:top="584" w:right="259" w:bottom="1440" w:gutter="0" w:footer="0" w:header="0"/>
        </w:sectPr>
      </w:pPr>
    </w:p>
    <w:bookmarkStart w:id="25" w:name="page26"/>
    <w:bookmarkEnd w:id="25"/>
    <w:p>
      <w:pPr>
        <w:ind w:left="332"/>
        <w:spacing w:after="0" w:line="304" w:lineRule="auto"/>
        <w:rPr>
          <w:sz w:val="20"/>
          <w:szCs w:val="20"/>
          <w:color w:val="auto"/>
        </w:rPr>
      </w:pPr>
      <w:r>
        <w:rPr>
          <w:rFonts w:ascii="Arial" w:cs="Arial" w:eastAsia="Arial" w:hAnsi="Arial"/>
          <w:sz w:val="18"/>
          <w:szCs w:val="18"/>
          <w:color w:val="auto"/>
        </w:rPr>
        <w:t>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53" w:lineRule="exact"/>
        <w:rPr>
          <w:sz w:val="20"/>
          <w:szCs w:val="20"/>
          <w:color w:val="auto"/>
        </w:rPr>
      </w:pPr>
    </w:p>
    <w:p>
      <w:pPr>
        <w:ind w:left="332" w:hanging="332"/>
        <w:spacing w:after="0"/>
        <w:tabs>
          <w:tab w:leader="none" w:pos="3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1292" w:hanging="320"/>
        <w:spacing w:after="0" w:line="259" w:lineRule="auto"/>
        <w:tabs>
          <w:tab w:leader="none" w:pos="12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8" w:lineRule="exact"/>
        <w:rPr>
          <w:rFonts w:ascii="Arial" w:cs="Arial" w:eastAsia="Arial" w:hAnsi="Arial"/>
          <w:sz w:val="18"/>
          <w:szCs w:val="18"/>
          <w:color w:val="auto"/>
        </w:rPr>
      </w:pPr>
    </w:p>
    <w:p>
      <w:pPr>
        <w:ind w:left="1292" w:right="80" w:hanging="320"/>
        <w:spacing w:after="0" w:line="264" w:lineRule="auto"/>
        <w:tabs>
          <w:tab w:leader="none" w:pos="1292" w:val="left"/>
        </w:tabs>
        <w:numPr>
          <w:ilvl w:val="1"/>
          <w:numId w:val="34"/>
        </w:numPr>
        <w:rPr>
          <w:rFonts w:ascii="Arial" w:cs="Arial" w:eastAsia="Arial" w:hAnsi="Arial"/>
          <w:sz w:val="16"/>
          <w:szCs w:val="16"/>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92"/>
          </w:cols>
          <w:pgMar w:left="248" w:top="611" w:right="25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General Motors Company certifies that it has reasonable grounds to believe that it meets all of the requirements for filing on Form S-3 and has duly caused this registration statement on Form S-3 to be signed on its behalf by the undersigned, thereunto duly authorized, in the City of Detroit, State of Michigan, on February 7, 2017.</w:t>
      </w:r>
    </w:p>
    <w:p>
      <w:pPr>
        <w:spacing w:after="0" w:line="12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General Motors Company</w:t>
      </w:r>
    </w:p>
    <w:p>
      <w:pPr>
        <w:spacing w:after="0" w:line="63" w:lineRule="exact"/>
        <w:rPr>
          <w:sz w:val="20"/>
          <w:szCs w:val="20"/>
          <w:color w:val="auto"/>
        </w:rPr>
      </w:pPr>
    </w:p>
    <w:p>
      <w:pPr>
        <w:ind w:left="8200"/>
        <w:spacing w:after="0"/>
        <w:tabs>
          <w:tab w:leader="none" w:pos="9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31750</wp:posOffset>
            </wp:positionV>
            <wp:extent cx="18611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57" w:lineRule="exact"/>
        <w:rPr>
          <w:sz w:val="20"/>
          <w:szCs w:val="20"/>
          <w:color w:val="auto"/>
        </w:rPr>
      </w:pPr>
    </w:p>
    <w:p>
      <w:pPr>
        <w:jc w:val="center"/>
        <w:ind w:left="8480"/>
        <w:spacing w:after="0"/>
        <w:rPr>
          <w:sz w:val="20"/>
          <w:szCs w:val="20"/>
          <w:color w:val="auto"/>
        </w:rPr>
      </w:pPr>
      <w:r>
        <w:rPr>
          <w:rFonts w:ascii="Arial" w:cs="Arial" w:eastAsia="Arial" w:hAnsi="Arial"/>
          <w:sz w:val="18"/>
          <w:szCs w:val="18"/>
          <w:color w:val="auto"/>
        </w:rPr>
        <w:t>Mary T. Barra</w:t>
      </w:r>
    </w:p>
    <w:p>
      <w:pPr>
        <w:spacing w:after="0" w:line="63" w:lineRule="exact"/>
        <w:rPr>
          <w:sz w:val="20"/>
          <w:szCs w:val="20"/>
          <w:color w:val="auto"/>
        </w:rPr>
      </w:pPr>
    </w:p>
    <w:p>
      <w:pPr>
        <w:jc w:val="center"/>
        <w:ind w:left="8480"/>
        <w:spacing w:after="0"/>
        <w:rPr>
          <w:sz w:val="20"/>
          <w:szCs w:val="20"/>
          <w:color w:val="auto"/>
        </w:rPr>
      </w:pPr>
      <w:r>
        <w:rPr>
          <w:rFonts w:ascii="Arial" w:cs="Arial" w:eastAsia="Arial" w:hAnsi="Arial"/>
          <w:sz w:val="16"/>
          <w:szCs w:val="16"/>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40"/>
          </w:cols>
          <w:pgMar w:left="240" w:top="580" w:right="319" w:bottom="1440" w:gutter="0" w:footer="0" w:header="0"/>
        </w:sectPr>
      </w:pPr>
    </w:p>
    <w:bookmarkStart w:id="27" w:name="page28"/>
    <w:bookmarkEnd w:id="27"/>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420"/>
          </w:cols>
          <w:pgMar w:left="240" w:top="584" w:right="239" w:bottom="1440" w:gutter="0" w:footer="0" w:header="0"/>
        </w:sectPr>
      </w:pPr>
    </w:p>
    <w:p>
      <w:pPr>
        <w:spacing w:after="0" w:line="11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3837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3837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Mary T. Barra</w:t>
      </w:r>
    </w:p>
    <w:p>
      <w:pPr>
        <w:spacing w:after="0" w:line="185" w:lineRule="exact"/>
        <w:rPr>
          <w:sz w:val="20"/>
          <w:szCs w:val="20"/>
          <w:color w:val="auto"/>
        </w:rPr>
      </w:pPr>
    </w:p>
    <w:p>
      <w:pPr>
        <w:ind w:left="400" w:right="880"/>
        <w:spacing w:after="0" w:line="356" w:lineRule="auto"/>
        <w:rPr>
          <w:sz w:val="20"/>
          <w:szCs w:val="20"/>
          <w:color w:val="auto"/>
        </w:rPr>
      </w:pPr>
      <w:r>
        <w:rPr>
          <w:rFonts w:ascii="Arial" w:cs="Arial" w:eastAsia="Arial" w:hAnsi="Arial"/>
          <w:sz w:val="18"/>
          <w:szCs w:val="18"/>
          <w:color w:val="auto"/>
        </w:rPr>
        <w:t>/s/ CHARLES K. STEVENS III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-226060</wp:posOffset>
            </wp:positionV>
            <wp:extent cx="23837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3837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Thomas S. Timko</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3837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Theodore M. Solso</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3837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Joseph J. Ashton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3837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Linda R. Gooden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3837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Joseph Jimenez</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3837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Jane L. Mendillo</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3837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Admiral Michael G. Mullen, USN (ret.)</w:t>
      </w:r>
    </w:p>
    <w:p>
      <w:pPr>
        <w:spacing w:after="0" w:line="23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3837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James J. Mulva</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3837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Patricia F. Russo</w:t>
      </w:r>
    </w:p>
    <w:p>
      <w:pPr>
        <w:spacing w:after="0" w:line="225"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3837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jc w:val="right"/>
        <w:ind w:right="1660"/>
        <w:spacing w:after="0"/>
        <w:rPr>
          <w:sz w:val="20"/>
          <w:szCs w:val="20"/>
          <w:color w:val="auto"/>
        </w:rPr>
      </w:pPr>
      <w:r>
        <w:rPr>
          <w:rFonts w:ascii="Arial" w:cs="Arial" w:eastAsia="Arial" w:hAnsi="Arial"/>
          <w:sz w:val="16"/>
          <w:szCs w:val="16"/>
          <w:color w:val="auto"/>
        </w:rPr>
        <w:t>Thomas M. Schoewe</w:t>
      </w:r>
    </w:p>
    <w:p>
      <w:pPr>
        <w:spacing w:after="0" w:line="248"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3837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jc w:val="right"/>
        <w:ind w:right="1660"/>
        <w:spacing w:after="0"/>
        <w:rPr>
          <w:sz w:val="20"/>
          <w:szCs w:val="20"/>
          <w:color w:val="auto"/>
        </w:rPr>
      </w:pPr>
      <w:r>
        <w:rPr>
          <w:rFonts w:ascii="Arial" w:cs="Arial" w:eastAsia="Arial" w:hAnsi="Arial"/>
          <w:sz w:val="16"/>
          <w:szCs w:val="16"/>
          <w:color w:val="auto"/>
        </w:rPr>
        <w:t>Carol M. Stephenson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31750</wp:posOffset>
            </wp:positionV>
            <wp:extent cx="2984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Chairman and Chief Executive Officer (Principal Executive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Executive Vice President and Chief Financial Officer (Principal</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Vice President, Controller and Chief Accounting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Accounting Officer)</w:t>
      </w:r>
    </w:p>
    <w:p>
      <w:pPr>
        <w:spacing w:after="0" w:line="35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Lead 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31750</wp:posOffset>
            </wp:positionV>
            <wp:extent cx="11493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13"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February 7, 2017</w:t>
      </w:r>
    </w:p>
    <w:p>
      <w:pPr>
        <w:spacing w:after="0" w:line="200" w:lineRule="exact"/>
        <w:rPr>
          <w:sz w:val="20"/>
          <w:szCs w:val="20"/>
          <w:color w:val="auto"/>
        </w:rPr>
      </w:pPr>
    </w:p>
    <w:p>
      <w:pPr>
        <w:spacing w:after="0" w:line="291"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February 7, 2017</w:t>
      </w:r>
    </w:p>
    <w:p>
      <w:pPr>
        <w:spacing w:after="0" w:line="200" w:lineRule="exact"/>
        <w:rPr>
          <w:sz w:val="20"/>
          <w:szCs w:val="20"/>
          <w:color w:val="auto"/>
        </w:rPr>
      </w:pPr>
    </w:p>
    <w:p>
      <w:pPr>
        <w:spacing w:after="0" w:line="291"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February 7, 2017</w:t>
      </w:r>
    </w:p>
    <w:p>
      <w:pPr>
        <w:spacing w:after="0" w:line="200" w:lineRule="exact"/>
        <w:rPr>
          <w:sz w:val="20"/>
          <w:szCs w:val="20"/>
          <w:color w:val="auto"/>
        </w:rPr>
      </w:pPr>
    </w:p>
    <w:p>
      <w:pPr>
        <w:spacing w:after="0" w:line="305"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February 7, 2017</w:t>
      </w:r>
    </w:p>
    <w:p>
      <w:pPr>
        <w:spacing w:after="0" w:line="200" w:lineRule="exact"/>
        <w:rPr>
          <w:sz w:val="20"/>
          <w:szCs w:val="20"/>
          <w:color w:val="auto"/>
        </w:rPr>
      </w:pPr>
    </w:p>
    <w:p>
      <w:pPr>
        <w:spacing w:after="0" w:line="332"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February 7, 2017</w:t>
      </w:r>
    </w:p>
    <w:p>
      <w:pPr>
        <w:spacing w:after="0" w:line="200" w:lineRule="exact"/>
        <w:rPr>
          <w:sz w:val="20"/>
          <w:szCs w:val="20"/>
          <w:color w:val="auto"/>
        </w:rPr>
      </w:pPr>
    </w:p>
    <w:p>
      <w:pPr>
        <w:spacing w:after="0" w:line="332"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February 7, 2017</w:t>
      </w:r>
    </w:p>
    <w:p>
      <w:pPr>
        <w:spacing w:after="0" w:line="200" w:lineRule="exact"/>
        <w:rPr>
          <w:sz w:val="20"/>
          <w:szCs w:val="20"/>
          <w:color w:val="auto"/>
        </w:rPr>
      </w:pPr>
    </w:p>
    <w:p>
      <w:pPr>
        <w:spacing w:after="0" w:line="332"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February 7, 2017</w:t>
      </w:r>
    </w:p>
    <w:p>
      <w:pPr>
        <w:spacing w:after="0" w:line="200" w:lineRule="exact"/>
        <w:rPr>
          <w:sz w:val="20"/>
          <w:szCs w:val="20"/>
          <w:color w:val="auto"/>
        </w:rPr>
      </w:pPr>
    </w:p>
    <w:p>
      <w:pPr>
        <w:spacing w:after="0" w:line="332"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February 7, 2017</w:t>
      </w:r>
    </w:p>
    <w:p>
      <w:pPr>
        <w:spacing w:after="0" w:line="200" w:lineRule="exact"/>
        <w:rPr>
          <w:sz w:val="20"/>
          <w:szCs w:val="20"/>
          <w:color w:val="auto"/>
        </w:rPr>
      </w:pPr>
    </w:p>
    <w:p>
      <w:pPr>
        <w:spacing w:after="0" w:line="332"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February 7, 2017</w:t>
      </w:r>
    </w:p>
    <w:p>
      <w:pPr>
        <w:spacing w:after="0" w:line="200" w:lineRule="exact"/>
        <w:rPr>
          <w:sz w:val="20"/>
          <w:szCs w:val="20"/>
          <w:color w:val="auto"/>
        </w:rPr>
      </w:pPr>
    </w:p>
    <w:p>
      <w:pPr>
        <w:spacing w:after="0" w:line="332"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February 7, 2017</w:t>
      </w:r>
    </w:p>
    <w:p>
      <w:pPr>
        <w:spacing w:after="0" w:line="200" w:lineRule="exact"/>
        <w:rPr>
          <w:sz w:val="20"/>
          <w:szCs w:val="20"/>
          <w:color w:val="auto"/>
        </w:rPr>
      </w:pPr>
    </w:p>
    <w:p>
      <w:pPr>
        <w:spacing w:after="0" w:line="332"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February 7, 2017</w:t>
      </w:r>
    </w:p>
    <w:p>
      <w:pPr>
        <w:spacing w:after="0" w:line="200" w:lineRule="exact"/>
        <w:rPr>
          <w:sz w:val="20"/>
          <w:szCs w:val="20"/>
          <w:color w:val="auto"/>
        </w:rPr>
      </w:pPr>
    </w:p>
    <w:p>
      <w:pPr>
        <w:spacing w:after="0" w:line="332"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February 7, 2017</w:t>
      </w:r>
    </w:p>
    <w:p>
      <w:pPr>
        <w:spacing w:after="0" w:line="200" w:lineRule="exact"/>
        <w:rPr>
          <w:sz w:val="20"/>
          <w:szCs w:val="20"/>
          <w:color w:val="auto"/>
        </w:rPr>
      </w:pPr>
    </w:p>
    <w:p>
      <w:pPr>
        <w:spacing w:after="0" w:line="332"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February 7, 2017</w:t>
      </w:r>
    </w:p>
    <w:p>
      <w:pPr>
        <w:spacing w:after="0" w:line="222" w:lineRule="exact"/>
        <w:rPr>
          <w:sz w:val="20"/>
          <w:szCs w:val="20"/>
          <w:color w:val="auto"/>
        </w:rPr>
      </w:pPr>
    </w:p>
    <w:p>
      <w:pPr>
        <w:sectPr>
          <w:pgSz w:w="11900" w:h="16838" w:orient="portrait"/>
          <w:cols w:equalWidth="0" w:num="3">
            <w:col w:w="3580" w:space="720"/>
            <w:col w:w="4580" w:space="660"/>
            <w:col w:w="1880"/>
          </w:cols>
          <w:pgMar w:left="240" w:top="584" w:right="2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180" w:right="120" w:firstLine="314"/>
        <w:spacing w:after="0" w:line="277" w:lineRule="auto"/>
        <w:tabs>
          <w:tab w:leader="none" w:pos="63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undersigned, by signing his or her name hereto, does execute this Registration Statement on behalf of the persons identified above pursuant to a power of attorney.</w:t>
      </w:r>
    </w:p>
    <w:p>
      <w:pPr>
        <w:spacing w:after="0" w:line="333" w:lineRule="exact"/>
        <w:rPr>
          <w:sz w:val="20"/>
          <w:szCs w:val="20"/>
          <w:color w:val="auto"/>
        </w:rPr>
      </w:pPr>
    </w:p>
    <w:tbl>
      <w:tblPr>
        <w:tblLayout w:type="fixed"/>
        <w:tblInd w:w="612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ind w:left="1640"/>
              <w:spacing w:after="0"/>
              <w:rPr>
                <w:sz w:val="20"/>
                <w:szCs w:val="20"/>
                <w:color w:val="auto"/>
              </w:rPr>
            </w:pPr>
            <w:r>
              <w:rPr>
                <w:rFonts w:ascii="Arial" w:cs="Arial" w:eastAsia="Arial" w:hAnsi="Arial"/>
                <w:sz w:val="18"/>
                <w:szCs w:val="18"/>
                <w:color w:val="auto"/>
              </w:rPr>
              <w:t>/s/ JILL E. SUTTON</w:t>
            </w:r>
          </w:p>
        </w:tc>
      </w:tr>
      <w:tr>
        <w:trPr>
          <w:trHeight w:val="27"/>
        </w:trPr>
        <w:tc>
          <w:tcPr>
            <w:tcW w:w="34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Jill E. Sutton</w:t>
            </w:r>
          </w:p>
        </w:tc>
      </w:tr>
      <w:tr>
        <w:trPr>
          <w:trHeight w:val="270"/>
        </w:trPr>
        <w:tc>
          <w:tcPr>
            <w:tcW w:w="34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18"/>
                <w:szCs w:val="18"/>
                <w:i w:val="1"/>
                <w:iCs w:val="1"/>
                <w:color w:val="auto"/>
                <w:w w:val="93"/>
              </w:rPr>
              <w:t>Attorney-in-Fact</w:t>
            </w: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584"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Exhibit No.</w:t>
            </w:r>
          </w:p>
        </w:tc>
        <w:tc>
          <w:tcPr>
            <w:tcW w:w="1004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22"/>
        </w:trPr>
        <w:tc>
          <w:tcPr>
            <w:tcW w:w="126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Restated Certificate of Incorporation of General Motors Company dated December 7, 2010, incorporated herein by reference to Exhibit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3.2 to the Current Report on Form 8-K of General Motors Company filed December 13, 2010</w:t>
            </w:r>
          </w:p>
        </w:tc>
      </w:tr>
      <w:tr>
        <w:trPr>
          <w:trHeight w:val="472"/>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Bylaws of General Motors Company, as amended and restated as of March 4, 2016, incorporated herein by reference to Exhibit 3.1 to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Current Report on Form 8-K of General Motors Company filed March 8, 2016</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9"/>
              </w:rPr>
              <w:t>Indenture, dated as of September 27, 2013, between General Motors Company and The Bank of New York Mellon, as trustee,</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incorporated herein by reference to Exhibit 4.2 to the Registration Statement on Form S-3 (No. 333-195601) of General Motors Company</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filed April 30, 2014</w:t>
            </w:r>
          </w:p>
        </w:tc>
      </w:tr>
      <w:tr>
        <w:trPr>
          <w:trHeight w:val="486"/>
        </w:trPr>
        <w:tc>
          <w:tcPr>
            <w:tcW w:w="126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of Supplemental Indenture for Debt Securities†</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of Certificate of Designations for Preferred Stock†</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of Warrant Agreement†</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Opinion of Jenner &amp; Block LLP*</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Computations of Ratio of Earnings to Fixed Charges and Ratio of Earnings to Combined Fixed Charges and Preferred Stock Dividends</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for the Years Ended December 31, 2016, 2015, 2014, 2013 and 2012, incorporated herein by reference to Exhibit 12 to the Annual Report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on Form 10-K of General Motors Company filed February 7, 2017</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Consent of Independent Registered Public Accounting Firm for audited financial statements of General Motors Company*</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Consent of Independent Auditors for audited financial statements of SAIC General Motors Corp., Ltd.*</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Consent of Jenner &amp; Block LLP (included in Exhibit 5.1)</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Powers of Attorney for Directors of General Motors Company*</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Form T-1 Statement of Eligibility under the Trust Indenture Act of 1939, as amended, of The Bank of New York Mellon, as trustee, in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respect of the Indenture dated as of September 27, 2013*</w:t>
            </w:r>
          </w:p>
        </w:tc>
      </w:tr>
    </w:tbl>
    <w:p>
      <w:pPr>
        <w:spacing w:after="0" w:line="22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5580" w:right="1540" w:hanging="5572"/>
        <w:spacing w:after="0" w:line="793" w:lineRule="auto"/>
        <w:tabs>
          <w:tab w:leader="none" w:pos="65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and incorporated herein by reference or by post-effective amendment. II-7</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tabs>
          <w:tab w:leader="none" w:pos="8800" w:val="left"/>
        </w:tabs>
        <w:rPr>
          <w:sz w:val="20"/>
          <w:szCs w:val="20"/>
          <w:color w:val="auto"/>
        </w:rPr>
      </w:pPr>
      <w:r>
        <w:rPr>
          <w:rFonts w:ascii="Arial" w:cs="Arial" w:eastAsia="Arial" w:hAnsi="Arial"/>
          <w:sz w:val="14"/>
          <w:szCs w:val="14"/>
          <w:color w:val="auto"/>
        </w:rPr>
        <w:t>353 N. CLARK STREET CHICAGO, IL 60654-3456</w:t>
      </w:r>
      <w:r>
        <w:rPr>
          <w:sz w:val="20"/>
          <w:szCs w:val="20"/>
          <w:color w:val="auto"/>
        </w:rPr>
        <w:tab/>
      </w:r>
      <w:r>
        <w:rPr>
          <w:rFonts w:ascii="Arial" w:cs="Arial" w:eastAsia="Arial" w:hAnsi="Arial"/>
          <w:sz w:val="16"/>
          <w:szCs w:val="16"/>
          <w:b w:val="1"/>
          <w:bCs w:val="1"/>
          <w:color w:val="auto"/>
        </w:rPr>
        <w:t>JENNER &amp; BLOCK LLP</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February 7, 2017</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General Motors Company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Detroit, Michigan 48265-3000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Re: Registration of Securities on Form S-3</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40" w:firstLine="432"/>
        <w:spacing w:after="0" w:line="286" w:lineRule="auto"/>
        <w:rPr>
          <w:sz w:val="20"/>
          <w:szCs w:val="20"/>
          <w:color w:val="auto"/>
        </w:rPr>
      </w:pPr>
      <w:r>
        <w:rPr>
          <w:rFonts w:ascii="Arial" w:cs="Arial" w:eastAsia="Arial" w:hAnsi="Arial"/>
          <w:sz w:val="19"/>
          <w:szCs w:val="19"/>
          <w:color w:val="auto"/>
        </w:rPr>
        <w:t>We are acting as special counsel to General Motors Company, a Delaware corporation (the “Company”), in connection with the preparation and filing with the Securities and Exchange Commission (the “Commission”) of the Company’s Registration Statement on Form S-3 under the Securities Act of 1933, as amended (the “Securities Act”) (such Registration Statement, as amended or supplemented, the “Registration Statement”). The Registration Statement relates to the sale from time to time, pursuant to Rule 415 of the General Rules and Regulations promulgated under the Securities Act, of the following securities in one or more series: (i) common stock, par value $0.01 per share of the Company (“Common Stock”), (ii) preferred stock, par value $0.01 per share, of the Company (“Preferred Stock”), (iii) debt securities of the Company consisting of debentures, notes and/or other evidences of indebtedness, which may be subordinated or unsubordinated to certain other obligations of the Company and are to be issued under the indenture dated September 27, 2013 between the Company and The Bank of New York Mellon (the “Indenture”) and any applicable supplement thereto (“Debt Securities”) and (iv) warrants to purchase Debt Securities, Preferred Stock or Common Stock (“Warrants” and, together with the Common Stock, Preferred Stock and Debt Securities, the “Securities”). The Registration Statement provides that if so indicated in a prospectus supplement, the Debt Securities and the Preferred Stock may be convertible or exchangeable into other securities, including Common Stock and Preferred Stock.</w:t>
      </w:r>
    </w:p>
    <w:p>
      <w:pPr>
        <w:spacing w:after="0" w:line="208" w:lineRule="exact"/>
        <w:rPr>
          <w:sz w:val="20"/>
          <w:szCs w:val="20"/>
          <w:color w:val="auto"/>
        </w:rPr>
      </w:pPr>
    </w:p>
    <w:p>
      <w:pPr>
        <w:ind w:right="180" w:firstLine="432"/>
        <w:spacing w:after="0" w:line="291" w:lineRule="auto"/>
        <w:rPr>
          <w:sz w:val="20"/>
          <w:szCs w:val="20"/>
          <w:color w:val="auto"/>
        </w:rPr>
      </w:pPr>
      <w:r>
        <w:rPr>
          <w:rFonts w:ascii="Arial" w:cs="Arial" w:eastAsia="Arial" w:hAnsi="Arial"/>
          <w:sz w:val="19"/>
          <w:szCs w:val="19"/>
          <w:color w:val="auto"/>
        </w:rPr>
        <w:t>In connection with this opinion, we have examined originals, or copies certified or otherwise identified to our satisfaction, of such documents, corporate records and other instruments as we have deemed necessary for the purposes of this opinion, including</w:t>
      </w:r>
    </w:p>
    <w:p>
      <w:pPr>
        <w:spacing w:after="0" w:line="1" w:lineRule="exact"/>
        <w:rPr>
          <w:sz w:val="20"/>
          <w:szCs w:val="20"/>
          <w:color w:val="auto"/>
        </w:rPr>
      </w:pPr>
    </w:p>
    <w:p>
      <w:pPr>
        <w:ind w:right="780" w:firstLine="8"/>
        <w:spacing w:after="0" w:line="270" w:lineRule="auto"/>
        <w:tabs>
          <w:tab w:leader="none" w:pos="294"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certificate of incorporation and bylaws of the Company, each as amended to date; (b) certain minutes and records of corporate proceedings of the Company; and (c) the Registration Statement and exhibits thereto.</w:t>
      </w:r>
    </w:p>
    <w:p>
      <w:pPr>
        <w:spacing w:after="0" w:line="209" w:lineRule="exact"/>
        <w:rPr>
          <w:sz w:val="20"/>
          <w:szCs w:val="20"/>
          <w:color w:val="auto"/>
        </w:rPr>
      </w:pPr>
    </w:p>
    <w:p>
      <w:pPr>
        <w:ind w:firstLine="432"/>
        <w:spacing w:after="0" w:line="260" w:lineRule="auto"/>
        <w:rPr>
          <w:sz w:val="20"/>
          <w:szCs w:val="20"/>
          <w:color w:val="auto"/>
        </w:rPr>
      </w:pPr>
      <w:r>
        <w:rPr>
          <w:rFonts w:ascii="Arial" w:cs="Arial" w:eastAsia="Arial" w:hAnsi="Arial"/>
          <w:sz w:val="21"/>
          <w:szCs w:val="21"/>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As to any facts material to the opinions expressed herein, we have relied to the extent we deemed appropriate and without independent investigation upon statements and</w:t>
      </w:r>
    </w:p>
    <w:p>
      <w:pPr>
        <w:sectPr>
          <w:pgSz w:w="11900" w:h="16838" w:orient="portrait"/>
          <w:cols w:equalWidth="0" w:num="1">
            <w:col w:w="11420"/>
          </w:cols>
          <w:pgMar w:left="240" w:top="585" w:right="239" w:bottom="1440" w:gutter="0" w:footer="0" w:header="0"/>
        </w:sectPr>
      </w:pPr>
    </w:p>
    <w:bookmarkStart w:id="30" w:name="page31"/>
    <w:bookmarkEnd w:id="30"/>
    <w:p>
      <w:pPr>
        <w:ind w:right="160"/>
        <w:spacing w:after="0" w:line="263" w:lineRule="auto"/>
        <w:rPr>
          <w:sz w:val="20"/>
          <w:szCs w:val="20"/>
          <w:color w:val="auto"/>
        </w:rPr>
      </w:pPr>
      <w:r>
        <w:rPr>
          <w:rFonts w:ascii="Arial" w:cs="Arial" w:eastAsia="Arial" w:hAnsi="Arial"/>
          <w:sz w:val="22"/>
          <w:szCs w:val="22"/>
          <w:color w:val="auto"/>
        </w:rPr>
        <w:t>representations of officers and other representatives of the Company, certificates or comparable documents of public officials and factual information we have obtained from such other sources as we have deemed reasonable.</w:t>
      </w:r>
    </w:p>
    <w:p>
      <w:pPr>
        <w:spacing w:after="0" w:line="215" w:lineRule="exact"/>
        <w:rPr>
          <w:sz w:val="20"/>
          <w:szCs w:val="20"/>
          <w:color w:val="auto"/>
        </w:rPr>
      </w:pPr>
    </w:p>
    <w:p>
      <w:pPr>
        <w:ind w:right="160" w:firstLine="432"/>
        <w:spacing w:after="0" w:line="302" w:lineRule="auto"/>
        <w:rPr>
          <w:sz w:val="20"/>
          <w:szCs w:val="20"/>
          <w:color w:val="auto"/>
        </w:rPr>
      </w:pPr>
      <w:r>
        <w:rPr>
          <w:rFonts w:ascii="Arial" w:cs="Arial" w:eastAsia="Arial" w:hAnsi="Arial"/>
          <w:sz w:val="19"/>
          <w:szCs w:val="19"/>
          <w:color w:val="auto"/>
        </w:rPr>
        <w:t>Based upon the foregoing examination and in reliance thereon, and subject to the completion of all corporate action required to be taken by the Company to duly authorize each future issuance of Securities (including the due reservation of any shares of Common Stock or Preferred Stock for issuance upon conversion, exchange or exercise of any other Securities), and subject to the qualifications, assumptions and limitations set forth in this letter, we are of the opinion that:</w:t>
      </w:r>
    </w:p>
    <w:p>
      <w:pPr>
        <w:spacing w:after="0" w:line="183" w:lineRule="exact"/>
        <w:rPr>
          <w:sz w:val="20"/>
          <w:szCs w:val="20"/>
          <w:color w:val="auto"/>
        </w:rPr>
      </w:pPr>
    </w:p>
    <w:p>
      <w:pPr>
        <w:ind w:left="1300" w:right="220" w:hanging="644"/>
        <w:spacing w:after="0" w:line="302" w:lineRule="auto"/>
        <w:tabs>
          <w:tab w:leader="none" w:pos="13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With respect to Common Stock, when the shares of Common Stock have been issued and delivered in accordance with the applicable definitive purchase, underwriting or similar agreement against the receipt of requisite consideration therefor provided for therein (in an amount at least equal to the aggregate par value of such shares), such shares of Common Stock will be validly issued, fully paid and non-assessable.</w:t>
      </w:r>
    </w:p>
    <w:p>
      <w:pPr>
        <w:spacing w:after="0" w:line="183" w:lineRule="exact"/>
        <w:rPr>
          <w:rFonts w:ascii="Arial" w:cs="Arial" w:eastAsia="Arial" w:hAnsi="Arial"/>
          <w:sz w:val="19"/>
          <w:szCs w:val="19"/>
          <w:color w:val="auto"/>
        </w:rPr>
      </w:pPr>
    </w:p>
    <w:p>
      <w:pPr>
        <w:ind w:left="1300" w:hanging="644"/>
        <w:spacing w:after="0" w:line="247" w:lineRule="auto"/>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With respect to Preferred Stock, when (a) the applicable Certificate of Designations for the Preferred Stock to be issued has been duly executed and filed with the Office of the Secretary of State of the State of Delaware and (b) the shares of Preferred Stock have been issued and delivered in accordance with the applicable definitive purchase, underwriting or similar agreement against the receipt of requisite consideration therefor provided for therein (in an amount at least equal to the aggregate par value thereof), the shares of Preferred Stock will be validly issued, fully paid and non-assessable.</w:t>
      </w:r>
    </w:p>
    <w:p>
      <w:pPr>
        <w:spacing w:after="0" w:line="234" w:lineRule="exact"/>
        <w:rPr>
          <w:rFonts w:ascii="Arial" w:cs="Arial" w:eastAsia="Arial" w:hAnsi="Arial"/>
          <w:sz w:val="22"/>
          <w:szCs w:val="22"/>
          <w:color w:val="auto"/>
        </w:rPr>
      </w:pPr>
    </w:p>
    <w:p>
      <w:pPr>
        <w:ind w:left="1300" w:right="240" w:hanging="644"/>
        <w:spacing w:after="0" w:line="290" w:lineRule="auto"/>
        <w:tabs>
          <w:tab w:leader="none" w:pos="13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With respect to any Debt Securities, when (a) the Indenture has been qualified under the United States Trust Indenture Act of 1939, as amended, and (b) the Debt Securities have been executed, issued, delivered and authenticated in accordance with the terms of the Indenture, any applicable supplement thereto and the applicable definitive purchase, underwriting or similar agreement against the receipt of requisite consideration therefor provided for therein, such Debt Securities will constitute legal, valid and binding obligations of the Company, subject to (x) the establishment of the terms of the Debt Securities in accordance with the Indenture and any applicable supplement thereto and (y) any such supplemental indenture having been duly authorized and validly executed and delivered by the Company and the trustee thereunder.</w:t>
      </w:r>
    </w:p>
    <w:p>
      <w:pPr>
        <w:spacing w:after="0" w:line="197" w:lineRule="exact"/>
        <w:rPr>
          <w:rFonts w:ascii="Arial" w:cs="Arial" w:eastAsia="Arial" w:hAnsi="Arial"/>
          <w:sz w:val="19"/>
          <w:szCs w:val="19"/>
          <w:color w:val="auto"/>
        </w:rPr>
      </w:pPr>
    </w:p>
    <w:p>
      <w:pPr>
        <w:ind w:left="1300" w:right="140" w:hanging="644"/>
        <w:spacing w:after="0" w:line="294" w:lineRule="auto"/>
        <w:tabs>
          <w:tab w:leader="none" w:pos="13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With respect to the Warrants, when the Warrants have been duly executed and delivered in accordance with a warrant agreement relating to such Warrants (“Warrant Agreement”) and the applicable definitive purchase, underwriting or similar agreement against the receipt of requisite consideration therefor provided for therein, such Warrants will be legal, valid and binding obligations of the Company, subject to (a) the Warrant Agreement having been duly authorized and validly executed and delivered by the Company and each party thereto and (b) the establishment of the terms of the Warrants in accordance with the Warrant Agreement.</w:t>
      </w:r>
    </w:p>
    <w:p>
      <w:pPr>
        <w:spacing w:after="0" w:line="190" w:lineRule="exact"/>
        <w:rPr>
          <w:rFonts w:ascii="Arial" w:cs="Arial" w:eastAsia="Arial" w:hAnsi="Arial"/>
          <w:sz w:val="19"/>
          <w:szCs w:val="19"/>
          <w:color w:val="auto"/>
        </w:rPr>
      </w:pPr>
    </w:p>
    <w:p>
      <w:pPr>
        <w:ind w:left="1300" w:right="120" w:hanging="644"/>
        <w:spacing w:after="0" w:line="302" w:lineRule="auto"/>
        <w:tabs>
          <w:tab w:leader="none" w:pos="13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With respect to Common Stock or Preferred Stock to be issued upon conversion or exchange of Debt Securities or Preferred Stock, when (a) if applicable, the Certificate of Designation for the Preferred Stock to be issued has been duly executed and filed with the Office of the Secretary of State of the State of Delaware and (b) such Common Stock or Preferred Stock, as the case may be, has been issued and delivered in accordance with the</w:t>
      </w:r>
    </w:p>
    <w:p>
      <w:pPr>
        <w:sectPr>
          <w:pgSz w:w="11900" w:h="16838" w:orient="portrait"/>
          <w:cols w:equalWidth="0" w:num="1">
            <w:col w:w="11360"/>
          </w:cols>
          <w:pgMar w:left="240" w:top="591" w:right="299" w:bottom="1440" w:gutter="0" w:footer="0" w:header="0"/>
        </w:sectPr>
      </w:pPr>
    </w:p>
    <w:bookmarkStart w:id="31" w:name="page32"/>
    <w:bookmarkEnd w:id="31"/>
    <w:p>
      <w:pPr>
        <w:jc w:val="both"/>
        <w:ind w:left="1300" w:right="360"/>
        <w:spacing w:after="0" w:line="253" w:lineRule="auto"/>
        <w:rPr>
          <w:sz w:val="20"/>
          <w:szCs w:val="20"/>
          <w:color w:val="auto"/>
        </w:rPr>
      </w:pPr>
      <w:r>
        <w:rPr>
          <w:rFonts w:ascii="Arial" w:cs="Arial" w:eastAsia="Arial" w:hAnsi="Arial"/>
          <w:sz w:val="22"/>
          <w:szCs w:val="22"/>
          <w:color w:val="auto"/>
        </w:rPr>
        <w:t>terms of the applicable Debt Securities or Preferred Stock, as the case may be, for consideration in an amount at least equal to the par value thereof, such shares of Common Stock or Preferred Stock will be validly issued, fully paid and non-assessable.</w:t>
      </w:r>
    </w:p>
    <w:p>
      <w:pPr>
        <w:spacing w:after="0" w:line="226" w:lineRule="exact"/>
        <w:rPr>
          <w:sz w:val="20"/>
          <w:szCs w:val="20"/>
          <w:color w:val="auto"/>
        </w:rPr>
      </w:pPr>
    </w:p>
    <w:p>
      <w:pPr>
        <w:ind w:left="1300" w:hanging="644"/>
        <w:spacing w:after="0" w:line="294" w:lineRule="auto"/>
        <w:tabs>
          <w:tab w:leader="none" w:pos="13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With respect to Common Stock or Preferred Stock to be issued upon exercise of Warrants, when (a) if applicable, the Certificate of Designation for the Preferred Stock to be issued has been duly executed and filed with the Office of the Secretary of State of the State of Delaware and (b) such Common Stock or Preferred Stock, as the case may be, has been issued and delivered in accordance with the terms of the applicable Warrants and any applicable Warrant Agreement for consideration in an amount at least equal to the par value thereof, such shares of Common Stock or Preferred Stock will be validly issued, fully paid and non-assessable.</w:t>
      </w:r>
    </w:p>
    <w:p>
      <w:pPr>
        <w:spacing w:after="0" w:line="190" w:lineRule="exact"/>
        <w:rPr>
          <w:sz w:val="20"/>
          <w:szCs w:val="20"/>
          <w:color w:val="auto"/>
        </w:rPr>
      </w:pPr>
    </w:p>
    <w:p>
      <w:pPr>
        <w:ind w:firstLine="432"/>
        <w:spacing w:after="0" w:line="290" w:lineRule="auto"/>
        <w:rPr>
          <w:sz w:val="20"/>
          <w:szCs w:val="20"/>
          <w:color w:val="auto"/>
        </w:rPr>
      </w:pPr>
      <w:r>
        <w:rPr>
          <w:rFonts w:ascii="Arial" w:cs="Arial" w:eastAsia="Arial" w:hAnsi="Arial"/>
          <w:sz w:val="19"/>
          <w:szCs w:val="19"/>
          <w:color w:val="auto"/>
        </w:rPr>
        <w:t>Our advice on every legal issue addressed in this letter is based exclusively on (i) the General Corporation Law of the State of Delaware (including the statutory provisions thereof, all applicable provisions of the Delaware Constitution and reported judicial decisions of the State of Delaware interpreting the foregoing), and (ii) New York law with respect to the Debt Securities offered under the Indenture and with respect to the Warrants. We have assumed that each Warrant Agreement and each supplemental indenture to the Indenture will be governed by New York law. Our advice represents our opinion as to how such issue would be resolved were it to be considered by the highest court in the jurisdiction that enacted such law.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pacing w:after="0" w:line="197" w:lineRule="exact"/>
        <w:rPr>
          <w:sz w:val="20"/>
          <w:szCs w:val="20"/>
          <w:color w:val="auto"/>
        </w:rPr>
      </w:pPr>
    </w:p>
    <w:p>
      <w:pPr>
        <w:jc w:val="both"/>
        <w:ind w:right="320" w:firstLine="432"/>
        <w:spacing w:after="0" w:line="253" w:lineRule="auto"/>
        <w:rPr>
          <w:sz w:val="20"/>
          <w:szCs w:val="20"/>
          <w:color w:val="auto"/>
        </w:rPr>
      </w:pPr>
      <w:r>
        <w:rPr>
          <w:rFonts w:ascii="Arial" w:cs="Arial" w:eastAsia="Arial" w:hAnsi="Arial"/>
          <w:sz w:val="22"/>
          <w:szCs w:val="22"/>
          <w:color w:val="auto"/>
        </w:rPr>
        <w:t>This opinion is given on the basis of the statutory laws and judicial decisions in effect, and the facts existing, as of the date hereof. We have not undertaken any obligation to advise you of changes in matters of fact or law which may occur after the date hereof.</w:t>
      </w:r>
    </w:p>
    <w:p>
      <w:pPr>
        <w:spacing w:after="0" w:line="226" w:lineRule="exact"/>
        <w:rPr>
          <w:sz w:val="20"/>
          <w:szCs w:val="20"/>
          <w:color w:val="auto"/>
        </w:rPr>
      </w:pPr>
    </w:p>
    <w:p>
      <w:pPr>
        <w:ind w:right="40" w:firstLine="432"/>
        <w:spacing w:after="0" w:line="247" w:lineRule="auto"/>
        <w:rPr>
          <w:sz w:val="20"/>
          <w:szCs w:val="20"/>
          <w:color w:val="auto"/>
        </w:rPr>
      </w:pPr>
      <w:r>
        <w:rPr>
          <w:rFonts w:ascii="Arial" w:cs="Arial" w:eastAsia="Arial" w:hAnsi="Arial"/>
          <w:sz w:val="22"/>
          <w:szCs w:val="22"/>
          <w:color w:val="auto"/>
        </w:rPr>
        <w:t>We do not find it necessary for the purposes of this opinion, and accordingly we do not purport to cover herein, the application of the securities or “Blue Sky” laws of the various states to the issuance and sale of the Securities nor do we express any opinion regarding the Securities Act or any other federal securities laws or regulations. This opinion is limited to the specific issues addressed herein, and no opinion may be inferred or implied beyond that expressly stated herein. This opinion is furnished to the Company in connection with the filing of the Registration Statement and is not to be used, circulated, quoted or otherwise relied upon by the Company for any other purposes.</w:t>
      </w:r>
    </w:p>
    <w:p>
      <w:pPr>
        <w:spacing w:after="0" w:line="234" w:lineRule="exact"/>
        <w:rPr>
          <w:sz w:val="20"/>
          <w:szCs w:val="20"/>
          <w:color w:val="auto"/>
        </w:rPr>
      </w:pPr>
    </w:p>
    <w:p>
      <w:pPr>
        <w:ind w:right="560" w:firstLine="432"/>
        <w:spacing w:after="0" w:line="260" w:lineRule="auto"/>
        <w:rPr>
          <w:sz w:val="20"/>
          <w:szCs w:val="20"/>
          <w:color w:val="auto"/>
        </w:rPr>
      </w:pPr>
      <w:r>
        <w:rPr>
          <w:rFonts w:ascii="Arial" w:cs="Arial" w:eastAsia="Arial" w:hAnsi="Arial"/>
          <w:sz w:val="21"/>
          <w:szCs w:val="21"/>
          <w:color w:val="auto"/>
        </w:rPr>
        <w:t>Our opinions expressed above are subject to the qualifications that we express no opinion as to the applicability of, compliance with, or effect of (i) any bankruptcy, insolvency, reorganization, fraudulent transfer, fraudulent conveyance, moratorium or other similar law or judicially developed doctrine in this area (such as substantive consolidation or equitable subordination) affecting the enforcement of creditors’ rights generally, (ii) general principles of equity (regardless of whether enforcement is considered in a proceeding in equity or at law), (iii) public policy considerations which may limit the rights of parties to obtain certain remedies and (iv) other commonly recognized statutory and judicial constraints on enforceability, including, without limitation, statutes of limitations.</w:t>
      </w:r>
    </w:p>
    <w:p>
      <w:pPr>
        <w:spacing w:after="0" w:line="222" w:lineRule="exact"/>
        <w:rPr>
          <w:sz w:val="20"/>
          <w:szCs w:val="20"/>
          <w:color w:val="auto"/>
        </w:rPr>
      </w:pPr>
    </w:p>
    <w:p>
      <w:pPr>
        <w:ind w:right="20" w:firstLine="432"/>
        <w:spacing w:after="0" w:line="253" w:lineRule="auto"/>
        <w:rPr>
          <w:sz w:val="20"/>
          <w:szCs w:val="20"/>
          <w:color w:val="auto"/>
        </w:rPr>
      </w:pPr>
      <w:r>
        <w:rPr>
          <w:rFonts w:ascii="Arial" w:cs="Arial" w:eastAsia="Arial" w:hAnsi="Arial"/>
          <w:sz w:val="22"/>
          <w:szCs w:val="22"/>
          <w:color w:val="auto"/>
        </w:rPr>
        <w:t>We hereby consent to the filing of this opinion as Exhibit 5.1 to the Registration Statement and to the reference to our firm under the heading “Legal Matters” in the Registration Statement and the prospectus that forms a part thereof. In giving this consent, we do not thereby admit that we are in the category of</w:t>
      </w:r>
    </w:p>
    <w:p>
      <w:pPr>
        <w:sectPr>
          <w:pgSz w:w="11900" w:h="16838" w:orient="portrait"/>
          <w:cols w:equalWidth="0" w:num="1">
            <w:col w:w="11420"/>
          </w:cols>
          <w:pgMar w:left="240" w:top="591" w:right="239" w:bottom="1440" w:gutter="0" w:footer="0" w:header="0"/>
        </w:sectPr>
      </w:pPr>
    </w:p>
    <w:bookmarkStart w:id="32" w:name="page33"/>
    <w:bookmarkEnd w:id="32"/>
    <w:p>
      <w:pPr>
        <w:spacing w:after="0"/>
        <w:rPr>
          <w:sz w:val="20"/>
          <w:szCs w:val="20"/>
          <w:color w:val="auto"/>
        </w:rPr>
      </w:pPr>
      <w:r>
        <w:rPr>
          <w:rFonts w:ascii="Arial" w:cs="Arial" w:eastAsia="Arial" w:hAnsi="Arial"/>
          <w:sz w:val="19"/>
          <w:szCs w:val="19"/>
          <w:color w:val="auto"/>
        </w:rPr>
        <w:t>persons whose consent is required under Section 7 of the Securities Act or the rules and regulations of the Commission.</w:t>
      </w:r>
    </w:p>
    <w:p>
      <w:pPr>
        <w:sectPr>
          <w:pgSz w:w="11900" w:h="16838" w:orient="portrait"/>
          <w:cols w:equalWidth="0" w:num="1">
            <w:col w:w="10360"/>
          </w:cols>
          <w:pgMar w:left="240" w:top="591" w:right="129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740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400"/>
        <w:spacing w:after="0"/>
        <w:rPr>
          <w:sz w:val="20"/>
          <w:szCs w:val="20"/>
          <w:color w:val="auto"/>
        </w:rPr>
      </w:pPr>
      <w:r>
        <w:rPr>
          <w:rFonts w:ascii="Arial" w:cs="Arial" w:eastAsia="Arial" w:hAnsi="Arial"/>
          <w:sz w:val="19"/>
          <w:szCs w:val="19"/>
          <w:u w:val="single" w:color="auto"/>
          <w:color w:val="auto"/>
        </w:rPr>
        <w:t>/s/ JENNER &amp; BLOCK LLP</w:t>
      </w:r>
    </w:p>
    <w:p>
      <w:pPr>
        <w:spacing w:after="0" w:line="27" w:lineRule="exact"/>
        <w:rPr>
          <w:sz w:val="20"/>
          <w:szCs w:val="20"/>
          <w:color w:val="auto"/>
        </w:rPr>
      </w:pPr>
    </w:p>
    <w:p>
      <w:pPr>
        <w:ind w:left="7400"/>
        <w:spacing w:after="0"/>
        <w:rPr>
          <w:sz w:val="20"/>
          <w:szCs w:val="20"/>
          <w:color w:val="auto"/>
        </w:rPr>
      </w:pPr>
      <w:r>
        <w:rPr>
          <w:rFonts w:ascii="Arial" w:cs="Arial" w:eastAsia="Arial" w:hAnsi="Arial"/>
          <w:sz w:val="20"/>
          <w:szCs w:val="20"/>
          <w:color w:val="auto"/>
        </w:rPr>
        <w:t>JENNER &amp; BLOCK LLP</w:t>
      </w:r>
    </w:p>
    <w:p>
      <w:pPr>
        <w:sectPr>
          <w:pgSz w:w="11900" w:h="16838" w:orient="portrait"/>
          <w:cols w:equalWidth="0" w:num="1">
            <w:col w:w="10360"/>
          </w:cols>
          <w:pgMar w:left="240" w:top="591" w:right="129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 dated February 7, 2017 relating to the consolidated financial statements of General Motors Company and subsidiaries (the Company) and the effectiveness of the Company’s internal control over financial reporting, appearing in the Annual Report on Form 10-K of General Motors Company for the year ended December 31, 2016, and to the reference to us under the heading “Experts” in the Prospectus, which is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9894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7, 2017</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AUDITORS</w:t>
      </w:r>
    </w:p>
    <w:p>
      <w:pPr>
        <w:spacing w:after="0" w:line="200" w:lineRule="exact"/>
        <w:rPr>
          <w:sz w:val="20"/>
          <w:szCs w:val="20"/>
          <w:color w:val="auto"/>
        </w:rPr>
      </w:pPr>
    </w:p>
    <w:p>
      <w:pPr>
        <w:spacing w:after="0" w:line="24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 dated January 26, 2017 relating to the consolidated financial statements of SAIC General Motors Corp., Ltd. and subsidiaries, appearing in the Annual Report on Form 10-K of General Motors Company for the year ended December 31, 2016, and to the reference to us under the heading “Experts” in the Prospectus, which is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right="5140"/>
        <w:spacing w:after="0" w:line="356" w:lineRule="auto"/>
        <w:rPr>
          <w:sz w:val="20"/>
          <w:szCs w:val="20"/>
          <w:color w:val="auto"/>
        </w:rPr>
      </w:pPr>
      <w:r>
        <w:rPr>
          <w:rFonts w:ascii="Arial" w:cs="Arial" w:eastAsia="Arial" w:hAnsi="Arial"/>
          <w:sz w:val="18"/>
          <w:szCs w:val="18"/>
          <w:color w:val="auto"/>
        </w:rPr>
        <w:t>/s/ DELOITTE TOUCHE TOHMATSU CERTIFIED PUBLIC ACCOUNTANTS LLP Shanghai, 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53771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3, 2017</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24.1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power of substitution and resubstitution, for me and in my name, place and stead, in any and all capacities (including my capacity as a director of GM), to sign:</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4760" w:type="dxa"/>
            <w:vAlign w:val="bottom"/>
            <w:gridSpan w:val="3"/>
          </w:tcPr>
          <w:p>
            <w:pPr>
              <w:ind w:left="194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1960" w:type="dxa"/>
            <w:vAlign w:val="bottom"/>
          </w:tcPr>
          <w:p>
            <w:pPr>
              <w:spacing w:after="0"/>
              <w:rPr>
                <w:sz w:val="24"/>
                <w:szCs w:val="24"/>
                <w:color w:val="auto"/>
              </w:rPr>
            </w:pPr>
          </w:p>
        </w:tc>
        <w:tc>
          <w:tcPr>
            <w:tcW w:w="4760" w:type="dxa"/>
            <w:vAlign w:val="bottom"/>
            <w:gridSpan w:val="3"/>
          </w:tcPr>
          <w:p>
            <w:pPr>
              <w:ind w:left="1940"/>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JOSEPH J. ASHTON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Joseph J. Ashton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February 6, 2017</w:t>
      </w:r>
    </w:p>
    <w:p>
      <w:pPr>
        <w:sectPr>
          <w:pgSz w:w="11900" w:h="16838" w:orient="portrait"/>
          <w:cols w:equalWidth="0" w:num="1">
            <w:col w:w="11420"/>
          </w:cols>
          <w:pgMar w:left="240" w:top="58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power of substitution and resubstitution, for me and in my name, place and stead, in any and all capacities (including my capacity as a director of GM), to sign:</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Linda R. Gooden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February 6, 2017</w:t>
      </w:r>
    </w:p>
    <w:p>
      <w:pPr>
        <w:sectPr>
          <w:pgSz w:w="11900" w:h="16838" w:orient="portrait"/>
          <w:cols w:equalWidth="0" w:num="1">
            <w:col w:w="11420"/>
          </w:cols>
          <w:pgMar w:left="240" w:top="58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power of substitution and resubstitution, for me and in my name, place and stead, in any and all capacities (including my capacity as a director of GM), to sign:</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Joseph Jimenez</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February 6, 2017</w:t>
      </w:r>
    </w:p>
    <w:p>
      <w:pPr>
        <w:sectPr>
          <w:pgSz w:w="11900" w:h="16838" w:orient="portrait"/>
          <w:cols w:equalWidth="0" w:num="1">
            <w:col w:w="11420"/>
          </w:cols>
          <w:pgMar w:left="240" w:top="58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power of substitution and resubstitution, for me and in my name, place and stead, in any and all capacities (including my capacity as a director of GM), to sign:</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Jane L. Mendillo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February 6, 2017</w:t>
      </w:r>
    </w:p>
    <w:p>
      <w:pPr>
        <w:sectPr>
          <w:pgSz w:w="11900" w:h="16838" w:orient="portrait"/>
          <w:cols w:equalWidth="0" w:num="1">
            <w:col w:w="11420"/>
          </w:cols>
          <w:pgMar w:left="240" w:top="58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power of substitution and resubstitution, for me and in my name, place and stead, in any and all capacities (including my capacity as a director of GM), to sign:</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ADMIRAL MICHAEL G. MULLEN, USN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Admiral Michael G. Mullen, USN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February 6, 2017</w:t>
      </w:r>
    </w:p>
    <w:p>
      <w:pPr>
        <w:sectPr>
          <w:pgSz w:w="11900" w:h="16838" w:orient="portrait"/>
          <w:cols w:equalWidth="0" w:num="1">
            <w:col w:w="11420"/>
          </w:cols>
          <w:pgMar w:left="240" w:top="58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power of substitution and resubstitution, for me and in my name, place and stead, in any and all capacities (including my capacity as a director of GM), to sign:</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J. Mulva</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February 6, 2017</w:t>
      </w:r>
    </w:p>
    <w:p>
      <w:pPr>
        <w:sectPr>
          <w:pgSz w:w="11900" w:h="16838" w:orient="portrait"/>
          <w:cols w:equalWidth="0" w:num="1">
            <w:col w:w="11420"/>
          </w:cols>
          <w:pgMar w:left="240" w:top="58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power of substitution and resubstitution, for me and in my name, place and stead, in any and all capacities (including my capacity as a director of GM), to sign:</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Patricia F. Russo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February 6, 2017</w:t>
      </w:r>
    </w:p>
    <w:p>
      <w:pPr>
        <w:sectPr>
          <w:pgSz w:w="11900" w:h="16838" w:orient="portrait"/>
          <w:cols w:equalWidth="0" w:num="1">
            <w:col w:w="11420"/>
          </w:cols>
          <w:pgMar w:left="240" w:top="58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power of substitution and resubstitution, for me and in my name, place and stead, in any and all capacities (including my capacity as a director of GM), to sign:</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M. Schoewe</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February 6, 2017</w:t>
      </w:r>
    </w:p>
    <w:p>
      <w:pPr>
        <w:sectPr>
          <w:pgSz w:w="11900" w:h="16838" w:orient="portrait"/>
          <w:cols w:equalWidth="0" w:num="1">
            <w:col w:w="11420"/>
          </w:cols>
          <w:pgMar w:left="240" w:top="58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power of substitution and resubstitution, for me and in my name, place and stead, in any and all capacities (including my capacity as a director of GM), to sign:</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Theodore M. Solso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February 6, 2017</w:t>
      </w:r>
    </w:p>
    <w:p>
      <w:pPr>
        <w:sectPr>
          <w:pgSz w:w="11900" w:h="16838" w:orient="portrait"/>
          <w:cols w:equalWidth="0" w:num="1">
            <w:col w:w="11420"/>
          </w:cols>
          <w:pgMar w:left="240" w:top="58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power of substitution and resubstitution, for me and in my name, place and stead, in any and all capacities (including my capacity as a director of GM), to sign:</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Carol M. Stephenson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February 6, 2017</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25.1</w:t>
      </w:r>
    </w:p>
    <w:p>
      <w:pPr>
        <w:spacing w:after="0" w:line="38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Washington, D.C. 20549</w:t>
      </w:r>
    </w:p>
    <w:p>
      <w:pPr>
        <w:spacing w:after="0" w:line="19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FORM T-1</w:t>
      </w:r>
    </w:p>
    <w:p>
      <w:pPr>
        <w:spacing w:after="0" w:line="200" w:lineRule="exact"/>
        <w:rPr>
          <w:sz w:val="20"/>
          <w:szCs w:val="20"/>
          <w:color w:val="auto"/>
        </w:rPr>
      </w:pPr>
    </w:p>
    <w:p>
      <w:pPr>
        <w:spacing w:after="0" w:line="236" w:lineRule="exact"/>
        <w:rPr>
          <w:sz w:val="20"/>
          <w:szCs w:val="20"/>
          <w:color w:val="auto"/>
        </w:rPr>
      </w:pPr>
    </w:p>
    <w:p>
      <w:pPr>
        <w:jc w:val="center"/>
        <w:ind w:left="140" w:right="1340"/>
        <w:spacing w:after="0" w:line="256"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18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CHECK IF AN APPLICATION TO DETERMINE ELIGIBILITY OF A</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TRUSTEE PURSUANT TO SECTION 305(b)(2) ___</w:t>
      </w:r>
    </w:p>
    <w:p>
      <w:pPr>
        <w:spacing w:after="0" w:line="200" w:lineRule="exact"/>
        <w:rPr>
          <w:sz w:val="20"/>
          <w:szCs w:val="20"/>
          <w:color w:val="auto"/>
        </w:rPr>
      </w:pP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THE BANK OF NEW YORK MELLON</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(Exact name of trustee as specified in its charter)</w:t>
      </w:r>
    </w:p>
    <w:p>
      <w:pPr>
        <w:spacing w:after="0" w:line="340"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4820" w:type="dxa"/>
            <w:vAlign w:val="bottom"/>
          </w:tcPr>
          <w:p>
            <w:pPr>
              <w:jc w:val="center"/>
              <w:ind w:right="1272"/>
              <w:spacing w:after="0"/>
              <w:rPr>
                <w:sz w:val="20"/>
                <w:szCs w:val="20"/>
                <w:color w:val="auto"/>
              </w:rPr>
            </w:pPr>
            <w:r>
              <w:rPr>
                <w:rFonts w:ascii="Arial" w:cs="Arial" w:eastAsia="Arial" w:hAnsi="Arial"/>
                <w:sz w:val="22"/>
                <w:szCs w:val="22"/>
                <w:b w:val="1"/>
                <w:bCs w:val="1"/>
                <w:color w:val="auto"/>
                <w:w w:val="91"/>
              </w:rPr>
              <w:t>New York</w:t>
            </w:r>
          </w:p>
        </w:tc>
        <w:tc>
          <w:tcPr>
            <w:tcW w:w="3020" w:type="dxa"/>
            <w:vAlign w:val="bottom"/>
          </w:tcPr>
          <w:p>
            <w:pPr>
              <w:jc w:val="right"/>
              <w:ind w:right="172"/>
              <w:spacing w:after="0"/>
              <w:rPr>
                <w:sz w:val="20"/>
                <w:szCs w:val="20"/>
                <w:color w:val="auto"/>
              </w:rPr>
            </w:pPr>
            <w:r>
              <w:rPr>
                <w:rFonts w:ascii="Arial" w:cs="Arial" w:eastAsia="Arial" w:hAnsi="Arial"/>
                <w:sz w:val="22"/>
                <w:szCs w:val="22"/>
                <w:b w:val="1"/>
                <w:bCs w:val="1"/>
                <w:color w:val="auto"/>
              </w:rPr>
              <w:t>13-5160382</w:t>
            </w:r>
          </w:p>
        </w:tc>
      </w:tr>
      <w:tr>
        <w:trPr>
          <w:trHeight w:val="243"/>
        </w:trPr>
        <w:tc>
          <w:tcPr>
            <w:tcW w:w="4820" w:type="dxa"/>
            <w:vAlign w:val="bottom"/>
          </w:tcPr>
          <w:p>
            <w:pPr>
              <w:jc w:val="center"/>
              <w:ind w:right="1292"/>
              <w:spacing w:after="0" w:line="243" w:lineRule="exact"/>
              <w:rPr>
                <w:sz w:val="20"/>
                <w:szCs w:val="20"/>
                <w:color w:val="auto"/>
              </w:rPr>
            </w:pPr>
            <w:r>
              <w:rPr>
                <w:rFonts w:ascii="Arial" w:cs="Arial" w:eastAsia="Arial" w:hAnsi="Arial"/>
                <w:sz w:val="22"/>
                <w:szCs w:val="22"/>
                <w:color w:val="auto"/>
                <w:w w:val="92"/>
              </w:rPr>
              <w:t>(Jurisdiction of incorporation</w:t>
            </w:r>
          </w:p>
        </w:tc>
        <w:tc>
          <w:tcPr>
            <w:tcW w:w="3020" w:type="dxa"/>
            <w:vAlign w:val="bottom"/>
          </w:tcPr>
          <w:p>
            <w:pPr>
              <w:jc w:val="center"/>
              <w:ind w:left="1312"/>
              <w:spacing w:after="0" w:line="243" w:lineRule="exact"/>
              <w:rPr>
                <w:sz w:val="20"/>
                <w:szCs w:val="20"/>
                <w:color w:val="auto"/>
              </w:rPr>
            </w:pPr>
            <w:r>
              <w:rPr>
                <w:rFonts w:ascii="Arial" w:cs="Arial" w:eastAsia="Arial" w:hAnsi="Arial"/>
                <w:sz w:val="22"/>
                <w:szCs w:val="22"/>
                <w:color w:val="auto"/>
                <w:w w:val="91"/>
              </w:rPr>
              <w:t>(I.R.S. Employer</w:t>
            </w:r>
          </w:p>
        </w:tc>
      </w:tr>
      <w:tr>
        <w:trPr>
          <w:trHeight w:val="275"/>
        </w:trPr>
        <w:tc>
          <w:tcPr>
            <w:tcW w:w="4820" w:type="dxa"/>
            <w:vAlign w:val="bottom"/>
          </w:tcPr>
          <w:p>
            <w:pPr>
              <w:jc w:val="center"/>
              <w:ind w:right="1292"/>
              <w:spacing w:after="0"/>
              <w:rPr>
                <w:sz w:val="20"/>
                <w:szCs w:val="20"/>
                <w:color w:val="auto"/>
              </w:rPr>
            </w:pPr>
            <w:r>
              <w:rPr>
                <w:rFonts w:ascii="Arial" w:cs="Arial" w:eastAsia="Arial" w:hAnsi="Arial"/>
                <w:sz w:val="22"/>
                <w:szCs w:val="22"/>
                <w:color w:val="auto"/>
                <w:w w:val="90"/>
              </w:rPr>
              <w:t>if not a U.S. national bank)</w:t>
            </w:r>
          </w:p>
        </w:tc>
        <w:tc>
          <w:tcPr>
            <w:tcW w:w="3020" w:type="dxa"/>
            <w:vAlign w:val="bottom"/>
          </w:tcPr>
          <w:p>
            <w:pPr>
              <w:jc w:val="center"/>
              <w:ind w:left="1312"/>
              <w:spacing w:after="0"/>
              <w:rPr>
                <w:sz w:val="20"/>
                <w:szCs w:val="20"/>
                <w:color w:val="auto"/>
              </w:rPr>
            </w:pPr>
            <w:r>
              <w:rPr>
                <w:rFonts w:ascii="Arial" w:cs="Arial" w:eastAsia="Arial" w:hAnsi="Arial"/>
                <w:sz w:val="22"/>
                <w:szCs w:val="22"/>
                <w:color w:val="auto"/>
                <w:w w:val="93"/>
              </w:rPr>
              <w:t>Identification No.)</w:t>
            </w:r>
          </w:p>
        </w:tc>
      </w:tr>
      <w:tr>
        <w:trPr>
          <w:trHeight w:val="260"/>
        </w:trPr>
        <w:tc>
          <w:tcPr>
            <w:tcW w:w="4820" w:type="dxa"/>
            <w:vAlign w:val="bottom"/>
          </w:tcPr>
          <w:p>
            <w:pPr>
              <w:jc w:val="center"/>
              <w:ind w:right="1272"/>
              <w:spacing w:after="0"/>
              <w:rPr>
                <w:sz w:val="20"/>
                <w:szCs w:val="20"/>
                <w:color w:val="auto"/>
              </w:rPr>
            </w:pPr>
            <w:r>
              <w:rPr>
                <w:rFonts w:ascii="Arial" w:cs="Arial" w:eastAsia="Arial" w:hAnsi="Arial"/>
                <w:sz w:val="22"/>
                <w:szCs w:val="22"/>
                <w:b w:val="1"/>
                <w:bCs w:val="1"/>
                <w:color w:val="auto"/>
                <w:w w:val="90"/>
              </w:rPr>
              <w:t>225 Liberty Street</w:t>
            </w:r>
          </w:p>
        </w:tc>
        <w:tc>
          <w:tcPr>
            <w:tcW w:w="3020" w:type="dxa"/>
            <w:vAlign w:val="bottom"/>
          </w:tcPr>
          <w:p>
            <w:pPr>
              <w:spacing w:after="0"/>
              <w:rPr>
                <w:sz w:val="22"/>
                <w:szCs w:val="22"/>
                <w:color w:val="auto"/>
              </w:rPr>
            </w:pPr>
          </w:p>
        </w:tc>
      </w:tr>
      <w:tr>
        <w:trPr>
          <w:trHeight w:val="249"/>
        </w:trPr>
        <w:tc>
          <w:tcPr>
            <w:tcW w:w="4820" w:type="dxa"/>
            <w:vAlign w:val="bottom"/>
          </w:tcPr>
          <w:p>
            <w:pPr>
              <w:jc w:val="center"/>
              <w:ind w:right="1292"/>
              <w:spacing w:after="0" w:line="249" w:lineRule="exact"/>
              <w:rPr>
                <w:sz w:val="20"/>
                <w:szCs w:val="20"/>
                <w:color w:val="auto"/>
              </w:rPr>
            </w:pPr>
            <w:r>
              <w:rPr>
                <w:rFonts w:ascii="Arial" w:cs="Arial" w:eastAsia="Arial" w:hAnsi="Arial"/>
                <w:sz w:val="22"/>
                <w:szCs w:val="22"/>
                <w:b w:val="1"/>
                <w:bCs w:val="1"/>
                <w:color w:val="auto"/>
                <w:w w:val="91"/>
              </w:rPr>
              <w:t>New York, N.Y.</w:t>
            </w:r>
          </w:p>
        </w:tc>
        <w:tc>
          <w:tcPr>
            <w:tcW w:w="3020" w:type="dxa"/>
            <w:vAlign w:val="bottom"/>
          </w:tcPr>
          <w:p>
            <w:pPr>
              <w:jc w:val="right"/>
              <w:ind w:right="432"/>
              <w:spacing w:after="0" w:line="249" w:lineRule="exact"/>
              <w:rPr>
                <w:sz w:val="20"/>
                <w:szCs w:val="20"/>
                <w:color w:val="auto"/>
              </w:rPr>
            </w:pPr>
            <w:r>
              <w:rPr>
                <w:rFonts w:ascii="Arial" w:cs="Arial" w:eastAsia="Arial" w:hAnsi="Arial"/>
                <w:sz w:val="22"/>
                <w:szCs w:val="22"/>
                <w:b w:val="1"/>
                <w:bCs w:val="1"/>
                <w:color w:val="auto"/>
              </w:rPr>
              <w:t>10286</w:t>
            </w:r>
          </w:p>
        </w:tc>
      </w:tr>
      <w:tr>
        <w:trPr>
          <w:trHeight w:val="275"/>
        </w:trPr>
        <w:tc>
          <w:tcPr>
            <w:tcW w:w="4820" w:type="dxa"/>
            <w:vAlign w:val="bottom"/>
          </w:tcPr>
          <w:p>
            <w:pPr>
              <w:jc w:val="center"/>
              <w:ind w:right="1292"/>
              <w:spacing w:after="0"/>
              <w:rPr>
                <w:sz w:val="20"/>
                <w:szCs w:val="20"/>
                <w:color w:val="auto"/>
              </w:rPr>
            </w:pPr>
            <w:r>
              <w:rPr>
                <w:rFonts w:ascii="Arial" w:cs="Arial" w:eastAsia="Arial" w:hAnsi="Arial"/>
                <w:sz w:val="22"/>
                <w:szCs w:val="22"/>
                <w:color w:val="auto"/>
                <w:w w:val="90"/>
              </w:rPr>
              <w:t>(Address of principal executive offices)</w:t>
            </w:r>
          </w:p>
        </w:tc>
        <w:tc>
          <w:tcPr>
            <w:tcW w:w="3020" w:type="dxa"/>
            <w:vAlign w:val="bottom"/>
          </w:tcPr>
          <w:p>
            <w:pPr>
              <w:jc w:val="center"/>
              <w:ind w:left="1292"/>
              <w:spacing w:after="0"/>
              <w:rPr>
                <w:sz w:val="20"/>
                <w:szCs w:val="20"/>
                <w:color w:val="auto"/>
              </w:rPr>
            </w:pPr>
            <w:r>
              <w:rPr>
                <w:rFonts w:ascii="Arial" w:cs="Arial" w:eastAsia="Arial" w:hAnsi="Arial"/>
                <w:sz w:val="22"/>
                <w:szCs w:val="22"/>
                <w:color w:val="auto"/>
                <w:w w:val="90"/>
              </w:rPr>
              <w:t>(Zip code)</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GENERAL MOTORS COMPANY</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(Exact name of obligor as specified in its charter)</w:t>
      </w:r>
    </w:p>
    <w:p>
      <w:pPr>
        <w:spacing w:after="0" w:line="340"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6020" w:type="dxa"/>
            <w:vAlign w:val="bottom"/>
          </w:tcPr>
          <w:p>
            <w:pPr>
              <w:jc w:val="center"/>
              <w:ind w:right="2494"/>
              <w:spacing w:after="0"/>
              <w:rPr>
                <w:sz w:val="20"/>
                <w:szCs w:val="20"/>
                <w:color w:val="auto"/>
              </w:rPr>
            </w:pPr>
            <w:r>
              <w:rPr>
                <w:rFonts w:ascii="Arial" w:cs="Arial" w:eastAsia="Arial" w:hAnsi="Arial"/>
                <w:sz w:val="22"/>
                <w:szCs w:val="22"/>
                <w:b w:val="1"/>
                <w:bCs w:val="1"/>
                <w:color w:val="auto"/>
                <w:w w:val="88"/>
              </w:rPr>
              <w:t>Delaware</w:t>
            </w:r>
          </w:p>
        </w:tc>
        <w:tc>
          <w:tcPr>
            <w:tcW w:w="1820" w:type="dxa"/>
            <w:vAlign w:val="bottom"/>
          </w:tcPr>
          <w:p>
            <w:pPr>
              <w:jc w:val="center"/>
              <w:ind w:left="112"/>
              <w:spacing w:after="0"/>
              <w:rPr>
                <w:sz w:val="20"/>
                <w:szCs w:val="20"/>
                <w:color w:val="auto"/>
              </w:rPr>
            </w:pPr>
            <w:r>
              <w:rPr>
                <w:rFonts w:ascii="Arial" w:cs="Arial" w:eastAsia="Arial" w:hAnsi="Arial"/>
                <w:sz w:val="22"/>
                <w:szCs w:val="22"/>
                <w:b w:val="1"/>
                <w:bCs w:val="1"/>
                <w:color w:val="auto"/>
                <w:w w:val="88"/>
              </w:rPr>
              <w:t>27-0756180</w:t>
            </w:r>
          </w:p>
        </w:tc>
      </w:tr>
      <w:tr>
        <w:trPr>
          <w:trHeight w:val="243"/>
        </w:trPr>
        <w:tc>
          <w:tcPr>
            <w:tcW w:w="6020" w:type="dxa"/>
            <w:vAlign w:val="bottom"/>
          </w:tcPr>
          <w:p>
            <w:pPr>
              <w:jc w:val="center"/>
              <w:ind w:right="2474"/>
              <w:spacing w:after="0" w:line="243" w:lineRule="exact"/>
              <w:rPr>
                <w:sz w:val="20"/>
                <w:szCs w:val="20"/>
                <w:color w:val="auto"/>
              </w:rPr>
            </w:pPr>
            <w:r>
              <w:rPr>
                <w:rFonts w:ascii="Arial" w:cs="Arial" w:eastAsia="Arial" w:hAnsi="Arial"/>
                <w:sz w:val="22"/>
                <w:szCs w:val="22"/>
                <w:color w:val="auto"/>
                <w:w w:val="90"/>
              </w:rPr>
              <w:t>(State or other jurisdiction</w:t>
            </w:r>
          </w:p>
        </w:tc>
        <w:tc>
          <w:tcPr>
            <w:tcW w:w="1820" w:type="dxa"/>
            <w:vAlign w:val="bottom"/>
          </w:tcPr>
          <w:p>
            <w:pPr>
              <w:jc w:val="center"/>
              <w:ind w:left="112"/>
              <w:spacing w:after="0" w:line="243" w:lineRule="exact"/>
              <w:rPr>
                <w:sz w:val="20"/>
                <w:szCs w:val="20"/>
                <w:color w:val="auto"/>
              </w:rPr>
            </w:pPr>
            <w:r>
              <w:rPr>
                <w:rFonts w:ascii="Arial" w:cs="Arial" w:eastAsia="Arial" w:hAnsi="Arial"/>
                <w:sz w:val="22"/>
                <w:szCs w:val="22"/>
                <w:color w:val="auto"/>
                <w:w w:val="91"/>
              </w:rPr>
              <w:t>(I.R.S. Employer</w:t>
            </w:r>
          </w:p>
        </w:tc>
      </w:tr>
      <w:tr>
        <w:trPr>
          <w:trHeight w:val="275"/>
        </w:trPr>
        <w:tc>
          <w:tcPr>
            <w:tcW w:w="6020" w:type="dxa"/>
            <w:vAlign w:val="bottom"/>
          </w:tcPr>
          <w:p>
            <w:pPr>
              <w:jc w:val="center"/>
              <w:ind w:right="2474"/>
              <w:spacing w:after="0"/>
              <w:rPr>
                <w:sz w:val="20"/>
                <w:szCs w:val="20"/>
                <w:color w:val="auto"/>
              </w:rPr>
            </w:pPr>
            <w:r>
              <w:rPr>
                <w:rFonts w:ascii="Arial" w:cs="Arial" w:eastAsia="Arial" w:hAnsi="Arial"/>
                <w:sz w:val="22"/>
                <w:szCs w:val="22"/>
                <w:color w:val="auto"/>
                <w:w w:val="91"/>
              </w:rPr>
              <w:t>of incorporation or organization)</w:t>
            </w:r>
          </w:p>
        </w:tc>
        <w:tc>
          <w:tcPr>
            <w:tcW w:w="1820" w:type="dxa"/>
            <w:vAlign w:val="bottom"/>
          </w:tcPr>
          <w:p>
            <w:pPr>
              <w:jc w:val="center"/>
              <w:ind w:left="112"/>
              <w:spacing w:after="0"/>
              <w:rPr>
                <w:sz w:val="20"/>
                <w:szCs w:val="20"/>
                <w:color w:val="auto"/>
              </w:rPr>
            </w:pPr>
            <w:r>
              <w:rPr>
                <w:rFonts w:ascii="Arial" w:cs="Arial" w:eastAsia="Arial" w:hAnsi="Arial"/>
                <w:sz w:val="22"/>
                <w:szCs w:val="22"/>
                <w:color w:val="auto"/>
                <w:w w:val="93"/>
              </w:rPr>
              <w:t>Identification No.)</w:t>
            </w:r>
          </w:p>
        </w:tc>
      </w:tr>
      <w:tr>
        <w:trPr>
          <w:trHeight w:val="260"/>
        </w:trPr>
        <w:tc>
          <w:tcPr>
            <w:tcW w:w="6020" w:type="dxa"/>
            <w:vAlign w:val="bottom"/>
          </w:tcPr>
          <w:p>
            <w:pPr>
              <w:jc w:val="center"/>
              <w:ind w:right="2474"/>
              <w:spacing w:after="0"/>
              <w:rPr>
                <w:sz w:val="20"/>
                <w:szCs w:val="20"/>
                <w:color w:val="auto"/>
              </w:rPr>
            </w:pPr>
            <w:r>
              <w:rPr>
                <w:rFonts w:ascii="Arial" w:cs="Arial" w:eastAsia="Arial" w:hAnsi="Arial"/>
                <w:sz w:val="22"/>
                <w:szCs w:val="22"/>
                <w:b w:val="1"/>
                <w:bCs w:val="1"/>
                <w:color w:val="auto"/>
                <w:w w:val="86"/>
              </w:rPr>
              <w:t>300 Renaissance Center</w:t>
            </w:r>
          </w:p>
        </w:tc>
        <w:tc>
          <w:tcPr>
            <w:tcW w:w="1820" w:type="dxa"/>
            <w:vAlign w:val="bottom"/>
          </w:tcPr>
          <w:p>
            <w:pPr>
              <w:spacing w:after="0"/>
              <w:rPr>
                <w:sz w:val="22"/>
                <w:szCs w:val="22"/>
                <w:color w:val="auto"/>
              </w:rPr>
            </w:pPr>
          </w:p>
        </w:tc>
      </w:tr>
      <w:tr>
        <w:trPr>
          <w:trHeight w:val="249"/>
        </w:trPr>
        <w:tc>
          <w:tcPr>
            <w:tcW w:w="6020" w:type="dxa"/>
            <w:vAlign w:val="bottom"/>
          </w:tcPr>
          <w:p>
            <w:pPr>
              <w:jc w:val="center"/>
              <w:ind w:right="2474"/>
              <w:spacing w:after="0" w:line="249" w:lineRule="exact"/>
              <w:rPr>
                <w:sz w:val="20"/>
                <w:szCs w:val="20"/>
                <w:color w:val="auto"/>
              </w:rPr>
            </w:pPr>
            <w:r>
              <w:rPr>
                <w:rFonts w:ascii="Arial" w:cs="Arial" w:eastAsia="Arial" w:hAnsi="Arial"/>
                <w:sz w:val="22"/>
                <w:szCs w:val="22"/>
                <w:b w:val="1"/>
                <w:bCs w:val="1"/>
                <w:color w:val="auto"/>
                <w:w w:val="91"/>
              </w:rPr>
              <w:t>Detroit, Michigan</w:t>
            </w:r>
          </w:p>
        </w:tc>
        <w:tc>
          <w:tcPr>
            <w:tcW w:w="1820" w:type="dxa"/>
            <w:vAlign w:val="bottom"/>
          </w:tcPr>
          <w:p>
            <w:pPr>
              <w:jc w:val="center"/>
              <w:ind w:left="112"/>
              <w:spacing w:after="0" w:line="249" w:lineRule="exact"/>
              <w:rPr>
                <w:sz w:val="20"/>
                <w:szCs w:val="20"/>
                <w:color w:val="auto"/>
              </w:rPr>
            </w:pPr>
            <w:r>
              <w:rPr>
                <w:rFonts w:ascii="Arial" w:cs="Arial" w:eastAsia="Arial" w:hAnsi="Arial"/>
                <w:sz w:val="22"/>
                <w:szCs w:val="22"/>
                <w:b w:val="1"/>
                <w:bCs w:val="1"/>
                <w:color w:val="auto"/>
                <w:w w:val="88"/>
              </w:rPr>
              <w:t>48265-3000</w:t>
            </w:r>
          </w:p>
        </w:tc>
      </w:tr>
      <w:tr>
        <w:trPr>
          <w:trHeight w:val="275"/>
        </w:trPr>
        <w:tc>
          <w:tcPr>
            <w:tcW w:w="6020" w:type="dxa"/>
            <w:vAlign w:val="bottom"/>
          </w:tcPr>
          <w:p>
            <w:pPr>
              <w:jc w:val="center"/>
              <w:ind w:right="2494"/>
              <w:spacing w:after="0"/>
              <w:rPr>
                <w:sz w:val="20"/>
                <w:szCs w:val="20"/>
                <w:color w:val="auto"/>
              </w:rPr>
            </w:pPr>
            <w:r>
              <w:rPr>
                <w:rFonts w:ascii="Arial" w:cs="Arial" w:eastAsia="Arial" w:hAnsi="Arial"/>
                <w:sz w:val="22"/>
                <w:szCs w:val="22"/>
                <w:color w:val="auto"/>
                <w:w w:val="90"/>
              </w:rPr>
              <w:t>(Address of principal executive offices)</w:t>
            </w:r>
          </w:p>
        </w:tc>
        <w:tc>
          <w:tcPr>
            <w:tcW w:w="1820" w:type="dxa"/>
            <w:vAlign w:val="bottom"/>
          </w:tcPr>
          <w:p>
            <w:pPr>
              <w:jc w:val="center"/>
              <w:ind w:left="92"/>
              <w:spacing w:after="0"/>
              <w:rPr>
                <w:sz w:val="20"/>
                <w:szCs w:val="20"/>
                <w:color w:val="auto"/>
              </w:rPr>
            </w:pPr>
            <w:r>
              <w:rPr>
                <w:rFonts w:ascii="Arial" w:cs="Arial" w:eastAsia="Arial" w:hAnsi="Arial"/>
                <w:sz w:val="22"/>
                <w:szCs w:val="22"/>
                <w:color w:val="auto"/>
                <w:w w:val="90"/>
              </w:rPr>
              <w:t>(Zip code)</w:t>
            </w:r>
          </w:p>
        </w:tc>
      </w:tr>
      <w:tr>
        <w:trPr>
          <w:trHeight w:val="435"/>
        </w:trPr>
        <w:tc>
          <w:tcPr>
            <w:tcW w:w="6020" w:type="dxa"/>
            <w:vAlign w:val="bottom"/>
          </w:tcPr>
          <w:p>
            <w:pPr>
              <w:jc w:val="center"/>
              <w:ind w:left="2634"/>
              <w:spacing w:after="0"/>
              <w:rPr>
                <w:sz w:val="20"/>
                <w:szCs w:val="20"/>
                <w:color w:val="auto"/>
              </w:rPr>
            </w:pPr>
            <w:r>
              <w:rPr>
                <w:rFonts w:ascii="Arial" w:cs="Arial" w:eastAsia="Arial" w:hAnsi="Arial"/>
                <w:sz w:val="18"/>
                <w:szCs w:val="18"/>
                <w:color w:val="auto"/>
                <w:w w:val="89"/>
              </w:rPr>
              <w:t>________________________________</w:t>
            </w:r>
          </w:p>
        </w:tc>
        <w:tc>
          <w:tcPr>
            <w:tcW w:w="1820" w:type="dxa"/>
            <w:vAlign w:val="bottom"/>
          </w:tcPr>
          <w:p>
            <w:pPr>
              <w:spacing w:after="0"/>
              <w:rPr>
                <w:sz w:val="24"/>
                <w:szCs w:val="24"/>
                <w:color w:val="auto"/>
              </w:rPr>
            </w:pPr>
          </w:p>
        </w:tc>
      </w:tr>
      <w:tr>
        <w:trPr>
          <w:trHeight w:val="263"/>
        </w:trPr>
        <w:tc>
          <w:tcPr>
            <w:tcW w:w="6020" w:type="dxa"/>
            <w:vAlign w:val="bottom"/>
          </w:tcPr>
          <w:p>
            <w:pPr>
              <w:jc w:val="center"/>
              <w:ind w:left="2634"/>
              <w:spacing w:after="0"/>
              <w:rPr>
                <w:sz w:val="20"/>
                <w:szCs w:val="20"/>
                <w:color w:val="auto"/>
              </w:rPr>
            </w:pPr>
            <w:r>
              <w:rPr>
                <w:rFonts w:ascii="Arial" w:cs="Arial" w:eastAsia="Arial" w:hAnsi="Arial"/>
                <w:sz w:val="22"/>
                <w:szCs w:val="22"/>
                <w:b w:val="1"/>
                <w:bCs w:val="1"/>
                <w:color w:val="auto"/>
                <w:w w:val="87"/>
              </w:rPr>
              <w:t>Debt Securities</w:t>
            </w:r>
          </w:p>
        </w:tc>
        <w:tc>
          <w:tcPr>
            <w:tcW w:w="1820" w:type="dxa"/>
            <w:vAlign w:val="bottom"/>
          </w:tcPr>
          <w:p>
            <w:pPr>
              <w:spacing w:after="0"/>
              <w:rPr>
                <w:sz w:val="22"/>
                <w:szCs w:val="22"/>
                <w:color w:val="auto"/>
              </w:rPr>
            </w:pPr>
          </w:p>
        </w:tc>
      </w:tr>
      <w:tr>
        <w:trPr>
          <w:trHeight w:val="275"/>
        </w:trPr>
        <w:tc>
          <w:tcPr>
            <w:tcW w:w="6020" w:type="dxa"/>
            <w:vAlign w:val="bottom"/>
          </w:tcPr>
          <w:p>
            <w:pPr>
              <w:jc w:val="center"/>
              <w:ind w:left="2634"/>
              <w:spacing w:after="0"/>
              <w:rPr>
                <w:sz w:val="20"/>
                <w:szCs w:val="20"/>
                <w:color w:val="auto"/>
              </w:rPr>
            </w:pPr>
            <w:r>
              <w:rPr>
                <w:rFonts w:ascii="Arial" w:cs="Arial" w:eastAsia="Arial" w:hAnsi="Arial"/>
                <w:sz w:val="22"/>
                <w:szCs w:val="22"/>
                <w:color w:val="auto"/>
                <w:w w:val="90"/>
              </w:rPr>
              <w:t>(Title of the indenture securities)</w:t>
            </w:r>
          </w:p>
        </w:tc>
        <w:tc>
          <w:tcPr>
            <w:tcW w:w="1820" w:type="dxa"/>
            <w:vAlign w:val="bottom"/>
          </w:tcPr>
          <w:p>
            <w:pPr>
              <w:spacing w:after="0"/>
              <w:rPr>
                <w:sz w:val="23"/>
                <w:szCs w:val="23"/>
                <w:color w:val="auto"/>
              </w:rPr>
            </w:pPr>
          </w:p>
        </w:tc>
      </w:tr>
    </w:tbl>
    <w:p>
      <w:pPr>
        <w:sectPr>
          <w:pgSz w:w="11900" w:h="16838" w:orient="portrait"/>
          <w:cols w:equalWidth="0" w:num="1">
            <w:col w:w="10220"/>
          </w:cols>
          <w:pgMar w:left="1440" w:top="585" w:right="23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auto"/>
        </w:rPr>
        <w:t>1. General Information. Furnish the following information as to the Trustee: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 Name and address of each examining or supervising authority to which it is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85" w:right="339" w:bottom="1440" w:gutter="0" w:footer="0" w:header="0"/>
        </w:sect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5591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8" w:lineRule="exact"/>
        <w:rPr>
          <w:sz w:val="20"/>
          <w:szCs w:val="20"/>
          <w:color w:val="auto"/>
        </w:rPr>
      </w:pPr>
    </w:p>
    <w:p>
      <w:pPr>
        <w:ind w:left="300" w:right="960" w:hanging="269"/>
        <w:spacing w:after="0" w:line="276" w:lineRule="auto"/>
        <w:rPr>
          <w:sz w:val="20"/>
          <w:szCs w:val="20"/>
          <w:color w:val="auto"/>
        </w:rPr>
      </w:pPr>
      <w:r>
        <w:rPr>
          <w:rFonts w:ascii="Arial" w:cs="Arial" w:eastAsia="Arial" w:hAnsi="Arial"/>
          <w:sz w:val="19"/>
          <w:szCs w:val="19"/>
          <w:color w:val="auto"/>
        </w:rPr>
        <w:t>Superintendent of the Department of Financial Services of the State of New York</w:t>
      </w:r>
    </w:p>
    <w:p>
      <w:pPr>
        <w:spacing w:after="0" w:line="2" w:lineRule="exact"/>
        <w:rPr>
          <w:sz w:val="20"/>
          <w:szCs w:val="20"/>
          <w:color w:val="auto"/>
        </w:rPr>
      </w:pPr>
    </w:p>
    <w:p>
      <w:pPr>
        <w:ind w:left="40" w:right="1540"/>
        <w:spacing w:after="0" w:line="287" w:lineRule="auto"/>
        <w:rPr>
          <w:sz w:val="20"/>
          <w:szCs w:val="20"/>
          <w:color w:val="auto"/>
        </w:rPr>
      </w:pPr>
      <w:r>
        <w:rPr>
          <w:rFonts w:ascii="Arial" w:cs="Arial" w:eastAsia="Arial" w:hAnsi="Arial"/>
          <w:sz w:val="19"/>
          <w:szCs w:val="19"/>
          <w:color w:val="auto"/>
        </w:rPr>
        <w:t>Federal Reserve Bank of New York Federal Deposit Insurance Corporation The Clearing House Association L.L.C.</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24765</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8" w:lineRule="exact"/>
        <w:rPr>
          <w:sz w:val="20"/>
          <w:szCs w:val="20"/>
          <w:color w:val="auto"/>
        </w:rPr>
      </w:pPr>
    </w:p>
    <w:p>
      <w:pPr>
        <w:ind w:left="280" w:right="1520" w:hanging="269"/>
        <w:spacing w:after="0" w:line="239" w:lineRule="auto"/>
        <w:rPr>
          <w:sz w:val="20"/>
          <w:szCs w:val="20"/>
          <w:color w:val="auto"/>
        </w:rPr>
      </w:pPr>
      <w:r>
        <w:rPr>
          <w:rFonts w:ascii="Arial" w:cs="Arial" w:eastAsia="Arial" w:hAnsi="Arial"/>
          <w:sz w:val="22"/>
          <w:szCs w:val="22"/>
          <w:color w:val="auto"/>
        </w:rPr>
        <w:t>One State Street, New York, N.Y. 10004-1417, and Albany, N.Y. 12223</w:t>
      </w:r>
    </w:p>
    <w:p>
      <w:pPr>
        <w:spacing w:after="0" w:line="230" w:lineRule="auto"/>
        <w:rPr>
          <w:sz w:val="20"/>
          <w:szCs w:val="20"/>
          <w:color w:val="auto"/>
        </w:rPr>
      </w:pPr>
      <w:r>
        <w:rPr>
          <w:rFonts w:ascii="Arial" w:cs="Arial" w:eastAsia="Arial" w:hAnsi="Arial"/>
          <w:sz w:val="22"/>
          <w:szCs w:val="22"/>
          <w:color w:val="auto"/>
        </w:rPr>
        <w:t>33 Liberty Street, New York, N.Y. 10045</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550 17th Street, NW, Washington, D.C. 20429</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100 Broad Street, New York, N.Y. 10004</w:t>
      </w:r>
    </w:p>
    <w:p>
      <w:pPr>
        <w:spacing w:after="0" w:line="244" w:lineRule="exact"/>
        <w:rPr>
          <w:sz w:val="20"/>
          <w:szCs w:val="20"/>
          <w:color w:val="auto"/>
        </w:rPr>
      </w:pPr>
    </w:p>
    <w:p>
      <w:pPr>
        <w:sectPr>
          <w:pgSz w:w="11900" w:h="16838" w:orient="portrait"/>
          <w:cols w:equalWidth="0" w:num="2">
            <w:col w:w="5020" w:space="720"/>
            <w:col w:w="5580"/>
          </w:cols>
          <w:pgMar w:left="240" w:top="585"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Whether it is authorized to exercise corporate trust powers.</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Yes.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Affiliations with Obligor.</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If the obligor is an affiliate of the trustee, describe each such affiliation.</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List of Exhibits.</w:t>
      </w:r>
    </w:p>
    <w:p>
      <w:pPr>
        <w:spacing w:after="0" w:line="220" w:lineRule="exact"/>
        <w:rPr>
          <w:sz w:val="20"/>
          <w:szCs w:val="20"/>
          <w:color w:val="auto"/>
        </w:rPr>
      </w:pPr>
    </w:p>
    <w:p>
      <w:pPr>
        <w:ind w:right="260"/>
        <w:spacing w:after="0" w:line="350" w:lineRule="auto"/>
        <w:rPr>
          <w:sz w:val="20"/>
          <w:szCs w:val="20"/>
          <w:color w:val="auto"/>
        </w:rPr>
      </w:pPr>
      <w:r>
        <w:rPr>
          <w:rFonts w:ascii="Arial" w:cs="Arial" w:eastAsia="Arial" w:hAnsi="Arial"/>
          <w:sz w:val="19"/>
          <w:szCs w:val="19"/>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31" w:lineRule="exact"/>
        <w:rPr>
          <w:sz w:val="20"/>
          <w:szCs w:val="20"/>
          <w:color w:val="auto"/>
        </w:rPr>
      </w:pPr>
    </w:p>
    <w:p>
      <w:pPr>
        <w:ind w:left="380" w:hanging="345"/>
        <w:spacing w:after="0" w:line="248" w:lineRule="auto"/>
        <w:tabs>
          <w:tab w:leader="none" w:pos="380" w:val="left"/>
        </w:tabs>
        <w:numPr>
          <w:ilvl w:val="0"/>
          <w:numId w:val="40"/>
        </w:numPr>
        <w:rPr>
          <w:rFonts w:ascii="Arial" w:cs="Arial" w:eastAsia="Arial" w:hAnsi="Arial"/>
          <w:sz w:val="21"/>
          <w:szCs w:val="21"/>
          <w:color w:val="auto"/>
        </w:rPr>
      </w:pPr>
      <w:r>
        <w:rPr>
          <w:rFonts w:ascii="Arial" w:cs="Arial" w:eastAsia="Arial" w:hAnsi="Arial"/>
          <w:sz w:val="21"/>
          <w:szCs w:val="21"/>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15"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A copy of the existing By-laws of the Trustee. (Exhibit 4 to Form T-1 with Registration Statement No. 333-207042).</w:t>
      </w:r>
    </w:p>
    <w:p>
      <w:pPr>
        <w:spacing w:after="0" w:line="44" w:lineRule="exact"/>
        <w:rPr>
          <w:sz w:val="20"/>
          <w:szCs w:val="20"/>
          <w:color w:val="auto"/>
        </w:rPr>
      </w:pPr>
    </w:p>
    <w:p>
      <w:pPr>
        <w:ind w:left="380" w:right="40" w:hanging="345"/>
        <w:spacing w:after="0" w:line="251" w:lineRule="auto"/>
        <w:tabs>
          <w:tab w:leader="none" w:pos="3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consent of the Trustee required by Section 321(b) of the Act (Exhibit 6 to Form T-1 filed with Registration Statement No. 333-188382).</w:t>
      </w:r>
    </w:p>
    <w:p>
      <w:pPr>
        <w:spacing w:after="0" w:line="11" w:lineRule="exact"/>
        <w:rPr>
          <w:rFonts w:ascii="Arial" w:cs="Arial" w:eastAsia="Arial" w:hAnsi="Arial"/>
          <w:sz w:val="22"/>
          <w:szCs w:val="22"/>
          <w:color w:val="auto"/>
        </w:rPr>
      </w:pPr>
    </w:p>
    <w:p>
      <w:pPr>
        <w:ind w:left="380" w:right="300" w:hanging="345"/>
        <w:spacing w:after="0" w:line="251" w:lineRule="auto"/>
        <w:tabs>
          <w:tab w:leader="none" w:pos="3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copy of the latest report of condition of the Trustee published pursuant to law or to the requirements of its supervising or examining authority.</w:t>
      </w:r>
    </w:p>
    <w:p>
      <w:pPr>
        <w:sectPr>
          <w:pgSz w:w="11900" w:h="16838" w:orient="portrait"/>
          <w:cols w:equalWidth="0" w:num="1">
            <w:col w:w="11320"/>
          </w:cols>
          <w:pgMar w:left="240" w:top="585" w:right="3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22"/>
          <w:szCs w:val="22"/>
          <w:b w:val="1"/>
          <w:bCs w:val="1"/>
          <w:color w:val="auto"/>
        </w:rPr>
        <w:t>SIGNATURE</w:t>
      </w:r>
    </w:p>
    <w:p>
      <w:pPr>
        <w:spacing w:after="0" w:line="22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Woodland Park, and State of New Jersey, on the 23rd day of January, 2017.</w:t>
      </w:r>
    </w:p>
    <w:p>
      <w:pPr>
        <w:spacing w:after="0" w:line="200" w:lineRule="exact"/>
        <w:rPr>
          <w:sz w:val="20"/>
          <w:szCs w:val="20"/>
          <w:color w:val="auto"/>
        </w:rPr>
      </w:pPr>
    </w:p>
    <w:p>
      <w:pPr>
        <w:spacing w:after="0" w:line="347" w:lineRule="exact"/>
        <w:rPr>
          <w:sz w:val="20"/>
          <w:szCs w:val="20"/>
          <w:color w:val="auto"/>
        </w:rPr>
      </w:pPr>
    </w:p>
    <w:p>
      <w:pPr>
        <w:ind w:left="6500"/>
        <w:spacing w:after="0"/>
        <w:rPr>
          <w:sz w:val="20"/>
          <w:szCs w:val="20"/>
          <w:color w:val="auto"/>
        </w:rPr>
      </w:pPr>
      <w:r>
        <w:rPr>
          <w:rFonts w:ascii="Arial" w:cs="Arial" w:eastAsia="Arial" w:hAnsi="Arial"/>
          <w:sz w:val="22"/>
          <w:szCs w:val="22"/>
          <w:b w:val="1"/>
          <w:bCs w:val="1"/>
          <w:color w:val="auto"/>
        </w:rPr>
        <w:t>THE BANK OF NEW YORK MELLON</w:t>
      </w:r>
    </w:p>
    <w:p>
      <w:pPr>
        <w:spacing w:after="0" w:line="50" w:lineRule="exact"/>
        <w:rPr>
          <w:sz w:val="20"/>
          <w:szCs w:val="20"/>
          <w:color w:val="auto"/>
        </w:rPr>
      </w:pPr>
    </w:p>
    <w:p>
      <w:pPr>
        <w:ind w:left="6500"/>
        <w:spacing w:after="0"/>
        <w:tabs>
          <w:tab w:leader="none" w:pos="7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Laurence J. O’Brien</w:t>
      </w:r>
    </w:p>
    <w:p>
      <w:pPr>
        <w:spacing w:after="0" w:line="44"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Name: Laurence J. O’Brien</w:t>
      </w:r>
    </w:p>
    <w:p>
      <w:pPr>
        <w:spacing w:after="0" w:line="44"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1420"/>
          </w:cols>
          <w:pgMar w:left="240" w:top="58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color w:val="auto"/>
        </w:rPr>
        <w:t>EXHIBIT 7</w:t>
      </w:r>
    </w:p>
    <w:p>
      <w:pPr>
        <w:spacing w:after="0" w:line="260" w:lineRule="exact"/>
        <w:rPr>
          <w:sz w:val="20"/>
          <w:szCs w:val="20"/>
          <w:color w:val="auto"/>
        </w:rPr>
      </w:pPr>
    </w:p>
    <w:p>
      <w:pPr>
        <w:ind w:left="1120"/>
        <w:spacing w:after="0"/>
        <w:rPr>
          <w:sz w:val="20"/>
          <w:szCs w:val="20"/>
          <w:color w:val="auto"/>
        </w:rPr>
      </w:pPr>
      <w:r>
        <w:rPr>
          <w:rFonts w:ascii="Arial" w:cs="Arial" w:eastAsia="Arial" w:hAnsi="Arial"/>
          <w:sz w:val="21"/>
          <w:szCs w:val="21"/>
          <w:color w:val="auto"/>
        </w:rPr>
        <w:t>_____________________________________________________________________________________</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Report of Condition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BANK OF NEW YORK MELLON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 225 Liberty Street, New York, N.Y. 10286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 Foreign and Domestic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 member of the Federal Reserve System, at the close of business September 30, 2016, published in accordance with a call made by</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360" w:type="dxa"/>
            <w:vAlign w:val="bottom"/>
          </w:tcPr>
          <w:p>
            <w:pPr>
              <w:spacing w:after="0"/>
              <w:rPr>
                <w:sz w:val="20"/>
                <w:szCs w:val="20"/>
                <w:color w:val="auto"/>
              </w:rPr>
            </w:pPr>
            <w:r>
              <w:rPr>
                <w:rFonts w:ascii="Arial" w:cs="Arial" w:eastAsia="Arial" w:hAnsi="Arial"/>
                <w:sz w:val="22"/>
                <w:szCs w:val="22"/>
                <w:color w:val="auto"/>
              </w:rPr>
              <w:t>the Federal Reserve Bank of this District pursuant to the provisions of the Federal Reserve Act.</w:t>
            </w:r>
          </w:p>
        </w:tc>
        <w:tc>
          <w:tcPr>
            <w:tcW w:w="3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6"/>
        </w:trPr>
        <w:tc>
          <w:tcPr>
            <w:tcW w:w="9360" w:type="dxa"/>
            <w:vAlign w:val="bottom"/>
            <w:vMerge w:val="restart"/>
          </w:tcPr>
          <w:p>
            <w:pPr>
              <w:ind w:left="40"/>
              <w:spacing w:after="0"/>
              <w:rPr>
                <w:sz w:val="20"/>
                <w:szCs w:val="20"/>
                <w:color w:val="auto"/>
              </w:rPr>
            </w:pPr>
            <w:r>
              <w:rPr>
                <w:rFonts w:ascii="Arial" w:cs="Arial" w:eastAsia="Arial" w:hAnsi="Arial"/>
                <w:sz w:val="22"/>
                <w:szCs w:val="22"/>
                <w:b w:val="1"/>
                <w:bCs w:val="1"/>
                <w:color w:val="auto"/>
              </w:rPr>
              <w:t>ASSETS</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Dollar amounts</w:t>
            </w:r>
          </w:p>
        </w:tc>
        <w:tc>
          <w:tcPr>
            <w:tcW w:w="0" w:type="dxa"/>
            <w:vAlign w:val="bottom"/>
          </w:tcPr>
          <w:p>
            <w:pPr>
              <w:spacing w:after="0"/>
              <w:rPr>
                <w:sz w:val="1"/>
                <w:szCs w:val="1"/>
                <w:color w:val="auto"/>
              </w:rPr>
            </w:pPr>
          </w:p>
        </w:tc>
      </w:tr>
      <w:tr>
        <w:trPr>
          <w:trHeight w:val="275"/>
        </w:trPr>
        <w:tc>
          <w:tcPr>
            <w:tcW w:w="936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in thousands</w:t>
            </w:r>
          </w:p>
        </w:tc>
        <w:tc>
          <w:tcPr>
            <w:tcW w:w="0" w:type="dxa"/>
            <w:vAlign w:val="bottom"/>
          </w:tcPr>
          <w:p>
            <w:pPr>
              <w:spacing w:after="0"/>
              <w:rPr>
                <w:sz w:val="1"/>
                <w:szCs w:val="1"/>
                <w:color w:val="auto"/>
              </w:rPr>
            </w:pPr>
          </w:p>
        </w:tc>
      </w:tr>
      <w:tr>
        <w:trPr>
          <w:trHeight w:val="297"/>
        </w:trPr>
        <w:tc>
          <w:tcPr>
            <w:tcW w:w="9360" w:type="dxa"/>
            <w:vAlign w:val="bottom"/>
          </w:tcPr>
          <w:p>
            <w:pPr>
              <w:ind w:left="40"/>
              <w:spacing w:after="0"/>
              <w:rPr>
                <w:sz w:val="20"/>
                <w:szCs w:val="20"/>
                <w:color w:val="auto"/>
              </w:rPr>
            </w:pPr>
            <w:r>
              <w:rPr>
                <w:rFonts w:ascii="Arial" w:cs="Arial" w:eastAsia="Arial" w:hAnsi="Arial"/>
                <w:sz w:val="22"/>
                <w:szCs w:val="22"/>
                <w:color w:val="auto"/>
              </w:rPr>
              <w:t>Cash and balances due from depository institutions:</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60" w:type="dxa"/>
            <w:vAlign w:val="bottom"/>
          </w:tcPr>
          <w:p>
            <w:pPr>
              <w:ind w:left="280"/>
              <w:spacing w:after="0" w:line="253" w:lineRule="exact"/>
              <w:rPr>
                <w:sz w:val="20"/>
                <w:szCs w:val="20"/>
                <w:color w:val="auto"/>
              </w:rPr>
            </w:pPr>
            <w:r>
              <w:rPr>
                <w:rFonts w:ascii="Arial" w:cs="Arial" w:eastAsia="Arial" w:hAnsi="Arial"/>
                <w:sz w:val="22"/>
                <w:szCs w:val="22"/>
                <w:color w:val="auto"/>
              </w:rPr>
              <w:t>Noninterest</w:t>
            </w:r>
            <w:r>
              <w:rPr>
                <w:rFonts w:ascii="MS PGothic" w:cs="MS PGothic" w:eastAsia="MS PGothic" w:hAnsi="MS PGothic"/>
                <w:sz w:val="22"/>
                <w:szCs w:val="22"/>
                <w:color w:val="auto"/>
              </w:rPr>
              <w:t>‑</w:t>
            </w:r>
            <w:r>
              <w:rPr>
                <w:rFonts w:ascii="Arial" w:cs="Arial" w:eastAsia="Arial" w:hAnsi="Arial"/>
                <w:sz w:val="22"/>
                <w:szCs w:val="22"/>
                <w:color w:val="auto"/>
              </w:rPr>
              <w:t>bearing balances and currency and coin</w:t>
            </w: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680" w:type="dxa"/>
            <w:vAlign w:val="bottom"/>
          </w:tcPr>
          <w:p>
            <w:pPr>
              <w:jc w:val="right"/>
              <w:spacing w:after="0"/>
              <w:rPr>
                <w:sz w:val="20"/>
                <w:szCs w:val="20"/>
                <w:color w:val="auto"/>
              </w:rPr>
            </w:pPr>
            <w:r>
              <w:rPr>
                <w:rFonts w:ascii="Arial" w:cs="Arial" w:eastAsia="Arial" w:hAnsi="Arial"/>
                <w:sz w:val="22"/>
                <w:szCs w:val="22"/>
                <w:color w:val="auto"/>
              </w:rPr>
              <w:t>4,490,000</w:t>
            </w:r>
          </w:p>
        </w:tc>
        <w:tc>
          <w:tcPr>
            <w:tcW w:w="0" w:type="dxa"/>
            <w:vAlign w:val="bottom"/>
          </w:tcPr>
          <w:p>
            <w:pPr>
              <w:spacing w:after="0"/>
              <w:rPr>
                <w:sz w:val="1"/>
                <w:szCs w:val="1"/>
                <w:color w:val="auto"/>
              </w:rPr>
            </w:pPr>
          </w:p>
        </w:tc>
      </w:tr>
      <w:tr>
        <w:trPr>
          <w:trHeight w:val="297"/>
        </w:trPr>
        <w:tc>
          <w:tcPr>
            <w:tcW w:w="9360" w:type="dxa"/>
            <w:vAlign w:val="bottom"/>
          </w:tcPr>
          <w:p>
            <w:pPr>
              <w:ind w:left="280"/>
              <w:spacing w:after="0" w:line="253" w:lineRule="exact"/>
              <w:rPr>
                <w:sz w:val="20"/>
                <w:szCs w:val="20"/>
                <w:color w:val="auto"/>
              </w:rPr>
            </w:pPr>
            <w:r>
              <w:rPr>
                <w:rFonts w:ascii="Arial" w:cs="Arial" w:eastAsia="Arial" w:hAnsi="Arial"/>
                <w:sz w:val="22"/>
                <w:szCs w:val="22"/>
                <w:color w:val="auto"/>
              </w:rPr>
              <w:t>Interest</w:t>
            </w:r>
            <w:r>
              <w:rPr>
                <w:rFonts w:ascii="MS PGothic" w:cs="MS PGothic" w:eastAsia="MS PGothic" w:hAnsi="MS PGothic"/>
                <w:sz w:val="22"/>
                <w:szCs w:val="22"/>
                <w:color w:val="auto"/>
              </w:rPr>
              <w:t>‑</w:t>
            </w:r>
            <w:r>
              <w:rPr>
                <w:rFonts w:ascii="Arial" w:cs="Arial" w:eastAsia="Arial" w:hAnsi="Arial"/>
                <w:sz w:val="22"/>
                <w:szCs w:val="22"/>
                <w:color w:val="auto"/>
              </w:rPr>
              <w:t>bearing balances</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91,626,000</w:t>
            </w:r>
          </w:p>
        </w:tc>
        <w:tc>
          <w:tcPr>
            <w:tcW w:w="0" w:type="dxa"/>
            <w:vAlign w:val="bottom"/>
          </w:tcPr>
          <w:p>
            <w:pPr>
              <w:spacing w:after="0"/>
              <w:rPr>
                <w:sz w:val="1"/>
                <w:szCs w:val="1"/>
                <w:color w:val="auto"/>
              </w:rPr>
            </w:pPr>
          </w:p>
        </w:tc>
      </w:tr>
      <w:tr>
        <w:trPr>
          <w:trHeight w:val="297"/>
        </w:trPr>
        <w:tc>
          <w:tcPr>
            <w:tcW w:w="9360" w:type="dxa"/>
            <w:vAlign w:val="bottom"/>
          </w:tcPr>
          <w:p>
            <w:pPr>
              <w:ind w:left="40"/>
              <w:spacing w:after="0"/>
              <w:rPr>
                <w:sz w:val="20"/>
                <w:szCs w:val="20"/>
                <w:color w:val="auto"/>
              </w:rPr>
            </w:pPr>
            <w:r>
              <w:rPr>
                <w:rFonts w:ascii="Arial" w:cs="Arial" w:eastAsia="Arial" w:hAnsi="Arial"/>
                <w:sz w:val="22"/>
                <w:szCs w:val="22"/>
                <w:color w:val="auto"/>
              </w:rPr>
              <w:t>Securities:</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60" w:type="dxa"/>
            <w:vAlign w:val="bottom"/>
          </w:tcPr>
          <w:p>
            <w:pPr>
              <w:ind w:left="280"/>
              <w:spacing w:after="0"/>
              <w:rPr>
                <w:sz w:val="20"/>
                <w:szCs w:val="20"/>
                <w:color w:val="auto"/>
              </w:rPr>
            </w:pPr>
            <w:r>
              <w:rPr>
                <w:rFonts w:ascii="Arial" w:cs="Arial" w:eastAsia="Arial" w:hAnsi="Arial"/>
                <w:sz w:val="22"/>
                <w:szCs w:val="22"/>
                <w:color w:val="auto"/>
              </w:rPr>
              <w:t>Held-to-maturity securities</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39,831,000</w:t>
            </w:r>
          </w:p>
        </w:tc>
        <w:tc>
          <w:tcPr>
            <w:tcW w:w="0" w:type="dxa"/>
            <w:vAlign w:val="bottom"/>
          </w:tcPr>
          <w:p>
            <w:pPr>
              <w:spacing w:after="0"/>
              <w:rPr>
                <w:sz w:val="1"/>
                <w:szCs w:val="1"/>
                <w:color w:val="auto"/>
              </w:rPr>
            </w:pPr>
          </w:p>
        </w:tc>
      </w:tr>
      <w:tr>
        <w:trPr>
          <w:trHeight w:val="297"/>
        </w:trPr>
        <w:tc>
          <w:tcPr>
            <w:tcW w:w="9360" w:type="dxa"/>
            <w:vAlign w:val="bottom"/>
          </w:tcPr>
          <w:p>
            <w:pPr>
              <w:ind w:left="280"/>
              <w:spacing w:after="0"/>
              <w:rPr>
                <w:sz w:val="20"/>
                <w:szCs w:val="20"/>
                <w:color w:val="auto"/>
              </w:rPr>
            </w:pPr>
            <w:r>
              <w:rPr>
                <w:rFonts w:ascii="Arial" w:cs="Arial" w:eastAsia="Arial" w:hAnsi="Arial"/>
                <w:sz w:val="22"/>
                <w:szCs w:val="22"/>
                <w:color w:val="auto"/>
              </w:rPr>
              <w:t>Available-for-sale securities</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73,667,000</w:t>
            </w:r>
          </w:p>
        </w:tc>
        <w:tc>
          <w:tcPr>
            <w:tcW w:w="0" w:type="dxa"/>
            <w:vAlign w:val="bottom"/>
          </w:tcPr>
          <w:p>
            <w:pPr>
              <w:spacing w:after="0"/>
              <w:rPr>
                <w:sz w:val="1"/>
                <w:szCs w:val="1"/>
                <w:color w:val="auto"/>
              </w:rPr>
            </w:pPr>
          </w:p>
        </w:tc>
      </w:tr>
      <w:tr>
        <w:trPr>
          <w:trHeight w:val="297"/>
        </w:trPr>
        <w:tc>
          <w:tcPr>
            <w:tcW w:w="9360" w:type="dxa"/>
            <w:vAlign w:val="bottom"/>
          </w:tcPr>
          <w:p>
            <w:pPr>
              <w:ind w:left="40"/>
              <w:spacing w:after="0"/>
              <w:rPr>
                <w:sz w:val="20"/>
                <w:szCs w:val="20"/>
                <w:color w:val="auto"/>
              </w:rPr>
            </w:pPr>
            <w:r>
              <w:rPr>
                <w:rFonts w:ascii="Arial" w:cs="Arial" w:eastAsia="Arial" w:hAnsi="Arial"/>
                <w:sz w:val="22"/>
                <w:szCs w:val="22"/>
                <w:color w:val="auto"/>
              </w:rPr>
              <w:t>Federal funds sold and securities purchased under agreements to resell</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60" w:type="dxa"/>
            <w:vAlign w:val="bottom"/>
          </w:tcPr>
          <w:p>
            <w:pPr>
              <w:ind w:left="280"/>
              <w:spacing w:after="0"/>
              <w:rPr>
                <w:sz w:val="20"/>
                <w:szCs w:val="20"/>
                <w:color w:val="auto"/>
              </w:rPr>
            </w:pPr>
            <w:r>
              <w:rPr>
                <w:rFonts w:ascii="Arial" w:cs="Arial" w:eastAsia="Arial" w:hAnsi="Arial"/>
                <w:sz w:val="22"/>
                <w:szCs w:val="22"/>
                <w:color w:val="auto"/>
              </w:rPr>
              <w:t>Federal funds sold in domestic offices</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97"/>
        </w:trPr>
        <w:tc>
          <w:tcPr>
            <w:tcW w:w="9360" w:type="dxa"/>
            <w:vAlign w:val="bottom"/>
          </w:tcPr>
          <w:p>
            <w:pPr>
              <w:ind w:left="280"/>
              <w:spacing w:after="0"/>
              <w:rPr>
                <w:sz w:val="20"/>
                <w:szCs w:val="20"/>
                <w:color w:val="auto"/>
              </w:rPr>
            </w:pPr>
            <w:r>
              <w:rPr>
                <w:rFonts w:ascii="Arial" w:cs="Arial" w:eastAsia="Arial" w:hAnsi="Arial"/>
                <w:sz w:val="22"/>
                <w:szCs w:val="22"/>
                <w:color w:val="auto"/>
              </w:rPr>
              <w:t>Securities purchased under agreements to resell</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22,289,000</w:t>
            </w:r>
          </w:p>
        </w:tc>
        <w:tc>
          <w:tcPr>
            <w:tcW w:w="0" w:type="dxa"/>
            <w:vAlign w:val="bottom"/>
          </w:tcPr>
          <w:p>
            <w:pPr>
              <w:spacing w:after="0"/>
              <w:rPr>
                <w:sz w:val="1"/>
                <w:szCs w:val="1"/>
                <w:color w:val="auto"/>
              </w:rPr>
            </w:pPr>
          </w:p>
        </w:tc>
      </w:tr>
      <w:tr>
        <w:trPr>
          <w:trHeight w:val="297"/>
        </w:trPr>
        <w:tc>
          <w:tcPr>
            <w:tcW w:w="9360" w:type="dxa"/>
            <w:vAlign w:val="bottom"/>
          </w:tcPr>
          <w:p>
            <w:pPr>
              <w:ind w:left="40"/>
              <w:spacing w:after="0"/>
              <w:rPr>
                <w:sz w:val="20"/>
                <w:szCs w:val="20"/>
                <w:color w:val="auto"/>
              </w:rPr>
            </w:pPr>
            <w:r>
              <w:rPr>
                <w:rFonts w:ascii="Arial" w:cs="Arial" w:eastAsia="Arial" w:hAnsi="Arial"/>
                <w:sz w:val="22"/>
                <w:szCs w:val="22"/>
                <w:color w:val="auto"/>
              </w:rPr>
              <w:t>Loans and lease financing receivables:</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60" w:type="dxa"/>
            <w:vAlign w:val="bottom"/>
          </w:tcPr>
          <w:p>
            <w:pPr>
              <w:ind w:left="280"/>
              <w:spacing w:after="0"/>
              <w:rPr>
                <w:sz w:val="20"/>
                <w:szCs w:val="20"/>
                <w:color w:val="auto"/>
              </w:rPr>
            </w:pPr>
            <w:r>
              <w:rPr>
                <w:rFonts w:ascii="Arial" w:cs="Arial" w:eastAsia="Arial" w:hAnsi="Arial"/>
                <w:sz w:val="22"/>
                <w:szCs w:val="22"/>
                <w:color w:val="auto"/>
              </w:rPr>
              <w:t>Loans and leases held for sale</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29,000</w:t>
            </w:r>
          </w:p>
        </w:tc>
        <w:tc>
          <w:tcPr>
            <w:tcW w:w="0" w:type="dxa"/>
            <w:vAlign w:val="bottom"/>
          </w:tcPr>
          <w:p>
            <w:pPr>
              <w:spacing w:after="0"/>
              <w:rPr>
                <w:sz w:val="1"/>
                <w:szCs w:val="1"/>
                <w:color w:val="auto"/>
              </w:rPr>
            </w:pPr>
          </w:p>
        </w:tc>
      </w:tr>
      <w:tr>
        <w:trPr>
          <w:trHeight w:val="297"/>
        </w:trPr>
        <w:tc>
          <w:tcPr>
            <w:tcW w:w="9360" w:type="dxa"/>
            <w:vAlign w:val="bottom"/>
          </w:tcPr>
          <w:p>
            <w:pPr>
              <w:ind w:left="280"/>
              <w:spacing w:after="0"/>
              <w:rPr>
                <w:sz w:val="20"/>
                <w:szCs w:val="20"/>
                <w:color w:val="auto"/>
              </w:rPr>
            </w:pPr>
            <w:r>
              <w:rPr>
                <w:rFonts w:ascii="Arial" w:cs="Arial" w:eastAsia="Arial" w:hAnsi="Arial"/>
                <w:sz w:val="22"/>
                <w:szCs w:val="22"/>
                <w:color w:val="auto"/>
              </w:rPr>
              <w:t>Loans and leases, net of unearned income</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36,883,000</w:t>
            </w:r>
          </w:p>
        </w:tc>
        <w:tc>
          <w:tcPr>
            <w:tcW w:w="0" w:type="dxa"/>
            <w:vAlign w:val="bottom"/>
          </w:tcPr>
          <w:p>
            <w:pPr>
              <w:spacing w:after="0"/>
              <w:rPr>
                <w:sz w:val="1"/>
                <w:szCs w:val="1"/>
                <w:color w:val="auto"/>
              </w:rPr>
            </w:pPr>
          </w:p>
        </w:tc>
      </w:tr>
      <w:tr>
        <w:trPr>
          <w:trHeight w:val="297"/>
        </w:trPr>
        <w:tc>
          <w:tcPr>
            <w:tcW w:w="9360" w:type="dxa"/>
            <w:vAlign w:val="bottom"/>
          </w:tcPr>
          <w:p>
            <w:pPr>
              <w:ind w:left="280"/>
              <w:spacing w:after="0"/>
              <w:rPr>
                <w:sz w:val="20"/>
                <w:szCs w:val="20"/>
                <w:color w:val="auto"/>
              </w:rPr>
            </w:pPr>
            <w:r>
              <w:rPr>
                <w:rFonts w:ascii="Arial" w:cs="Arial" w:eastAsia="Arial" w:hAnsi="Arial"/>
                <w:sz w:val="22"/>
                <w:szCs w:val="22"/>
                <w:color w:val="auto"/>
              </w:rPr>
              <w:t>LESS: Allowance for loan and lease losses</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127,000</w:t>
            </w:r>
          </w:p>
        </w:tc>
        <w:tc>
          <w:tcPr>
            <w:tcW w:w="0" w:type="dxa"/>
            <w:vAlign w:val="bottom"/>
          </w:tcPr>
          <w:p>
            <w:pPr>
              <w:spacing w:after="0"/>
              <w:rPr>
                <w:sz w:val="1"/>
                <w:szCs w:val="1"/>
                <w:color w:val="auto"/>
              </w:rPr>
            </w:pPr>
          </w:p>
        </w:tc>
      </w:tr>
      <w:tr>
        <w:trPr>
          <w:trHeight w:val="297"/>
        </w:trPr>
        <w:tc>
          <w:tcPr>
            <w:tcW w:w="9360" w:type="dxa"/>
            <w:vAlign w:val="bottom"/>
          </w:tcPr>
          <w:p>
            <w:pPr>
              <w:ind w:left="280"/>
              <w:spacing w:after="0"/>
              <w:rPr>
                <w:sz w:val="20"/>
                <w:szCs w:val="20"/>
                <w:color w:val="auto"/>
              </w:rPr>
            </w:pPr>
            <w:r>
              <w:rPr>
                <w:rFonts w:ascii="Arial" w:cs="Arial" w:eastAsia="Arial" w:hAnsi="Arial"/>
                <w:sz w:val="22"/>
                <w:szCs w:val="22"/>
                <w:color w:val="auto"/>
              </w:rPr>
              <w:t>Loans and leases, net of unearned income and allowance</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36,756,000</w:t>
            </w:r>
          </w:p>
        </w:tc>
        <w:tc>
          <w:tcPr>
            <w:tcW w:w="0" w:type="dxa"/>
            <w:vAlign w:val="bottom"/>
          </w:tcPr>
          <w:p>
            <w:pPr>
              <w:spacing w:after="0"/>
              <w:rPr>
                <w:sz w:val="1"/>
                <w:szCs w:val="1"/>
                <w:color w:val="auto"/>
              </w:rPr>
            </w:pPr>
          </w:p>
        </w:tc>
      </w:tr>
      <w:tr>
        <w:trPr>
          <w:trHeight w:val="297"/>
        </w:trPr>
        <w:tc>
          <w:tcPr>
            <w:tcW w:w="9360" w:type="dxa"/>
            <w:vAlign w:val="bottom"/>
          </w:tcPr>
          <w:p>
            <w:pPr>
              <w:ind w:left="40"/>
              <w:spacing w:after="0"/>
              <w:rPr>
                <w:sz w:val="20"/>
                <w:szCs w:val="20"/>
                <w:color w:val="auto"/>
              </w:rPr>
            </w:pPr>
            <w:r>
              <w:rPr>
                <w:rFonts w:ascii="Arial" w:cs="Arial" w:eastAsia="Arial" w:hAnsi="Arial"/>
                <w:sz w:val="22"/>
                <w:szCs w:val="22"/>
                <w:color w:val="auto"/>
              </w:rPr>
              <w:t>Trading assets</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3,023,000</w:t>
            </w:r>
          </w:p>
        </w:tc>
        <w:tc>
          <w:tcPr>
            <w:tcW w:w="0" w:type="dxa"/>
            <w:vAlign w:val="bottom"/>
          </w:tcPr>
          <w:p>
            <w:pPr>
              <w:spacing w:after="0"/>
              <w:rPr>
                <w:sz w:val="1"/>
                <w:szCs w:val="1"/>
                <w:color w:val="auto"/>
              </w:rPr>
            </w:pPr>
          </w:p>
        </w:tc>
      </w:tr>
      <w:tr>
        <w:trPr>
          <w:trHeight w:val="297"/>
        </w:trPr>
        <w:tc>
          <w:tcPr>
            <w:tcW w:w="9360" w:type="dxa"/>
            <w:vAlign w:val="bottom"/>
          </w:tcPr>
          <w:p>
            <w:pPr>
              <w:ind w:left="40"/>
              <w:spacing w:after="0"/>
              <w:rPr>
                <w:sz w:val="20"/>
                <w:szCs w:val="20"/>
                <w:color w:val="auto"/>
              </w:rPr>
            </w:pPr>
            <w:r>
              <w:rPr>
                <w:rFonts w:ascii="Arial" w:cs="Arial" w:eastAsia="Arial" w:hAnsi="Arial"/>
                <w:sz w:val="22"/>
                <w:szCs w:val="22"/>
                <w:color w:val="auto"/>
              </w:rPr>
              <w:t>Premises and fixed assets (including capitalized leases)</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1,050,000</w:t>
            </w:r>
          </w:p>
        </w:tc>
        <w:tc>
          <w:tcPr>
            <w:tcW w:w="0" w:type="dxa"/>
            <w:vAlign w:val="bottom"/>
          </w:tcPr>
          <w:p>
            <w:pPr>
              <w:spacing w:after="0"/>
              <w:rPr>
                <w:sz w:val="1"/>
                <w:szCs w:val="1"/>
                <w:color w:val="auto"/>
              </w:rPr>
            </w:pPr>
          </w:p>
        </w:tc>
      </w:tr>
      <w:tr>
        <w:trPr>
          <w:trHeight w:val="297"/>
        </w:trPr>
        <w:tc>
          <w:tcPr>
            <w:tcW w:w="9360" w:type="dxa"/>
            <w:vAlign w:val="bottom"/>
          </w:tcPr>
          <w:p>
            <w:pPr>
              <w:ind w:left="40"/>
              <w:spacing w:after="0"/>
              <w:rPr>
                <w:sz w:val="20"/>
                <w:szCs w:val="20"/>
                <w:color w:val="auto"/>
              </w:rPr>
            </w:pPr>
            <w:r>
              <w:rPr>
                <w:rFonts w:ascii="Arial" w:cs="Arial" w:eastAsia="Arial" w:hAnsi="Arial"/>
                <w:sz w:val="22"/>
                <w:szCs w:val="22"/>
                <w:color w:val="auto"/>
              </w:rPr>
              <w:t>Other real estate owned</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4,000</w:t>
            </w:r>
          </w:p>
        </w:tc>
        <w:tc>
          <w:tcPr>
            <w:tcW w:w="0" w:type="dxa"/>
            <w:vAlign w:val="bottom"/>
          </w:tcPr>
          <w:p>
            <w:pPr>
              <w:spacing w:after="0"/>
              <w:rPr>
                <w:sz w:val="1"/>
                <w:szCs w:val="1"/>
                <w:color w:val="auto"/>
              </w:rPr>
            </w:pPr>
          </w:p>
        </w:tc>
      </w:tr>
      <w:tr>
        <w:trPr>
          <w:trHeight w:val="297"/>
        </w:trPr>
        <w:tc>
          <w:tcPr>
            <w:tcW w:w="9360" w:type="dxa"/>
            <w:vAlign w:val="bottom"/>
          </w:tcPr>
          <w:p>
            <w:pPr>
              <w:ind w:left="40"/>
              <w:spacing w:after="0"/>
              <w:rPr>
                <w:sz w:val="20"/>
                <w:szCs w:val="20"/>
                <w:color w:val="auto"/>
              </w:rPr>
            </w:pPr>
            <w:r>
              <w:rPr>
                <w:rFonts w:ascii="Arial" w:cs="Arial" w:eastAsia="Arial" w:hAnsi="Arial"/>
                <w:sz w:val="22"/>
                <w:szCs w:val="22"/>
                <w:color w:val="auto"/>
              </w:rPr>
              <w:t>Investments in unconsolidated subsidiaries and associated companies</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535,000</w:t>
            </w:r>
          </w:p>
        </w:tc>
        <w:tc>
          <w:tcPr>
            <w:tcW w:w="0" w:type="dxa"/>
            <w:vAlign w:val="bottom"/>
          </w:tcPr>
          <w:p>
            <w:pPr>
              <w:spacing w:after="0"/>
              <w:rPr>
                <w:sz w:val="1"/>
                <w:szCs w:val="1"/>
                <w:color w:val="auto"/>
              </w:rPr>
            </w:pPr>
          </w:p>
        </w:tc>
      </w:tr>
      <w:tr>
        <w:trPr>
          <w:trHeight w:val="297"/>
        </w:trPr>
        <w:tc>
          <w:tcPr>
            <w:tcW w:w="9360" w:type="dxa"/>
            <w:vAlign w:val="bottom"/>
          </w:tcPr>
          <w:p>
            <w:pPr>
              <w:ind w:left="40"/>
              <w:spacing w:after="0"/>
              <w:rPr>
                <w:sz w:val="20"/>
                <w:szCs w:val="20"/>
                <w:color w:val="auto"/>
              </w:rPr>
            </w:pPr>
            <w:r>
              <w:rPr>
                <w:rFonts w:ascii="Arial" w:cs="Arial" w:eastAsia="Arial" w:hAnsi="Arial"/>
                <w:sz w:val="22"/>
                <w:szCs w:val="22"/>
                <w:color w:val="auto"/>
              </w:rPr>
              <w:t>Direct and indirect investments in real estate ventures</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97"/>
        </w:trPr>
        <w:tc>
          <w:tcPr>
            <w:tcW w:w="9360" w:type="dxa"/>
            <w:vAlign w:val="bottom"/>
          </w:tcPr>
          <w:p>
            <w:pPr>
              <w:ind w:left="40"/>
              <w:spacing w:after="0"/>
              <w:rPr>
                <w:sz w:val="20"/>
                <w:szCs w:val="20"/>
                <w:color w:val="auto"/>
              </w:rPr>
            </w:pPr>
            <w:r>
              <w:rPr>
                <w:rFonts w:ascii="Arial" w:cs="Arial" w:eastAsia="Arial" w:hAnsi="Arial"/>
                <w:sz w:val="22"/>
                <w:szCs w:val="22"/>
                <w:color w:val="auto"/>
              </w:rPr>
              <w:t>Intangible assets:</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60" w:type="dxa"/>
            <w:vAlign w:val="bottom"/>
          </w:tcPr>
          <w:p>
            <w:pPr>
              <w:ind w:left="280"/>
              <w:spacing w:after="0"/>
              <w:rPr>
                <w:sz w:val="20"/>
                <w:szCs w:val="20"/>
                <w:color w:val="auto"/>
              </w:rPr>
            </w:pPr>
            <w:r>
              <w:rPr>
                <w:rFonts w:ascii="Arial" w:cs="Arial" w:eastAsia="Arial" w:hAnsi="Arial"/>
                <w:sz w:val="22"/>
                <w:szCs w:val="22"/>
                <w:color w:val="auto"/>
              </w:rPr>
              <w:t>Goodwill</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6,299,000</w:t>
            </w:r>
          </w:p>
        </w:tc>
        <w:tc>
          <w:tcPr>
            <w:tcW w:w="0" w:type="dxa"/>
            <w:vAlign w:val="bottom"/>
          </w:tcPr>
          <w:p>
            <w:pPr>
              <w:spacing w:after="0"/>
              <w:rPr>
                <w:sz w:val="1"/>
                <w:szCs w:val="1"/>
                <w:color w:val="auto"/>
              </w:rPr>
            </w:pPr>
          </w:p>
        </w:tc>
      </w:tr>
      <w:tr>
        <w:trPr>
          <w:trHeight w:val="297"/>
        </w:trPr>
        <w:tc>
          <w:tcPr>
            <w:tcW w:w="9360" w:type="dxa"/>
            <w:vAlign w:val="bottom"/>
          </w:tcPr>
          <w:p>
            <w:pPr>
              <w:ind w:left="280"/>
              <w:spacing w:after="0"/>
              <w:rPr>
                <w:sz w:val="20"/>
                <w:szCs w:val="20"/>
                <w:color w:val="auto"/>
              </w:rPr>
            </w:pPr>
            <w:r>
              <w:rPr>
                <w:rFonts w:ascii="Arial" w:cs="Arial" w:eastAsia="Arial" w:hAnsi="Arial"/>
                <w:sz w:val="22"/>
                <w:szCs w:val="22"/>
                <w:color w:val="auto"/>
              </w:rPr>
              <w:t>Other intangible assets</w:t>
            </w: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957,000</w:t>
            </w:r>
          </w:p>
        </w:tc>
        <w:tc>
          <w:tcPr>
            <w:tcW w:w="0" w:type="dxa"/>
            <w:vAlign w:val="bottom"/>
          </w:tcPr>
          <w:p>
            <w:pPr>
              <w:spacing w:after="0"/>
              <w:rPr>
                <w:sz w:val="1"/>
                <w:szCs w:val="1"/>
                <w:color w:val="auto"/>
              </w:rPr>
            </w:pPr>
          </w:p>
        </w:tc>
      </w:tr>
      <w:tr>
        <w:trPr>
          <w:trHeight w:val="308"/>
        </w:trPr>
        <w:tc>
          <w:tcPr>
            <w:tcW w:w="9360" w:type="dxa"/>
            <w:vAlign w:val="bottom"/>
          </w:tcPr>
          <w:p>
            <w:pPr>
              <w:ind w:left="40"/>
              <w:spacing w:after="0"/>
              <w:rPr>
                <w:sz w:val="20"/>
                <w:szCs w:val="20"/>
                <w:color w:val="auto"/>
              </w:rPr>
            </w:pPr>
            <w:r>
              <w:rPr>
                <w:rFonts w:ascii="Arial" w:cs="Arial" w:eastAsia="Arial" w:hAnsi="Arial"/>
                <w:sz w:val="22"/>
                <w:szCs w:val="22"/>
                <w:color w:val="auto"/>
              </w:rPr>
              <w:t>Other assets</w:t>
            </w: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19,095,000</w:t>
            </w:r>
          </w:p>
        </w:tc>
        <w:tc>
          <w:tcPr>
            <w:tcW w:w="0" w:type="dxa"/>
            <w:vAlign w:val="bottom"/>
          </w:tcPr>
          <w:p>
            <w:pPr>
              <w:spacing w:after="0"/>
              <w:rPr>
                <w:sz w:val="1"/>
                <w:szCs w:val="1"/>
                <w:color w:val="auto"/>
              </w:rPr>
            </w:pPr>
          </w:p>
        </w:tc>
      </w:tr>
      <w:tr>
        <w:trPr>
          <w:trHeight w:val="295"/>
        </w:trPr>
        <w:tc>
          <w:tcPr>
            <w:tcW w:w="9360" w:type="dxa"/>
            <w:vAlign w:val="bottom"/>
          </w:tcPr>
          <w:p>
            <w:pPr>
              <w:ind w:left="40"/>
              <w:spacing w:after="0"/>
              <w:rPr>
                <w:sz w:val="20"/>
                <w:szCs w:val="20"/>
                <w:color w:val="auto"/>
              </w:rPr>
            </w:pPr>
            <w:r>
              <w:rPr>
                <w:rFonts w:ascii="Arial" w:cs="Arial" w:eastAsia="Arial" w:hAnsi="Arial"/>
                <w:sz w:val="22"/>
                <w:szCs w:val="22"/>
                <w:color w:val="auto"/>
              </w:rPr>
              <w:t>Total assets</w:t>
            </w:r>
          </w:p>
        </w:tc>
        <w:tc>
          <w:tcPr>
            <w:tcW w:w="3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299,651,000</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75"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54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Deposits:</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rPr>
                <w:sz w:val="20"/>
                <w:szCs w:val="20"/>
                <w:color w:val="auto"/>
              </w:rPr>
            </w:pPr>
            <w:r>
              <w:rPr>
                <w:rFonts w:ascii="Arial" w:cs="Arial" w:eastAsia="Arial" w:hAnsi="Arial"/>
                <w:sz w:val="22"/>
                <w:szCs w:val="22"/>
                <w:color w:val="auto"/>
              </w:rPr>
              <w:t>In domestic offices</w:t>
            </w:r>
          </w:p>
        </w:tc>
        <w:tc>
          <w:tcPr>
            <w:tcW w:w="40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1440" w:type="dxa"/>
            <w:vAlign w:val="bottom"/>
          </w:tcPr>
          <w:p>
            <w:pPr>
              <w:jc w:val="right"/>
              <w:spacing w:after="0"/>
              <w:rPr>
                <w:sz w:val="20"/>
                <w:szCs w:val="20"/>
                <w:color w:val="auto"/>
              </w:rPr>
            </w:pPr>
            <w:r>
              <w:rPr>
                <w:rFonts w:ascii="Arial" w:cs="Arial" w:eastAsia="Arial" w:hAnsi="Arial"/>
                <w:sz w:val="22"/>
                <w:szCs w:val="22"/>
                <w:color w:val="auto"/>
              </w:rPr>
              <w:t>143,600,000</w:t>
            </w: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line="253" w:lineRule="exact"/>
              <w:rPr>
                <w:sz w:val="20"/>
                <w:szCs w:val="20"/>
                <w:color w:val="auto"/>
              </w:rPr>
            </w:pPr>
            <w:r>
              <w:rPr>
                <w:rFonts w:ascii="Arial" w:cs="Arial" w:eastAsia="Arial" w:hAnsi="Arial"/>
                <w:sz w:val="22"/>
                <w:szCs w:val="22"/>
                <w:color w:val="auto"/>
              </w:rPr>
              <w:t>Noninterest</w:t>
            </w:r>
            <w:r>
              <w:rPr>
                <w:rFonts w:ascii="MS PGothic" w:cs="MS PGothic" w:eastAsia="MS PGothic" w:hAnsi="MS PGothic"/>
                <w:sz w:val="22"/>
                <w:szCs w:val="22"/>
                <w:color w:val="auto"/>
              </w:rPr>
              <w:t>‑</w:t>
            </w:r>
            <w:r>
              <w:rPr>
                <w:rFonts w:ascii="Arial" w:cs="Arial" w:eastAsia="Arial" w:hAnsi="Arial"/>
                <w:sz w:val="22"/>
                <w:szCs w:val="22"/>
                <w:color w:val="auto"/>
              </w:rPr>
              <w:t>bearing</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97,485,000</w:t>
            </w: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line="253" w:lineRule="exact"/>
              <w:rPr>
                <w:sz w:val="20"/>
                <w:szCs w:val="20"/>
                <w:color w:val="auto"/>
              </w:rPr>
            </w:pPr>
            <w:r>
              <w:rPr>
                <w:rFonts w:ascii="Arial" w:cs="Arial" w:eastAsia="Arial" w:hAnsi="Arial"/>
                <w:sz w:val="22"/>
                <w:szCs w:val="22"/>
                <w:color w:val="auto"/>
              </w:rPr>
              <w:t>Interest</w:t>
            </w:r>
            <w:r>
              <w:rPr>
                <w:rFonts w:ascii="MS PGothic" w:cs="MS PGothic" w:eastAsia="MS PGothic" w:hAnsi="MS PGothic"/>
                <w:sz w:val="22"/>
                <w:szCs w:val="22"/>
                <w:color w:val="auto"/>
              </w:rPr>
              <w:t>‑</w:t>
            </w:r>
            <w:r>
              <w:rPr>
                <w:rFonts w:ascii="Arial" w:cs="Arial" w:eastAsia="Arial" w:hAnsi="Arial"/>
                <w:sz w:val="22"/>
                <w:szCs w:val="22"/>
                <w:color w:val="auto"/>
              </w:rPr>
              <w:t>bearing</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46,115,000</w:t>
            </w: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rPr>
                <w:sz w:val="20"/>
                <w:szCs w:val="20"/>
                <w:color w:val="auto"/>
              </w:rPr>
            </w:pPr>
            <w:r>
              <w:rPr>
                <w:rFonts w:ascii="Arial" w:cs="Arial" w:eastAsia="Arial" w:hAnsi="Arial"/>
                <w:sz w:val="22"/>
                <w:szCs w:val="22"/>
                <w:color w:val="auto"/>
              </w:rPr>
              <w:t>In foreign offices, Edge and Agreement subsidiaries, and IBFs</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110,595,000</w:t>
            </w: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line="253" w:lineRule="exact"/>
              <w:rPr>
                <w:sz w:val="20"/>
                <w:szCs w:val="20"/>
                <w:color w:val="auto"/>
              </w:rPr>
            </w:pPr>
            <w:r>
              <w:rPr>
                <w:rFonts w:ascii="Arial" w:cs="Arial" w:eastAsia="Arial" w:hAnsi="Arial"/>
                <w:sz w:val="22"/>
                <w:szCs w:val="22"/>
                <w:color w:val="auto"/>
              </w:rPr>
              <w:t>Noninterest</w:t>
            </w:r>
            <w:r>
              <w:rPr>
                <w:rFonts w:ascii="MS PGothic" w:cs="MS PGothic" w:eastAsia="MS PGothic" w:hAnsi="MS PGothic"/>
                <w:sz w:val="22"/>
                <w:szCs w:val="22"/>
                <w:color w:val="auto"/>
              </w:rPr>
              <w:t>‑</w:t>
            </w:r>
            <w:r>
              <w:rPr>
                <w:rFonts w:ascii="Arial" w:cs="Arial" w:eastAsia="Arial" w:hAnsi="Arial"/>
                <w:sz w:val="22"/>
                <w:szCs w:val="22"/>
                <w:color w:val="auto"/>
              </w:rPr>
              <w:t>bearing</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7,904,000</w:t>
            </w: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line="253" w:lineRule="exact"/>
              <w:rPr>
                <w:sz w:val="20"/>
                <w:szCs w:val="20"/>
                <w:color w:val="auto"/>
              </w:rPr>
            </w:pPr>
            <w:r>
              <w:rPr>
                <w:rFonts w:ascii="Arial" w:cs="Arial" w:eastAsia="Arial" w:hAnsi="Arial"/>
                <w:sz w:val="22"/>
                <w:szCs w:val="22"/>
                <w:color w:val="auto"/>
              </w:rPr>
              <w:t>Interest</w:t>
            </w:r>
            <w:r>
              <w:rPr>
                <w:rFonts w:ascii="MS PGothic" w:cs="MS PGothic" w:eastAsia="MS PGothic" w:hAnsi="MS PGothic"/>
                <w:sz w:val="22"/>
                <w:szCs w:val="22"/>
                <w:color w:val="auto"/>
              </w:rPr>
              <w:t>‑</w:t>
            </w:r>
            <w:r>
              <w:rPr>
                <w:rFonts w:ascii="Arial" w:cs="Arial" w:eastAsia="Arial" w:hAnsi="Arial"/>
                <w:sz w:val="22"/>
                <w:szCs w:val="22"/>
                <w:color w:val="auto"/>
              </w:rPr>
              <w:t>bearing</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102,691,000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Federal funds purchased and securities sold under agreements to repurchase:</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rPr>
                <w:sz w:val="20"/>
                <w:szCs w:val="20"/>
                <w:color w:val="auto"/>
              </w:rPr>
            </w:pPr>
            <w:r>
              <w:rPr>
                <w:rFonts w:ascii="Arial" w:cs="Arial" w:eastAsia="Arial" w:hAnsi="Arial"/>
                <w:sz w:val="22"/>
                <w:szCs w:val="22"/>
                <w:color w:val="auto"/>
              </w:rPr>
              <w:t>Federal funds purchased in domestic offices</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318,000</w:t>
            </w: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rPr>
                <w:sz w:val="20"/>
                <w:szCs w:val="20"/>
                <w:color w:val="auto"/>
              </w:rPr>
            </w:pPr>
            <w:r>
              <w:rPr>
                <w:rFonts w:ascii="Arial" w:cs="Arial" w:eastAsia="Arial" w:hAnsi="Arial"/>
                <w:sz w:val="22"/>
                <w:szCs w:val="22"/>
                <w:color w:val="auto"/>
              </w:rPr>
              <w:t>Securities sold under agreements to repurchase</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830,000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Trading liabilities</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3,132,000</w:t>
            </w:r>
          </w:p>
        </w:tc>
        <w:tc>
          <w:tcPr>
            <w:tcW w:w="0" w:type="dxa"/>
            <w:vAlign w:val="bottom"/>
          </w:tcPr>
          <w:p>
            <w:pPr>
              <w:spacing w:after="0"/>
              <w:rPr>
                <w:sz w:val="1"/>
                <w:szCs w:val="1"/>
                <w:color w:val="auto"/>
              </w:rPr>
            </w:pPr>
          </w:p>
        </w:tc>
      </w:tr>
      <w:tr>
        <w:trPr>
          <w:trHeight w:val="266"/>
        </w:trPr>
        <w:tc>
          <w:tcPr>
            <w:tcW w:w="9540" w:type="dxa"/>
            <w:vAlign w:val="bottom"/>
          </w:tcPr>
          <w:p>
            <w:pPr>
              <w:ind w:left="160"/>
              <w:spacing w:after="0"/>
              <w:rPr>
                <w:sz w:val="20"/>
                <w:szCs w:val="20"/>
                <w:color w:val="auto"/>
              </w:rPr>
            </w:pPr>
            <w:r>
              <w:rPr>
                <w:rFonts w:ascii="Arial" w:cs="Arial" w:eastAsia="Arial" w:hAnsi="Arial"/>
                <w:sz w:val="22"/>
                <w:szCs w:val="22"/>
                <w:color w:val="auto"/>
              </w:rPr>
              <w:t>Other borrowed money:</w:t>
            </w: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540" w:type="dxa"/>
            <w:vAlign w:val="bottom"/>
          </w:tcPr>
          <w:p>
            <w:pPr>
              <w:ind w:left="160"/>
              <w:spacing w:after="0"/>
              <w:rPr>
                <w:sz w:val="20"/>
                <w:szCs w:val="20"/>
                <w:color w:val="auto"/>
              </w:rPr>
            </w:pPr>
            <w:r>
              <w:rPr>
                <w:rFonts w:ascii="Arial" w:cs="Arial" w:eastAsia="Arial" w:hAnsi="Arial"/>
                <w:sz w:val="22"/>
                <w:szCs w:val="22"/>
                <w:color w:val="auto"/>
              </w:rPr>
              <w:t>(includes mortgage indebtedness and obligations under capitalized leases)</w:t>
            </w:r>
          </w:p>
        </w:tc>
        <w:tc>
          <w:tcPr>
            <w:tcW w:w="4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7,778,000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Not applicable</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Not applicable</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Subordinated notes and debentures</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515,000</w:t>
            </w:r>
          </w:p>
        </w:tc>
        <w:tc>
          <w:tcPr>
            <w:tcW w:w="0" w:type="dxa"/>
            <w:vAlign w:val="bottom"/>
          </w:tcPr>
          <w:p>
            <w:pPr>
              <w:spacing w:after="0"/>
              <w:rPr>
                <w:sz w:val="1"/>
                <w:szCs w:val="1"/>
                <w:color w:val="auto"/>
              </w:rPr>
            </w:pPr>
          </w:p>
        </w:tc>
      </w:tr>
      <w:tr>
        <w:trPr>
          <w:trHeight w:val="308"/>
        </w:trPr>
        <w:tc>
          <w:tcPr>
            <w:tcW w:w="9540" w:type="dxa"/>
            <w:vAlign w:val="bottom"/>
          </w:tcPr>
          <w:p>
            <w:pPr>
              <w:spacing w:after="0"/>
              <w:rPr>
                <w:sz w:val="20"/>
                <w:szCs w:val="20"/>
                <w:color w:val="auto"/>
              </w:rPr>
            </w:pPr>
            <w:r>
              <w:rPr>
                <w:rFonts w:ascii="Arial" w:cs="Arial" w:eastAsia="Arial" w:hAnsi="Arial"/>
                <w:sz w:val="22"/>
                <w:szCs w:val="22"/>
                <w:color w:val="auto"/>
              </w:rPr>
              <w:t>Other liabilities</w:t>
            </w: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8,504,000</w:t>
            </w:r>
          </w:p>
        </w:tc>
        <w:tc>
          <w:tcPr>
            <w:tcW w:w="0" w:type="dxa"/>
            <w:vAlign w:val="bottom"/>
          </w:tcPr>
          <w:p>
            <w:pPr>
              <w:spacing w:after="0"/>
              <w:rPr>
                <w:sz w:val="1"/>
                <w:szCs w:val="1"/>
                <w:color w:val="auto"/>
              </w:rPr>
            </w:pPr>
          </w:p>
        </w:tc>
      </w:tr>
      <w:tr>
        <w:trPr>
          <w:trHeight w:val="294"/>
        </w:trPr>
        <w:tc>
          <w:tcPr>
            <w:tcW w:w="9540" w:type="dxa"/>
            <w:vAlign w:val="bottom"/>
          </w:tcPr>
          <w:p>
            <w:pPr>
              <w:spacing w:after="0"/>
              <w:rPr>
                <w:sz w:val="20"/>
                <w:szCs w:val="20"/>
                <w:color w:val="auto"/>
              </w:rPr>
            </w:pPr>
            <w:r>
              <w:rPr>
                <w:rFonts w:ascii="Arial" w:cs="Arial" w:eastAsia="Arial" w:hAnsi="Arial"/>
                <w:sz w:val="22"/>
                <w:szCs w:val="22"/>
                <w:color w:val="auto"/>
              </w:rPr>
              <w:t>Total liabilities</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7"/>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275,272,000</w:t>
            </w:r>
          </w:p>
        </w:tc>
        <w:tc>
          <w:tcPr>
            <w:tcW w:w="0" w:type="dxa"/>
            <w:vAlign w:val="bottom"/>
          </w:tcPr>
          <w:p>
            <w:pPr>
              <w:spacing w:after="0"/>
              <w:rPr>
                <w:sz w:val="1"/>
                <w:szCs w:val="1"/>
                <w:color w:val="auto"/>
              </w:rPr>
            </w:pPr>
          </w:p>
        </w:tc>
      </w:tr>
      <w:tr>
        <w:trPr>
          <w:trHeight w:val="20"/>
        </w:trPr>
        <w:tc>
          <w:tcPr>
            <w:tcW w:w="9540" w:type="dxa"/>
            <w:vAlign w:val="bottom"/>
            <w:vMerge w:val="restart"/>
          </w:tcPr>
          <w:p>
            <w:pPr>
              <w:spacing w:after="0"/>
              <w:rPr>
                <w:sz w:val="20"/>
                <w:szCs w:val="20"/>
                <w:color w:val="auto"/>
              </w:rPr>
            </w:pPr>
            <w:r>
              <w:rPr>
                <w:rFonts w:ascii="Arial" w:cs="Arial" w:eastAsia="Arial" w:hAnsi="Arial"/>
                <w:sz w:val="22"/>
                <w:szCs w:val="22"/>
                <w:b w:val="1"/>
                <w:bCs w:val="1"/>
                <w:color w:val="auto"/>
              </w:rPr>
              <w:t>EQUITY CAPITAL</w:t>
            </w: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95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Perpetual preferred stock and related surplus</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Common stock</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1,135,000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Surplus (exclude all surplus related to preferred stock)</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10,418,000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Retained earnings</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13,817,000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Accumulated other comprehensive income</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-1,341,000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Other equity capital components</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Total bank equity capital</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24,029,000</w:t>
            </w:r>
          </w:p>
        </w:tc>
        <w:tc>
          <w:tcPr>
            <w:tcW w:w="0" w:type="dxa"/>
            <w:vAlign w:val="bottom"/>
          </w:tcPr>
          <w:p>
            <w:pPr>
              <w:spacing w:after="0"/>
              <w:rPr>
                <w:sz w:val="1"/>
                <w:szCs w:val="1"/>
                <w:color w:val="auto"/>
              </w:rPr>
            </w:pPr>
          </w:p>
        </w:tc>
      </w:tr>
      <w:tr>
        <w:trPr>
          <w:trHeight w:val="308"/>
        </w:trPr>
        <w:tc>
          <w:tcPr>
            <w:tcW w:w="9540" w:type="dxa"/>
            <w:vAlign w:val="bottom"/>
          </w:tcPr>
          <w:p>
            <w:pPr>
              <w:spacing w:after="0"/>
              <w:rPr>
                <w:sz w:val="20"/>
                <w:szCs w:val="20"/>
                <w:color w:val="auto"/>
              </w:rPr>
            </w:pPr>
            <w:r>
              <w:rPr>
                <w:rFonts w:ascii="Arial" w:cs="Arial" w:eastAsia="Arial" w:hAnsi="Arial"/>
                <w:sz w:val="22"/>
                <w:szCs w:val="22"/>
                <w:color w:val="auto"/>
              </w:rPr>
              <w:t>Noncontrolling (minority) interests in consolidated subsidiaries</w:t>
            </w: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350,000</w:t>
            </w:r>
          </w:p>
        </w:tc>
        <w:tc>
          <w:tcPr>
            <w:tcW w:w="0" w:type="dxa"/>
            <w:vAlign w:val="bottom"/>
          </w:tcPr>
          <w:p>
            <w:pPr>
              <w:spacing w:after="0"/>
              <w:rPr>
                <w:sz w:val="1"/>
                <w:szCs w:val="1"/>
                <w:color w:val="auto"/>
              </w:rPr>
            </w:pPr>
          </w:p>
        </w:tc>
      </w:tr>
      <w:tr>
        <w:trPr>
          <w:trHeight w:val="291"/>
        </w:trPr>
        <w:tc>
          <w:tcPr>
            <w:tcW w:w="9540" w:type="dxa"/>
            <w:vAlign w:val="bottom"/>
          </w:tcPr>
          <w:p>
            <w:pPr>
              <w:spacing w:after="0"/>
              <w:rPr>
                <w:sz w:val="20"/>
                <w:szCs w:val="20"/>
                <w:color w:val="auto"/>
              </w:rPr>
            </w:pPr>
            <w:r>
              <w:rPr>
                <w:rFonts w:ascii="Arial" w:cs="Arial" w:eastAsia="Arial" w:hAnsi="Arial"/>
                <w:sz w:val="22"/>
                <w:szCs w:val="22"/>
                <w:color w:val="auto"/>
              </w:rPr>
              <w:t>Total equity capital</w:t>
            </w: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24,379,000</w:t>
            </w:r>
          </w:p>
        </w:tc>
        <w:tc>
          <w:tcPr>
            <w:tcW w:w="0" w:type="dxa"/>
            <w:vAlign w:val="bottom"/>
          </w:tcPr>
          <w:p>
            <w:pPr>
              <w:spacing w:after="0"/>
              <w:rPr>
                <w:sz w:val="1"/>
                <w:szCs w:val="1"/>
                <w:color w:val="auto"/>
              </w:rPr>
            </w:pPr>
          </w:p>
        </w:tc>
      </w:tr>
      <w:tr>
        <w:trPr>
          <w:trHeight w:val="295"/>
        </w:trPr>
        <w:tc>
          <w:tcPr>
            <w:tcW w:w="9540" w:type="dxa"/>
            <w:vAlign w:val="bottom"/>
          </w:tcPr>
          <w:p>
            <w:pPr>
              <w:spacing w:after="0"/>
              <w:rPr>
                <w:sz w:val="20"/>
                <w:szCs w:val="20"/>
                <w:color w:val="auto"/>
              </w:rPr>
            </w:pPr>
            <w:r>
              <w:rPr>
                <w:rFonts w:ascii="Arial" w:cs="Arial" w:eastAsia="Arial" w:hAnsi="Arial"/>
                <w:sz w:val="22"/>
                <w:szCs w:val="22"/>
                <w:color w:val="auto"/>
              </w:rPr>
              <w:t>Total liabilities and equity capital</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7"/>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299,651,000</w:t>
            </w:r>
          </w:p>
        </w:tc>
        <w:tc>
          <w:tcPr>
            <w:tcW w:w="0" w:type="dxa"/>
            <w:vAlign w:val="bottom"/>
          </w:tcPr>
          <w:p>
            <w:pPr>
              <w:spacing w:after="0"/>
              <w:rPr>
                <w:sz w:val="1"/>
                <w:szCs w:val="1"/>
                <w:color w:val="auto"/>
              </w:rPr>
            </w:pPr>
          </w:p>
        </w:tc>
      </w:tr>
      <w:tr>
        <w:trPr>
          <w:trHeight w:val="20"/>
        </w:trPr>
        <w:tc>
          <w:tcPr>
            <w:tcW w:w="9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990" w:right="239" w:bottom="1440" w:gutter="0" w:footer="0" w:header="0"/>
        </w:sectPr>
      </w:pPr>
    </w:p>
    <w:bookmarkStart w:id="50" w:name="page51"/>
    <w:bookmarkEnd w:id="50"/>
    <w:p>
      <w:pPr>
        <w:ind w:right="200" w:firstLine="648"/>
        <w:spacing w:after="0" w:line="265" w:lineRule="exact"/>
        <w:rPr>
          <w:sz w:val="20"/>
          <w:szCs w:val="20"/>
          <w:color w:val="auto"/>
        </w:rPr>
      </w:pPr>
      <w:r>
        <w:rPr>
          <w:rFonts w:ascii="Arial" w:cs="Arial" w:eastAsia="Arial" w:hAnsi="Arial"/>
          <w:sz w:val="22"/>
          <w:szCs w:val="22"/>
          <w:color w:val="auto"/>
        </w:rPr>
        <w:t>I, Thomas P. Gibbons, Chief Financial Officer of the above</w:t>
      </w:r>
      <w:r>
        <w:rPr>
          <w:rFonts w:ascii="MS PGothic" w:cs="MS PGothic" w:eastAsia="MS PGothic" w:hAnsi="MS PGothic"/>
          <w:sz w:val="22"/>
          <w:szCs w:val="22"/>
          <w:color w:val="auto"/>
        </w:rPr>
        <w:t>‑</w:t>
      </w:r>
      <w:r>
        <w:rPr>
          <w:rFonts w:ascii="Arial" w:cs="Arial" w:eastAsia="Arial" w:hAnsi="Arial"/>
          <w:sz w:val="22"/>
          <w:szCs w:val="22"/>
          <w:color w:val="auto"/>
        </w:rPr>
        <w:t>named bank do hereby declare that this Report of Condition is true and correct to the best of my knowledge and belief.</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Thomas P. Gibbons,</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Chief Financial Officer</w:t>
      </w:r>
    </w:p>
    <w:p>
      <w:pPr>
        <w:spacing w:after="0" w:line="202"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22"/>
          <w:szCs w:val="22"/>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2880" w:type="dxa"/>
            <w:vAlign w:val="bottom"/>
          </w:tcPr>
          <w:p>
            <w:pPr>
              <w:ind w:left="40"/>
              <w:spacing w:after="0"/>
              <w:rPr>
                <w:sz w:val="20"/>
                <w:szCs w:val="20"/>
                <w:color w:val="auto"/>
              </w:rPr>
            </w:pPr>
            <w:r>
              <w:rPr>
                <w:rFonts w:ascii="Arial" w:cs="Arial" w:eastAsia="Arial" w:hAnsi="Arial"/>
                <w:sz w:val="22"/>
                <w:szCs w:val="22"/>
                <w:color w:val="auto"/>
              </w:rPr>
              <w:t>Gerald L. Hassell</w:t>
            </w:r>
          </w:p>
        </w:tc>
        <w:tc>
          <w:tcPr>
            <w:tcW w:w="680" w:type="dxa"/>
            <w:vAlign w:val="bottom"/>
            <w:tcBorders>
              <w:top w:val="single" w:sz="8" w:color="auto"/>
              <w:right w:val="single" w:sz="8" w:color="auto"/>
            </w:tcBorders>
          </w:tcPr>
          <w:p>
            <w:pPr>
              <w:spacing w:after="0"/>
              <w:rPr>
                <w:sz w:val="24"/>
                <w:szCs w:val="24"/>
                <w:color w:val="auto"/>
              </w:rPr>
            </w:pPr>
          </w:p>
        </w:tc>
        <w:tc>
          <w:tcPr>
            <w:tcW w:w="7860" w:type="dxa"/>
            <w:vAlign w:val="bottom"/>
          </w:tcPr>
          <w:p>
            <w:pPr>
              <w:spacing w:after="0"/>
              <w:rPr>
                <w:sz w:val="24"/>
                <w:szCs w:val="24"/>
                <w:color w:val="auto"/>
              </w:rPr>
            </w:pPr>
          </w:p>
        </w:tc>
      </w:tr>
      <w:tr>
        <w:trPr>
          <w:trHeight w:val="301"/>
        </w:trPr>
        <w:tc>
          <w:tcPr>
            <w:tcW w:w="2880" w:type="dxa"/>
            <w:vAlign w:val="bottom"/>
          </w:tcPr>
          <w:p>
            <w:pPr>
              <w:ind w:left="40"/>
              <w:spacing w:after="0"/>
              <w:rPr>
                <w:sz w:val="20"/>
                <w:szCs w:val="20"/>
                <w:color w:val="auto"/>
              </w:rPr>
            </w:pPr>
            <w:r>
              <w:rPr>
                <w:rFonts w:ascii="Arial" w:cs="Arial" w:eastAsia="Arial" w:hAnsi="Arial"/>
                <w:sz w:val="22"/>
                <w:szCs w:val="22"/>
                <w:color w:val="auto"/>
              </w:rPr>
              <w:t>Catherine A. Rein</w:t>
            </w:r>
          </w:p>
        </w:tc>
        <w:tc>
          <w:tcPr>
            <w:tcW w:w="680" w:type="dxa"/>
            <w:vAlign w:val="bottom"/>
            <w:tcBorders>
              <w:right w:val="single" w:sz="8" w:color="auto"/>
            </w:tcBorders>
          </w:tcPr>
          <w:p>
            <w:pPr>
              <w:spacing w:after="0"/>
              <w:rPr>
                <w:sz w:val="24"/>
                <w:szCs w:val="24"/>
                <w:color w:val="auto"/>
              </w:rPr>
            </w:pPr>
          </w:p>
        </w:tc>
        <w:tc>
          <w:tcPr>
            <w:tcW w:w="7860" w:type="dxa"/>
            <w:vAlign w:val="bottom"/>
          </w:tcPr>
          <w:p>
            <w:pPr>
              <w:ind w:left="3520"/>
              <w:spacing w:after="0"/>
              <w:rPr>
                <w:sz w:val="20"/>
                <w:szCs w:val="20"/>
                <w:color w:val="auto"/>
              </w:rPr>
            </w:pPr>
            <w:r>
              <w:rPr>
                <w:rFonts w:ascii="Arial" w:cs="Arial" w:eastAsia="Arial" w:hAnsi="Arial"/>
                <w:sz w:val="22"/>
                <w:szCs w:val="22"/>
                <w:color w:val="auto"/>
              </w:rPr>
              <w:t>Directors</w:t>
            </w:r>
          </w:p>
        </w:tc>
      </w:tr>
      <w:tr>
        <w:trPr>
          <w:trHeight w:val="275"/>
        </w:trPr>
        <w:tc>
          <w:tcPr>
            <w:tcW w:w="2880" w:type="dxa"/>
            <w:vAlign w:val="bottom"/>
          </w:tcPr>
          <w:p>
            <w:pPr>
              <w:ind w:left="40"/>
              <w:spacing w:after="0"/>
              <w:rPr>
                <w:sz w:val="20"/>
                <w:szCs w:val="20"/>
                <w:color w:val="auto"/>
              </w:rPr>
            </w:pPr>
            <w:r>
              <w:rPr>
                <w:rFonts w:ascii="Arial" w:cs="Arial" w:eastAsia="Arial" w:hAnsi="Arial"/>
                <w:sz w:val="22"/>
                <w:szCs w:val="22"/>
                <w:color w:val="auto"/>
              </w:rPr>
              <w:t>Joseph J. Echevarria</w:t>
            </w:r>
          </w:p>
        </w:tc>
        <w:tc>
          <w:tcPr>
            <w:tcW w:w="680" w:type="dxa"/>
            <w:vAlign w:val="bottom"/>
            <w:tcBorders>
              <w:right w:val="single" w:sz="8" w:color="auto"/>
            </w:tcBorders>
          </w:tcPr>
          <w:p>
            <w:pPr>
              <w:spacing w:after="0"/>
              <w:rPr>
                <w:sz w:val="23"/>
                <w:szCs w:val="23"/>
                <w:color w:val="auto"/>
              </w:rPr>
            </w:pPr>
          </w:p>
        </w:tc>
        <w:tc>
          <w:tcPr>
            <w:tcW w:w="7860" w:type="dxa"/>
            <w:vAlign w:val="bottom"/>
          </w:tcPr>
          <w:p>
            <w:pPr>
              <w:spacing w:after="0"/>
              <w:rPr>
                <w:sz w:val="23"/>
                <w:szCs w:val="23"/>
                <w:color w:val="auto"/>
              </w:rPr>
            </w:pPr>
          </w:p>
        </w:tc>
      </w:tr>
      <w:tr>
        <w:trPr>
          <w:trHeight w:val="225"/>
        </w:trPr>
        <w:tc>
          <w:tcPr>
            <w:tcW w:w="2880" w:type="dxa"/>
            <w:vAlign w:val="bottom"/>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860" w:type="dxa"/>
            <w:vAlign w:val="bottom"/>
          </w:tcPr>
          <w:p>
            <w:pPr>
              <w:spacing w:after="0"/>
              <w:rPr>
                <w:sz w:val="19"/>
                <w:szCs w:val="19"/>
                <w:color w:val="auto"/>
              </w:rPr>
            </w:pPr>
          </w:p>
        </w:tc>
      </w:tr>
      <w:tr>
        <w:trPr>
          <w:trHeight w:val="426"/>
        </w:trPr>
        <w:tc>
          <w:tcPr>
            <w:tcW w:w="2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8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lowerRoman"/>
      <w:start w:val="1"/>
    </w:lvl>
    <w:lvl w:ilvl="1">
      <w:lvlJc w:val="left"/>
      <w:lvlText w:val="•"/>
      <w:numFmt w:val="bullet"/>
      <w:start w:val="1"/>
    </w:lvl>
  </w:abstractNum>
  <w:abstractNum w:abstractNumId="10">
    <w:nsid w:val="B03E0C6"/>
    <w:multiLevelType w:val="hybridMultilevel"/>
    <w:lvl w:ilvl="0">
      <w:lvlJc w:val="left"/>
      <w:lvlText w:val="(%1)"/>
      <w:numFmt w:val="lowerRoman"/>
      <w:start w:val="2"/>
    </w:lvl>
  </w:abstractNum>
  <w:abstractNum w:abstractNumId="11">
    <w:nsid w:val="189A769B"/>
    <w:multiLevelType w:val="hybridMultilevel"/>
    <w:lvl w:ilvl="0">
      <w:lvlJc w:val="left"/>
      <w:lvlText w:val="(%1)"/>
      <w:numFmt w:val="lowerRoman"/>
      <w:start w:val="1"/>
    </w:lvl>
  </w:abstractNum>
  <w:abstractNum w:abstractNumId="12">
    <w:nsid w:val="54E49EB4"/>
    <w:multiLevelType w:val="hybridMultilevel"/>
    <w:lvl w:ilvl="0">
      <w:lvlJc w:val="left"/>
      <w:lvlText w:val="(%1)"/>
      <w:numFmt w:val="lowerRoman"/>
      <w:start w:val="1"/>
    </w:lvl>
    <w:lvl w:ilvl="1">
      <w:lvlJc w:val="left"/>
      <w:lvlText w:val="•"/>
      <w:numFmt w:val="bullet"/>
      <w:start w:val="1"/>
    </w:lvl>
  </w:abstractNum>
  <w:abstractNum w:abstractNumId="13">
    <w:nsid w:val="71F32454"/>
    <w:multiLevelType w:val="hybridMultilevel"/>
    <w:lvl w:ilvl="0">
      <w:lvlJc w:val="left"/>
      <w:lvlText w:val="(%1)"/>
      <w:numFmt w:val="lowerRoman"/>
      <w:start w:val="2"/>
    </w:lvl>
  </w:abstractNum>
  <w:abstractNum w:abstractNumId="14">
    <w:nsid w:val="2CA88611"/>
    <w:multiLevelType w:val="hybridMultilevel"/>
    <w:lvl w:ilvl="0">
      <w:lvlJc w:val="left"/>
      <w:lvlText w:val="(%1)"/>
      <w:numFmt w:val="lowerRoman"/>
      <w:start w:val="1"/>
    </w:lvl>
  </w:abstractNum>
  <w:abstractNum w:abstractNumId="15">
    <w:nsid w:val="836C40E"/>
    <w:multiLevelType w:val="hybridMultilevel"/>
    <w:lvl w:ilvl="0">
      <w:lvlJc w:val="left"/>
      <w:lvlText w:val="(%1)"/>
      <w:numFmt w:val="lowerRoman"/>
      <w:start w:val="3"/>
    </w:lvl>
  </w:abstractNum>
  <w:abstractNum w:abstractNumId="16">
    <w:nsid w:val="2901D82"/>
    <w:multiLevelType w:val="hybridMultilevel"/>
    <w:lvl w:ilvl="0">
      <w:lvlJc w:val="left"/>
      <w:lvlText w:val="(%1)"/>
      <w:numFmt w:val="lowerRoman"/>
      <w:start w:val="1"/>
    </w:lvl>
  </w:abstractNum>
  <w:abstractNum w:abstractNumId="17">
    <w:nsid w:val="3A95F874"/>
    <w:multiLevelType w:val="hybridMultilevel"/>
    <w:lvl w:ilvl="0">
      <w:lvlJc w:val="left"/>
      <w:lvlText w:val="(%1)"/>
      <w:numFmt w:val="lowerRoman"/>
      <w:start w:val="1"/>
    </w:lvl>
  </w:abstractNum>
  <w:abstractNum w:abstractNumId="18">
    <w:nsid w:val="8138641"/>
    <w:multiLevelType w:val="hybridMultilevel"/>
    <w:lvl w:ilvl="0">
      <w:lvlJc w:val="left"/>
      <w:lvlText w:val="(%1)"/>
      <w:numFmt w:val="lowerRoman"/>
      <w:start w:val="5"/>
    </w:lvl>
  </w:abstractNum>
  <w:abstractNum w:abstractNumId="19">
    <w:nsid w:val="1E7FF521"/>
    <w:multiLevelType w:val="hybridMultilevel"/>
    <w:lvl w:ilvl="0">
      <w:lvlJc w:val="left"/>
      <w:lvlText w:val="(%1)"/>
      <w:numFmt w:val="lowerRoman"/>
      <w:start w:val="1"/>
    </w:lvl>
  </w:abstractNum>
  <w:abstractNum w:abstractNumId="20">
    <w:nsid w:val="7C3DBD3D"/>
    <w:multiLevelType w:val="hybridMultilevel"/>
    <w:lvl w:ilvl="0">
      <w:lvlJc w:val="left"/>
      <w:lvlText w:val="(%1)"/>
      <w:numFmt w:val="lowerRoman"/>
      <w:start w:val="2"/>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0">
    <w:nsid w:val="5072367"/>
    <w:multiLevelType w:val="hybridMultilevel"/>
    <w:lvl w:ilvl="0">
      <w:lvlJc w:val="left"/>
      <w:lvlText w:val="(%1)"/>
      <w:numFmt w:val="decimal"/>
      <w:start w:val="2"/>
    </w:lvl>
    <w:lvl w:ilvl="1">
      <w:lvlJc w:val="left"/>
      <w:lvlText w:val="(%2)"/>
      <w:numFmt w:val="lowerLetter"/>
      <w:start w:val="9"/>
    </w:lvl>
    <w:lvl w:ilvl="2">
      <w:lvlJc w:val="left"/>
      <w:lvlText w:val="(%3)"/>
      <w:numFmt w:val="lowerLetter"/>
      <w:start w:val="1"/>
    </w:lvl>
  </w:abstractNum>
  <w:abstractNum w:abstractNumId="31">
    <w:nsid w:val="3804823E"/>
    <w:multiLevelType w:val="hybridMultilevel"/>
    <w:lvl w:ilvl="0">
      <w:lvlJc w:val="left"/>
      <w:lvlText w:val="%1"/>
      <w:numFmt w:val="lowerLetter"/>
      <w:start w:val="1"/>
    </w:lvl>
    <w:lvl w:ilvl="1">
      <w:lvlJc w:val="left"/>
      <w:lvlText w:val="(%2)"/>
      <w:numFmt w:val="lowerRoman"/>
      <w:start w:val="2"/>
    </w:lvl>
  </w:abstractNum>
  <w:abstractNum w:abstractNumId="32">
    <w:nsid w:val="77465F01"/>
    <w:multiLevelType w:val="hybridMultilevel"/>
    <w:lvl w:ilvl="0">
      <w:lvlJc w:val="left"/>
      <w:lvlText w:val="(%1)"/>
      <w:numFmt w:val="lowerLetter"/>
      <w:start w:val="2"/>
    </w:lvl>
    <w:lvl w:ilvl="1">
      <w:lvlJc w:val="left"/>
      <w:lvlText w:val="%2"/>
      <w:numFmt w:val="lowerRoman"/>
      <w:start w:val="1"/>
    </w:lvl>
  </w:abstractNum>
  <w:abstractNum w:abstractNumId="33">
    <w:nsid w:val="7724C67E"/>
    <w:multiLevelType w:val="hybridMultilevel"/>
    <w:lvl w:ilvl="0">
      <w:lvlJc w:val="left"/>
      <w:lvlText w:val="(%1)"/>
      <w:numFmt w:val="lowerLetter"/>
      <w:start w:val="4"/>
    </w:lvl>
    <w:lvl w:ilvl="1">
      <w:lvlJc w:val="left"/>
      <w:lvlText w:val="(%2)"/>
      <w:numFmt w:val="lowerRoman"/>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6"/>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2019-12-07T11:38:14Z</dcterms:created>
  <dcterms:modified xsi:type="dcterms:W3CDTF">2019-12-07T11:38:14Z</dcterms:modified>
</cp:coreProperties>
</file>