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2026</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1240 Woodward Avenue</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48265</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80" w:space="720"/>
            <w:col w:w="280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 48265</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January 27, 2026, General Motors Company (GM) issued a news release and supplemental materials on the subject of its 2025 fourth quarter and full year consolidated earnings. The news release and supplemental materials are attached as Exhibit 99.1.</w:t>
      </w:r>
    </w:p>
    <w:p>
      <w:pPr>
        <w:spacing w:after="0" w:line="18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2025 fourth quarter and full year consolidated earnings release are available on GM's website at www.gm.com/investors/earnings-releases.html.</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January 27, 2026</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January 27, 2026</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January 27, 2026, at 6:30 a.m. ET</w:t>
      </w:r>
    </w:p>
    <w:p>
      <w:pPr>
        <w:spacing w:after="0" w:line="242"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auto"/>
        </w:rPr>
        <w:t>GM releases 2025 financial results and 2026 guidance; Board declares dividend at 20% higher quarterly rate, and approves new $6.0 billion share repurchase authorization</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full-year 2025 net income attributable to stockholders of $ 2.7 billion and EBIT-adjusted of $12.7 billion. Fourth-quarter 2025 net income attributable to stockholders was a loss of $3.3 billion and EBIT-adjusted was $2.8 billion.</w:t>
      </w:r>
    </w:p>
    <w:p>
      <w:pPr>
        <w:spacing w:after="0" w:line="13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Fourth-quarter net income was reduced by more than $7.2 billion in special charges driven primarily by a realignment of electric vehicle capacity and investments to adjust to expected declines in consumer demand for EVs, and in response to U.S. Government policy changes including the termination of consumer incentives and the reduction in the stringency of emissions regulations.</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chart below summarizes GM's 2025 financial guidance and 2025 results, as well as the company's 2026 guidance, which is for a year of strong financial performance.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Final 2025 Guidance</w:t>
            </w: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2025 Results</w:t>
            </w:r>
          </w:p>
        </w:tc>
        <w:tc>
          <w:tcPr>
            <w:tcW w:w="30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2026 Guidance</w:t>
            </w:r>
          </w:p>
        </w:tc>
      </w:tr>
      <w:tr>
        <w:trPr>
          <w:trHeight w:val="210"/>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340" w:type="dxa"/>
            <w:vAlign w:val="bottom"/>
            <w:gridSpan w:val="2"/>
          </w:tcPr>
          <w:p>
            <w:pPr>
              <w:spacing w:after="0"/>
              <w:rPr>
                <w:sz w:val="20"/>
                <w:szCs w:val="20"/>
                <w:color w:val="auto"/>
              </w:rPr>
            </w:pPr>
            <w:r>
              <w:rPr>
                <w:rFonts w:ascii="Arial" w:cs="Arial" w:eastAsia="Arial" w:hAnsi="Arial"/>
                <w:sz w:val="16"/>
                <w:szCs w:val="16"/>
                <w:color w:val="auto"/>
              </w:rPr>
              <w:t>$7.7 billion - $8.3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$2.7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$10.3 billion - $11.7 billion</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EBIT-adjusted</w:t>
            </w:r>
          </w:p>
        </w:tc>
        <w:tc>
          <w:tcPr>
            <w:tcW w:w="2340" w:type="dxa"/>
            <w:vAlign w:val="bottom"/>
            <w:gridSpan w:val="2"/>
          </w:tcPr>
          <w:p>
            <w:pPr>
              <w:spacing w:after="0"/>
              <w:rPr>
                <w:sz w:val="20"/>
                <w:szCs w:val="20"/>
                <w:color w:val="auto"/>
              </w:rPr>
            </w:pPr>
            <w:r>
              <w:rPr>
                <w:rFonts w:ascii="Arial" w:cs="Arial" w:eastAsia="Arial" w:hAnsi="Arial"/>
                <w:sz w:val="16"/>
                <w:szCs w:val="16"/>
                <w:color w:val="auto"/>
              </w:rPr>
              <w:t>$12.0 billion - $13.0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$12.7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$13.0 billion - $15.0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340" w:type="dxa"/>
            <w:vAlign w:val="bottom"/>
            <w:gridSpan w:val="2"/>
          </w:tcPr>
          <w:p>
            <w:pPr>
              <w:spacing w:after="0"/>
              <w:rPr>
                <w:sz w:val="20"/>
                <w:szCs w:val="20"/>
                <w:color w:val="auto"/>
              </w:rPr>
            </w:pPr>
            <w:r>
              <w:rPr>
                <w:rFonts w:ascii="Arial" w:cs="Arial" w:eastAsia="Arial" w:hAnsi="Arial"/>
                <w:sz w:val="16"/>
                <w:szCs w:val="16"/>
                <w:color w:val="auto"/>
              </w:rPr>
              <w:t>$19.2 billion - $21.2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$18.7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$19.0 billion - $23.0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340" w:type="dxa"/>
            <w:vAlign w:val="bottom"/>
            <w:gridSpan w:val="2"/>
          </w:tcPr>
          <w:p>
            <w:pPr>
              <w:spacing w:after="0"/>
              <w:rPr>
                <w:sz w:val="20"/>
                <w:szCs w:val="20"/>
                <w:color w:val="auto"/>
              </w:rPr>
            </w:pPr>
            <w:r>
              <w:rPr>
                <w:rFonts w:ascii="Arial" w:cs="Arial" w:eastAsia="Arial" w:hAnsi="Arial"/>
                <w:sz w:val="16"/>
                <w:szCs w:val="16"/>
                <w:color w:val="auto"/>
              </w:rPr>
              <w:t>$10.0 billion - $11.0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$10.6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$9.0 billion - $11.0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EPS-diluted</w:t>
            </w:r>
          </w:p>
        </w:tc>
        <w:tc>
          <w:tcPr>
            <w:tcW w:w="440" w:type="dxa"/>
            <w:vAlign w:val="bottom"/>
          </w:tcPr>
          <w:p>
            <w:pPr>
              <w:spacing w:after="0"/>
              <w:rPr>
                <w:sz w:val="20"/>
                <w:szCs w:val="20"/>
                <w:color w:val="auto"/>
              </w:rPr>
            </w:pPr>
            <w:r>
              <w:rPr>
                <w:rFonts w:ascii="Arial" w:cs="Arial" w:eastAsia="Arial" w:hAnsi="Arial"/>
                <w:sz w:val="16"/>
                <w:szCs w:val="16"/>
                <w:color w:val="auto"/>
              </w:rPr>
              <w:t>$8.30</w:t>
            </w:r>
          </w:p>
        </w:tc>
        <w:tc>
          <w:tcPr>
            <w:tcW w:w="1900" w:type="dxa"/>
            <w:vAlign w:val="bottom"/>
          </w:tcPr>
          <w:p>
            <w:pPr>
              <w:ind w:left="20"/>
              <w:spacing w:after="0"/>
              <w:rPr>
                <w:sz w:val="20"/>
                <w:szCs w:val="20"/>
                <w:color w:val="auto"/>
              </w:rPr>
            </w:pPr>
            <w:r>
              <w:rPr>
                <w:rFonts w:ascii="Arial" w:cs="Arial" w:eastAsia="Arial" w:hAnsi="Arial"/>
                <w:sz w:val="16"/>
                <w:szCs w:val="16"/>
                <w:color w:val="auto"/>
              </w:rPr>
              <w:t>- $9.05</w:t>
            </w:r>
          </w:p>
        </w:tc>
        <w:tc>
          <w:tcPr>
            <w:tcW w:w="1720" w:type="dxa"/>
            <w:vAlign w:val="bottom"/>
          </w:tcPr>
          <w:p>
            <w:pPr>
              <w:ind w:left="460"/>
              <w:spacing w:after="0"/>
              <w:rPr>
                <w:sz w:val="20"/>
                <w:szCs w:val="20"/>
                <w:color w:val="auto"/>
              </w:rPr>
            </w:pPr>
            <w:r>
              <w:rPr>
                <w:rFonts w:ascii="Arial" w:cs="Arial" w:eastAsia="Arial" w:hAnsi="Arial"/>
                <w:sz w:val="16"/>
                <w:szCs w:val="16"/>
                <w:color w:val="auto"/>
              </w:rPr>
              <w:t>$3.27</w:t>
            </w:r>
          </w:p>
        </w:tc>
        <w:tc>
          <w:tcPr>
            <w:tcW w:w="3080" w:type="dxa"/>
            <w:vAlign w:val="bottom"/>
          </w:tcPr>
          <w:p>
            <w:pPr>
              <w:ind w:left="320"/>
              <w:spacing w:after="0"/>
              <w:rPr>
                <w:sz w:val="20"/>
                <w:szCs w:val="20"/>
                <w:color w:val="auto"/>
              </w:rPr>
            </w:pPr>
            <w:r>
              <w:rPr>
                <w:rFonts w:ascii="Arial" w:cs="Arial" w:eastAsia="Arial" w:hAnsi="Arial"/>
                <w:sz w:val="16"/>
                <w:szCs w:val="16"/>
                <w:color w:val="auto"/>
              </w:rPr>
              <w:t>$11.00 - $13.00</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EPS-diluted-adjusted</w:t>
            </w:r>
          </w:p>
        </w:tc>
        <w:tc>
          <w:tcPr>
            <w:tcW w:w="440" w:type="dxa"/>
            <w:vAlign w:val="bottom"/>
          </w:tcPr>
          <w:p>
            <w:pPr>
              <w:spacing w:after="0"/>
              <w:rPr>
                <w:sz w:val="20"/>
                <w:szCs w:val="20"/>
                <w:color w:val="auto"/>
              </w:rPr>
            </w:pPr>
            <w:r>
              <w:rPr>
                <w:rFonts w:ascii="Arial" w:cs="Arial" w:eastAsia="Arial" w:hAnsi="Arial"/>
                <w:sz w:val="16"/>
                <w:szCs w:val="16"/>
                <w:color w:val="auto"/>
              </w:rPr>
              <w:t>$9.75</w:t>
            </w:r>
          </w:p>
        </w:tc>
        <w:tc>
          <w:tcPr>
            <w:tcW w:w="1900" w:type="dxa"/>
            <w:vAlign w:val="bottom"/>
          </w:tcPr>
          <w:p>
            <w:pPr>
              <w:ind w:left="20"/>
              <w:spacing w:after="0"/>
              <w:rPr>
                <w:sz w:val="20"/>
                <w:szCs w:val="20"/>
                <w:color w:val="auto"/>
              </w:rPr>
            </w:pPr>
            <w:r>
              <w:rPr>
                <w:rFonts w:ascii="Arial" w:cs="Arial" w:eastAsia="Arial" w:hAnsi="Arial"/>
                <w:sz w:val="16"/>
                <w:szCs w:val="16"/>
                <w:color w:val="auto"/>
              </w:rPr>
              <w:t>- $10.50</w:t>
            </w:r>
          </w:p>
        </w:tc>
        <w:tc>
          <w:tcPr>
            <w:tcW w:w="1720" w:type="dxa"/>
            <w:vAlign w:val="bottom"/>
          </w:tcPr>
          <w:p>
            <w:pPr>
              <w:ind w:left="460"/>
              <w:spacing w:after="0"/>
              <w:rPr>
                <w:sz w:val="20"/>
                <w:szCs w:val="20"/>
                <w:color w:val="auto"/>
              </w:rPr>
            </w:pPr>
            <w:r>
              <w:rPr>
                <w:rFonts w:ascii="Arial" w:cs="Arial" w:eastAsia="Arial" w:hAnsi="Arial"/>
                <w:sz w:val="16"/>
                <w:szCs w:val="16"/>
                <w:color w:val="auto"/>
              </w:rPr>
              <w:t>$10.60</w:t>
            </w:r>
          </w:p>
        </w:tc>
        <w:tc>
          <w:tcPr>
            <w:tcW w:w="3080" w:type="dxa"/>
            <w:vAlign w:val="bottom"/>
          </w:tcPr>
          <w:p>
            <w:pPr>
              <w:ind w:left="320"/>
              <w:spacing w:after="0"/>
              <w:rPr>
                <w:sz w:val="20"/>
                <w:szCs w:val="20"/>
                <w:color w:val="auto"/>
              </w:rPr>
            </w:pPr>
            <w:r>
              <w:rPr>
                <w:rFonts w:ascii="Arial" w:cs="Arial" w:eastAsia="Arial" w:hAnsi="Arial"/>
                <w:sz w:val="16"/>
                <w:szCs w:val="16"/>
                <w:color w:val="auto"/>
              </w:rPr>
              <w:t>$11.00 - $13.00</w:t>
            </w:r>
          </w:p>
        </w:tc>
      </w:tr>
    </w:tbl>
    <w:p>
      <w:pPr>
        <w:spacing w:after="0" w:line="22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GM's 2026 financial guidance also includes anticipated capital spending of $10.0 billion - $12.0 billion, inclusive of the company's battery cell manufacturing joint ventures.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quarterly dividend rate and share repurchase authorization</w:t>
      </w:r>
    </w:p>
    <w:p>
      <w:pPr>
        <w:spacing w:after="0" w:line="14"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GM announced today that its Board of Directors has approved a $0.03 per share increase in the quarterly common stock dividend rate to $0.18 per share. GM declared a quarterly cash dividend on the company’s outstanding common stock at the new rate of $0.18 per share, payable March 19, 2026 to holders of common stock at the close of trading on March 6, 2026.</w:t>
      </w:r>
    </w:p>
    <w:p>
      <w:pPr>
        <w:spacing w:after="0"/>
        <w:rPr>
          <w:sz w:val="20"/>
          <w:szCs w:val="20"/>
          <w:color w:val="auto"/>
        </w:rPr>
      </w:pPr>
      <w:r>
        <w:rPr>
          <w:rFonts w:ascii="Arial" w:cs="Arial" w:eastAsia="Arial" w:hAnsi="Arial"/>
          <w:sz w:val="18"/>
          <w:szCs w:val="18"/>
          <w:color w:val="auto"/>
        </w:rPr>
        <w:t>The company also announced that its Board has approved a new $6.0 billion share repurchase authorization.</w:t>
      </w:r>
    </w:p>
    <w:p>
      <w:pPr>
        <w:spacing w:after="0" w:line="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several years now, GM’s strong brands and winning vehicles, as well as our technology-driven services and operating discipline, have delivered consistently strong cash generation. This has allowed us to execute all phases of our capital allocation strategy, from investing in the business and our people, to maintaining a strong balance sheet and returning capital to shareholders,” said Mary Barra, Chair and CEO. “We believe that formula is sustainable, which is why we’re increasing our dividend and planning future share repurchases.”</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share repurchase program, which has no expiration date, will be executed in accordance with applicable securities laws and regulations and may be suspended or discontinued at any time at the company's discretion.</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As of December 31, 2025, the company had 904 million shares outstanding, down from 995 million at the end of 2024, and 1.2 billion at the end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An overview of quarterly and yearly results and financial highlights appears below. Visit the GM Investor Relations website to download the company's earnings deck and GM Chair and CEO Mary Barra's Letter to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Mary Barra and GM Chief Financial Officer Paul Jacobson will host a conference call for the investment community at 8:30 a.m. ET today to discuss these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7"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1"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00"/>
          </w:cols>
          <w:pgMar w:left="320" w:top="1440" w:right="47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14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5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Change</w:t>
            </w:r>
          </w:p>
        </w:tc>
        <w:tc>
          <w:tcPr>
            <w:tcW w:w="15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December 31, 2025</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45,287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47,702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(2,415)</w:t>
            </w:r>
          </w:p>
        </w:tc>
        <w:tc>
          <w:tcPr>
            <w:tcW w:w="15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6"/>
                <w:szCs w:val="16"/>
                <w:color w:val="auto"/>
              </w:rPr>
              <w:t>Net income (loss)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(3,310)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(2,961)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(349)</w:t>
            </w:r>
          </w:p>
        </w:tc>
        <w:tc>
          <w:tcPr>
            <w:tcW w:w="15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2,843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2,509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334</w:t>
            </w:r>
          </w:p>
        </w:tc>
        <w:tc>
          <w:tcPr>
            <w:tcW w:w="1500" w:type="dxa"/>
            <w:vAlign w:val="bottom"/>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5.3 %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1.0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18.9 %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5,606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4,765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841</w:t>
            </w:r>
          </w:p>
        </w:tc>
        <w:tc>
          <w:tcPr>
            <w:tcW w:w="1500" w:type="dxa"/>
            <w:vAlign w:val="bottom"/>
          </w:tcPr>
          <w:p>
            <w:pPr>
              <w:jc w:val="right"/>
              <w:spacing w:after="0"/>
              <w:rPr>
                <w:sz w:val="20"/>
                <w:szCs w:val="20"/>
                <w:color w:val="auto"/>
              </w:rPr>
            </w:pPr>
            <w:r>
              <w:rPr>
                <w:rFonts w:ascii="Arial" w:cs="Arial" w:eastAsia="Arial" w:hAnsi="Arial"/>
                <w:sz w:val="16"/>
                <w:szCs w:val="16"/>
                <w:color w:val="auto"/>
              </w:rPr>
              <w:t>17.6 %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2,755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1,823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933</w:t>
            </w:r>
          </w:p>
        </w:tc>
        <w:tc>
          <w:tcPr>
            <w:tcW w:w="1500" w:type="dxa"/>
            <w:vAlign w:val="bottom"/>
          </w:tcPr>
          <w:p>
            <w:pPr>
              <w:jc w:val="right"/>
              <w:spacing w:after="0"/>
              <w:rPr>
                <w:sz w:val="20"/>
                <w:szCs w:val="20"/>
                <w:color w:val="auto"/>
              </w:rPr>
            </w:pPr>
            <w:r>
              <w:rPr>
                <w:rFonts w:ascii="Arial" w:cs="Arial" w:eastAsia="Arial" w:hAnsi="Arial"/>
                <w:sz w:val="16"/>
                <w:szCs w:val="16"/>
                <w:color w:val="auto"/>
              </w:rPr>
              <w:t>51.2 %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EPS-diluted(a)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(1.96)</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EPS-diluted-adjusted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1.92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0.58</w:t>
            </w:r>
          </w:p>
        </w:tc>
        <w:tc>
          <w:tcPr>
            <w:tcW w:w="1500" w:type="dxa"/>
            <w:vAlign w:val="bottom"/>
          </w:tcPr>
          <w:p>
            <w:pPr>
              <w:jc w:val="right"/>
              <w:spacing w:after="0"/>
              <w:rPr>
                <w:sz w:val="20"/>
                <w:szCs w:val="20"/>
                <w:color w:val="auto"/>
              </w:rPr>
            </w:pPr>
            <w:r>
              <w:rPr>
                <w:rFonts w:ascii="Arial" w:cs="Arial" w:eastAsia="Arial" w:hAnsi="Arial"/>
                <w:sz w:val="16"/>
                <w:szCs w:val="16"/>
                <w:color w:val="auto"/>
              </w:rPr>
              <w:t>30.4 %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2,244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2,274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(30)</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0.3 ppts</w:t>
            </w:r>
          </w:p>
        </w:tc>
        <w:tc>
          <w:tcPr>
            <w:tcW w:w="150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GMI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278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221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56</w:t>
            </w:r>
          </w:p>
        </w:tc>
        <w:tc>
          <w:tcPr>
            <w:tcW w:w="1500" w:type="dxa"/>
            <w:vAlign w:val="bottom"/>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China equity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(513)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(4,060)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3,547</w:t>
            </w:r>
          </w:p>
        </w:tc>
        <w:tc>
          <w:tcPr>
            <w:tcW w:w="1500" w:type="dxa"/>
            <w:vAlign w:val="bottom"/>
          </w:tcPr>
          <w:p>
            <w:pPr>
              <w:jc w:val="right"/>
              <w:spacing w:after="0"/>
              <w:rPr>
                <w:sz w:val="20"/>
                <w:szCs w:val="20"/>
                <w:color w:val="auto"/>
              </w:rPr>
            </w:pPr>
            <w:r>
              <w:rPr>
                <w:rFonts w:ascii="Arial" w:cs="Arial" w:eastAsia="Arial" w:hAnsi="Arial"/>
                <w:sz w:val="16"/>
                <w:szCs w:val="16"/>
                <w:color w:val="auto"/>
              </w:rPr>
              <w:t>87.4 %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609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719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(109)</w:t>
            </w:r>
          </w:p>
        </w:tc>
        <w:tc>
          <w:tcPr>
            <w:tcW w:w="15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12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15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Change</w:t>
            </w:r>
          </w:p>
        </w:tc>
        <w:tc>
          <w:tcPr>
            <w:tcW w:w="15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185,019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187,442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(2,422)</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2,697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6,008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(3,311)</w:t>
            </w:r>
          </w:p>
        </w:tc>
        <w:tc>
          <w:tcPr>
            <w:tcW w:w="150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12,747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14,934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(2,187)</w:t>
            </w:r>
          </w:p>
        </w:tc>
        <w:tc>
          <w:tcPr>
            <w:tcW w:w="15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(1.7) ppts</w:t>
            </w:r>
          </w:p>
        </w:tc>
        <w:tc>
          <w:tcPr>
            <w:tcW w:w="150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8.0 %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18,733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23,939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(5,206)</w:t>
            </w:r>
          </w:p>
        </w:tc>
        <w:tc>
          <w:tcPr>
            <w:tcW w:w="15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10,595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14,045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(3,450)</w:t>
            </w:r>
          </w:p>
        </w:tc>
        <w:tc>
          <w:tcPr>
            <w:tcW w:w="150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EPS-diluted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3.27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6.37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(3.10)</w:t>
            </w:r>
          </w:p>
        </w:tc>
        <w:tc>
          <w:tcPr>
            <w:tcW w:w="150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EPS-diluted-adjusted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10,452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14,528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(4,077)</w:t>
            </w:r>
          </w:p>
        </w:tc>
        <w:tc>
          <w:tcPr>
            <w:tcW w:w="150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(2.4)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GMI EBIT-adjusted(a)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737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434</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China equity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(4,407)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4,091</w:t>
            </w:r>
          </w:p>
        </w:tc>
        <w:tc>
          <w:tcPr>
            <w:tcW w:w="1500" w:type="dxa"/>
            <w:vAlign w:val="bottom"/>
          </w:tcPr>
          <w:p>
            <w:pPr>
              <w:jc w:val="right"/>
              <w:spacing w:after="0"/>
              <w:rPr>
                <w:sz w:val="20"/>
                <w:szCs w:val="20"/>
                <w:color w:val="auto"/>
              </w:rPr>
            </w:pPr>
            <w:r>
              <w:rPr>
                <w:rFonts w:ascii="Arial" w:cs="Arial" w:eastAsia="Arial" w:hAnsi="Arial"/>
                <w:sz w:val="16"/>
                <w:szCs w:val="16"/>
                <w:color w:val="auto"/>
              </w:rPr>
              <w:t>92.8 %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2,802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2,965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(163)</w:t>
            </w:r>
          </w:p>
        </w:tc>
        <w:tc>
          <w:tcPr>
            <w:tcW w:w="15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0"/>
          </w:cols>
          <w:pgMar w:left="320" w:top="1440" w:right="619" w:bottom="1440" w:gutter="0" w:footer="0" w:header="0"/>
        </w:sectPr>
      </w:pPr>
    </w:p>
    <w:bookmarkStart w:id="6" w:name="page7"/>
    <w:bookmarkEnd w:id="6"/>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272"/>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3"/>
                <w:szCs w:val="23"/>
                <w:color w:val="auto"/>
              </w:rPr>
            </w:pPr>
          </w:p>
        </w:tc>
        <w:tc>
          <w:tcPr>
            <w:tcW w:w="1780" w:type="dxa"/>
            <w:vAlign w:val="bottom"/>
            <w:tcBorders>
              <w:top w:val="single" w:sz="8" w:color="0563C1"/>
            </w:tcBorders>
          </w:tcPr>
          <w:p>
            <w:pPr>
              <w:spacing w:after="0"/>
              <w:rPr>
                <w:sz w:val="23"/>
                <w:szCs w:val="23"/>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Final 2025 Guidance Reconciliations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to expected EBIT-adjusted (dollars in billions):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2025</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3200" w:type="dxa"/>
            <w:vAlign w:val="bottom"/>
          </w:tcPr>
          <w:p>
            <w:pPr>
              <w:jc w:val="right"/>
              <w:spacing w:after="0"/>
              <w:rPr>
                <w:sz w:val="20"/>
                <w:szCs w:val="20"/>
                <w:color w:val="auto"/>
              </w:rPr>
            </w:pPr>
            <w:r>
              <w:rPr>
                <w:rFonts w:ascii="Arial" w:cs="Arial" w:eastAsia="Arial" w:hAnsi="Arial"/>
                <w:sz w:val="16"/>
                <w:szCs w:val="16"/>
                <w:color w:val="auto"/>
              </w:rPr>
              <w:t>$ 7.7-8.3</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Income tax expense</w:t>
            </w:r>
          </w:p>
        </w:tc>
        <w:tc>
          <w:tcPr>
            <w:tcW w:w="3200" w:type="dxa"/>
            <w:vAlign w:val="bottom"/>
          </w:tcPr>
          <w:p>
            <w:pPr>
              <w:jc w:val="right"/>
              <w:spacing w:after="0"/>
              <w:rPr>
                <w:sz w:val="20"/>
                <w:szCs w:val="20"/>
                <w:color w:val="auto"/>
              </w:rPr>
            </w:pPr>
            <w:r>
              <w:rPr>
                <w:rFonts w:ascii="Arial" w:cs="Arial" w:eastAsia="Arial" w:hAnsi="Arial"/>
                <w:sz w:val="16"/>
                <w:szCs w:val="16"/>
                <w:color w:val="auto"/>
              </w:rPr>
              <w:t>1.8-2.2</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Automotive interest income, net</w:t>
            </w:r>
          </w:p>
        </w:tc>
        <w:tc>
          <w:tcPr>
            <w:tcW w:w="32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EBIT-adjusted</w:t>
            </w:r>
          </w:p>
        </w:tc>
        <w:tc>
          <w:tcPr>
            <w:tcW w:w="3200" w:type="dxa"/>
            <w:vAlign w:val="bottom"/>
          </w:tcPr>
          <w:p>
            <w:pPr>
              <w:jc w:val="right"/>
              <w:spacing w:after="0"/>
              <w:rPr>
                <w:sz w:val="20"/>
                <w:szCs w:val="20"/>
                <w:color w:val="auto"/>
              </w:rPr>
            </w:pPr>
            <w:r>
              <w:rPr>
                <w:rFonts w:ascii="Arial" w:cs="Arial" w:eastAsia="Arial" w:hAnsi="Arial"/>
                <w:sz w:val="16"/>
                <w:szCs w:val="16"/>
                <w:color w:val="auto"/>
              </w:rPr>
              <w:t>$ 12.0-13.0</w:t>
            </w:r>
          </w:p>
        </w:tc>
      </w:tr>
    </w:tbl>
    <w:p>
      <w:pPr>
        <w:spacing w:after="0" w:line="200" w:lineRule="exact"/>
        <w:rPr>
          <w:sz w:val="20"/>
          <w:szCs w:val="20"/>
          <w:color w:val="auto"/>
        </w:rPr>
      </w:pPr>
    </w:p>
    <w:p>
      <w:pPr>
        <w:spacing w:after="0" w:line="36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to expected adjusted automotive free cash flow (dollars in billions):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jc w:val="center"/>
              <w:ind w:right="71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rPr>
              <w:t>December 31, 2025</w:t>
            </w:r>
          </w:p>
        </w:tc>
      </w:tr>
      <w:tr>
        <w:trPr>
          <w:trHeight w:val="208"/>
        </w:trPr>
        <w:tc>
          <w:tcPr>
            <w:tcW w:w="5560" w:type="dxa"/>
            <w:vAlign w:val="bottom"/>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7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$ 19.2-21.2</w:t>
            </w:r>
          </w:p>
        </w:tc>
      </w:tr>
      <w:tr>
        <w:trPr>
          <w:trHeight w:val="215"/>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Less: Capital expenditures</w:t>
            </w:r>
          </w:p>
        </w:tc>
        <w:tc>
          <w:tcPr>
            <w:tcW w:w="242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7"/>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Adjustments(a)</w:t>
            </w:r>
          </w:p>
        </w:tc>
        <w:tc>
          <w:tcPr>
            <w:tcW w:w="24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color w:val="auto"/>
              </w:rPr>
              <w:t>Adjusted automotive free cash flow</w:t>
            </w:r>
          </w:p>
        </w:tc>
        <w:tc>
          <w:tcPr>
            <w:tcW w:w="7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$ 10.0-11.0</w:t>
            </w:r>
          </w:p>
        </w:tc>
      </w:tr>
      <w:tr>
        <w:trPr>
          <w:trHeight w:val="769"/>
        </w:trPr>
        <w:tc>
          <w:tcPr>
            <w:tcW w:w="6340" w:type="dxa"/>
            <w:vAlign w:val="bottom"/>
            <w:gridSpan w:val="2"/>
          </w:tcPr>
          <w:p>
            <w:pPr>
              <w:spacing w:after="0"/>
              <w:rPr>
                <w:sz w:val="20"/>
                <w:szCs w:val="20"/>
                <w:color w:val="auto"/>
              </w:rPr>
            </w:pPr>
            <w:r>
              <w:rPr>
                <w:rFonts w:ascii="Arial" w:cs="Arial" w:eastAsia="Arial" w:hAnsi="Arial"/>
                <w:sz w:val="16"/>
                <w:szCs w:val="16"/>
                <w:color w:val="auto"/>
              </w:rPr>
              <w:t>The following table reconciles expected EPS-diluted to expected EPS-diluted-adjusted:</w:t>
            </w:r>
          </w:p>
        </w:tc>
        <w:tc>
          <w:tcPr>
            <w:tcW w:w="2420" w:type="dxa"/>
            <w:vAlign w:val="bottom"/>
          </w:tcPr>
          <w:p>
            <w:pPr>
              <w:spacing w:after="0"/>
              <w:rPr>
                <w:sz w:val="24"/>
                <w:szCs w:val="24"/>
                <w:color w:val="auto"/>
              </w:rPr>
            </w:pPr>
          </w:p>
        </w:tc>
      </w:tr>
      <w:tr>
        <w:trPr>
          <w:trHeight w:val="272"/>
        </w:trPr>
        <w:tc>
          <w:tcPr>
            <w:tcW w:w="5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20" w:type="dxa"/>
            <w:vAlign w:val="bottom"/>
          </w:tcPr>
          <w:p>
            <w:pPr>
              <w:jc w:val="center"/>
              <w:ind w:right="71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rPr>
              <w:t>December 31, 2025</w:t>
            </w:r>
          </w:p>
        </w:tc>
      </w:tr>
      <w:tr>
        <w:trPr>
          <w:trHeight w:val="208"/>
        </w:trPr>
        <w:tc>
          <w:tcPr>
            <w:tcW w:w="556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7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$ 8.30-9.05</w:t>
            </w:r>
          </w:p>
        </w:tc>
      </w:tr>
      <w:tr>
        <w:trPr>
          <w:trHeight w:val="216"/>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Adjustments(a)</w:t>
            </w:r>
          </w:p>
        </w:tc>
        <w:tc>
          <w:tcPr>
            <w:tcW w:w="24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color w:val="auto"/>
              </w:rPr>
              <w:t>EPS-diluted-adjusted</w:t>
            </w:r>
          </w:p>
        </w:tc>
        <w:tc>
          <w:tcPr>
            <w:tcW w:w="7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$ 9.75-10.50</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line="284"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Adjustments as of September 30, 2025. See our Quarterly Report on Form 10-Q for the quarter ended September 30, 2025 for full details. We do not consider the potential future impact of adjustments on our expected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2026 Guidance Reconciliations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to expected EBIT-adjusted (dollars in billions):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2026</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3200" w:type="dxa"/>
            <w:vAlign w:val="bottom"/>
          </w:tcPr>
          <w:p>
            <w:pPr>
              <w:jc w:val="right"/>
              <w:spacing w:after="0"/>
              <w:rPr>
                <w:sz w:val="20"/>
                <w:szCs w:val="20"/>
                <w:color w:val="auto"/>
              </w:rPr>
            </w:pPr>
            <w:r>
              <w:rPr>
                <w:rFonts w:ascii="Arial" w:cs="Arial" w:eastAsia="Arial" w:hAnsi="Arial"/>
                <w:sz w:val="16"/>
                <w:szCs w:val="16"/>
                <w:color w:val="auto"/>
              </w:rPr>
              <w:t>$ 10.3-11.7</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Income tax expense</w:t>
            </w:r>
          </w:p>
        </w:tc>
        <w:tc>
          <w:tcPr>
            <w:tcW w:w="3200" w:type="dxa"/>
            <w:vAlign w:val="bottom"/>
          </w:tcPr>
          <w:p>
            <w:pPr>
              <w:jc w:val="right"/>
              <w:spacing w:after="0"/>
              <w:rPr>
                <w:sz w:val="20"/>
                <w:szCs w:val="20"/>
                <w:color w:val="auto"/>
              </w:rPr>
            </w:pPr>
            <w:r>
              <w:rPr>
                <w:rFonts w:ascii="Arial" w:cs="Arial" w:eastAsia="Arial" w:hAnsi="Arial"/>
                <w:sz w:val="16"/>
                <w:szCs w:val="16"/>
                <w:color w:val="auto"/>
              </w:rPr>
              <w:t>2.6-3.2</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Automotive interest expense, net</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EBIT-adjusted(a)</w:t>
            </w:r>
          </w:p>
        </w:tc>
        <w:tc>
          <w:tcPr>
            <w:tcW w:w="3200" w:type="dxa"/>
            <w:vAlign w:val="bottom"/>
          </w:tcPr>
          <w:p>
            <w:pPr>
              <w:jc w:val="right"/>
              <w:spacing w:after="0"/>
              <w:rPr>
                <w:sz w:val="20"/>
                <w:szCs w:val="20"/>
                <w:color w:val="auto"/>
              </w:rPr>
            </w:pPr>
            <w:r>
              <w:rPr>
                <w:rFonts w:ascii="Arial" w:cs="Arial" w:eastAsia="Arial" w:hAnsi="Arial"/>
                <w:sz w:val="16"/>
                <w:szCs w:val="16"/>
                <w:color w:val="auto"/>
              </w:rPr>
              <w:t>$ 13.0-15.0</w:t>
            </w:r>
          </w:p>
        </w:tc>
      </w:tr>
    </w:tbl>
    <w:p>
      <w:pPr>
        <w:spacing w:after="0" w:line="200" w:lineRule="exact"/>
        <w:rPr>
          <w:sz w:val="20"/>
          <w:szCs w:val="20"/>
          <w:color w:val="auto"/>
        </w:rPr>
      </w:pPr>
    </w:p>
    <w:p>
      <w:pPr>
        <w:spacing w:after="0" w:line="36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to expected adjusted automotive free cash flow (dollars in billions):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6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2026</w:t>
            </w:r>
          </w:p>
        </w:tc>
      </w:tr>
      <w:tr>
        <w:trPr>
          <w:trHeight w:val="208"/>
        </w:trPr>
        <w:tc>
          <w:tcPr>
            <w:tcW w:w="5560" w:type="dxa"/>
            <w:vAlign w:val="bottom"/>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3200" w:type="dxa"/>
            <w:vAlign w:val="bottom"/>
          </w:tcPr>
          <w:p>
            <w:pPr>
              <w:jc w:val="right"/>
              <w:spacing w:after="0"/>
              <w:rPr>
                <w:sz w:val="20"/>
                <w:szCs w:val="20"/>
                <w:color w:val="auto"/>
              </w:rPr>
            </w:pPr>
            <w:r>
              <w:rPr>
                <w:rFonts w:ascii="Arial" w:cs="Arial" w:eastAsia="Arial" w:hAnsi="Arial"/>
                <w:sz w:val="16"/>
                <w:szCs w:val="16"/>
                <w:color w:val="auto"/>
              </w:rPr>
              <w:t>$ 19.0-23.0</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10.0-12.0</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Adjusted automotive free cash flow(a)</w:t>
            </w:r>
          </w:p>
        </w:tc>
        <w:tc>
          <w:tcPr>
            <w:tcW w:w="3200" w:type="dxa"/>
            <w:vAlign w:val="bottom"/>
          </w:tcPr>
          <w:p>
            <w:pPr>
              <w:jc w:val="right"/>
              <w:spacing w:after="0"/>
              <w:rPr>
                <w:sz w:val="20"/>
                <w:szCs w:val="20"/>
                <w:color w:val="auto"/>
              </w:rPr>
            </w:pPr>
            <w:r>
              <w:rPr>
                <w:rFonts w:ascii="Arial" w:cs="Arial" w:eastAsia="Arial" w:hAnsi="Arial"/>
                <w:sz w:val="16"/>
                <w:szCs w:val="16"/>
                <w:color w:val="auto"/>
              </w:rPr>
              <w:t>$ 9.0-11.0</w:t>
            </w:r>
          </w:p>
        </w:tc>
      </w:tr>
      <w:tr>
        <w:trPr>
          <w:trHeight w:val="283"/>
        </w:trPr>
        <w:tc>
          <w:tcPr>
            <w:tcW w:w="5560" w:type="dxa"/>
            <w:vAlign w:val="bottom"/>
          </w:tcPr>
          <w:p>
            <w:pPr>
              <w:spacing w:after="0"/>
              <w:rPr>
                <w:sz w:val="20"/>
                <w:szCs w:val="20"/>
                <w:color w:val="auto"/>
              </w:rPr>
            </w:pPr>
            <w:r>
              <w:rPr>
                <w:rFonts w:ascii="Arial" w:cs="Arial" w:eastAsia="Arial" w:hAnsi="Arial"/>
                <w:sz w:val="16"/>
                <w:szCs w:val="16"/>
                <w:color w:val="auto"/>
              </w:rPr>
              <w:t>__________</w:t>
            </w:r>
          </w:p>
        </w:tc>
        <w:tc>
          <w:tcPr>
            <w:tcW w:w="3200" w:type="dxa"/>
            <w:vAlign w:val="bottom"/>
          </w:tcPr>
          <w:p>
            <w:pPr>
              <w:spacing w:after="0"/>
              <w:rPr>
                <w:sz w:val="24"/>
                <w:szCs w:val="24"/>
                <w:color w:val="auto"/>
              </w:rPr>
            </w:pPr>
          </w:p>
        </w:tc>
      </w:tr>
    </w:tbl>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do not consider the potential future impact of adjustments on our expected financial results.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6"/>
          <w:szCs w:val="16"/>
          <w:color w:val="auto"/>
        </w:rPr>
        <w:t>6</w:t>
      </w:r>
    </w:p>
    <w:p>
      <w:pPr>
        <w:sectPr>
          <w:pgSz w:w="11900" w:h="16838" w:orient="portrait"/>
          <w:cols w:equalWidth="0" w:num="1">
            <w:col w:w="11220"/>
          </w:cols>
          <w:pgMar w:left="320" w:top="1440" w:right="35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(In millions)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Year Ended December 31, 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 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60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GM</w:t>
            </w:r>
          </w:p>
        </w:tc>
        <w:tc>
          <w:tcPr>
            <w:tcW w:w="18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620" w:type="dxa"/>
            <w:vAlign w:val="bottom"/>
            <w:vMerge w:val="restart"/>
          </w:tcPr>
          <w:p>
            <w:pPr>
              <w:jc w:val="right"/>
              <w:ind w:right="18"/>
              <w:spacing w:after="0"/>
              <w:rPr>
                <w:sz w:val="20"/>
                <w:szCs w:val="20"/>
                <w:color w:val="auto"/>
              </w:rPr>
            </w:pPr>
            <w:r>
              <w:rPr>
                <w:rFonts w:ascii="Arial" w:cs="Arial" w:eastAsia="Arial" w:hAnsi="Arial"/>
                <w:sz w:val="11"/>
                <w:szCs w:val="11"/>
                <w:b w:val="1"/>
                <w:bCs w:val="1"/>
                <w:color w:val="auto"/>
                <w:w w:val="96"/>
              </w:rPr>
              <w:t>Combined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Financial</w:t>
            </w:r>
          </w:p>
        </w:tc>
        <w:tc>
          <w:tcPr>
            <w:tcW w:w="1800" w:type="dxa"/>
            <w:vAlign w:val="bottom"/>
            <w:gridSpan w:val="4"/>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167,970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171,606</w:t>
            </w:r>
          </w:p>
        </w:tc>
        <w:tc>
          <w:tcPr>
            <w:tcW w:w="0" w:type="dxa"/>
            <w:vAlign w:val="bottom"/>
          </w:tcPr>
          <w:p>
            <w:pPr>
              <w:spacing w:after="0"/>
              <w:rPr>
                <w:sz w:val="1"/>
                <w:szCs w:val="1"/>
                <w:color w:val="auto"/>
              </w:rPr>
            </w:pPr>
          </w:p>
        </w:tc>
      </w:tr>
      <w:tr>
        <w:trPr>
          <w:trHeight w:val="171"/>
        </w:trPr>
        <w:tc>
          <w:tcPr>
            <w:tcW w:w="170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17,060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15,875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15,836</w:t>
            </w:r>
          </w:p>
        </w:tc>
        <w:tc>
          <w:tcPr>
            <w:tcW w:w="0" w:type="dxa"/>
            <w:vAlign w:val="bottom"/>
          </w:tcPr>
          <w:p>
            <w:pPr>
              <w:spacing w:after="0"/>
              <w:rPr>
                <w:sz w:val="1"/>
                <w:szCs w:val="1"/>
                <w:color w:val="auto"/>
              </w:rPr>
            </w:pPr>
          </w:p>
        </w:tc>
      </w:tr>
      <w:tr>
        <w:trPr>
          <w:trHeight w:val="115"/>
        </w:trPr>
        <w:tc>
          <w:tcPr>
            <w:tcW w:w="1700" w:type="dxa"/>
            <w:vAlign w:val="bottom"/>
            <w:tcBorders>
              <w:top w:val="single" w:sz="8" w:color="CCEEFF"/>
            </w:tcBorders>
            <w:shd w:val="clear" w:color="auto" w:fill="CCEEFF"/>
          </w:tcPr>
          <w:p>
            <w:pPr>
              <w:ind w:left="140"/>
              <w:spacing w:after="0" w:line="116" w:lineRule="exact"/>
              <w:rPr>
                <w:sz w:val="20"/>
                <w:szCs w:val="20"/>
                <w:color w:val="auto"/>
              </w:rPr>
            </w:pPr>
            <w:r>
              <w:rPr>
                <w:rFonts w:ascii="Arial" w:cs="Arial" w:eastAsia="Arial" w:hAnsi="Arial"/>
                <w:sz w:val="13"/>
                <w:szCs w:val="13"/>
                <w:color w:val="auto"/>
              </w:rPr>
              <w:t>Total net sales and</w:t>
            </w: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167,970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17,060</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185,019</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171,605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15,875</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187,442</w:t>
            </w:r>
          </w:p>
        </w:tc>
        <w:tc>
          <w:tcPr>
            <w:tcW w:w="0" w:type="dxa"/>
            <w:vAlign w:val="bottom"/>
          </w:tcPr>
          <w:p>
            <w:pPr>
              <w:spacing w:after="0"/>
              <w:rPr>
                <w:sz w:val="1"/>
                <w:szCs w:val="1"/>
                <w:color w:val="auto"/>
              </w:rPr>
            </w:pPr>
          </w:p>
        </w:tc>
      </w:tr>
      <w:tr>
        <w:trPr>
          <w:trHeight w:val="154"/>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ind w:left="140"/>
              <w:spacing w:after="0" w:line="133" w:lineRule="exact"/>
              <w:rPr>
                <w:sz w:val="20"/>
                <w:szCs w:val="20"/>
                <w:color w:val="auto"/>
              </w:rPr>
            </w:pPr>
            <w:r>
              <w:rPr>
                <w:rFonts w:ascii="Arial" w:cs="Arial" w:eastAsia="Arial" w:hAnsi="Arial"/>
                <w:sz w:val="13"/>
                <w:szCs w:val="13"/>
                <w:color w:val="auto"/>
              </w:rPr>
              <w:t>Automotive and other cost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158,968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151,065</w:t>
            </w:r>
          </w:p>
        </w:tc>
        <w:tc>
          <w:tcPr>
            <w:tcW w:w="0" w:type="dxa"/>
            <w:vAlign w:val="bottom"/>
          </w:tcPr>
          <w:p>
            <w:pPr>
              <w:spacing w:after="0"/>
              <w:rPr>
                <w:sz w:val="1"/>
                <w:szCs w:val="1"/>
                <w:color w:val="auto"/>
              </w:rPr>
            </w:pPr>
          </w:p>
        </w:tc>
      </w:tr>
      <w:tr>
        <w:trPr>
          <w:trHeight w:val="131"/>
        </w:trPr>
        <w:tc>
          <w:tcPr>
            <w:tcW w:w="1700" w:type="dxa"/>
            <w:vAlign w:val="bottom"/>
          </w:tcPr>
          <w:p>
            <w:pPr>
              <w:ind w:left="140"/>
              <w:spacing w:after="0" w:line="131" w:lineRule="exact"/>
              <w:rPr>
                <w:sz w:val="20"/>
                <w:szCs w:val="20"/>
                <w:color w:val="auto"/>
              </w:rPr>
            </w:pPr>
            <w:r>
              <w:rPr>
                <w:rFonts w:ascii="Arial" w:cs="Arial" w:eastAsia="Arial" w:hAnsi="Arial"/>
                <w:sz w:val="13"/>
                <w:szCs w:val="13"/>
                <w:color w:val="auto"/>
              </w:rPr>
              <w:t>GM Financial interest,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300"/>
              <w:spacing w:after="0" w:line="126" w:lineRule="exact"/>
              <w:rPr>
                <w:sz w:val="20"/>
                <w:szCs w:val="20"/>
                <w:color w:val="auto"/>
              </w:rPr>
            </w:pPr>
            <w:r>
              <w:rPr>
                <w:rFonts w:ascii="Arial" w:cs="Arial" w:eastAsia="Arial" w:hAnsi="Arial"/>
                <w:sz w:val="13"/>
                <w:szCs w:val="13"/>
                <w:color w:val="auto"/>
              </w:rPr>
              <w:t>operating, and other</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14,296</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14,295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12,972</w:t>
            </w:r>
          </w:p>
        </w:tc>
        <w:tc>
          <w:tcPr>
            <w:tcW w:w="0" w:type="dxa"/>
            <w:vAlign w:val="bottom"/>
          </w:tcPr>
          <w:p>
            <w:pPr>
              <w:spacing w:after="0"/>
              <w:rPr>
                <w:sz w:val="1"/>
                <w:szCs w:val="1"/>
                <w:color w:val="auto"/>
              </w:rPr>
            </w:pPr>
          </w:p>
        </w:tc>
      </w:tr>
      <w:tr>
        <w:trPr>
          <w:trHeight w:val="171"/>
        </w:trPr>
        <w:tc>
          <w:tcPr>
            <w:tcW w:w="1700" w:type="dxa"/>
            <w:vAlign w:val="bottom"/>
          </w:tcPr>
          <w:p>
            <w:pPr>
              <w:ind w:left="300"/>
              <w:spacing w:after="0"/>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Automotive and other</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selling, general, and</w:t>
            </w: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8,580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8,687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9,898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10,621</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167,548</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274</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14,296</w:t>
            </w:r>
          </w:p>
        </w:tc>
        <w:tc>
          <w:tcPr>
            <w:tcW w:w="100" w:type="dxa"/>
            <w:vAlign w:val="bottom"/>
            <w:tcBorders>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182,110</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158,399</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3,293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174,658</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w w:val="97"/>
              </w:rPr>
              <w:t>(3,036)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12,784</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724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Interest income and other</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non-operating income, net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(4,675)</w:t>
            </w:r>
          </w:p>
        </w:tc>
        <w:tc>
          <w:tcPr>
            <w:tcW w:w="0" w:type="dxa"/>
            <w:vAlign w:val="bottom"/>
          </w:tcPr>
          <w:p>
            <w:pPr>
              <w:spacing w:after="0"/>
              <w:rPr>
                <w:sz w:val="1"/>
                <w:szCs w:val="1"/>
                <w:color w:val="auto"/>
              </w:rPr>
            </w:pPr>
          </w:p>
        </w:tc>
      </w:tr>
      <w:tr>
        <w:trPr>
          <w:trHeight w:val="115"/>
        </w:trPr>
        <w:tc>
          <w:tcPr>
            <w:tcW w:w="17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(loss) before income</w:t>
            </w: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w w:val="97"/>
              </w:rPr>
              <w:t>(3,191)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8,519</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Income tax expense (benefit)</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2,556</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0" w:type="dxa"/>
            <w:vAlign w:val="bottom"/>
          </w:tcPr>
          <w:p>
            <w:pPr>
              <w:spacing w:after="0"/>
              <w:rPr>
                <w:sz w:val="1"/>
                <w:szCs w:val="1"/>
                <w:color w:val="auto"/>
              </w:rPr>
            </w:pPr>
          </w:p>
        </w:tc>
      </w:tr>
      <w:tr>
        <w:trPr>
          <w:trHeight w:val="131"/>
        </w:trPr>
        <w:tc>
          <w:tcPr>
            <w:tcW w:w="1700" w:type="dxa"/>
            <w:vAlign w:val="bottom"/>
          </w:tcPr>
          <w:p>
            <w:pPr>
              <w:ind w:left="20"/>
              <w:spacing w:after="0" w:line="131" w:lineRule="exact"/>
              <w:rPr>
                <w:sz w:val="20"/>
                <w:szCs w:val="20"/>
                <w:color w:val="auto"/>
              </w:rPr>
            </w:pPr>
            <w:r>
              <w:rPr>
                <w:rFonts w:ascii="Arial" w:cs="Arial" w:eastAsia="Arial" w:hAnsi="Arial"/>
                <w:sz w:val="13"/>
                <w:szCs w:val="13"/>
                <w:color w:val="auto"/>
                <w:w w:val="98"/>
              </w:rPr>
              <w:t>Net loss (income) attributable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 noncontrolling interests</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17"/>
        </w:trPr>
        <w:tc>
          <w:tcPr>
            <w:tcW w:w="17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2,697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6,008</w:t>
            </w:r>
          </w:p>
        </w:tc>
        <w:tc>
          <w:tcPr>
            <w:tcW w:w="0" w:type="dxa"/>
            <w:vAlign w:val="bottom"/>
          </w:tcPr>
          <w:p>
            <w:pPr>
              <w:spacing w:after="0"/>
              <w:rPr>
                <w:sz w:val="1"/>
                <w:szCs w:val="1"/>
                <w:color w:val="auto"/>
              </w:rPr>
            </w:pPr>
          </w:p>
        </w:tc>
      </w:tr>
      <w:tr>
        <w:trPr>
          <w:trHeight w:val="168"/>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income (loss)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3,180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7,189</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9"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Certain columns and rows may not add due to rounding.</w:t>
      </w:r>
    </w:p>
    <w:p>
      <w:pPr>
        <w:sectPr>
          <w:pgSz w:w="11900" w:h="16838" w:orient="portrait"/>
          <w:cols w:equalWidth="0" w:num="1">
            <w:col w:w="11080"/>
          </w:cols>
          <w:pgMar w:left="320" w:top="36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80"/>
          </w:cols>
          <w:pgMar w:left="320" w:top="368" w:right="49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ind w:left="6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760" w:type="dxa"/>
            <w:vAlign w:val="bottom"/>
            <w:gridSpan w:val="4"/>
          </w:tcPr>
          <w:p>
            <w:pPr>
              <w:jc w:val="right"/>
              <w:ind w:right="981"/>
              <w:spacing w:after="0"/>
              <w:rPr>
                <w:sz w:val="20"/>
                <w:szCs w:val="20"/>
                <w:color w:val="auto"/>
              </w:rPr>
            </w:pPr>
            <w:r>
              <w:rPr>
                <w:rFonts w:ascii="Arial" w:cs="Arial" w:eastAsia="Arial" w:hAnsi="Arial"/>
                <w:sz w:val="13"/>
                <w:szCs w:val="13"/>
                <w:b w:val="1"/>
                <w:bCs w:val="1"/>
                <w:color w:val="auto"/>
              </w:rPr>
              <w:t>Years Ended</w:t>
            </w:r>
          </w:p>
        </w:tc>
      </w:tr>
      <w:tr>
        <w:trPr>
          <w:trHeight w:val="169"/>
        </w:trPr>
        <w:tc>
          <w:tcPr>
            <w:tcW w:w="5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5"/>
              </w:rPr>
              <w:t>December 31, 2024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5"/>
              </w:rPr>
              <w:t>December 31, 2024</w:t>
            </w:r>
          </w:p>
        </w:tc>
      </w:tr>
      <w:tr>
        <w:trPr>
          <w:trHeight w:val="200"/>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6,008</w:t>
            </w:r>
          </w:p>
        </w:tc>
      </w:tr>
      <w:tr>
        <w:trPr>
          <w:trHeight w:val="215"/>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Adjustments(a)</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w:t>
            </w:r>
          </w:p>
        </w:tc>
      </w:tr>
      <w:tr>
        <w:trPr>
          <w:trHeight w:val="235"/>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108"/>
        </w:trPr>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w:t>
            </w:r>
          </w:p>
        </w:tc>
      </w:tr>
      <w:tr>
        <w:trPr>
          <w:trHeight w:val="108"/>
        </w:trPr>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95"/>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215"/>
        </w:trPr>
        <w:tc>
          <w:tcPr>
            <w:tcW w:w="5360" w:type="dxa"/>
            <w:vAlign w:val="bottom"/>
          </w:tcPr>
          <w:p>
            <w:pPr>
              <w:ind w:left="180"/>
              <w:spacing w:after="0"/>
              <w:rPr>
                <w:sz w:val="20"/>
                <w:szCs w:val="20"/>
                <w:color w:val="auto"/>
              </w:rPr>
            </w:pPr>
            <w:r>
              <w:rPr>
                <w:rFonts w:ascii="Arial" w:cs="Arial" w:eastAsia="Arial" w:hAnsi="Arial"/>
                <w:sz w:val="16"/>
                <w:szCs w:val="16"/>
                <w:color w:val="auto"/>
              </w:rPr>
              <w:t>Potentially dilutive securities(b)</w:t>
            </w:r>
          </w:p>
        </w:tc>
        <w:tc>
          <w:tcPr>
            <w:tcW w:w="1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61"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returns from preferred shareholders related to the redemption of Cruise preferred shares from noncontrolling interest holders of $593 million in the year ended December 31, 2025 and $1.2 billion in the three months and year ended December 31, 2024.</w:t>
      </w:r>
    </w:p>
    <w:p>
      <w:pPr>
        <w:ind w:left="340" w:hanging="332"/>
        <w:spacing w:after="0" w:line="284"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restricted stock units, and performance stock units at December 31, 2025 and 2024 were excluded from the computation of diluted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36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December 31, 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December 31, 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Cruise</w:t>
            </w:r>
          </w:p>
        </w:tc>
        <w:tc>
          <w:tcPr>
            <w:tcW w:w="1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Combined</w:t>
            </w: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Cruise</w:t>
            </w:r>
          </w:p>
        </w:tc>
        <w:tc>
          <w:tcPr>
            <w:tcW w:w="1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20" w:type="dxa"/>
            <w:vAlign w:val="bottom"/>
          </w:tcPr>
          <w:p>
            <w:pPr>
              <w:spacing w:after="0"/>
              <w:rPr>
                <w:sz w:val="11"/>
                <w:szCs w:val="11"/>
                <w:color w:val="auto"/>
              </w:rPr>
            </w:pPr>
          </w:p>
        </w:tc>
        <w:tc>
          <w:tcPr>
            <w:tcW w:w="600" w:type="dxa"/>
            <w:vAlign w:val="bottom"/>
          </w:tcPr>
          <w:p>
            <w:pPr>
              <w:jc w:val="right"/>
              <w:ind w:right="77"/>
              <w:spacing w:after="0"/>
              <w:rPr>
                <w:sz w:val="20"/>
                <w:szCs w:val="20"/>
                <w:color w:val="auto"/>
              </w:rPr>
            </w:pPr>
            <w:r>
              <w:rPr>
                <w:rFonts w:ascii="Arial" w:cs="Arial" w:eastAsia="Arial" w:hAnsi="Arial"/>
                <w:sz w:val="9"/>
                <w:szCs w:val="9"/>
                <w:b w:val="1"/>
                <w:bCs w:val="1"/>
                <w:color w:val="auto"/>
                <w:w w:val="99"/>
              </w:rPr>
              <w:t>Combined</w:t>
            </w:r>
          </w:p>
        </w:tc>
        <w:tc>
          <w:tcPr>
            <w:tcW w:w="0" w:type="dxa"/>
            <w:vAlign w:val="bottom"/>
          </w:tcPr>
          <w:p>
            <w:pPr>
              <w:spacing w:after="0"/>
              <w:rPr>
                <w:sz w:val="1"/>
                <w:szCs w:val="1"/>
                <w:color w:val="auto"/>
              </w:rPr>
            </w:pPr>
          </w:p>
        </w:tc>
      </w:tr>
      <w:tr>
        <w:trPr>
          <w:trHeight w:val="22"/>
        </w:trPr>
        <w:tc>
          <w:tcPr>
            <w:tcW w:w="224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15,062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19,872</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6,685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7,265</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Accounts and notes receivable,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net(a)</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12,827</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3"/>
                <w:szCs w:val="13"/>
                <w:color w:val="auto"/>
              </w:rPr>
              <w:t>GM Financial receivables, net(d)</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45,661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45,266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46,760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46,362</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14,564</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3,167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4,799</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7,655</w:t>
            </w:r>
          </w:p>
        </w:tc>
        <w:tc>
          <w:tcPr>
            <w:tcW w:w="0" w:type="dxa"/>
            <w:vAlign w:val="bottom"/>
          </w:tcPr>
          <w:p>
            <w:pPr>
              <w:spacing w:after="0"/>
              <w:rPr>
                <w:sz w:val="1"/>
                <w:szCs w:val="1"/>
                <w:color w:val="auto"/>
              </w:rPr>
            </w:pPr>
          </w:p>
        </w:tc>
      </w:tr>
      <w:tr>
        <w:trPr>
          <w:trHeight w:val="174"/>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51,585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58,162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108,767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58,640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108,545</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Financial receivables, net(c)</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46,474</w:t>
            </w:r>
          </w:p>
        </w:tc>
        <w:tc>
          <w:tcPr>
            <w:tcW w:w="0" w:type="dxa"/>
            <w:vAlign w:val="bottom"/>
          </w:tcPr>
          <w:p>
            <w:pPr>
              <w:spacing w:after="0"/>
              <w:rPr>
                <w:sz w:val="1"/>
                <w:szCs w:val="1"/>
                <w:color w:val="auto"/>
              </w:rPr>
            </w:pPr>
          </w:p>
        </w:tc>
      </w:tr>
      <w:tr>
        <w:trPr>
          <w:trHeight w:val="131"/>
        </w:trPr>
        <w:tc>
          <w:tcPr>
            <w:tcW w:w="2240" w:type="dxa"/>
            <w:vAlign w:val="bottom"/>
          </w:tcPr>
          <w:p>
            <w:pPr>
              <w:ind w:left="140"/>
              <w:spacing w:after="0" w:line="131" w:lineRule="exact"/>
              <w:rPr>
                <w:sz w:val="20"/>
                <w:szCs w:val="20"/>
                <w:color w:val="auto"/>
              </w:rPr>
            </w:pPr>
            <w:r>
              <w:rPr>
                <w:rFonts w:ascii="Arial" w:cs="Arial" w:eastAsia="Arial" w:hAnsi="Arial"/>
                <w:sz w:val="13"/>
                <w:szCs w:val="13"/>
                <w:color w:val="auto"/>
              </w:rPr>
              <w:t>Equity in net assets 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8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4,564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7,102</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51,458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51,683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51,904</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3"/>
                <w:szCs w:val="13"/>
                <w:color w:val="auto"/>
              </w:rPr>
              <w:t>Goodwill and intangible assets, net</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1,348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1,339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4,551</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on operating leases, net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24,446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22,960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21,149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21,254</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assets(b)</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64"/>
        </w:trPr>
        <w:tc>
          <w:tcPr>
            <w:tcW w:w="2240" w:type="dxa"/>
            <w:vAlign w:val="bottom"/>
            <w:tcBorders>
              <w:bottom w:val="single" w:sz="8" w:color="CCEEFF"/>
            </w:tcBorders>
          </w:tcPr>
          <w:p>
            <w:pPr>
              <w:ind w:left="140"/>
              <w:spacing w:after="0" w:line="146" w:lineRule="exact"/>
              <w:rPr>
                <w:sz w:val="20"/>
                <w:szCs w:val="20"/>
                <w:color w:val="auto"/>
              </w:rPr>
            </w:pPr>
            <w:r>
              <w:rPr>
                <w:rFonts w:ascii="Arial" w:cs="Arial" w:eastAsia="Arial" w:hAnsi="Arial"/>
                <w:sz w:val="13"/>
                <w:szCs w:val="13"/>
                <w:color w:val="auto"/>
              </w:rPr>
              <w:t>Total non-current assets</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91,712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80,658</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172,517</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90,756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80,516</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171,216</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143,297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138,820</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281,284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141,374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3"/>
                <w:szCs w:val="13"/>
                <w:b w:val="1"/>
                <w:bCs w:val="1"/>
                <w:color w:val="auto"/>
              </w:rPr>
              <w:t>LIABILITIES AND EQUITY</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Accounts payable (principally trade)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24,075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25,680</w:t>
            </w:r>
          </w:p>
        </w:tc>
        <w:tc>
          <w:tcPr>
            <w:tcW w:w="0" w:type="dxa"/>
            <w:vAlign w:val="bottom"/>
          </w:tcPr>
          <w:p>
            <w:pPr>
              <w:spacing w:after="0"/>
              <w:rPr>
                <w:sz w:val="1"/>
                <w:szCs w:val="1"/>
                <w:color w:val="auto"/>
              </w:rPr>
            </w:pPr>
          </w:p>
        </w:tc>
      </w:tr>
      <w:tr>
        <w:trPr>
          <w:trHeight w:val="131"/>
        </w:trPr>
        <w:tc>
          <w:tcPr>
            <w:tcW w:w="2240" w:type="dxa"/>
            <w:vAlign w:val="bottom"/>
          </w:tcPr>
          <w:p>
            <w:pPr>
              <w:ind w:left="140"/>
              <w:spacing w:after="0" w:line="131" w:lineRule="exact"/>
              <w:rPr>
                <w:sz w:val="20"/>
                <w:szCs w:val="20"/>
                <w:color w:val="auto"/>
              </w:rPr>
            </w:pPr>
            <w:r>
              <w:rPr>
                <w:rFonts w:ascii="Arial" w:cs="Arial" w:eastAsia="Arial" w:hAnsi="Arial"/>
                <w:sz w:val="13"/>
                <w:szCs w:val="13"/>
                <w:color w:val="auto"/>
              </w:rPr>
              <w:t>Short-term debt and current portion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300"/>
              <w:spacing w:after="0"/>
              <w:rPr>
                <w:sz w:val="20"/>
                <w:szCs w:val="20"/>
                <w:color w:val="auto"/>
              </w:rPr>
            </w:pPr>
            <w:r>
              <w:rPr>
                <w:rFonts w:ascii="Arial" w:cs="Arial" w:eastAsia="Arial" w:hAnsi="Arial"/>
                <w:sz w:val="13"/>
                <w:szCs w:val="13"/>
                <w:color w:val="auto"/>
              </w:rPr>
              <w:t>of long-term debt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Automotive(a)(d)</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171"/>
        </w:trPr>
        <w:tc>
          <w:tcPr>
            <w:tcW w:w="2240" w:type="dxa"/>
            <w:vAlign w:val="bottom"/>
          </w:tcPr>
          <w:p>
            <w:pPr>
              <w:ind w:left="260"/>
              <w:spacing w:after="0"/>
              <w:rPr>
                <w:sz w:val="20"/>
                <w:szCs w:val="20"/>
                <w:color w:val="auto"/>
              </w:rPr>
            </w:pPr>
            <w:r>
              <w:rPr>
                <w:rFonts w:ascii="Arial" w:cs="Arial" w:eastAsia="Arial" w:hAnsi="Arial"/>
                <w:sz w:val="13"/>
                <w:szCs w:val="13"/>
                <w:color w:val="auto"/>
              </w:rPr>
              <w:t>GM Financial</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35,012</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37,291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37,291</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Cruise(d)</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28,956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4,744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33,754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24,949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5,661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31,154</w:t>
            </w:r>
          </w:p>
        </w:tc>
        <w:tc>
          <w:tcPr>
            <w:tcW w:w="0" w:type="dxa"/>
            <w:vAlign w:val="bottom"/>
          </w:tcPr>
          <w:p>
            <w:pPr>
              <w:spacing w:after="0"/>
              <w:rPr>
                <w:sz w:val="1"/>
                <w:szCs w:val="1"/>
                <w:color w:val="auto"/>
              </w:rPr>
            </w:pPr>
          </w:p>
        </w:tc>
      </w:tr>
      <w:tr>
        <w:trPr>
          <w:trHeight w:val="174"/>
        </w:trPr>
        <w:tc>
          <w:tcPr>
            <w:tcW w:w="2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54,151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40,248</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93,342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43,666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96,265</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40" w:type="dxa"/>
            <w:vAlign w:val="bottom"/>
          </w:tcPr>
          <w:p>
            <w:pPr>
              <w:ind w:left="260"/>
              <w:spacing w:after="0"/>
              <w:rPr>
                <w:sz w:val="20"/>
                <w:szCs w:val="20"/>
                <w:color w:val="auto"/>
              </w:rPr>
            </w:pPr>
            <w:r>
              <w:rPr>
                <w:rFonts w:ascii="Arial" w:cs="Arial" w:eastAsia="Arial" w:hAnsi="Arial"/>
                <w:sz w:val="13"/>
                <w:szCs w:val="13"/>
                <w:color w:val="auto"/>
              </w:rPr>
              <w:t>Automotive(b)</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15,522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15,591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13,327</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GM Financial</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79,018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0" w:type="dxa"/>
            <w:vAlign w:val="bottom"/>
          </w:tcPr>
          <w:p>
            <w:pPr>
              <w:spacing w:after="0"/>
              <w:rPr>
                <w:sz w:val="1"/>
                <w:szCs w:val="1"/>
                <w:color w:val="auto"/>
              </w:rPr>
            </w:pPr>
          </w:p>
        </w:tc>
      </w:tr>
      <w:tr>
        <w:trPr>
          <w:trHeight w:val="171"/>
        </w:trPr>
        <w:tc>
          <w:tcPr>
            <w:tcW w:w="2240" w:type="dxa"/>
            <w:vAlign w:val="bottom"/>
          </w:tcPr>
          <w:p>
            <w:pPr>
              <w:ind w:left="260"/>
              <w:spacing w:after="0"/>
              <w:rPr>
                <w:sz w:val="20"/>
                <w:szCs w:val="20"/>
                <w:color w:val="auto"/>
              </w:rPr>
            </w:pPr>
            <w:r>
              <w:rPr>
                <w:rFonts w:ascii="Arial" w:cs="Arial" w:eastAsia="Arial" w:hAnsi="Arial"/>
                <w:sz w:val="13"/>
                <w:szCs w:val="13"/>
                <w:color w:val="auto"/>
              </w:rPr>
              <w:t>Cruise(c)</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Postretirement benefits other than</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pensions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0" w:type="dxa"/>
            <w:vAlign w:val="bottom"/>
          </w:tcPr>
          <w:p>
            <w:pPr>
              <w:spacing w:after="0"/>
              <w:rPr>
                <w:sz w:val="1"/>
                <w:szCs w:val="1"/>
                <w:color w:val="auto"/>
              </w:rPr>
            </w:pPr>
          </w:p>
        </w:tc>
      </w:tr>
      <w:tr>
        <w:trPr>
          <w:trHeight w:val="171"/>
        </w:trPr>
        <w:tc>
          <w:tcPr>
            <w:tcW w:w="2240" w:type="dxa"/>
            <w:vAlign w:val="bottom"/>
          </w:tcPr>
          <w:p>
            <w:pPr>
              <w:ind w:left="140"/>
              <w:spacing w:after="0"/>
              <w:rPr>
                <w:sz w:val="20"/>
                <w:szCs w:val="20"/>
                <w:color w:val="auto"/>
              </w:rPr>
            </w:pPr>
            <w:r>
              <w:rPr>
                <w:rFonts w:ascii="Arial" w:cs="Arial" w:eastAsia="Arial" w:hAnsi="Arial"/>
                <w:sz w:val="13"/>
                <w:szCs w:val="13"/>
                <w:color w:val="auto"/>
              </w:rPr>
              <w:t>Pensions</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4,977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5,779</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17,836</w:t>
            </w:r>
          </w:p>
        </w:tc>
        <w:tc>
          <w:tcPr>
            <w:tcW w:w="0" w:type="dxa"/>
            <w:vAlign w:val="bottom"/>
          </w:tcPr>
          <w:p>
            <w:pPr>
              <w:spacing w:after="0"/>
              <w:rPr>
                <w:sz w:val="1"/>
                <w:szCs w:val="1"/>
                <w:color w:val="auto"/>
              </w:rPr>
            </w:pPr>
          </w:p>
        </w:tc>
      </w:tr>
      <w:tr>
        <w:trPr>
          <w:trHeight w:val="164"/>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42,019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82,404</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124,775</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37,686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79,885</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117,906</w:t>
            </w:r>
          </w:p>
        </w:tc>
        <w:tc>
          <w:tcPr>
            <w:tcW w:w="0" w:type="dxa"/>
            <w:vAlign w:val="bottom"/>
          </w:tcPr>
          <w:p>
            <w:pPr>
              <w:spacing w:after="0"/>
              <w:rPr>
                <w:sz w:val="1"/>
                <w:szCs w:val="1"/>
                <w:color w:val="auto"/>
              </w:rPr>
            </w:pPr>
          </w:p>
        </w:tc>
      </w:tr>
      <w:tr>
        <w:trPr>
          <w:trHeight w:val="174"/>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123,551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214,171</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$0.01 par value</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2240" w:type="dxa"/>
            <w:vAlign w:val="bottom"/>
          </w:tcPr>
          <w:p>
            <w:pPr>
              <w:ind w:left="100"/>
              <w:spacing w:after="0"/>
              <w:rPr>
                <w:sz w:val="20"/>
                <w:szCs w:val="20"/>
                <w:color w:val="auto"/>
              </w:rPr>
            </w:pPr>
            <w:r>
              <w:rPr>
                <w:rFonts w:ascii="Arial" w:cs="Arial" w:eastAsia="Arial" w:hAnsi="Arial"/>
                <w:sz w:val="13"/>
                <w:szCs w:val="13"/>
                <w:color w:val="auto"/>
              </w:rPr>
              <w:t>Additional paid-in capital(e)</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18,086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1,077</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19,928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19,632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20,843</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37,024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(1,968)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(2,647)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53,472</w:t>
            </w:r>
          </w:p>
        </w:tc>
        <w:tc>
          <w:tcPr>
            <w:tcW w:w="0" w:type="dxa"/>
            <w:vAlign w:val="bottom"/>
          </w:tcPr>
          <w:p>
            <w:pPr>
              <w:spacing w:after="0"/>
              <w:rPr>
                <w:sz w:val="1"/>
                <w:szCs w:val="1"/>
                <w:color w:val="auto"/>
              </w:rPr>
            </w:pPr>
          </w:p>
        </w:tc>
      </w:tr>
      <w:tr>
        <w:trPr>
          <w:trHeight w:val="131"/>
        </w:trPr>
        <w:tc>
          <w:tcPr>
            <w:tcW w:w="2240" w:type="dxa"/>
            <w:vAlign w:val="bottom"/>
          </w:tcPr>
          <w:p>
            <w:pPr>
              <w:ind w:left="100"/>
              <w:spacing w:after="0" w:line="131" w:lineRule="exact"/>
              <w:rPr>
                <w:sz w:val="20"/>
                <w:szCs w:val="20"/>
                <w:color w:val="auto"/>
              </w:rPr>
            </w:pPr>
            <w:r>
              <w:rPr>
                <w:rFonts w:ascii="Arial" w:cs="Arial" w:eastAsia="Arial" w:hAnsi="Arial"/>
                <w:sz w:val="13"/>
                <w:szCs w:val="13"/>
                <w:color w:val="auto"/>
              </w:rPr>
              <w:t>Accumulated other comprehensive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180"/>
              <w:spacing w:after="0"/>
              <w:rPr>
                <w:sz w:val="20"/>
                <w:szCs w:val="20"/>
                <w:color w:val="auto"/>
              </w:rPr>
            </w:pPr>
            <w:r>
              <w:rPr>
                <w:rFonts w:ascii="Arial" w:cs="Arial" w:eastAsia="Arial" w:hAnsi="Arial"/>
                <w:sz w:val="13"/>
                <w:szCs w:val="13"/>
                <w:color w:val="auto"/>
              </w:rPr>
              <w:t>loss</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(1,377)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(9,744)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(11,253)</w:t>
            </w:r>
          </w:p>
        </w:tc>
        <w:tc>
          <w:tcPr>
            <w:tcW w:w="0" w:type="dxa"/>
            <w:vAlign w:val="bottom"/>
          </w:tcPr>
          <w:p>
            <w:pPr>
              <w:spacing w:after="0"/>
              <w:rPr>
                <w:sz w:val="1"/>
                <w:szCs w:val="1"/>
                <w:color w:val="auto"/>
              </w:rPr>
            </w:pPr>
          </w:p>
        </w:tc>
      </w:tr>
      <w:tr>
        <w:trPr>
          <w:trHeight w:val="175"/>
        </w:trPr>
        <w:tc>
          <w:tcPr>
            <w:tcW w:w="2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46,153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16,167</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61,119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(1,464)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63,072</w:t>
            </w:r>
          </w:p>
        </w:tc>
        <w:tc>
          <w:tcPr>
            <w:tcW w:w="0" w:type="dxa"/>
            <w:vAlign w:val="bottom"/>
          </w:tcPr>
          <w:p>
            <w:pPr>
              <w:spacing w:after="0"/>
              <w:rPr>
                <w:sz w:val="1"/>
                <w:szCs w:val="1"/>
                <w:color w:val="auto"/>
              </w:rPr>
            </w:pPr>
          </w:p>
        </w:tc>
      </w:tr>
      <w:tr>
        <w:trPr>
          <w:trHeight w:val="171"/>
        </w:trPr>
        <w:tc>
          <w:tcPr>
            <w:tcW w:w="2240" w:type="dxa"/>
            <w:vAlign w:val="bottom"/>
          </w:tcPr>
          <w:p>
            <w:pPr>
              <w:ind w:left="100"/>
              <w:spacing w:after="0"/>
              <w:rPr>
                <w:sz w:val="20"/>
                <w:szCs w:val="20"/>
                <w:color w:val="auto"/>
              </w:rPr>
            </w:pPr>
            <w:r>
              <w:rPr>
                <w:rFonts w:ascii="Arial" w:cs="Arial" w:eastAsia="Arial" w:hAnsi="Arial"/>
                <w:sz w:val="13"/>
                <w:szCs w:val="13"/>
                <w:color w:val="auto"/>
              </w:rPr>
              <w:t>Noncontrolling interests(e)</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2,518</w:t>
            </w:r>
          </w:p>
        </w:tc>
        <w:tc>
          <w:tcPr>
            <w:tcW w:w="0" w:type="dxa"/>
            <w:vAlign w:val="bottom"/>
          </w:tcPr>
          <w:p>
            <w:pPr>
              <w:spacing w:after="0"/>
              <w:rPr>
                <w:sz w:val="1"/>
                <w:szCs w:val="1"/>
                <w:color w:val="auto"/>
              </w:rPr>
            </w:pPr>
          </w:p>
        </w:tc>
      </w:tr>
      <w:tr>
        <w:trPr>
          <w:trHeight w:val="174"/>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47,127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16,167</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63,168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65,590</w:t>
            </w:r>
          </w:p>
        </w:tc>
        <w:tc>
          <w:tcPr>
            <w:tcW w:w="0" w:type="dxa"/>
            <w:vAlign w:val="bottom"/>
          </w:tcPr>
          <w:p>
            <w:pPr>
              <w:spacing w:after="0"/>
              <w:rPr>
                <w:sz w:val="1"/>
                <w:szCs w:val="1"/>
                <w:color w:val="auto"/>
              </w:rPr>
            </w:pPr>
          </w:p>
        </w:tc>
      </w:tr>
      <w:tr>
        <w:trPr>
          <w:trHeight w:val="164"/>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143,297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138,820</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281,284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141,374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139,156</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0" w:hanging="332"/>
        <w:spacing w:after="0" w:line="243" w:lineRule="auto"/>
        <w:tabs>
          <w:tab w:leader="none" w:pos="337"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$0.5 billion due from Automotive; and Automotive accounts receivable of $0.1 billion primarily due from GM Financial at December 31, 2025; and GM Financial accounts and notes receivable of $0.5 billion due from Automotive and Automotive accounts receivable of $0.2 billion due from GM Financial and Cruise at December 31, 2024.</w:t>
      </w:r>
    </w:p>
    <w:p>
      <w:pPr>
        <w:ind w:left="340" w:hanging="332"/>
        <w:spacing w:after="0" w:line="243" w:lineRule="auto"/>
        <w:tabs>
          <w:tab w:leader="none" w:pos="337"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at December 31, 2024 and deferral agreement between Cruise and Automotive as regards to engineering, capital spending, restructuring, and other costs incurred by Automotive on behalf of Cruise resulting in a long-term payable for Cruise offset by a long-term receivable for Automotive.</w:t>
      </w:r>
    </w:p>
    <w:p>
      <w:pPr>
        <w:ind w:left="320" w:hanging="312"/>
        <w:spacing w:after="0"/>
        <w:tabs>
          <w:tab w:leader="none" w:pos="320"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w:t>
      </w:r>
    </w:p>
    <w:p>
      <w:pPr>
        <w:spacing w:after="0" w:line="8" w:lineRule="exact"/>
        <w:rPr>
          <w:rFonts w:ascii="Arial" w:cs="Arial" w:eastAsia="Arial" w:hAnsi="Arial"/>
          <w:sz w:val="11"/>
          <w:szCs w:val="11"/>
          <w:color w:val="auto"/>
        </w:rPr>
      </w:pPr>
    </w:p>
    <w:p>
      <w:pPr>
        <w:ind w:left="320" w:hanging="312"/>
        <w:spacing w:after="0" w:line="236" w:lineRule="auto"/>
        <w:tabs>
          <w:tab w:leader="none" w:pos="320"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receivables due from Automotive and Cruise.</w:t>
      </w:r>
    </w:p>
    <w:p>
      <w:pPr>
        <w:ind w:left="320" w:hanging="312"/>
        <w:spacing w:after="0"/>
        <w:tabs>
          <w:tab w:leader="none" w:pos="320" w:val="left"/>
        </w:tabs>
        <w:numPr>
          <w:ilvl w:val="0"/>
          <w:numId w:val="7"/>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36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21"/>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4"/>
          </w:tcPr>
          <w:p>
            <w:pPr>
              <w:ind w:left="40"/>
              <w:spacing w:after="0"/>
              <w:rPr>
                <w:sz w:val="20"/>
                <w:szCs w:val="20"/>
                <w:color w:val="auto"/>
              </w:rPr>
            </w:pPr>
            <w:r>
              <w:rPr>
                <w:rFonts w:ascii="Arial" w:cs="Arial" w:eastAsia="Arial" w:hAnsi="Arial"/>
                <w:sz w:val="9"/>
                <w:szCs w:val="9"/>
                <w:b w:val="1"/>
                <w:bCs w:val="1"/>
                <w:color w:val="auto"/>
              </w:rPr>
              <w:t>Year Ended December 31, 2025</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gridSpan w:val="5"/>
          </w:tcPr>
          <w:p>
            <w:pPr>
              <w:ind w:left="100"/>
              <w:spacing w:after="0"/>
              <w:rPr>
                <w:sz w:val="20"/>
                <w:szCs w:val="20"/>
                <w:color w:val="auto"/>
              </w:rPr>
            </w:pPr>
            <w:r>
              <w:rPr>
                <w:rFonts w:ascii="Arial" w:cs="Arial" w:eastAsia="Arial" w:hAnsi="Arial"/>
                <w:sz w:val="9"/>
                <w:szCs w:val="9"/>
                <w:b w:val="1"/>
                <w:bCs w:val="1"/>
                <w:color w:val="auto"/>
              </w:rPr>
              <w:t>Year Ended December 31, 2024</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2540" w:type="dxa"/>
            <w:vAlign w:val="bottom"/>
          </w:tcPr>
          <w:p>
            <w:pPr>
              <w:spacing w:after="0"/>
              <w:rPr>
                <w:sz w:val="8"/>
                <w:szCs w:val="8"/>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Cruise</w:t>
            </w:r>
          </w:p>
        </w:tc>
        <w:tc>
          <w:tcPr>
            <w:tcW w:w="80" w:type="dxa"/>
            <w:vAlign w:val="bottom"/>
          </w:tcPr>
          <w:p>
            <w:pPr>
              <w:spacing w:after="0"/>
              <w:rPr>
                <w:sz w:val="8"/>
                <w:szCs w:val="8"/>
                <w:color w:val="auto"/>
              </w:rPr>
            </w:pPr>
          </w:p>
        </w:tc>
        <w:tc>
          <w:tcPr>
            <w:tcW w:w="620" w:type="dxa"/>
            <w:vAlign w:val="bottom"/>
            <w:gridSpan w:val="2"/>
          </w:tcPr>
          <w:p>
            <w:pPr>
              <w:jc w:val="center"/>
              <w:ind w:right="200"/>
              <w:spacing w:after="0" w:line="93" w:lineRule="exact"/>
              <w:rPr>
                <w:sz w:val="20"/>
                <w:szCs w:val="20"/>
                <w:color w:val="auto"/>
              </w:rPr>
            </w:pPr>
            <w:r>
              <w:rPr>
                <w:rFonts w:ascii="Arial" w:cs="Arial" w:eastAsia="Arial" w:hAnsi="Arial"/>
                <w:sz w:val="9"/>
                <w:szCs w:val="9"/>
                <w:b w:val="1"/>
                <w:bCs w:val="1"/>
                <w:color w:val="auto"/>
                <w:w w:val="96"/>
              </w:rPr>
              <w:t>GM</w:t>
            </w:r>
          </w:p>
        </w:tc>
        <w:tc>
          <w:tcPr>
            <w:tcW w:w="14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00" w:type="dxa"/>
            <w:vAlign w:val="bottom"/>
          </w:tcPr>
          <w:p>
            <w:pPr>
              <w:spacing w:after="0"/>
              <w:rPr>
                <w:sz w:val="8"/>
                <w:szCs w:val="8"/>
                <w:color w:val="auto"/>
              </w:rPr>
            </w:pPr>
          </w:p>
        </w:tc>
        <w:tc>
          <w:tcPr>
            <w:tcW w:w="6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Combined</w:t>
            </w:r>
          </w:p>
        </w:tc>
        <w:tc>
          <w:tcPr>
            <w:tcW w:w="76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Automotive</w:t>
            </w:r>
          </w:p>
        </w:tc>
        <w:tc>
          <w:tcPr>
            <w:tcW w:w="140" w:type="dxa"/>
            <w:vAlign w:val="bottom"/>
          </w:tcPr>
          <w:p>
            <w:pPr>
              <w:spacing w:after="0"/>
              <w:rPr>
                <w:sz w:val="8"/>
                <w:szCs w:val="8"/>
                <w:color w:val="auto"/>
              </w:rPr>
            </w:pPr>
          </w:p>
        </w:tc>
        <w:tc>
          <w:tcPr>
            <w:tcW w:w="500" w:type="dxa"/>
            <w:vAlign w:val="bottom"/>
            <w:vMerge w:val="restart"/>
          </w:tcPr>
          <w:p>
            <w:pPr>
              <w:jc w:val="right"/>
              <w:ind w:right="118"/>
              <w:spacing w:after="0"/>
              <w:rPr>
                <w:sz w:val="20"/>
                <w:szCs w:val="20"/>
                <w:color w:val="auto"/>
              </w:rPr>
            </w:pPr>
            <w:r>
              <w:rPr>
                <w:rFonts w:ascii="Arial" w:cs="Arial" w:eastAsia="Arial" w:hAnsi="Arial"/>
                <w:sz w:val="9"/>
                <w:szCs w:val="9"/>
                <w:b w:val="1"/>
                <w:bCs w:val="1"/>
                <w:color w:val="auto"/>
              </w:rPr>
              <w:t>Cruise</w:t>
            </w:r>
          </w:p>
        </w:tc>
        <w:tc>
          <w:tcPr>
            <w:tcW w:w="120" w:type="dxa"/>
            <w:vAlign w:val="bottom"/>
          </w:tcPr>
          <w:p>
            <w:pPr>
              <w:spacing w:after="0"/>
              <w:rPr>
                <w:sz w:val="8"/>
                <w:szCs w:val="8"/>
                <w:color w:val="auto"/>
              </w:rPr>
            </w:pPr>
          </w:p>
        </w:tc>
        <w:tc>
          <w:tcPr>
            <w:tcW w:w="700" w:type="dxa"/>
            <w:vAlign w:val="bottom"/>
            <w:gridSpan w:val="3"/>
            <w:vMerge w:val="restart"/>
          </w:tcPr>
          <w:p>
            <w:pPr>
              <w:spacing w:after="0"/>
              <w:rPr>
                <w:sz w:val="20"/>
                <w:szCs w:val="20"/>
                <w:color w:val="auto"/>
              </w:rPr>
            </w:pPr>
            <w:r>
              <w:rPr>
                <w:rFonts w:ascii="Arial" w:cs="Arial" w:eastAsia="Arial" w:hAnsi="Arial"/>
                <w:sz w:val="9"/>
                <w:szCs w:val="9"/>
                <w:b w:val="1"/>
                <w:bCs w:val="1"/>
                <w:color w:val="auto"/>
              </w:rPr>
              <w:t>GM Financial</w:t>
            </w:r>
          </w:p>
        </w:tc>
        <w:tc>
          <w:tcPr>
            <w:tcW w:w="146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80" w:type="dxa"/>
            <w:vAlign w:val="bottom"/>
          </w:tcPr>
          <w:p>
            <w:pPr>
              <w:spacing w:after="0"/>
              <w:rPr>
                <w:sz w:val="8"/>
                <w:szCs w:val="8"/>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w w:val="99"/>
              </w:rPr>
              <w:t>Combined</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Financial</w:t>
            </w:r>
          </w:p>
        </w:tc>
        <w:tc>
          <w:tcPr>
            <w:tcW w:w="14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2,780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5,963</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Depreciation and impairment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Equipment on operating leases, net</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4,942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4,942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4,844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4,844</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w w:val="97"/>
              </w:rPr>
              <w:t>Depreciation, amortization and impairment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charges on Property, net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9,646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7,545</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Foreign currency remeasurement and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Undistributed earnings and impairment of</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nonconsolidated affiliates, net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1,785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4,118</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Pension contributions and OPEB</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payments</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(1,518)</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Pension and OPEB (income) expense, net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Arial" w:cs="Arial" w:eastAsia="Arial" w:hAnsi="Arial"/>
                <w:sz w:val="13"/>
                <w:szCs w:val="13"/>
                <w:color w:val="auto"/>
              </w:rPr>
              <w:t>Provision (benefit) for deferred taxes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Change in other operating assets and</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liabilities(a)</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1,243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9,056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operating activities(c)</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15"/>
        </w:trPr>
        <w:tc>
          <w:tcPr>
            <w:tcW w:w="254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w w:val="99"/>
              </w:rPr>
              <w:t>Net cash provided by (used in) operating</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7,979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26,867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20,129</w:t>
            </w:r>
          </w:p>
        </w:tc>
        <w:tc>
          <w:tcPr>
            <w:tcW w:w="0" w:type="dxa"/>
            <w:vAlign w:val="bottom"/>
          </w:tcPr>
          <w:p>
            <w:pPr>
              <w:spacing w:after="0"/>
              <w:rPr>
                <w:sz w:val="1"/>
                <w:szCs w:val="1"/>
                <w:color w:val="auto"/>
              </w:rPr>
            </w:pPr>
          </w:p>
        </w:tc>
      </w:tr>
      <w:tr>
        <w:trPr>
          <w:trHeight w:val="174"/>
        </w:trPr>
        <w:tc>
          <w:tcPr>
            <w:tcW w:w="254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Expenditures for property</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(10,711)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(10,830)</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Available-for-sale marketable 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acquisitions</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(3,986)</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Available-for-sale marketable securities,</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liquidations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4,331</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Arial" w:cs="Arial" w:eastAsia="Arial" w:hAnsi="Arial"/>
                <w:sz w:val="13"/>
                <w:szCs w:val="13"/>
                <w:color w:val="auto"/>
              </w:rPr>
              <w:t>Purchases of finance receivables(a)</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(36,752)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(36,745)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(42,792)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(36,348)</w:t>
            </w: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Principal collections and recoveries on</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finance receivable(a)(b)</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38,004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35,109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31,784</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Arial" w:cs="Arial" w:eastAsia="Arial" w:hAnsi="Arial"/>
                <w:sz w:val="13"/>
                <w:szCs w:val="13"/>
                <w:color w:val="auto"/>
                <w:w w:val="98"/>
              </w:rPr>
              <w:t>Proceeds from sale of finance receivables</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leased vehicles</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(15,793)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(15,279)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(15,279)</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Proceeds from termination of leased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vehicles</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10,095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10,095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10,892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10,892</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activities(b)</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0" w:type="dxa"/>
            <w:vAlign w:val="bottom"/>
          </w:tcPr>
          <w:p>
            <w:pPr>
              <w:spacing w:after="0"/>
              <w:rPr>
                <w:sz w:val="1"/>
                <w:szCs w:val="1"/>
                <w:color w:val="auto"/>
              </w:rPr>
            </w:pPr>
          </w:p>
        </w:tc>
      </w:tr>
      <w:tr>
        <w:trPr>
          <w:trHeight w:val="111"/>
        </w:trPr>
        <w:tc>
          <w:tcPr>
            <w:tcW w:w="2540" w:type="dxa"/>
            <w:vAlign w:val="bottom"/>
          </w:tcPr>
          <w:p>
            <w:pPr>
              <w:ind w:left="20"/>
              <w:spacing w:after="0" w:line="111" w:lineRule="exact"/>
              <w:rPr>
                <w:sz w:val="20"/>
                <w:szCs w:val="20"/>
                <w:color w:val="auto"/>
              </w:rPr>
            </w:pPr>
            <w:r>
              <w:rPr>
                <w:rFonts w:ascii="Arial" w:cs="Arial" w:eastAsia="Arial" w:hAnsi="Arial"/>
                <w:sz w:val="12"/>
                <w:szCs w:val="12"/>
                <w:b w:val="1"/>
                <w:bCs w:val="1"/>
                <w:color w:val="auto"/>
              </w:rPr>
              <w:t>Net cash provided by (used in) investing</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(11,763)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(2,527)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(12,813)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(15,418)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(20,517)</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Arial" w:cs="Arial" w:eastAsia="Arial" w:hAnsi="Arial"/>
                <w:sz w:val="13"/>
                <w:szCs w:val="13"/>
                <w:color w:val="auto"/>
                <w:w w:val="97"/>
              </w:rPr>
              <w:t>Net increase (decrease) in short-term debt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Proceeds from issuance of debt (original</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maturities greater than three months)</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2,078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41,135</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43,191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53,398</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53,435</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w:t>
            </w: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Payments on debt (original maturities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greater than three months)</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(43,662)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(45,591)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(42,478)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(43,399)</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to purchase common stock</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(7,064)</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rPr>
              <w:t>Issuance (redemption) of subsidiary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stock(b)</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paid(c)</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15"/>
        </w:trPr>
        <w:tc>
          <w:tcPr>
            <w:tcW w:w="25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w w:val="99"/>
              </w:rPr>
              <w:t>Net cash provided by (used in) financing</w:t>
            </w: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1,938</w:t>
            </w:r>
          </w:p>
        </w:tc>
        <w:tc>
          <w:tcPr>
            <w:tcW w:w="0" w:type="dxa"/>
            <w:vAlign w:val="bottom"/>
          </w:tcPr>
          <w:p>
            <w:pPr>
              <w:spacing w:after="0"/>
              <w:rPr>
                <w:sz w:val="1"/>
                <w:szCs w:val="1"/>
                <w:color w:val="auto"/>
              </w:rPr>
            </w:pPr>
          </w:p>
        </w:tc>
      </w:tr>
      <w:tr>
        <w:trPr>
          <w:trHeight w:val="131"/>
        </w:trPr>
        <w:tc>
          <w:tcPr>
            <w:tcW w:w="2540" w:type="dxa"/>
            <w:vAlign w:val="bottom"/>
          </w:tcPr>
          <w:p>
            <w:pPr>
              <w:ind w:left="140"/>
              <w:spacing w:after="0" w:line="131" w:lineRule="exact"/>
              <w:rPr>
                <w:sz w:val="20"/>
                <w:szCs w:val="20"/>
                <w:color w:val="auto"/>
              </w:rPr>
            </w:pPr>
            <w:r>
              <w:rPr>
                <w:rFonts w:ascii="Arial" w:cs="Arial" w:eastAsia="Arial" w:hAnsi="Arial"/>
                <w:sz w:val="13"/>
                <w:szCs w:val="13"/>
                <w:color w:val="auto"/>
                <w:w w:val="99"/>
              </w:rPr>
              <w:t>Effect of exchange rate changes on cash,</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300"/>
              <w:spacing w:after="0"/>
              <w:rPr>
                <w:sz w:val="20"/>
                <w:szCs w:val="20"/>
                <w:color w:val="auto"/>
              </w:rPr>
            </w:pPr>
            <w:r>
              <w:rPr>
                <w:rFonts w:ascii="Arial" w:cs="Arial" w:eastAsia="Arial" w:hAnsi="Arial"/>
                <w:sz w:val="13"/>
                <w:szCs w:val="13"/>
                <w:color w:val="auto"/>
              </w:rPr>
              <w:t>cash equivalents, and restricted cash</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17"/>
        </w:trPr>
        <w:tc>
          <w:tcPr>
            <w:tcW w:w="2540" w:type="dxa"/>
            <w:vAlign w:val="bottom"/>
            <w:tcBorders>
              <w:top w:val="single" w:sz="8" w:color="CCEEFF"/>
            </w:tcBorders>
            <w:shd w:val="clear" w:color="auto" w:fill="CCEEFF"/>
          </w:tcPr>
          <w:p>
            <w:pPr>
              <w:ind w:left="140"/>
              <w:spacing w:after="0" w:line="117" w:lineRule="exact"/>
              <w:rPr>
                <w:sz w:val="20"/>
                <w:szCs w:val="20"/>
                <w:color w:val="auto"/>
              </w:rPr>
            </w:pPr>
            <w:r>
              <w:rPr>
                <w:rFonts w:ascii="Arial" w:cs="Arial" w:eastAsia="Arial" w:hAnsi="Arial"/>
                <w:sz w:val="13"/>
                <w:szCs w:val="13"/>
                <w:color w:val="auto"/>
              </w:rPr>
              <w:t>Net increase (decrease) in cash, cash</w:t>
            </w: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equivalents, and restricted cash</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962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1,047</w:t>
            </w:r>
          </w:p>
        </w:tc>
        <w:tc>
          <w:tcPr>
            <w:tcW w:w="0" w:type="dxa"/>
            <w:vAlign w:val="bottom"/>
          </w:tcPr>
          <w:p>
            <w:pPr>
              <w:spacing w:after="0"/>
              <w:rPr>
                <w:sz w:val="1"/>
                <w:szCs w:val="1"/>
                <w:color w:val="auto"/>
              </w:rPr>
            </w:pPr>
          </w:p>
        </w:tc>
      </w:tr>
      <w:tr>
        <w:trPr>
          <w:trHeight w:val="131"/>
        </w:trPr>
        <w:tc>
          <w:tcPr>
            <w:tcW w:w="2540" w:type="dxa"/>
            <w:vAlign w:val="bottom"/>
          </w:tcPr>
          <w:p>
            <w:pPr>
              <w:ind w:left="40"/>
              <w:spacing w:after="0" w:line="131" w:lineRule="exact"/>
              <w:rPr>
                <w:sz w:val="20"/>
                <w:szCs w:val="20"/>
                <w:color w:val="auto"/>
              </w:rPr>
            </w:pPr>
            <w:r>
              <w:rPr>
                <w:rFonts w:ascii="Arial" w:cs="Arial" w:eastAsia="Arial" w:hAnsi="Arial"/>
                <w:sz w:val="13"/>
                <w:szCs w:val="13"/>
                <w:color w:val="auto"/>
                <w:w w:val="98"/>
              </w:rPr>
              <w:t>Cash, cash equivalents, and restricted cash</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at beginning of period</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14,561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8,081</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22,964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8,249</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21,917</w:t>
            </w:r>
          </w:p>
        </w:tc>
        <w:tc>
          <w:tcPr>
            <w:tcW w:w="0" w:type="dxa"/>
            <w:vAlign w:val="bottom"/>
          </w:tcPr>
          <w:p>
            <w:pPr>
              <w:spacing w:after="0"/>
              <w:rPr>
                <w:sz w:val="1"/>
                <w:szCs w:val="1"/>
                <w:color w:val="auto"/>
              </w:rPr>
            </w:pPr>
          </w:p>
        </w:tc>
      </w:tr>
      <w:tr>
        <w:trPr>
          <w:trHeight w:val="117"/>
        </w:trPr>
        <w:tc>
          <w:tcPr>
            <w:tcW w:w="254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Cash, cash equivalents, and restricted</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15,185</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9,043</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24,284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14,561</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8,081</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22,964</w:t>
            </w: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cash at end of period</w:t>
            </w:r>
          </w:p>
        </w:tc>
        <w:tc>
          <w:tcPr>
            <w:tcW w:w="14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3" w:lineRule="auto"/>
        <w:tabs>
          <w:tab w:leader="none" w:pos="337"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eliminations of $2.6 billion and $6.4 billion in the years ended December 31, 2025 and 2024 primarily driven by purchases/collections of wholesale finance receivables resulting from vehicles sold by GM to dealers that have arranged their inventory floor plan financing through GM Financial.</w:t>
      </w:r>
    </w:p>
    <w:p>
      <w:pPr>
        <w:ind w:left="320" w:hanging="312"/>
        <w:spacing w:after="0" w:line="236" w:lineRule="auto"/>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include intercompany funding activity from Automotive and GM Financial to Cruise in the years ended December 31, 2025 and 2024.</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years ended December 31, 2025 and 2024.</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Note: Certain intercompany transactions that are eliminated in consolidation are presented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368"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20" w:type="dxa"/>
            <w:vAlign w:val="bottom"/>
          </w:tcPr>
          <w:p>
            <w:pPr>
              <w:spacing w:after="0"/>
              <w:rPr>
                <w:sz w:val="10"/>
                <w:szCs w:val="10"/>
                <w:color w:val="auto"/>
              </w:rPr>
            </w:pPr>
          </w:p>
        </w:tc>
        <w:tc>
          <w:tcPr>
            <w:tcW w:w="720" w:type="dxa"/>
            <w:vAlign w:val="bottom"/>
            <w:vMerge w:val="restart"/>
          </w:tcPr>
          <w:p>
            <w:pPr>
              <w:jc w:val="right"/>
              <w:ind w:right="27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December 31, 2025</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45,287</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2,958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3,220</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1,527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1,547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1,547</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24"/>
                <w:szCs w:val="2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20" w:type="dxa"/>
            <w:vAlign w:val="bottom"/>
          </w:tcPr>
          <w:p>
            <w:pPr>
              <w:spacing w:after="0"/>
              <w:rPr>
                <w:sz w:val="24"/>
                <w:szCs w:val="24"/>
                <w:color w:val="auto"/>
              </w:rPr>
            </w:pPr>
          </w:p>
        </w:tc>
        <w:tc>
          <w:tcPr>
            <w:tcW w:w="720" w:type="dxa"/>
            <w:vAlign w:val="bottom"/>
            <w:vMerge w:val="restart"/>
          </w:tcPr>
          <w:p>
            <w:pPr>
              <w:jc w:val="right"/>
              <w:ind w:right="27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December 31, 2024</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47,702</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3,046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3,233</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(4,178)</w:t>
            </w: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24"/>
                <w:szCs w:val="2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20" w:type="dxa"/>
            <w:vAlign w:val="bottom"/>
          </w:tcPr>
          <w:p>
            <w:pPr>
              <w:spacing w:after="0"/>
              <w:rPr>
                <w:sz w:val="24"/>
                <w:szCs w:val="24"/>
                <w:color w:val="auto"/>
              </w:rPr>
            </w:pPr>
          </w:p>
        </w:tc>
        <w:tc>
          <w:tcPr>
            <w:tcW w:w="720" w:type="dxa"/>
            <w:vAlign w:val="bottom"/>
            <w:vMerge w:val="restart"/>
          </w:tcPr>
          <w:p>
            <w:pPr>
              <w:jc w:val="right"/>
              <w:ind w:right="27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2025</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154,317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185,019</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8,687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9,241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9,303</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11,980</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2,571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2,609</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24"/>
                <w:szCs w:val="2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20" w:type="dxa"/>
            <w:vAlign w:val="bottom"/>
          </w:tcPr>
          <w:p>
            <w:pPr>
              <w:spacing w:after="0"/>
              <w:rPr>
                <w:sz w:val="24"/>
                <w:szCs w:val="24"/>
                <w:color w:val="auto"/>
              </w:rPr>
            </w:pPr>
          </w:p>
        </w:tc>
        <w:tc>
          <w:tcPr>
            <w:tcW w:w="720" w:type="dxa"/>
            <w:vAlign w:val="bottom"/>
            <w:vMerge w:val="restart"/>
          </w:tcPr>
          <w:p>
            <w:pPr>
              <w:jc w:val="right"/>
              <w:ind w:right="27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2024</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187,442</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10,266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10,711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10,830</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11,456</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933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340" w:hanging="332"/>
        <w:spacing w:after="0" w:line="238" w:lineRule="auto"/>
        <w:tabs>
          <w:tab w:leader="none" w:pos="33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income (loss) of $(0.5) billion and $(0.3) billion in the three months and year ended December 31, 2025 and $(4.1) billion and $(4.4) billion in the three months and year ended December 31, 2024.</w:t>
      </w:r>
    </w:p>
    <w:p>
      <w:pPr>
        <w:jc w:val="both"/>
        <w:ind w:left="340" w:hanging="332"/>
        <w:spacing w:after="0" w:line="242" w:lineRule="auto"/>
        <w:tabs>
          <w:tab w:leader="none" w:pos="332" w:val="left"/>
        </w:tabs>
        <w:numPr>
          <w:ilvl w:val="0"/>
          <w:numId w:val="9"/>
        </w:numPr>
        <w:rPr>
          <w:rFonts w:ascii="Arial" w:cs="Arial" w:eastAsia="Arial" w:hAnsi="Arial"/>
          <w:sz w:val="13"/>
          <w:szCs w:val="13"/>
          <w:color w:val="auto"/>
        </w:rPr>
      </w:pPr>
      <w:r>
        <w:rPr>
          <w:rFonts w:ascii="Arial" w:cs="Arial" w:eastAsia="Arial" w:hAnsi="Arial"/>
          <w:sz w:val="13"/>
          <w:szCs w:val="13"/>
          <w:color w:val="auto"/>
        </w:rPr>
        <w:t>Equity income (loss) related to Ultium Cells Holdings LLC, an equally owned joint venture with LG Energy Solution, is presented in Automotive and other cost of sales as this entity is integral to the operations of our business by providing battery cells for our electric vehicles. Equity income (loss) related to Ultium Cells Holdings LLC was $319 million and $186 million in the three months ended December 31, 2025 and 2024 and $784 million and $975 million in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36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taxes-adjusted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(loss) attributable to stockholders to EBIT-adjusted and segment profit (loss)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2760" w:type="dxa"/>
            <w:vAlign w:val="bottom"/>
            <w:gridSpan w:val="4"/>
          </w:tcPr>
          <w:p>
            <w:pPr>
              <w:jc w:val="right"/>
              <w:ind w:right="980"/>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5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5"/>
              </w:rPr>
              <w:t>December 31, 2024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7"/>
              </w:rPr>
              <w:t>December 31, 2024</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6,008</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2,556</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(967)</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EV strategic realignment(b)</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restructuring actions(c)</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Legal matters(d)</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 restructuring(e)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Separation costs(f)</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GMI exit costs(g)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Headquarters relocation(h)</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Buick dealer strategy(i)</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adjustments</w:t>
            </w: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7,217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9,839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6,491</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14,934</w:t>
            </w:r>
          </w:p>
        </w:tc>
      </w:tr>
      <w:tr>
        <w:trPr>
          <w:trHeight w:val="195"/>
        </w:trPr>
        <w:tc>
          <w:tcPr>
            <w:tcW w:w="5360" w:type="dxa"/>
            <w:vAlign w:val="bottom"/>
          </w:tcPr>
          <w:p>
            <w:pPr>
              <w:ind w:left="20"/>
              <w:spacing w:after="0"/>
              <w:rPr>
                <w:sz w:val="20"/>
                <w:szCs w:val="20"/>
                <w:color w:val="auto"/>
              </w:rPr>
            </w:pPr>
            <w:r>
              <w:rPr>
                <w:rFonts w:ascii="Arial" w:cs="Arial" w:eastAsia="Arial" w:hAnsi="Arial"/>
                <w:sz w:val="16"/>
                <w:szCs w:val="16"/>
                <w:color w:val="auto"/>
              </w:rPr>
              <w:t>Operating segments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North America (GMNA)</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14,528</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GM International (GMI)</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r>
      <w:tr>
        <w:trPr>
          <w:trHeight w:val="215"/>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Financial(j)</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segments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16,095</w:t>
            </w: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eliminations(k)</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of net loss (income) attributable to noncontrolling interests.</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our strategic realignment of our EV capacity and manufacturing footprint. These adjustments include $0.3 billion that was recorded in the three months ended June 30, 2025 associated with Ultium's strategic realignment.</w:t>
      </w:r>
    </w:p>
    <w:p>
      <w:pPr>
        <w:ind w:left="340" w:right="20" w:hanging="332"/>
        <w:spacing w:after="0" w:line="25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investigations and litigation associated with our former OnStar Smart Driver product and an indemnification charge for a European-wide Takata Corporation related recall.</w:t>
      </w:r>
    </w:p>
    <w:p>
      <w:pPr>
        <w:jc w:val="both"/>
        <w:ind w:left="340" w:hanging="332"/>
        <w:spacing w:after="0" w:line="25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employee separation charges including the acceleration of attrition as part of the cost reduction program announced in January 2023, primarily in the U.S.</w:t>
      </w: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primarily relate to the wind down of our manufacturing operations in Colombia and Ecuador and an asset sale resulting from our strategic decision in 2020 to exit India.</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 and other relocation expenditures.</w:t>
      </w:r>
    </w:p>
    <w:p>
      <w:pPr>
        <w:spacing w:after="0" w:line="169"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hanging="332"/>
        <w:spacing w:after="0" w:line="284"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corporate expenditures, legacy costs from the Opel/Vauxhall Business (primarily pension costs),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to EPS-diluted-adjusted (dollars in millions, except per share amounts):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Years Ended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200"/>
              <w:spacing w:after="0"/>
              <w:rPr>
                <w:sz w:val="20"/>
                <w:szCs w:val="20"/>
                <w:color w:val="auto"/>
              </w:rPr>
            </w:pPr>
            <w:r>
              <w:rPr>
                <w:rFonts w:ascii="Arial" w:cs="Arial" w:eastAsia="Arial" w:hAnsi="Arial"/>
                <w:sz w:val="13"/>
                <w:szCs w:val="13"/>
                <w:b w:val="1"/>
                <w:bCs w:val="1"/>
                <w:color w:val="auto"/>
              </w:rPr>
              <w:t>December 31, 2025</w:t>
            </w:r>
          </w:p>
        </w:tc>
        <w:tc>
          <w:tcPr>
            <w:tcW w:w="140" w:type="dxa"/>
            <w:vAlign w:val="bottom"/>
          </w:tcPr>
          <w:p>
            <w:pPr>
              <w:spacing w:after="0"/>
              <w:rPr>
                <w:sz w:val="14"/>
                <w:szCs w:val="14"/>
                <w:color w:val="auto"/>
              </w:rPr>
            </w:pPr>
          </w:p>
        </w:tc>
        <w:tc>
          <w:tcPr>
            <w:tcW w:w="1660" w:type="dxa"/>
            <w:vAlign w:val="bottom"/>
            <w:gridSpan w:val="4"/>
          </w:tcPr>
          <w:p>
            <w:pPr>
              <w:jc w:val="right"/>
              <w:ind w:right="262"/>
              <w:spacing w:after="0"/>
              <w:rPr>
                <w:sz w:val="20"/>
                <w:szCs w:val="20"/>
                <w:color w:val="auto"/>
              </w:rPr>
            </w:pPr>
            <w:r>
              <w:rPr>
                <w:rFonts w:ascii="Arial" w:cs="Arial" w:eastAsia="Arial" w:hAnsi="Arial"/>
                <w:sz w:val="13"/>
                <w:szCs w:val="13"/>
                <w:b w:val="1"/>
                <w:bCs w:val="1"/>
                <w:color w:val="auto"/>
              </w:rPr>
              <w:t>December 31, 2024</w:t>
            </w:r>
          </w:p>
        </w:tc>
      </w:tr>
      <w:tr>
        <w:trPr>
          <w:trHeight w:val="169"/>
        </w:trPr>
        <w:tc>
          <w:tcPr>
            <w:tcW w:w="37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4"/>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82"/>
              <w:spacing w:after="0"/>
              <w:rPr>
                <w:sz w:val="20"/>
                <w:szCs w:val="20"/>
                <w:color w:val="auto"/>
              </w:rPr>
            </w:pPr>
            <w:r>
              <w:rPr>
                <w:rFonts w:ascii="Arial" w:cs="Arial" w:eastAsia="Arial" w:hAnsi="Arial"/>
                <w:sz w:val="13"/>
                <w:szCs w:val="13"/>
                <w:b w:val="1"/>
                <w:bCs w:val="1"/>
                <w:color w:val="auto"/>
                <w:w w:val="95"/>
              </w:rPr>
              <w:t>Per Share</w:t>
            </w:r>
          </w:p>
        </w:tc>
      </w:tr>
      <w:tr>
        <w:trPr>
          <w:trHeight w:val="211"/>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center"/>
              <w:ind w:left="182"/>
              <w:spacing w:after="0"/>
              <w:rPr>
                <w:sz w:val="20"/>
                <w:szCs w:val="20"/>
                <w:color w:val="auto"/>
              </w:rPr>
            </w:pPr>
            <w:r>
              <w:rPr>
                <w:rFonts w:ascii="Arial" w:cs="Arial" w:eastAsia="Arial" w:hAnsi="Arial"/>
                <w:sz w:val="16"/>
                <w:szCs w:val="16"/>
                <w:color w:val="auto"/>
              </w:rPr>
              <w:t>(1.64)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7,189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6.37</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Impact of including dilutive securities(a)</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202"/>
              <w:spacing w:after="0"/>
              <w:rPr>
                <w:sz w:val="20"/>
                <w:szCs w:val="20"/>
                <w:color w:val="auto"/>
              </w:rPr>
            </w:pPr>
            <w:r>
              <w:rPr>
                <w:rFonts w:ascii="Arial" w:cs="Arial" w:eastAsia="Arial" w:hAnsi="Arial"/>
                <w:sz w:val="16"/>
                <w:szCs w:val="16"/>
                <w:color w:val="auto"/>
                <w:w w:val="96"/>
              </w:rPr>
              <w:t>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Adjustments(b)</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202"/>
              <w:spacing w:after="0"/>
              <w:rPr>
                <w:sz w:val="20"/>
                <w:szCs w:val="20"/>
                <w:color w:val="auto"/>
              </w:rPr>
            </w:pPr>
            <w:r>
              <w:rPr>
                <w:rFonts w:ascii="Arial" w:cs="Arial" w:eastAsia="Arial" w:hAnsi="Arial"/>
                <w:sz w:val="16"/>
                <w:szCs w:val="16"/>
                <w:color w:val="auto"/>
                <w:w w:val="96"/>
              </w:rPr>
              <w:t>4.85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5.75</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Tax effect on adjustments(c)</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182"/>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from preferred shareholders(d)</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82"/>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2,066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center"/>
              <w:ind w:left="202"/>
              <w:spacing w:after="0"/>
              <w:rPr>
                <w:sz w:val="20"/>
                <w:szCs w:val="20"/>
                <w:color w:val="auto"/>
              </w:rPr>
            </w:pPr>
            <w:r>
              <w:rPr>
                <w:rFonts w:ascii="Arial" w:cs="Arial" w:eastAsia="Arial" w:hAnsi="Arial"/>
                <w:sz w:val="16"/>
                <w:szCs w:val="16"/>
                <w:color w:val="auto"/>
                <w:w w:val="96"/>
              </w:rPr>
              <w:t>1.92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10,311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11,963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10.60</w:t>
            </w:r>
          </w:p>
        </w:tc>
      </w:tr>
      <w:tr>
        <w:trPr>
          <w:trHeight w:val="21"/>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5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dilutive effect of awards under stock incentive plans. Refer to the table below for the effect on weighted-average common shares outstanding — diluted-adjusted.</w:t>
      </w: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4"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 in the year ended December 31, 2025 and the three months and year ended December 31, 2024.</w:t>
      </w:r>
    </w:p>
    <w:p>
      <w:pPr>
        <w:spacing w:after="0" w:line="207" w:lineRule="exact"/>
        <w:rPr>
          <w:sz w:val="20"/>
          <w:szCs w:val="20"/>
          <w:color w:val="auto"/>
        </w:rPr>
      </w:pPr>
    </w:p>
    <w:p>
      <w:pPr>
        <w:ind w:firstLine="162"/>
        <w:spacing w:after="0" w:line="304" w:lineRule="auto"/>
        <w:rPr>
          <w:sz w:val="20"/>
          <w:szCs w:val="20"/>
          <w:color w:val="auto"/>
        </w:rPr>
      </w:pPr>
      <w:r>
        <w:rPr>
          <w:rFonts w:ascii="Arial" w:cs="Arial" w:eastAsia="Arial" w:hAnsi="Arial"/>
          <w:sz w:val="16"/>
          <w:szCs w:val="16"/>
          <w:color w:val="auto"/>
        </w:rPr>
        <w:t>The following table reconciles weighted-average common shares outstanding — diluted to weighted-average common shares outstanding — diluted-adjusted used in the calculation of EPS-diluted-adjusted (shares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2620" w:type="dxa"/>
            <w:vAlign w:val="bottom"/>
            <w:gridSpan w:val="4"/>
          </w:tcPr>
          <w:p>
            <w:pPr>
              <w:ind w:left="640"/>
              <w:spacing w:after="0"/>
              <w:rPr>
                <w:sz w:val="20"/>
                <w:szCs w:val="20"/>
                <w:color w:val="auto"/>
              </w:rPr>
            </w:pPr>
            <w:r>
              <w:rPr>
                <w:rFonts w:ascii="Arial" w:cs="Arial" w:eastAsia="Arial" w:hAnsi="Arial"/>
                <w:sz w:val="13"/>
                <w:szCs w:val="13"/>
                <w:b w:val="1"/>
                <w:bCs w:val="1"/>
                <w:color w:val="auto"/>
              </w:rPr>
              <w:t>Three Months Ended</w:t>
            </w:r>
          </w:p>
        </w:tc>
        <w:tc>
          <w:tcPr>
            <w:tcW w:w="2520" w:type="dxa"/>
            <w:vAlign w:val="bottom"/>
            <w:gridSpan w:val="3"/>
          </w:tcPr>
          <w:p>
            <w:pPr>
              <w:jc w:val="right"/>
              <w:ind w:right="804"/>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6100" w:type="dxa"/>
            <w:vAlign w:val="bottom"/>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December 31, 2025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December 31, 2024</w:t>
            </w:r>
          </w:p>
        </w:tc>
        <w:tc>
          <w:tcPr>
            <w:tcW w:w="100" w:type="dxa"/>
            <w:vAlign w:val="bottom"/>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December 31, 2025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December 31, 2024</w:t>
            </w: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Dilutive effect of awards under stock incentive plans</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3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 diluted-adjusted</w:t>
            </w:r>
          </w:p>
        </w:tc>
        <w:tc>
          <w:tcPr>
            <w:tcW w:w="12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1,129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to ETR-adjusted (dollars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26"/>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6"/>
              </w:rPr>
              <w:t>Income before</w:t>
            </w:r>
          </w:p>
        </w:tc>
        <w:tc>
          <w:tcPr>
            <w:tcW w:w="100" w:type="dxa"/>
            <w:vAlign w:val="bottom"/>
          </w:tcPr>
          <w:p>
            <w:pPr>
              <w:spacing w:after="0"/>
              <w:rPr>
                <w:sz w:val="10"/>
                <w:szCs w:val="10"/>
                <w:color w:val="auto"/>
              </w:rPr>
            </w:pPr>
          </w:p>
        </w:tc>
        <w:tc>
          <w:tcPr>
            <w:tcW w:w="820" w:type="dxa"/>
            <w:vAlign w:val="bottom"/>
          </w:tcPr>
          <w:p>
            <w:pPr>
              <w:jc w:val="right"/>
              <w:ind w:right="68"/>
              <w:spacing w:after="0" w:line="126" w:lineRule="exact"/>
              <w:rPr>
                <w:sz w:val="20"/>
                <w:szCs w:val="20"/>
                <w:color w:val="auto"/>
              </w:rPr>
            </w:pPr>
            <w:r>
              <w:rPr>
                <w:rFonts w:ascii="Arial" w:cs="Arial" w:eastAsia="Arial" w:hAnsi="Arial"/>
                <w:sz w:val="13"/>
                <w:szCs w:val="13"/>
                <w:b w:val="1"/>
                <w:bCs w:val="1"/>
                <w:color w:val="auto"/>
                <w:w w:val="97"/>
              </w:rPr>
              <w:t>Income tax</w:t>
            </w:r>
          </w:p>
        </w:tc>
        <w:tc>
          <w:tcPr>
            <w:tcW w:w="12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Effective 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Income before</w:t>
            </w:r>
          </w:p>
        </w:tc>
        <w:tc>
          <w:tcPr>
            <w:tcW w:w="120" w:type="dxa"/>
            <w:vAlign w:val="bottom"/>
          </w:tcPr>
          <w:p>
            <w:pPr>
              <w:spacing w:after="0"/>
              <w:rPr>
                <w:sz w:val="10"/>
                <w:szCs w:val="10"/>
                <w:color w:val="auto"/>
              </w:rPr>
            </w:pPr>
          </w:p>
        </w:tc>
        <w:tc>
          <w:tcPr>
            <w:tcW w:w="820" w:type="dxa"/>
            <w:vAlign w:val="bottom"/>
          </w:tcPr>
          <w:p>
            <w:pPr>
              <w:jc w:val="right"/>
              <w:ind w:right="68"/>
              <w:spacing w:after="0" w:line="126" w:lineRule="exact"/>
              <w:rPr>
                <w:sz w:val="20"/>
                <w:szCs w:val="20"/>
                <w:color w:val="auto"/>
              </w:rPr>
            </w:pPr>
            <w:r>
              <w:rPr>
                <w:rFonts w:ascii="Arial" w:cs="Arial" w:eastAsia="Arial" w:hAnsi="Arial"/>
                <w:sz w:val="13"/>
                <w:szCs w:val="13"/>
                <w:b w:val="1"/>
                <w:bCs w:val="1"/>
                <w:color w:val="auto"/>
                <w:w w:val="97"/>
              </w:rPr>
              <w:t>Income tax</w:t>
            </w:r>
          </w:p>
        </w:tc>
        <w:tc>
          <w:tcPr>
            <w:tcW w:w="100" w:type="dxa"/>
            <w:vAlign w:val="bottom"/>
          </w:tcPr>
          <w:p>
            <w:pPr>
              <w:spacing w:after="0"/>
              <w:rPr>
                <w:sz w:val="10"/>
                <w:szCs w:val="10"/>
                <w:color w:val="auto"/>
              </w:rPr>
            </w:pPr>
          </w:p>
        </w:tc>
        <w:tc>
          <w:tcPr>
            <w:tcW w:w="960" w:type="dxa"/>
            <w:vAlign w:val="bottom"/>
          </w:tcPr>
          <w:p>
            <w:pPr>
              <w:jc w:val="right"/>
              <w:ind w:right="31"/>
              <w:spacing w:after="0" w:line="126" w:lineRule="exact"/>
              <w:rPr>
                <w:sz w:val="20"/>
                <w:szCs w:val="20"/>
                <w:color w:val="auto"/>
              </w:rPr>
            </w:pPr>
            <w:r>
              <w:rPr>
                <w:rFonts w:ascii="Arial" w:cs="Arial" w:eastAsia="Arial" w:hAnsi="Arial"/>
                <w:sz w:val="13"/>
                <w:szCs w:val="13"/>
                <w:b w:val="1"/>
                <w:bCs w:val="1"/>
                <w:color w:val="auto"/>
              </w:rPr>
              <w:t>Effective tax</w:t>
            </w:r>
          </w:p>
        </w:tc>
      </w:tr>
      <w:tr>
        <w:trPr>
          <w:trHeight w:val="176"/>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income taxes</w:t>
            </w:r>
          </w:p>
        </w:tc>
        <w:tc>
          <w:tcPr>
            <w:tcW w:w="12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5"/>
                <w:szCs w:val="15"/>
                <w:color w:val="auto"/>
              </w:rPr>
            </w:pPr>
          </w:p>
        </w:tc>
        <w:tc>
          <w:tcPr>
            <w:tcW w:w="960" w:type="dxa"/>
            <w:vAlign w:val="bottom"/>
          </w:tcPr>
          <w:p>
            <w:pPr>
              <w:jc w:val="right"/>
              <w:ind w:right="291"/>
              <w:spacing w:after="0"/>
              <w:rPr>
                <w:sz w:val="20"/>
                <w:szCs w:val="20"/>
                <w:color w:val="auto"/>
              </w:rPr>
            </w:pPr>
            <w:r>
              <w:rPr>
                <w:rFonts w:ascii="Arial" w:cs="Arial" w:eastAsia="Arial" w:hAnsi="Arial"/>
                <w:sz w:val="13"/>
                <w:szCs w:val="13"/>
                <w:b w:val="1"/>
                <w:bCs w:val="1"/>
                <w:color w:val="auto"/>
              </w:rPr>
              <w:t>rate</w:t>
            </w:r>
          </w:p>
        </w:tc>
      </w:tr>
      <w:tr>
        <w:trPr>
          <w:trHeight w:val="213"/>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3,117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338</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2,556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215"/>
        </w:trPr>
        <w:tc>
          <w:tcPr>
            <w:tcW w:w="4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Adjustments(a)</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9,839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2,115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6,564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r>
      <w:tr>
        <w:trPr>
          <w:trHeight w:val="235"/>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12,956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2,453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15,083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3,033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340" w:hanging="332"/>
        <w:spacing w:after="0" w:line="262"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00" w:lineRule="exact"/>
        <w:rPr>
          <w:sz w:val="20"/>
          <w:szCs w:val="20"/>
          <w:color w:val="auto"/>
        </w:rPr>
      </w:pPr>
    </w:p>
    <w:p>
      <w:pPr>
        <w:spacing w:after="0" w:line="253"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r>
      <w:tr>
        <w:trPr>
          <w:trHeight w:val="171"/>
        </w:trPr>
        <w:tc>
          <w:tcPr>
            <w:tcW w:w="8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820" w:type="dxa"/>
            <w:vAlign w:val="bottom"/>
          </w:tcPr>
          <w:p>
            <w:pPr>
              <w:jc w:val="right"/>
              <w:ind w:right="62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w w:val="96"/>
              </w:rPr>
              <w:t>64.6</w:t>
            </w:r>
          </w:p>
        </w:tc>
        <w:tc>
          <w:tcPr>
            <w:tcW w:w="100" w:type="dxa"/>
            <w:vAlign w:val="bottom"/>
          </w:tcPr>
          <w:p>
            <w:pPr>
              <w:spacing w:after="0"/>
              <w:rPr>
                <w:sz w:val="18"/>
                <w:szCs w:val="18"/>
                <w:color w:val="auto"/>
              </w:rPr>
            </w:pPr>
          </w:p>
        </w:tc>
        <w:tc>
          <w:tcPr>
            <w:tcW w:w="820" w:type="dxa"/>
            <w:vAlign w:val="bottom"/>
          </w:tcPr>
          <w:p>
            <w:pPr>
              <w:jc w:val="right"/>
              <w:ind w:right="625"/>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w w:val="96"/>
              </w:rPr>
              <w:t>68.9</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Net income attributable to stockholders.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11" w:right="3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3"/>
                <w:szCs w:val="13"/>
                <w:b w:val="1"/>
                <w:bCs w:val="1"/>
                <w:color w:val="auto"/>
              </w:rPr>
              <w:t>Years Ended December 31,</w:t>
            </w:r>
          </w:p>
        </w:tc>
      </w:tr>
      <w:tr>
        <w:trPr>
          <w:trHeight w:val="171"/>
        </w:trPr>
        <w:tc>
          <w:tcPr>
            <w:tcW w:w="8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2024</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14.9</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68.9</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16.1</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Add: Average automotive net pension and OPEB liability</w:t>
            </w:r>
          </w:p>
        </w:tc>
        <w:tc>
          <w:tcPr>
            <w:tcW w:w="3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9.4</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net income tax asset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71.8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automotive cash provided by operating activities to adjusted automotive free cash flow (dollars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9"/>
              </w:rPr>
              <w:t>Three Months 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Years Ended</w:t>
            </w:r>
          </w:p>
        </w:tc>
        <w:tc>
          <w:tcPr>
            <w:tcW w:w="740" w:type="dxa"/>
            <w:vAlign w:val="bottom"/>
            <w:tcBorders>
              <w:bottom w:val="single" w:sz="8" w:color="auto"/>
            </w:tcBorders>
          </w:tcPr>
          <w:p>
            <w:pPr>
              <w:spacing w:after="0"/>
              <w:rPr>
                <w:sz w:val="15"/>
                <w:szCs w:val="15"/>
                <w:color w:val="auto"/>
              </w:rPr>
            </w:pPr>
          </w:p>
        </w:tc>
      </w:tr>
      <w:tr>
        <w:trPr>
          <w:trHeight w:val="171"/>
        </w:trPr>
        <w:tc>
          <w:tcPr>
            <w:tcW w:w="60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2025</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December 31, 2024</w:t>
            </w:r>
          </w:p>
        </w:tc>
        <w:tc>
          <w:tcPr>
            <w:tcW w:w="1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 2025</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December 31, 2024</w:t>
            </w:r>
          </w:p>
        </w:tc>
      </w:tr>
      <w:tr>
        <w:trPr>
          <w:trHeight w:val="211"/>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5,606</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18,733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23,939</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(3,188)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(10,711)</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Buick dealer strategy</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EV strategic realignment</w:t>
            </w:r>
          </w:p>
        </w:tc>
        <w:tc>
          <w:tcPr>
            <w:tcW w:w="3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China restructuring actions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Separation costs</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GMI exit costs</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Ultium strategic realignment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automotive free cash flow</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611"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2025, 27.5% of GM's wholesale vehicle sales volume was generated outside the U.S. The following table summarizes wholesale vehicle sales by our Automotive operations (vehicles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3360" w:type="dxa"/>
            <w:vAlign w:val="bottom"/>
            <w:gridSpan w:val="4"/>
          </w:tcPr>
          <w:p>
            <w:pPr>
              <w:ind w:left="1000"/>
              <w:spacing w:after="0"/>
              <w:rPr>
                <w:sz w:val="20"/>
                <w:szCs w:val="20"/>
                <w:color w:val="auto"/>
              </w:rPr>
            </w:pPr>
            <w:r>
              <w:rPr>
                <w:rFonts w:ascii="Arial" w:cs="Arial" w:eastAsia="Arial" w:hAnsi="Arial"/>
                <w:sz w:val="13"/>
                <w:szCs w:val="13"/>
                <w:b w:val="1"/>
                <w:bCs w:val="1"/>
                <w:color w:val="auto"/>
              </w:rPr>
              <w:t>Three Months Ended</w:t>
            </w:r>
          </w:p>
        </w:tc>
        <w:tc>
          <w:tcPr>
            <w:tcW w:w="3260" w:type="dxa"/>
            <w:vAlign w:val="bottom"/>
            <w:gridSpan w:val="3"/>
          </w:tcPr>
          <w:p>
            <w:pPr>
              <w:jc w:val="right"/>
              <w:ind w:right="1184"/>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4580" w:type="dxa"/>
            <w:vAlign w:val="bottom"/>
          </w:tcPr>
          <w:p>
            <w:pPr>
              <w:spacing w:after="0"/>
              <w:rPr>
                <w:sz w:val="14"/>
                <w:szCs w:val="14"/>
                <w:color w:val="auto"/>
              </w:rPr>
            </w:pPr>
          </w:p>
        </w:tc>
        <w:tc>
          <w:tcPr>
            <w:tcW w:w="168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 2025</w:t>
            </w:r>
          </w:p>
        </w:tc>
        <w:tc>
          <w:tcPr>
            <w:tcW w:w="1560" w:type="dxa"/>
            <w:vAlign w:val="bottom"/>
            <w:tcBorders>
              <w:top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Pr>
          <w:p>
            <w:pPr>
              <w:spacing w:after="0"/>
              <w:rPr>
                <w:sz w:val="14"/>
                <w:szCs w:val="14"/>
                <w:color w:val="auto"/>
              </w:rPr>
            </w:pPr>
          </w:p>
        </w:tc>
        <w:tc>
          <w:tcPr>
            <w:tcW w:w="168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 2025</w:t>
            </w:r>
          </w:p>
        </w:tc>
        <w:tc>
          <w:tcPr>
            <w:tcW w:w="1580" w:type="dxa"/>
            <w:vAlign w:val="bottom"/>
            <w:tcBorders>
              <w:top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December 31, 2024</w:t>
            </w:r>
          </w:p>
        </w:tc>
      </w:tr>
      <w:tr>
        <w:trPr>
          <w:trHeight w:val="21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780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3,296</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3,464</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547</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3,799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4,010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GM's percentage ownership interest in the joint venture, including vehicle sales of non-GM trademarked vehicles,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61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160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12.2 %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12.6 %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5,117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20,658</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0" w:type="dxa"/>
            <w:vAlign w:val="bottom"/>
          </w:tcPr>
          <w:p>
            <w:pPr>
              <w:spacing w:after="0"/>
              <w:rPr>
                <w:sz w:val="1"/>
                <w:szCs w:val="1"/>
                <w:color w:val="auto"/>
              </w:rPr>
            </w:pP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East, 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5,701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Middle East, and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12,780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13,894</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48,780</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48,284</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2,360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4,367</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19,087</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1,633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20,375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1,747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73,805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6,182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72,524</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4,224</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23,399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24,599</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90,730</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89,289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0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2,719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2,946</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34.1 %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12.6 %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13.5 %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13.7 %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4,097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1,315</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7,079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26,412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Cuba, Iran, North Korea, and Sudan have been subject to broad economic sanctions. Accordingly, these countries are excluded from industry sales data and corresponding calculation of market share.</w:t>
      </w:r>
    </w:p>
    <w:p>
      <w:pPr>
        <w:spacing w:after="0" w:line="275"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3240" w:type="dxa"/>
            <w:vAlign w:val="bottom"/>
            <w:gridSpan w:val="4"/>
          </w:tcPr>
          <w:p>
            <w:pPr>
              <w:ind w:left="960"/>
              <w:spacing w:after="0"/>
              <w:rPr>
                <w:sz w:val="20"/>
                <w:szCs w:val="20"/>
                <w:color w:val="auto"/>
              </w:rPr>
            </w:pPr>
            <w:r>
              <w:rPr>
                <w:rFonts w:ascii="Arial" w:cs="Arial" w:eastAsia="Arial" w:hAnsi="Arial"/>
                <w:sz w:val="13"/>
                <w:szCs w:val="13"/>
                <w:b w:val="1"/>
                <w:bCs w:val="1"/>
                <w:color w:val="auto"/>
              </w:rPr>
              <w:t>Three Months Ended</w:t>
            </w:r>
          </w:p>
        </w:tc>
        <w:tc>
          <w:tcPr>
            <w:tcW w:w="3140" w:type="dxa"/>
            <w:vAlign w:val="bottom"/>
            <w:gridSpan w:val="3"/>
          </w:tcPr>
          <w:p>
            <w:pPr>
              <w:jc w:val="right"/>
              <w:ind w:right="1102"/>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4860" w:type="dxa"/>
            <w:vAlign w:val="bottom"/>
          </w:tcPr>
          <w:p>
            <w:pPr>
              <w:spacing w:after="0"/>
              <w:rPr>
                <w:sz w:val="14"/>
                <w:szCs w:val="14"/>
                <w:color w:val="auto"/>
              </w:rPr>
            </w:pPr>
          </w:p>
        </w:tc>
        <w:tc>
          <w:tcPr>
            <w:tcW w:w="162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December 31, 2025</w:t>
            </w:r>
          </w:p>
        </w:tc>
        <w:tc>
          <w:tcPr>
            <w:tcW w:w="152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December 31, 2024</w:t>
            </w:r>
          </w:p>
        </w:tc>
        <w:tc>
          <w:tcPr>
            <w:tcW w:w="100" w:type="dxa"/>
            <w:vAlign w:val="bottom"/>
          </w:tcPr>
          <w:p>
            <w:pPr>
              <w:spacing w:after="0"/>
              <w:rPr>
                <w:sz w:val="14"/>
                <w:szCs w:val="14"/>
                <w:color w:val="auto"/>
              </w:rPr>
            </w:pPr>
          </w:p>
        </w:tc>
        <w:tc>
          <w:tcPr>
            <w:tcW w:w="162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December 31, 2025</w:t>
            </w:r>
          </w:p>
        </w:tc>
        <w:tc>
          <w:tcPr>
            <w:tcW w:w="152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December 31, 2024</w:t>
            </w: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GMNA</w:t>
            </w: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615</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GMI</w:t>
            </w: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401</w:t>
            </w: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fleet sales</w:t>
            </w: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1,016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148"/>
        </w:trPr>
        <w:tc>
          <w:tcPr>
            <w:tcW w:w="4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 capacity two-shift utilization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105.7 %</w:t>
            </w:r>
          </w:p>
        </w:tc>
      </w:tr>
      <w:tr>
        <w:trPr>
          <w:trHeight w:val="903"/>
        </w:trPr>
        <w:tc>
          <w:tcPr>
            <w:tcW w:w="4860" w:type="dxa"/>
            <w:vAlign w:val="bottom"/>
          </w:tcPr>
          <w:p>
            <w:pPr>
              <w:spacing w:after="0"/>
              <w:rPr>
                <w:sz w:val="24"/>
                <w:szCs w:val="24"/>
                <w:color w:val="auto"/>
              </w:rPr>
            </w:pPr>
          </w:p>
        </w:tc>
        <w:tc>
          <w:tcPr>
            <w:tcW w:w="1520" w:type="dxa"/>
            <w:vAlign w:val="bottom"/>
          </w:tcPr>
          <w:p>
            <w:pPr>
              <w:jc w:val="right"/>
              <w:ind w:right="584"/>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2026-01-27T06:29:12Z</dcterms:created>
  <dcterms:modified xsi:type="dcterms:W3CDTF">2026-01-27T06:29:12Z</dcterms:modified>
</cp:coreProperties>
</file>